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433C4">
      <w:pPr>
        <w:adjustRightInd w:val="0"/>
        <w:spacing w:line="360" w:lineRule="exact"/>
        <w:jc w:val="center"/>
        <w:rPr>
          <w:rFonts w:ascii="宋体" w:hAnsi="宋体"/>
          <w:b/>
          <w:spacing w:val="-5"/>
          <w:sz w:val="28"/>
          <w:szCs w:val="28"/>
        </w:rPr>
      </w:pPr>
      <w:bookmarkStart w:id="0" w:name="_Toc142890354"/>
      <w:r>
        <w:rPr>
          <w:rFonts w:hint="eastAsia" w:ascii="黑体" w:hAnsi="黑体" w:eastAsia="黑体"/>
          <w:color w:val="000000" w:themeColor="text1"/>
          <w:kern w:val="44"/>
          <w:szCs w:val="20"/>
        </w:rPr>
        <w:t xml:space="preserve"> </w:t>
      </w:r>
      <w:r>
        <w:rPr>
          <w:rFonts w:hint="eastAsia" w:ascii="宋体" w:hAnsi="宋体"/>
          <w:b/>
          <w:color w:val="000000" w:themeColor="text1"/>
          <w:kern w:val="44"/>
          <w:sz w:val="28"/>
          <w:szCs w:val="28"/>
        </w:rPr>
        <w:t>安康市生态环境局汉滨分局</w:t>
      </w:r>
    </w:p>
    <w:p w14:paraId="001111C6">
      <w:pPr>
        <w:adjustRightInd w:val="0"/>
        <w:spacing w:line="360" w:lineRule="exact"/>
        <w:jc w:val="center"/>
        <w:rPr>
          <w:rFonts w:ascii="宋体" w:hAnsi="宋体"/>
          <w:b/>
          <w:spacing w:val="-4"/>
          <w:sz w:val="28"/>
          <w:szCs w:val="28"/>
        </w:rPr>
      </w:pPr>
      <w:r>
        <w:rPr>
          <w:rFonts w:hint="eastAsia" w:ascii="宋体" w:hAnsi="宋体"/>
          <w:b/>
          <w:spacing w:val="-4"/>
          <w:sz w:val="28"/>
          <w:szCs w:val="28"/>
        </w:rPr>
        <w:t>关于同意设置</w:t>
      </w:r>
      <w:r>
        <w:rPr>
          <w:rFonts w:hint="eastAsia" w:ascii="宋体" w:hAnsi="宋体"/>
          <w:b/>
          <w:spacing w:val="-6"/>
          <w:sz w:val="28"/>
          <w:szCs w:val="28"/>
        </w:rPr>
        <w:t>关庙再生水厂工程</w:t>
      </w:r>
      <w:r>
        <w:rPr>
          <w:rFonts w:ascii="宋体" w:hAnsi="宋体"/>
          <w:b/>
          <w:spacing w:val="-4"/>
          <w:sz w:val="28"/>
          <w:szCs w:val="28"/>
        </w:rPr>
        <w:t>入河排污口</w:t>
      </w:r>
      <w:r>
        <w:rPr>
          <w:rFonts w:hint="eastAsia" w:ascii="宋体" w:hAnsi="宋体"/>
          <w:b/>
          <w:spacing w:val="-4"/>
          <w:sz w:val="28"/>
          <w:szCs w:val="28"/>
        </w:rPr>
        <w:t>的</w:t>
      </w:r>
      <w:r>
        <w:rPr>
          <w:rFonts w:ascii="宋体" w:hAnsi="宋体"/>
          <w:b/>
          <w:spacing w:val="-4"/>
          <w:sz w:val="28"/>
          <w:szCs w:val="28"/>
        </w:rPr>
        <w:t>决定书</w:t>
      </w:r>
    </w:p>
    <w:p w14:paraId="2F6A8BA9">
      <w:pPr>
        <w:adjustRightInd w:val="0"/>
        <w:spacing w:line="360" w:lineRule="exact"/>
        <w:jc w:val="center"/>
        <w:rPr>
          <w:rFonts w:ascii="宋体" w:hAnsi="宋体"/>
          <w:b/>
          <w:spacing w:val="-4"/>
          <w:sz w:val="28"/>
          <w:szCs w:val="28"/>
        </w:rPr>
      </w:pPr>
      <w:r>
        <w:rPr>
          <w:rFonts w:hint="eastAsia" w:ascii="宋体" w:hAnsi="宋体"/>
          <w:kern w:val="0"/>
          <w:szCs w:val="21"/>
          <w:lang w:val="zh-TW"/>
        </w:rPr>
        <w:t xml:space="preserve">                                                      汉环排口决字[2025]1号</w:t>
      </w:r>
      <w:r>
        <w:rPr>
          <w:rFonts w:ascii="宋体" w:hAnsi="宋体"/>
          <w:kern w:val="0"/>
          <w:szCs w:val="21"/>
          <w:lang w:val="zh-TW"/>
        </w:rPr>
        <w:t xml:space="preserve">   </w:t>
      </w:r>
      <w:r>
        <w:rPr>
          <w:rFonts w:ascii="宋体" w:hAnsi="宋体"/>
          <w:spacing w:val="-4"/>
          <w:szCs w:val="21"/>
        </w:rPr>
        <w:t xml:space="preserve">    </w:t>
      </w:r>
      <w:bookmarkStart w:id="1" w:name="_GoBack"/>
      <w:bookmarkEnd w:id="1"/>
    </w:p>
    <w:p w14:paraId="3AFF4B99">
      <w:pPr>
        <w:adjustRightInd w:val="0"/>
        <w:spacing w:line="360" w:lineRule="exact"/>
        <w:ind w:right="1212"/>
        <w:rPr>
          <w:rFonts w:ascii="宋体" w:hAnsi="宋体"/>
          <w:spacing w:val="-4"/>
          <w:szCs w:val="21"/>
        </w:rPr>
      </w:pPr>
      <w:r>
        <w:rPr>
          <w:rFonts w:hint="eastAsia" w:ascii="宋体" w:hAnsi="宋体"/>
          <w:kern w:val="0"/>
          <w:szCs w:val="21"/>
          <w:lang w:val="zh-TW"/>
        </w:rPr>
        <w:t>安康市住房和城乡建设局</w:t>
      </w:r>
      <w:r>
        <w:rPr>
          <w:rFonts w:ascii="宋体" w:hAnsi="宋体"/>
          <w:kern w:val="0"/>
          <w:szCs w:val="21"/>
          <w:lang w:val="zh-TW" w:eastAsia="zh-TW"/>
        </w:rPr>
        <w:t>：</w:t>
      </w:r>
    </w:p>
    <w:p w14:paraId="38EFEA63">
      <w:pPr>
        <w:pStyle w:val="9"/>
        <w:adjustRightInd w:val="0"/>
        <w:spacing w:before="0" w:line="360" w:lineRule="exact"/>
        <w:ind w:left="0" w:right="107" w:firstLine="396" w:firstLineChars="2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eastAsia="zh-CN"/>
        </w:rPr>
        <w:t>2</w:t>
      </w:r>
      <w:r>
        <w:rPr>
          <w:rFonts w:ascii="宋体" w:hAnsi="宋体" w:eastAsia="宋体"/>
          <w:spacing w:val="-6"/>
          <w:sz w:val="21"/>
          <w:szCs w:val="21"/>
          <w:lang w:eastAsia="zh-CN"/>
        </w:rPr>
        <w:t>月</w:t>
      </w:r>
      <w:r>
        <w:rPr>
          <w:rFonts w:hint="eastAsia" w:ascii="宋体" w:hAnsi="宋体" w:eastAsia="宋体"/>
          <w:spacing w:val="-6"/>
          <w:sz w:val="21"/>
          <w:szCs w:val="21"/>
          <w:lang w:eastAsia="zh-CN"/>
        </w:rPr>
        <w:t>28</w:t>
      </w:r>
      <w:r>
        <w:rPr>
          <w:rFonts w:ascii="宋体" w:hAnsi="宋体" w:eastAsia="宋体"/>
          <w:spacing w:val="-6"/>
          <w:sz w:val="21"/>
          <w:szCs w:val="21"/>
          <w:lang w:eastAsia="zh-CN"/>
        </w:rPr>
        <w:t>日向我</w:t>
      </w:r>
      <w:r>
        <w:rPr>
          <w:rFonts w:hint="eastAsia" w:ascii="宋体" w:hAnsi="宋体" w:eastAsia="宋体"/>
          <w:spacing w:val="-6"/>
          <w:sz w:val="21"/>
          <w:szCs w:val="21"/>
          <w:lang w:eastAsia="zh-CN"/>
        </w:rPr>
        <w:t>局</w:t>
      </w:r>
      <w:r>
        <w:rPr>
          <w:rFonts w:ascii="宋体" w:hAnsi="宋体" w:eastAsia="宋体"/>
          <w:spacing w:val="-6"/>
          <w:sz w:val="21"/>
          <w:szCs w:val="21"/>
          <w:lang w:eastAsia="zh-CN"/>
        </w:rPr>
        <w:t>提出</w:t>
      </w:r>
      <w:r>
        <w:rPr>
          <w:rFonts w:hint="eastAsia" w:ascii="宋体" w:hAnsi="宋体" w:eastAsia="宋体"/>
          <w:spacing w:val="-6"/>
          <w:sz w:val="21"/>
          <w:szCs w:val="21"/>
          <w:lang w:eastAsia="zh-CN"/>
        </w:rPr>
        <w:t>关于办理关庙再生水厂工程</w:t>
      </w:r>
      <w:r>
        <w:rPr>
          <w:rFonts w:ascii="宋体" w:hAnsi="宋体" w:eastAsia="宋体"/>
          <w:spacing w:val="-6"/>
          <w:sz w:val="21"/>
          <w:szCs w:val="21"/>
          <w:lang w:eastAsia="zh-CN"/>
        </w:rPr>
        <w:t>入河排污口设置申请。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同意关庙再生水厂工程</w:t>
      </w:r>
      <w:r>
        <w:rPr>
          <w:rFonts w:ascii="宋体" w:hAnsi="宋体" w:eastAsia="宋体"/>
          <w:spacing w:val="-6"/>
          <w:sz w:val="21"/>
          <w:szCs w:val="21"/>
          <w:lang w:eastAsia="zh-CN"/>
        </w:rPr>
        <w:t>入河排污口设置</w:t>
      </w:r>
      <w:r>
        <w:rPr>
          <w:rFonts w:hint="eastAsia" w:ascii="宋体" w:hAnsi="宋体" w:eastAsia="宋体"/>
          <w:spacing w:val="-6"/>
          <w:sz w:val="21"/>
          <w:szCs w:val="21"/>
          <w:lang w:eastAsia="zh-CN"/>
        </w:rPr>
        <w:t>并</w:t>
      </w:r>
      <w:r>
        <w:rPr>
          <w:rFonts w:ascii="宋体" w:hAnsi="宋体" w:eastAsia="宋体"/>
          <w:spacing w:val="-6"/>
          <w:sz w:val="21"/>
          <w:szCs w:val="21"/>
          <w:lang w:eastAsia="zh-CN"/>
        </w:rPr>
        <w:t>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992"/>
        <w:gridCol w:w="1134"/>
        <w:gridCol w:w="3950"/>
      </w:tblGrid>
      <w:tr w14:paraId="73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69" w:type="dxa"/>
            <w:vAlign w:val="center"/>
          </w:tcPr>
          <w:p w14:paraId="53BFAFA1">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076" w:type="dxa"/>
            <w:gridSpan w:val="3"/>
            <w:vAlign w:val="center"/>
          </w:tcPr>
          <w:p w14:paraId="595F578D">
            <w:pPr>
              <w:widowControl/>
              <w:spacing w:line="360" w:lineRule="exact"/>
            </w:pPr>
            <w:r>
              <w:rPr>
                <w:szCs w:val="20"/>
              </w:rPr>
              <w:sym w:font="Wingdings 2" w:char="00A3"/>
            </w:r>
            <w:r>
              <w:rPr>
                <w:rFonts w:hint="eastAsia"/>
              </w:rPr>
              <w:t>工矿企业入河排污口</w:t>
            </w:r>
          </w:p>
          <w:p w14:paraId="526A39FF">
            <w:pPr>
              <w:widowControl/>
              <w:spacing w:line="360" w:lineRule="exact"/>
            </w:pPr>
            <w:r>
              <w:rPr>
                <w:szCs w:val="20"/>
              </w:rPr>
              <w:sym w:font="Wingdings 2" w:char="00A3"/>
            </w:r>
            <w:r>
              <w:rPr>
                <w:rFonts w:hint="eastAsia"/>
              </w:rPr>
              <w:t>工业及其他各类园区污水处理厂入河排污口</w:t>
            </w:r>
          </w:p>
          <w:p w14:paraId="5B766A72">
            <w:pPr>
              <w:widowControl/>
              <w:spacing w:line="360" w:lineRule="exact"/>
            </w:pPr>
            <w:r>
              <w:rPr>
                <w:szCs w:val="20"/>
              </w:rPr>
              <w:sym w:font="Wingdings" w:char="F0FE"/>
            </w:r>
            <w:r>
              <w:rPr>
                <w:rFonts w:hint="eastAsia"/>
              </w:rPr>
              <w:t>城镇污水处理厂入河排污口</w:t>
            </w:r>
          </w:p>
          <w:p w14:paraId="54360BBD">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7AF1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69" w:type="dxa"/>
            <w:vAlign w:val="center"/>
          </w:tcPr>
          <w:p w14:paraId="52B27FB3">
            <w:pPr>
              <w:widowControl/>
              <w:spacing w:line="360" w:lineRule="exact"/>
              <w:jc w:val="center"/>
              <w:rPr>
                <w:szCs w:val="21"/>
              </w:rPr>
            </w:pPr>
            <w:r>
              <w:rPr>
                <w:rFonts w:hint="eastAsia"/>
                <w:szCs w:val="21"/>
              </w:rPr>
              <w:t>入河排污口名称</w:t>
            </w:r>
          </w:p>
        </w:tc>
        <w:tc>
          <w:tcPr>
            <w:tcW w:w="6076" w:type="dxa"/>
            <w:gridSpan w:val="3"/>
            <w:vAlign w:val="center"/>
          </w:tcPr>
          <w:p w14:paraId="1D654A19">
            <w:pPr>
              <w:widowControl/>
              <w:spacing w:line="360" w:lineRule="exact"/>
              <w:rPr>
                <w:szCs w:val="20"/>
              </w:rPr>
            </w:pPr>
            <w:r>
              <w:rPr>
                <w:rFonts w:hint="eastAsia"/>
                <w:szCs w:val="20"/>
              </w:rPr>
              <w:t>安康中心城市水环境PPP项目</w:t>
            </w:r>
            <w:r>
              <w:rPr>
                <w:szCs w:val="20"/>
              </w:rPr>
              <w:t>—</w:t>
            </w:r>
            <w:r>
              <w:rPr>
                <w:rFonts w:hint="eastAsia"/>
                <w:szCs w:val="20"/>
              </w:rPr>
              <w:t>关庙再生水厂工程排污口</w:t>
            </w:r>
          </w:p>
        </w:tc>
      </w:tr>
      <w:tr w14:paraId="6E08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69" w:type="dxa"/>
            <w:vAlign w:val="center"/>
          </w:tcPr>
          <w:p w14:paraId="301C4482">
            <w:pPr>
              <w:widowControl/>
              <w:spacing w:line="360" w:lineRule="exact"/>
              <w:jc w:val="center"/>
              <w:rPr>
                <w:szCs w:val="21"/>
              </w:rPr>
            </w:pPr>
            <w:r>
              <w:rPr>
                <w:rFonts w:hint="eastAsia"/>
                <w:szCs w:val="21"/>
              </w:rPr>
              <w:t>入河排污口编码</w:t>
            </w:r>
          </w:p>
        </w:tc>
        <w:tc>
          <w:tcPr>
            <w:tcW w:w="6076" w:type="dxa"/>
            <w:gridSpan w:val="3"/>
            <w:vAlign w:val="center"/>
          </w:tcPr>
          <w:p w14:paraId="59D6085C">
            <w:pPr>
              <w:widowControl/>
              <w:spacing w:line="360" w:lineRule="exact"/>
              <w:rPr>
                <w:szCs w:val="20"/>
              </w:rPr>
            </w:pPr>
          </w:p>
        </w:tc>
      </w:tr>
      <w:tr w14:paraId="4C60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69" w:type="dxa"/>
            <w:vAlign w:val="center"/>
          </w:tcPr>
          <w:p w14:paraId="698818DA">
            <w:pPr>
              <w:widowControl/>
              <w:spacing w:line="360" w:lineRule="exact"/>
              <w:jc w:val="center"/>
              <w:rPr>
                <w:szCs w:val="21"/>
              </w:rPr>
            </w:pPr>
            <w:r>
              <w:rPr>
                <w:rFonts w:hint="eastAsia"/>
                <w:szCs w:val="21"/>
              </w:rPr>
              <w:t>设置类型</w:t>
            </w:r>
          </w:p>
        </w:tc>
        <w:tc>
          <w:tcPr>
            <w:tcW w:w="6076" w:type="dxa"/>
            <w:gridSpan w:val="3"/>
            <w:vAlign w:val="center"/>
          </w:tcPr>
          <w:p w14:paraId="1682026C">
            <w:pPr>
              <w:widowControl/>
              <w:spacing w:line="360" w:lineRule="exact"/>
              <w:rPr>
                <w:szCs w:val="20"/>
              </w:rPr>
            </w:pPr>
            <w:r>
              <w:rPr>
                <w:szCs w:val="20"/>
              </w:rPr>
              <w:sym w:font="Wingdings 2" w:char="00A3"/>
            </w:r>
            <w:r>
              <w:rPr>
                <w:rFonts w:hint="eastAsia"/>
                <w:szCs w:val="21"/>
              </w:rPr>
              <w:t>新设</w:t>
            </w:r>
            <w:r>
              <w:rPr>
                <w:szCs w:val="20"/>
              </w:rPr>
              <w:t xml:space="preserve">  </w:t>
            </w:r>
            <w:r>
              <w:rPr>
                <w:szCs w:val="20"/>
              </w:rPr>
              <w:sym w:font="Wingdings" w:char="F0FE"/>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0EDB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45" w:type="dxa"/>
            <w:gridSpan w:val="4"/>
            <w:vAlign w:val="center"/>
          </w:tcPr>
          <w:p w14:paraId="488C955E">
            <w:pPr>
              <w:widowControl/>
              <w:spacing w:line="360" w:lineRule="exact"/>
              <w:rPr>
                <w:szCs w:val="20"/>
              </w:rPr>
            </w:pPr>
            <w:r>
              <w:rPr>
                <w:rFonts w:hint="eastAsia"/>
                <w:szCs w:val="20"/>
              </w:rPr>
              <w:t>责任主体基本情况</w:t>
            </w:r>
          </w:p>
        </w:tc>
      </w:tr>
      <w:tr w14:paraId="6917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4"/>
            <w:vAlign w:val="center"/>
          </w:tcPr>
          <w:p w14:paraId="1E41A7AB">
            <w:pPr>
              <w:widowControl/>
              <w:spacing w:line="360" w:lineRule="exact"/>
              <w:rPr>
                <w:kern w:val="0"/>
                <w:szCs w:val="21"/>
              </w:rPr>
            </w:pPr>
            <w:r>
              <w:rPr>
                <w:rFonts w:hint="eastAsia"/>
                <w:kern w:val="0"/>
                <w:szCs w:val="21"/>
              </w:rPr>
              <w:t>责任主体名称：安康市住房和城乡建设局（市人民防空办公室）</w:t>
            </w:r>
          </w:p>
        </w:tc>
      </w:tr>
      <w:tr w14:paraId="4050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69" w:type="dxa"/>
            <w:vAlign w:val="center"/>
          </w:tcPr>
          <w:p w14:paraId="741927AF">
            <w:pPr>
              <w:widowControl/>
              <w:spacing w:line="360" w:lineRule="exact"/>
              <w:jc w:val="center"/>
              <w:rPr>
                <w:kern w:val="0"/>
                <w:szCs w:val="21"/>
              </w:rPr>
            </w:pPr>
            <w:r>
              <w:rPr>
                <w:rFonts w:hint="eastAsia"/>
                <w:kern w:val="0"/>
                <w:szCs w:val="21"/>
              </w:rPr>
              <w:t>详细地址</w:t>
            </w:r>
          </w:p>
        </w:tc>
        <w:tc>
          <w:tcPr>
            <w:tcW w:w="6076" w:type="dxa"/>
            <w:gridSpan w:val="3"/>
            <w:vAlign w:val="center"/>
          </w:tcPr>
          <w:p w14:paraId="52950458">
            <w:pPr>
              <w:widowControl/>
              <w:spacing w:line="360" w:lineRule="exact"/>
              <w:rPr>
                <w:kern w:val="0"/>
                <w:szCs w:val="21"/>
              </w:rPr>
            </w:pPr>
            <w:r>
              <w:rPr>
                <w:rFonts w:hint="eastAsia"/>
                <w:szCs w:val="21"/>
              </w:rPr>
              <w:t>陕西省安康市汉滨区滨江大道1号</w:t>
            </w:r>
            <w:r>
              <w:rPr>
                <w:szCs w:val="21"/>
              </w:rPr>
              <w:t xml:space="preserve">      </w:t>
            </w:r>
            <w:r>
              <w:rPr>
                <w:rFonts w:hint="eastAsia"/>
                <w:szCs w:val="21"/>
              </w:rPr>
              <w:t xml:space="preserve"> </w:t>
            </w:r>
          </w:p>
        </w:tc>
      </w:tr>
      <w:tr w14:paraId="13AF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69" w:type="dxa"/>
            <w:vAlign w:val="center"/>
          </w:tcPr>
          <w:p w14:paraId="3956C5C7">
            <w:pPr>
              <w:widowControl/>
              <w:spacing w:line="360" w:lineRule="exact"/>
              <w:jc w:val="center"/>
              <w:rPr>
                <w:szCs w:val="21"/>
              </w:rPr>
            </w:pPr>
            <w:r>
              <w:rPr>
                <w:rFonts w:hint="eastAsia"/>
                <w:szCs w:val="21"/>
              </w:rPr>
              <w:t>统一社会信用代码</w:t>
            </w:r>
          </w:p>
        </w:tc>
        <w:tc>
          <w:tcPr>
            <w:tcW w:w="6076" w:type="dxa"/>
            <w:gridSpan w:val="3"/>
            <w:vAlign w:val="center"/>
          </w:tcPr>
          <w:p w14:paraId="6C3658C0">
            <w:pPr>
              <w:widowControl/>
              <w:spacing w:line="360" w:lineRule="exact"/>
            </w:pPr>
            <w:r>
              <w:rPr>
                <w:rFonts w:hint="eastAsia"/>
              </w:rPr>
              <w:t>116109005556965749</w:t>
            </w:r>
          </w:p>
        </w:tc>
      </w:tr>
      <w:tr w14:paraId="57FF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69" w:type="dxa"/>
            <w:vAlign w:val="center"/>
          </w:tcPr>
          <w:p w14:paraId="13646680">
            <w:pPr>
              <w:widowControl/>
              <w:spacing w:line="360" w:lineRule="exact"/>
              <w:jc w:val="center"/>
              <w:rPr>
                <w:szCs w:val="21"/>
              </w:rPr>
            </w:pPr>
            <w:r>
              <w:rPr>
                <w:rFonts w:hint="eastAsia"/>
                <w:szCs w:val="21"/>
              </w:rPr>
              <w:t>法定代表人及联系电话</w:t>
            </w:r>
          </w:p>
        </w:tc>
        <w:tc>
          <w:tcPr>
            <w:tcW w:w="6076" w:type="dxa"/>
            <w:gridSpan w:val="3"/>
            <w:vAlign w:val="center"/>
          </w:tcPr>
          <w:p w14:paraId="70E67488">
            <w:pPr>
              <w:widowControl/>
              <w:spacing w:line="360" w:lineRule="exact"/>
            </w:pPr>
            <w:r>
              <w:rPr>
                <w:rFonts w:hint="eastAsia"/>
              </w:rPr>
              <w:t>姓名：谢成彦</w:t>
            </w:r>
            <w:r>
              <w:t xml:space="preserve">                 </w:t>
            </w:r>
            <w:r>
              <w:rPr>
                <w:rFonts w:hint="eastAsia"/>
                <w:szCs w:val="21"/>
              </w:rPr>
              <w:t>联系电话：13992505626</w:t>
            </w:r>
            <w:r>
              <w:rPr>
                <w:szCs w:val="21"/>
              </w:rPr>
              <w:t xml:space="preserve">                </w:t>
            </w:r>
          </w:p>
        </w:tc>
      </w:tr>
      <w:tr w14:paraId="18E8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69" w:type="dxa"/>
            <w:vAlign w:val="center"/>
          </w:tcPr>
          <w:p w14:paraId="7E31316F">
            <w:pPr>
              <w:widowControl/>
              <w:spacing w:line="360" w:lineRule="exact"/>
              <w:jc w:val="center"/>
              <w:rPr>
                <w:szCs w:val="21"/>
              </w:rPr>
            </w:pPr>
            <w:r>
              <w:rPr>
                <w:rFonts w:hint="eastAsia"/>
                <w:szCs w:val="21"/>
              </w:rPr>
              <w:t>行业类别</w:t>
            </w:r>
          </w:p>
        </w:tc>
        <w:tc>
          <w:tcPr>
            <w:tcW w:w="6076" w:type="dxa"/>
            <w:gridSpan w:val="3"/>
            <w:vAlign w:val="center"/>
          </w:tcPr>
          <w:p w14:paraId="280D975E">
            <w:pPr>
              <w:widowControl/>
              <w:spacing w:line="360" w:lineRule="exact"/>
            </w:pPr>
            <w:r>
              <w:rPr>
                <w:rFonts w:hint="eastAsia"/>
              </w:rPr>
              <w:t>D4620污水处理及其再生利用</w:t>
            </w:r>
          </w:p>
        </w:tc>
      </w:tr>
      <w:tr w14:paraId="012A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69" w:type="dxa"/>
            <w:vAlign w:val="center"/>
          </w:tcPr>
          <w:p w14:paraId="4FB37D7B">
            <w:pPr>
              <w:widowControl/>
              <w:spacing w:line="360" w:lineRule="exact"/>
              <w:jc w:val="center"/>
              <w:rPr>
                <w:szCs w:val="21"/>
              </w:rPr>
            </w:pPr>
            <w:r>
              <w:rPr>
                <w:rFonts w:hint="eastAsia"/>
                <w:szCs w:val="20"/>
              </w:rPr>
              <w:t>排污许可证或排污登记编号</w:t>
            </w:r>
          </w:p>
        </w:tc>
        <w:tc>
          <w:tcPr>
            <w:tcW w:w="6076" w:type="dxa"/>
            <w:gridSpan w:val="3"/>
            <w:vAlign w:val="center"/>
          </w:tcPr>
          <w:p w14:paraId="36F39675">
            <w:pPr>
              <w:widowControl/>
              <w:spacing w:line="360" w:lineRule="exact"/>
            </w:pPr>
          </w:p>
        </w:tc>
      </w:tr>
      <w:tr w14:paraId="2166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69" w:type="dxa"/>
            <w:vMerge w:val="restart"/>
            <w:vAlign w:val="center"/>
          </w:tcPr>
          <w:p w14:paraId="2D687B9A">
            <w:pPr>
              <w:widowControl/>
              <w:spacing w:line="360" w:lineRule="exact"/>
              <w:jc w:val="center"/>
              <w:rPr>
                <w:szCs w:val="21"/>
              </w:rPr>
            </w:pPr>
            <w:r>
              <w:rPr>
                <w:rFonts w:hint="eastAsia"/>
                <w:szCs w:val="21"/>
              </w:rPr>
              <w:t>入河排污口</w:t>
            </w:r>
          </w:p>
          <w:p w14:paraId="22834A91">
            <w:pPr>
              <w:widowControl/>
              <w:spacing w:line="360" w:lineRule="exact"/>
              <w:jc w:val="center"/>
              <w:rPr>
                <w:szCs w:val="21"/>
              </w:rPr>
            </w:pPr>
            <w:r>
              <w:rPr>
                <w:rFonts w:hint="eastAsia"/>
                <w:szCs w:val="21"/>
              </w:rPr>
              <w:t>设置地点</w:t>
            </w:r>
          </w:p>
        </w:tc>
        <w:tc>
          <w:tcPr>
            <w:tcW w:w="6076" w:type="dxa"/>
            <w:gridSpan w:val="3"/>
            <w:vAlign w:val="center"/>
          </w:tcPr>
          <w:p w14:paraId="320CDD3A">
            <w:pPr>
              <w:widowControl/>
              <w:spacing w:line="360" w:lineRule="exact"/>
              <w:rPr>
                <w:szCs w:val="21"/>
              </w:rPr>
            </w:pPr>
            <w:r>
              <w:rPr>
                <w:rFonts w:hint="eastAsia"/>
                <w:szCs w:val="21"/>
              </w:rPr>
              <w:t>所在行政区域：陕西省安康市汉滨区关庙镇小李村</w:t>
            </w:r>
          </w:p>
        </w:tc>
      </w:tr>
      <w:tr w14:paraId="03B6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9" w:type="dxa"/>
            <w:vMerge w:val="continue"/>
            <w:vAlign w:val="center"/>
          </w:tcPr>
          <w:p w14:paraId="2853848B">
            <w:pPr>
              <w:widowControl/>
              <w:spacing w:line="360" w:lineRule="exact"/>
              <w:jc w:val="center"/>
              <w:rPr>
                <w:szCs w:val="21"/>
              </w:rPr>
            </w:pPr>
          </w:p>
        </w:tc>
        <w:tc>
          <w:tcPr>
            <w:tcW w:w="6076" w:type="dxa"/>
            <w:gridSpan w:val="3"/>
            <w:vAlign w:val="center"/>
          </w:tcPr>
          <w:p w14:paraId="6730FE14">
            <w:pPr>
              <w:widowControl/>
              <w:spacing w:line="360" w:lineRule="exact"/>
              <w:rPr>
                <w:szCs w:val="21"/>
              </w:rPr>
            </w:pPr>
            <w:r>
              <w:rPr>
                <w:rFonts w:hint="eastAsia"/>
                <w:szCs w:val="21"/>
              </w:rPr>
              <w:t>排入水体名称：汉江</w:t>
            </w:r>
          </w:p>
        </w:tc>
      </w:tr>
      <w:tr w14:paraId="1D8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9" w:type="dxa"/>
            <w:vMerge w:val="continue"/>
            <w:vAlign w:val="center"/>
          </w:tcPr>
          <w:p w14:paraId="2C1A4C07">
            <w:pPr>
              <w:widowControl/>
              <w:spacing w:line="360" w:lineRule="exact"/>
              <w:jc w:val="center"/>
              <w:rPr>
                <w:szCs w:val="21"/>
              </w:rPr>
            </w:pPr>
          </w:p>
        </w:tc>
        <w:tc>
          <w:tcPr>
            <w:tcW w:w="6076" w:type="dxa"/>
            <w:gridSpan w:val="3"/>
            <w:vAlign w:val="center"/>
          </w:tcPr>
          <w:p w14:paraId="4C75E386">
            <w:pPr>
              <w:widowControl/>
              <w:spacing w:line="360" w:lineRule="exact"/>
              <w:rPr>
                <w:szCs w:val="21"/>
              </w:rPr>
            </w:pPr>
            <w:r>
              <w:rPr>
                <w:rFonts w:hint="eastAsia"/>
                <w:szCs w:val="21"/>
              </w:rPr>
              <w:t>所在流域：长江</w:t>
            </w:r>
          </w:p>
        </w:tc>
      </w:tr>
      <w:tr w14:paraId="1E6D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69" w:type="dxa"/>
            <w:vMerge w:val="continue"/>
            <w:vAlign w:val="center"/>
          </w:tcPr>
          <w:p w14:paraId="60BEA2C4">
            <w:pPr>
              <w:widowControl/>
              <w:spacing w:line="360" w:lineRule="exact"/>
              <w:jc w:val="center"/>
              <w:rPr>
                <w:szCs w:val="21"/>
              </w:rPr>
            </w:pPr>
          </w:p>
        </w:tc>
        <w:tc>
          <w:tcPr>
            <w:tcW w:w="6076" w:type="dxa"/>
            <w:gridSpan w:val="3"/>
            <w:vAlign w:val="center"/>
          </w:tcPr>
          <w:p w14:paraId="78AE0886">
            <w:pPr>
              <w:widowControl/>
              <w:spacing w:line="360" w:lineRule="exact"/>
              <w:rPr>
                <w:szCs w:val="20"/>
              </w:rPr>
            </w:pPr>
            <w:r>
              <w:rPr>
                <w:rFonts w:hint="eastAsia"/>
                <w:szCs w:val="20"/>
              </w:rPr>
              <w:t>经度 ：109.081972</w:t>
            </w:r>
            <w:r>
              <w:rPr>
                <w:szCs w:val="20"/>
              </w:rPr>
              <w:t>°</w:t>
            </w:r>
            <w:r>
              <w:rPr>
                <w:rFonts w:hint="eastAsia"/>
                <w:szCs w:val="20"/>
              </w:rPr>
              <w:t xml:space="preserve">         纬度 ：32.718543</w:t>
            </w:r>
            <w:r>
              <w:rPr>
                <w:szCs w:val="20"/>
              </w:rPr>
              <w:t>°</w:t>
            </w:r>
          </w:p>
        </w:tc>
      </w:tr>
      <w:tr w14:paraId="4118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69" w:type="dxa"/>
            <w:vAlign w:val="center"/>
          </w:tcPr>
          <w:p w14:paraId="49B00C00">
            <w:pPr>
              <w:widowControl/>
              <w:spacing w:line="360" w:lineRule="exact"/>
              <w:jc w:val="center"/>
              <w:rPr>
                <w:szCs w:val="20"/>
              </w:rPr>
            </w:pPr>
            <w:r>
              <w:rPr>
                <w:rFonts w:hint="eastAsia"/>
                <w:szCs w:val="20"/>
              </w:rPr>
              <w:t>污水排放方式</w:t>
            </w:r>
          </w:p>
        </w:tc>
        <w:tc>
          <w:tcPr>
            <w:tcW w:w="992" w:type="dxa"/>
            <w:vAlign w:val="center"/>
          </w:tcPr>
          <w:p w14:paraId="465D4FFE">
            <w:pPr>
              <w:widowControl/>
              <w:spacing w:line="360" w:lineRule="exact"/>
              <w:rPr>
                <w:szCs w:val="20"/>
              </w:rPr>
            </w:pPr>
            <w:r>
              <w:rPr>
                <w:szCs w:val="20"/>
              </w:rPr>
              <w:sym w:font="Wingdings" w:char="F0FE"/>
            </w:r>
            <w:r>
              <w:rPr>
                <w:rFonts w:hint="eastAsia"/>
                <w:szCs w:val="20"/>
              </w:rPr>
              <w:t>连续</w:t>
            </w:r>
            <w:r>
              <w:rPr>
                <w:szCs w:val="20"/>
              </w:rPr>
              <w:t xml:space="preserve"> </w:t>
            </w:r>
          </w:p>
          <w:p w14:paraId="5E156A31">
            <w:pPr>
              <w:widowControl/>
              <w:spacing w:line="360" w:lineRule="exact"/>
              <w:rPr>
                <w:szCs w:val="20"/>
              </w:rPr>
            </w:pPr>
            <w:r>
              <w:rPr>
                <w:szCs w:val="20"/>
              </w:rPr>
              <w:sym w:font="Wingdings 2" w:char="00A3"/>
            </w:r>
            <w:r>
              <w:rPr>
                <w:rFonts w:hint="eastAsia"/>
                <w:szCs w:val="20"/>
              </w:rPr>
              <w:t>间歇</w:t>
            </w:r>
          </w:p>
        </w:tc>
        <w:tc>
          <w:tcPr>
            <w:tcW w:w="1134" w:type="dxa"/>
            <w:vMerge w:val="restart"/>
            <w:vAlign w:val="center"/>
          </w:tcPr>
          <w:p w14:paraId="2A010602">
            <w:pPr>
              <w:widowControl/>
              <w:spacing w:line="360" w:lineRule="exact"/>
              <w:ind w:right="-105" w:rightChars="-50"/>
              <w:jc w:val="center"/>
              <w:rPr>
                <w:szCs w:val="20"/>
              </w:rPr>
            </w:pPr>
            <w:r>
              <w:rPr>
                <w:rFonts w:hint="eastAsia"/>
                <w:szCs w:val="20"/>
              </w:rPr>
              <w:t>入河</w:t>
            </w:r>
          </w:p>
          <w:p w14:paraId="073B0B2F">
            <w:pPr>
              <w:widowControl/>
              <w:spacing w:line="360" w:lineRule="exact"/>
              <w:ind w:right="-105" w:rightChars="-50"/>
              <w:jc w:val="center"/>
              <w:rPr>
                <w:szCs w:val="20"/>
              </w:rPr>
            </w:pPr>
            <w:r>
              <w:rPr>
                <w:rFonts w:hint="eastAsia"/>
                <w:szCs w:val="20"/>
              </w:rPr>
              <w:t>方式</w:t>
            </w:r>
          </w:p>
        </w:tc>
        <w:tc>
          <w:tcPr>
            <w:tcW w:w="3950" w:type="dxa"/>
            <w:vMerge w:val="restart"/>
            <w:vAlign w:val="center"/>
          </w:tcPr>
          <w:p w14:paraId="628FD0BF">
            <w:pPr>
              <w:spacing w:line="360" w:lineRule="exact"/>
              <w:ind w:firstLine="315" w:firstLineChars="150"/>
              <w:rPr>
                <w:szCs w:val="20"/>
              </w:rPr>
            </w:pPr>
            <w:r>
              <w:rPr>
                <w:szCs w:val="20"/>
              </w:rPr>
              <w:sym w:font="Wingdings" w:char="F0FE"/>
            </w:r>
            <w:r>
              <w:rPr>
                <w:rFonts w:hint="eastAsia"/>
                <w:szCs w:val="20"/>
              </w:rPr>
              <w:t>明渠</w:t>
            </w:r>
            <w:r>
              <w:rPr>
                <w:szCs w:val="20"/>
              </w:rPr>
              <w:t xml:space="preserve">  </w:t>
            </w:r>
            <w:r>
              <w:rPr>
                <w:szCs w:val="20"/>
              </w:rPr>
              <w:sym w:font="Wingdings 2" w:char="00A3"/>
            </w:r>
            <w:r>
              <w:rPr>
                <w:rFonts w:hint="eastAsia"/>
                <w:szCs w:val="20"/>
              </w:rPr>
              <w:t>管道</w:t>
            </w:r>
          </w:p>
          <w:p w14:paraId="4AA38158">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1CB6BB4D">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1C0B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69" w:type="dxa"/>
            <w:vAlign w:val="center"/>
          </w:tcPr>
          <w:p w14:paraId="3D070A1A">
            <w:pPr>
              <w:widowControl/>
              <w:spacing w:line="360" w:lineRule="exact"/>
              <w:jc w:val="center"/>
              <w:rPr>
                <w:szCs w:val="20"/>
              </w:rPr>
            </w:pPr>
            <w:r>
              <w:rPr>
                <w:rFonts w:hint="eastAsia"/>
                <w:szCs w:val="21"/>
              </w:rPr>
              <w:t>是否共用</w:t>
            </w:r>
          </w:p>
        </w:tc>
        <w:tc>
          <w:tcPr>
            <w:tcW w:w="992" w:type="dxa"/>
            <w:vAlign w:val="center"/>
          </w:tcPr>
          <w:p w14:paraId="47BE1B78">
            <w:pPr>
              <w:widowControl/>
              <w:spacing w:line="360" w:lineRule="exact"/>
              <w:rPr>
                <w:szCs w:val="20"/>
              </w:rPr>
            </w:pPr>
            <w:r>
              <w:rPr>
                <w:szCs w:val="20"/>
              </w:rPr>
              <w:sym w:font="Wingdings 2" w:char="00A3"/>
            </w:r>
            <w:r>
              <w:rPr>
                <w:rFonts w:hint="eastAsia"/>
                <w:szCs w:val="20"/>
              </w:rPr>
              <w:t>是</w:t>
            </w:r>
          </w:p>
          <w:p w14:paraId="7999093A">
            <w:pPr>
              <w:widowControl/>
              <w:spacing w:line="360" w:lineRule="exact"/>
              <w:rPr>
                <w:szCs w:val="20"/>
              </w:rPr>
            </w:pPr>
            <w:r>
              <w:rPr>
                <w:szCs w:val="20"/>
              </w:rPr>
              <w:sym w:font="Wingdings" w:char="F0FE"/>
            </w:r>
            <w:r>
              <w:rPr>
                <w:rFonts w:hint="eastAsia"/>
                <w:szCs w:val="20"/>
              </w:rPr>
              <w:t>否</w:t>
            </w:r>
          </w:p>
        </w:tc>
        <w:tc>
          <w:tcPr>
            <w:tcW w:w="1134" w:type="dxa"/>
            <w:vMerge w:val="continue"/>
            <w:vAlign w:val="center"/>
          </w:tcPr>
          <w:p w14:paraId="2020CA60">
            <w:pPr>
              <w:widowControl/>
              <w:spacing w:line="360" w:lineRule="exact"/>
              <w:rPr>
                <w:szCs w:val="20"/>
              </w:rPr>
            </w:pPr>
          </w:p>
        </w:tc>
        <w:tc>
          <w:tcPr>
            <w:tcW w:w="3950" w:type="dxa"/>
            <w:vMerge w:val="continue"/>
            <w:vAlign w:val="center"/>
          </w:tcPr>
          <w:p w14:paraId="7A49E47F">
            <w:pPr>
              <w:widowControl/>
              <w:spacing w:line="360" w:lineRule="exact"/>
              <w:rPr>
                <w:szCs w:val="20"/>
              </w:rPr>
            </w:pPr>
          </w:p>
        </w:tc>
      </w:tr>
      <w:tr w14:paraId="04D3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69" w:type="dxa"/>
            <w:vMerge w:val="restart"/>
            <w:vAlign w:val="center"/>
          </w:tcPr>
          <w:p w14:paraId="4747CDBA">
            <w:pPr>
              <w:widowControl/>
              <w:spacing w:line="360" w:lineRule="exact"/>
              <w:jc w:val="center"/>
              <w:rPr>
                <w:szCs w:val="20"/>
              </w:rPr>
            </w:pPr>
            <w:r>
              <w:rPr>
                <w:rFonts w:hint="eastAsia"/>
                <w:szCs w:val="28"/>
              </w:rPr>
              <w:t>入河排污口截面信息</w:t>
            </w:r>
          </w:p>
        </w:tc>
        <w:tc>
          <w:tcPr>
            <w:tcW w:w="6076" w:type="dxa"/>
            <w:gridSpan w:val="3"/>
            <w:vAlign w:val="center"/>
          </w:tcPr>
          <w:p w14:paraId="00A84614">
            <w:pPr>
              <w:widowControl/>
              <w:spacing w:line="360" w:lineRule="exact"/>
              <w:rPr>
                <w:szCs w:val="20"/>
              </w:rPr>
            </w:pPr>
            <w:r>
              <w:rPr>
                <w:szCs w:val="20"/>
              </w:rPr>
              <w:sym w:font="Wingdings 2" w:char="00A3"/>
            </w:r>
            <w:r>
              <w:rPr>
                <w:rFonts w:hint="eastAsia"/>
                <w:szCs w:val="20"/>
              </w:rPr>
              <w:t>圆形截面：</w:t>
            </w:r>
            <w:r>
              <w:rPr>
                <w:szCs w:val="20"/>
              </w:rPr>
              <w:t>d=   m</w:t>
            </w:r>
            <w:r>
              <w:rPr>
                <w:rFonts w:hint="eastAsia"/>
                <w:szCs w:val="20"/>
              </w:rPr>
              <w:t>，</w:t>
            </w:r>
            <w:r>
              <w:rPr>
                <w:szCs w:val="20"/>
              </w:rPr>
              <w:t>S=   m</w:t>
            </w:r>
            <w:r>
              <w:rPr>
                <w:szCs w:val="20"/>
                <w:vertAlign w:val="superscript"/>
              </w:rPr>
              <w:t>2</w:t>
            </w:r>
          </w:p>
        </w:tc>
      </w:tr>
      <w:tr w14:paraId="1FC5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69" w:type="dxa"/>
            <w:vMerge w:val="continue"/>
            <w:vAlign w:val="center"/>
          </w:tcPr>
          <w:p w14:paraId="6B28E297">
            <w:pPr>
              <w:widowControl/>
              <w:spacing w:line="360" w:lineRule="exact"/>
              <w:rPr>
                <w:szCs w:val="28"/>
              </w:rPr>
            </w:pPr>
          </w:p>
        </w:tc>
        <w:tc>
          <w:tcPr>
            <w:tcW w:w="6076" w:type="dxa"/>
            <w:gridSpan w:val="3"/>
            <w:vAlign w:val="center"/>
          </w:tcPr>
          <w:p w14:paraId="64D96CFB">
            <w:pPr>
              <w:spacing w:line="360" w:lineRule="exact"/>
              <w:rPr>
                <w:szCs w:val="20"/>
              </w:rPr>
            </w:pPr>
            <w:r>
              <w:rPr>
                <w:szCs w:val="20"/>
              </w:rPr>
              <w:sym w:font="Wingdings" w:char="F0FE"/>
            </w:r>
            <w:r>
              <w:rPr>
                <w:rFonts w:hint="eastAsia"/>
                <w:szCs w:val="20"/>
              </w:rPr>
              <w:t>方形截面：</w:t>
            </w:r>
            <w:r>
              <w:rPr>
                <w:szCs w:val="20"/>
              </w:rPr>
              <w:t xml:space="preserve">L×B= </w:t>
            </w:r>
            <w:r>
              <w:rPr>
                <w:rFonts w:hint="eastAsia"/>
                <w:szCs w:val="20"/>
              </w:rPr>
              <w:t>1.5</w:t>
            </w:r>
            <w:r>
              <w:rPr>
                <w:szCs w:val="20"/>
              </w:rPr>
              <w:t xml:space="preserve"> m×</w:t>
            </w:r>
            <w:r>
              <w:rPr>
                <w:rFonts w:hint="eastAsia"/>
                <w:szCs w:val="20"/>
              </w:rPr>
              <w:t>1.5</w:t>
            </w:r>
            <w:r>
              <w:rPr>
                <w:szCs w:val="20"/>
              </w:rPr>
              <w:t xml:space="preserve"> m</w:t>
            </w:r>
            <w:r>
              <w:rPr>
                <w:rFonts w:hint="eastAsia"/>
                <w:szCs w:val="20"/>
              </w:rPr>
              <w:t>，</w:t>
            </w:r>
            <w:r>
              <w:rPr>
                <w:szCs w:val="20"/>
              </w:rPr>
              <w:t>S=</w:t>
            </w:r>
            <w:r>
              <w:rPr>
                <w:rFonts w:hint="eastAsia"/>
                <w:szCs w:val="20"/>
              </w:rPr>
              <w:t>2.25</w:t>
            </w:r>
            <w:r>
              <w:rPr>
                <w:szCs w:val="20"/>
              </w:rPr>
              <w:t xml:space="preserve"> m</w:t>
            </w:r>
            <w:r>
              <w:rPr>
                <w:szCs w:val="20"/>
                <w:vertAlign w:val="superscript"/>
              </w:rPr>
              <w:t>2</w:t>
            </w:r>
          </w:p>
        </w:tc>
      </w:tr>
      <w:tr w14:paraId="358D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9" w:type="dxa"/>
            <w:vMerge w:val="continue"/>
            <w:vAlign w:val="center"/>
          </w:tcPr>
          <w:p w14:paraId="11487DD6">
            <w:pPr>
              <w:widowControl/>
              <w:spacing w:line="360" w:lineRule="exact"/>
              <w:rPr>
                <w:szCs w:val="28"/>
              </w:rPr>
            </w:pPr>
          </w:p>
        </w:tc>
        <w:tc>
          <w:tcPr>
            <w:tcW w:w="6076" w:type="dxa"/>
            <w:gridSpan w:val="3"/>
            <w:vAlign w:val="center"/>
          </w:tcPr>
          <w:p w14:paraId="0B85371F">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0BB7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4"/>
            <w:vAlign w:val="center"/>
          </w:tcPr>
          <w:p w14:paraId="647A709E">
            <w:pPr>
              <w:widowControl/>
              <w:spacing w:line="360" w:lineRule="exact"/>
              <w:rPr>
                <w:szCs w:val="20"/>
              </w:rPr>
            </w:pPr>
            <w:r>
              <w:rPr>
                <w:rFonts w:hint="eastAsia"/>
                <w:szCs w:val="21"/>
              </w:rPr>
              <w:t>入河排污口污水排放量，入河排污口重点污染物排放种类、排放浓度和排放量</w:t>
            </w:r>
          </w:p>
        </w:tc>
      </w:tr>
    </w:tbl>
    <w:p w14:paraId="47F81F9E"/>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031"/>
        <w:gridCol w:w="1134"/>
        <w:gridCol w:w="1276"/>
        <w:gridCol w:w="1134"/>
        <w:gridCol w:w="1540"/>
      </w:tblGrid>
      <w:tr w14:paraId="399F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D176E30">
            <w:pPr>
              <w:widowControl/>
              <w:spacing w:line="360" w:lineRule="exact"/>
              <w:jc w:val="center"/>
              <w:rPr>
                <w:szCs w:val="20"/>
              </w:rPr>
            </w:pPr>
            <w:r>
              <w:rPr>
                <w:rFonts w:hint="eastAsia"/>
                <w:szCs w:val="20"/>
              </w:rPr>
              <w:t>污染物种类</w:t>
            </w:r>
          </w:p>
        </w:tc>
        <w:tc>
          <w:tcPr>
            <w:tcW w:w="1031" w:type="dxa"/>
            <w:vMerge w:val="restart"/>
            <w:vAlign w:val="center"/>
          </w:tcPr>
          <w:p w14:paraId="46E52344">
            <w:pPr>
              <w:widowControl/>
              <w:spacing w:line="360" w:lineRule="exact"/>
              <w:jc w:val="center"/>
              <w:rPr>
                <w:szCs w:val="20"/>
              </w:rPr>
            </w:pPr>
            <w:r>
              <w:rPr>
                <w:rFonts w:hint="eastAsia"/>
                <w:szCs w:val="20"/>
              </w:rPr>
              <w:t>排放</w:t>
            </w:r>
          </w:p>
          <w:p w14:paraId="3A7AAD50">
            <w:pPr>
              <w:widowControl/>
              <w:spacing w:line="360" w:lineRule="exact"/>
              <w:jc w:val="center"/>
              <w:rPr>
                <w:szCs w:val="20"/>
              </w:rPr>
            </w:pPr>
            <w:r>
              <w:rPr>
                <w:rFonts w:hint="eastAsia"/>
                <w:szCs w:val="20"/>
              </w:rPr>
              <w:t>浓度（</w:t>
            </w:r>
            <w:r>
              <w:rPr>
                <w:szCs w:val="20"/>
              </w:rPr>
              <w:t>mg/L</w:t>
            </w:r>
            <w:r>
              <w:rPr>
                <w:rFonts w:hint="eastAsia"/>
                <w:szCs w:val="20"/>
              </w:rPr>
              <w:t>）</w:t>
            </w:r>
          </w:p>
        </w:tc>
        <w:tc>
          <w:tcPr>
            <w:tcW w:w="2410" w:type="dxa"/>
            <w:gridSpan w:val="2"/>
            <w:vAlign w:val="center"/>
          </w:tcPr>
          <w:p w14:paraId="03C5C4F3">
            <w:pPr>
              <w:widowControl/>
              <w:spacing w:line="360" w:lineRule="exact"/>
              <w:jc w:val="center"/>
              <w:rPr>
                <w:szCs w:val="20"/>
              </w:rPr>
            </w:pPr>
            <w:r>
              <w:rPr>
                <w:rFonts w:hint="eastAsia"/>
                <w:szCs w:val="20"/>
              </w:rPr>
              <w:t>全年</w:t>
            </w:r>
          </w:p>
        </w:tc>
        <w:tc>
          <w:tcPr>
            <w:tcW w:w="2674" w:type="dxa"/>
            <w:gridSpan w:val="2"/>
            <w:vAlign w:val="center"/>
          </w:tcPr>
          <w:p w14:paraId="1DBB37F1">
            <w:pPr>
              <w:widowControl/>
              <w:spacing w:line="360" w:lineRule="exact"/>
              <w:jc w:val="center"/>
              <w:rPr>
                <w:szCs w:val="20"/>
              </w:rPr>
            </w:pPr>
            <w:r>
              <w:rPr>
                <w:rFonts w:hint="eastAsia"/>
                <w:szCs w:val="20"/>
              </w:rPr>
              <w:t>特殊时段（11月至2月）</w:t>
            </w:r>
          </w:p>
        </w:tc>
      </w:tr>
      <w:tr w14:paraId="4357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30F5D788">
            <w:pPr>
              <w:spacing w:line="360" w:lineRule="exact"/>
              <w:rPr>
                <w:szCs w:val="20"/>
              </w:rPr>
            </w:pPr>
          </w:p>
        </w:tc>
        <w:tc>
          <w:tcPr>
            <w:tcW w:w="1031" w:type="dxa"/>
            <w:vMerge w:val="continue"/>
            <w:vAlign w:val="center"/>
          </w:tcPr>
          <w:p w14:paraId="0A0C0148">
            <w:pPr>
              <w:widowControl/>
              <w:spacing w:line="360" w:lineRule="exact"/>
              <w:jc w:val="center"/>
              <w:rPr>
                <w:szCs w:val="20"/>
              </w:rPr>
            </w:pPr>
          </w:p>
        </w:tc>
        <w:tc>
          <w:tcPr>
            <w:tcW w:w="1134" w:type="dxa"/>
            <w:vAlign w:val="center"/>
          </w:tcPr>
          <w:p w14:paraId="2C1D2614">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276" w:type="dxa"/>
            <w:vAlign w:val="center"/>
          </w:tcPr>
          <w:p w14:paraId="1F05846C">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134" w:type="dxa"/>
            <w:vAlign w:val="center"/>
          </w:tcPr>
          <w:p w14:paraId="17BC5458">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540" w:type="dxa"/>
            <w:vAlign w:val="center"/>
          </w:tcPr>
          <w:p w14:paraId="5FCC4C0B">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687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6"/>
            <w:vAlign w:val="center"/>
          </w:tcPr>
          <w:p w14:paraId="1BAF16D2">
            <w:pPr>
              <w:widowControl/>
              <w:spacing w:line="360" w:lineRule="exact"/>
              <w:rPr>
                <w:szCs w:val="20"/>
              </w:rPr>
            </w:pPr>
            <w:r>
              <w:rPr>
                <w:rFonts w:hint="eastAsia"/>
                <w:szCs w:val="20"/>
              </w:rPr>
              <w:t>入河排污口合计</w:t>
            </w:r>
            <w:r>
              <w:rPr>
                <w:rFonts w:hint="eastAsia"/>
                <w:kern w:val="0"/>
                <w:szCs w:val="21"/>
              </w:rPr>
              <w:t>（单一责任主体只需记载此项）</w:t>
            </w:r>
          </w:p>
        </w:tc>
      </w:tr>
      <w:tr w14:paraId="4FDA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F678E97">
            <w:pPr>
              <w:widowControl/>
              <w:spacing w:line="360" w:lineRule="exact"/>
              <w:jc w:val="center"/>
              <w:rPr>
                <w:szCs w:val="20"/>
              </w:rPr>
            </w:pPr>
            <w:r>
              <w:rPr>
                <w:szCs w:val="20"/>
              </w:rPr>
              <w:t>COD</w:t>
            </w:r>
          </w:p>
        </w:tc>
        <w:tc>
          <w:tcPr>
            <w:tcW w:w="1031" w:type="dxa"/>
            <w:vAlign w:val="center"/>
          </w:tcPr>
          <w:p w14:paraId="22AFD562">
            <w:pPr>
              <w:widowControl/>
              <w:spacing w:line="360" w:lineRule="exact"/>
              <w:jc w:val="center"/>
              <w:rPr>
                <w:szCs w:val="20"/>
              </w:rPr>
            </w:pPr>
            <w:r>
              <w:rPr>
                <w:rFonts w:hint="eastAsia"/>
                <w:szCs w:val="20"/>
              </w:rPr>
              <w:t>30</w:t>
            </w:r>
          </w:p>
        </w:tc>
        <w:tc>
          <w:tcPr>
            <w:tcW w:w="1134" w:type="dxa"/>
            <w:vMerge w:val="restart"/>
            <w:vAlign w:val="center"/>
          </w:tcPr>
          <w:p w14:paraId="4F6C3D72">
            <w:pPr>
              <w:widowControl/>
              <w:spacing w:line="360" w:lineRule="exact"/>
              <w:jc w:val="center"/>
              <w:rPr>
                <w:szCs w:val="20"/>
              </w:rPr>
            </w:pPr>
            <w:r>
              <w:rPr>
                <w:rFonts w:hint="eastAsia"/>
                <w:szCs w:val="20"/>
              </w:rPr>
              <w:t>2920</w:t>
            </w:r>
          </w:p>
        </w:tc>
        <w:tc>
          <w:tcPr>
            <w:tcW w:w="1276" w:type="dxa"/>
            <w:vAlign w:val="center"/>
          </w:tcPr>
          <w:p w14:paraId="6A098499">
            <w:pPr>
              <w:widowControl/>
              <w:spacing w:line="360" w:lineRule="exact"/>
              <w:jc w:val="center"/>
              <w:rPr>
                <w:szCs w:val="20"/>
              </w:rPr>
            </w:pPr>
            <w:r>
              <w:rPr>
                <w:rFonts w:hint="eastAsia"/>
                <w:szCs w:val="20"/>
              </w:rPr>
              <w:t>876</w:t>
            </w:r>
          </w:p>
        </w:tc>
        <w:tc>
          <w:tcPr>
            <w:tcW w:w="1134" w:type="dxa"/>
            <w:vMerge w:val="restart"/>
            <w:vAlign w:val="center"/>
          </w:tcPr>
          <w:p w14:paraId="3C4806C9">
            <w:pPr>
              <w:widowControl/>
              <w:spacing w:line="360" w:lineRule="exact"/>
              <w:jc w:val="center"/>
              <w:rPr>
                <w:szCs w:val="20"/>
              </w:rPr>
            </w:pPr>
            <w:r>
              <w:rPr>
                <w:rFonts w:hint="eastAsia"/>
                <w:szCs w:val="20"/>
              </w:rPr>
              <w:t>80000</w:t>
            </w:r>
          </w:p>
        </w:tc>
        <w:tc>
          <w:tcPr>
            <w:tcW w:w="1540" w:type="dxa"/>
            <w:vAlign w:val="center"/>
          </w:tcPr>
          <w:p w14:paraId="389DDF55">
            <w:pPr>
              <w:widowControl/>
              <w:spacing w:line="360" w:lineRule="exact"/>
              <w:jc w:val="center"/>
              <w:rPr>
                <w:szCs w:val="20"/>
              </w:rPr>
            </w:pPr>
            <w:r>
              <w:rPr>
                <w:rFonts w:hint="eastAsia"/>
                <w:szCs w:val="20"/>
              </w:rPr>
              <w:t>2.4</w:t>
            </w:r>
          </w:p>
        </w:tc>
      </w:tr>
      <w:tr w14:paraId="511A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7A6AD06">
            <w:pPr>
              <w:widowControl/>
              <w:spacing w:line="360" w:lineRule="exact"/>
              <w:jc w:val="center"/>
              <w:rPr>
                <w:szCs w:val="20"/>
              </w:rPr>
            </w:pPr>
            <w:r>
              <w:rPr>
                <w:szCs w:val="20"/>
              </w:rPr>
              <w:t>NH</w:t>
            </w:r>
            <w:r>
              <w:rPr>
                <w:szCs w:val="20"/>
                <w:vertAlign w:val="subscript"/>
              </w:rPr>
              <w:t>3</w:t>
            </w:r>
            <w:r>
              <w:rPr>
                <w:szCs w:val="20"/>
              </w:rPr>
              <w:t>-N</w:t>
            </w:r>
          </w:p>
        </w:tc>
        <w:tc>
          <w:tcPr>
            <w:tcW w:w="1031" w:type="dxa"/>
            <w:vAlign w:val="center"/>
          </w:tcPr>
          <w:p w14:paraId="3903457D">
            <w:pPr>
              <w:widowControl/>
              <w:spacing w:line="360" w:lineRule="exact"/>
              <w:jc w:val="center"/>
              <w:rPr>
                <w:szCs w:val="20"/>
              </w:rPr>
            </w:pPr>
            <w:r>
              <w:rPr>
                <w:rFonts w:hint="eastAsia"/>
                <w:szCs w:val="20"/>
              </w:rPr>
              <w:t>1.5</w:t>
            </w:r>
          </w:p>
        </w:tc>
        <w:tc>
          <w:tcPr>
            <w:tcW w:w="1134" w:type="dxa"/>
            <w:vMerge w:val="continue"/>
            <w:vAlign w:val="center"/>
          </w:tcPr>
          <w:p w14:paraId="33098ED2">
            <w:pPr>
              <w:widowControl/>
              <w:spacing w:line="360" w:lineRule="exact"/>
              <w:rPr>
                <w:szCs w:val="20"/>
              </w:rPr>
            </w:pPr>
          </w:p>
        </w:tc>
        <w:tc>
          <w:tcPr>
            <w:tcW w:w="1276" w:type="dxa"/>
            <w:vAlign w:val="center"/>
          </w:tcPr>
          <w:p w14:paraId="44E73FCE">
            <w:pPr>
              <w:widowControl/>
              <w:spacing w:line="360" w:lineRule="exact"/>
              <w:jc w:val="center"/>
              <w:rPr>
                <w:szCs w:val="20"/>
              </w:rPr>
            </w:pPr>
            <w:r>
              <w:rPr>
                <w:rFonts w:hint="eastAsia"/>
                <w:szCs w:val="20"/>
              </w:rPr>
              <w:t>43.8</w:t>
            </w:r>
          </w:p>
        </w:tc>
        <w:tc>
          <w:tcPr>
            <w:tcW w:w="1134" w:type="dxa"/>
            <w:vMerge w:val="continue"/>
            <w:vAlign w:val="center"/>
          </w:tcPr>
          <w:p w14:paraId="5B2F646C">
            <w:pPr>
              <w:widowControl/>
              <w:spacing w:line="360" w:lineRule="exact"/>
              <w:jc w:val="center"/>
              <w:rPr>
                <w:szCs w:val="20"/>
              </w:rPr>
            </w:pPr>
          </w:p>
        </w:tc>
        <w:tc>
          <w:tcPr>
            <w:tcW w:w="1540" w:type="dxa"/>
            <w:vAlign w:val="center"/>
          </w:tcPr>
          <w:p w14:paraId="17A2204B">
            <w:pPr>
              <w:widowControl/>
              <w:spacing w:line="360" w:lineRule="exact"/>
              <w:jc w:val="center"/>
              <w:rPr>
                <w:szCs w:val="20"/>
              </w:rPr>
            </w:pPr>
            <w:r>
              <w:rPr>
                <w:rFonts w:hint="eastAsia"/>
                <w:szCs w:val="20"/>
              </w:rPr>
              <w:t>0.12</w:t>
            </w:r>
          </w:p>
        </w:tc>
      </w:tr>
      <w:tr w14:paraId="54ED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3D13793">
            <w:pPr>
              <w:widowControl/>
              <w:spacing w:line="360" w:lineRule="exact"/>
              <w:jc w:val="center"/>
              <w:rPr>
                <w:szCs w:val="20"/>
              </w:rPr>
            </w:pPr>
            <w:r>
              <w:rPr>
                <w:rFonts w:hint="eastAsia"/>
                <w:szCs w:val="20"/>
              </w:rPr>
              <w:t>T</w:t>
            </w:r>
            <w:r>
              <w:rPr>
                <w:szCs w:val="20"/>
              </w:rPr>
              <w:t>N</w:t>
            </w:r>
          </w:p>
        </w:tc>
        <w:tc>
          <w:tcPr>
            <w:tcW w:w="1031" w:type="dxa"/>
            <w:vAlign w:val="center"/>
          </w:tcPr>
          <w:p w14:paraId="79D29831">
            <w:pPr>
              <w:widowControl/>
              <w:spacing w:line="360" w:lineRule="exact"/>
              <w:jc w:val="center"/>
              <w:rPr>
                <w:szCs w:val="20"/>
              </w:rPr>
            </w:pPr>
            <w:r>
              <w:rPr>
                <w:rFonts w:hint="eastAsia"/>
                <w:szCs w:val="20"/>
              </w:rPr>
              <w:t>15</w:t>
            </w:r>
          </w:p>
        </w:tc>
        <w:tc>
          <w:tcPr>
            <w:tcW w:w="1134" w:type="dxa"/>
            <w:vMerge w:val="continue"/>
            <w:vAlign w:val="center"/>
          </w:tcPr>
          <w:p w14:paraId="458321D1">
            <w:pPr>
              <w:widowControl/>
              <w:spacing w:line="360" w:lineRule="exact"/>
              <w:rPr>
                <w:szCs w:val="20"/>
              </w:rPr>
            </w:pPr>
          </w:p>
        </w:tc>
        <w:tc>
          <w:tcPr>
            <w:tcW w:w="1276" w:type="dxa"/>
            <w:vAlign w:val="center"/>
          </w:tcPr>
          <w:p w14:paraId="1595304E">
            <w:pPr>
              <w:widowControl/>
              <w:spacing w:line="360" w:lineRule="exact"/>
              <w:jc w:val="center"/>
              <w:rPr>
                <w:szCs w:val="20"/>
              </w:rPr>
            </w:pPr>
            <w:r>
              <w:rPr>
                <w:rFonts w:hint="eastAsia"/>
                <w:szCs w:val="20"/>
              </w:rPr>
              <w:t>438</w:t>
            </w:r>
          </w:p>
        </w:tc>
        <w:tc>
          <w:tcPr>
            <w:tcW w:w="1134" w:type="dxa"/>
            <w:vMerge w:val="continue"/>
            <w:vAlign w:val="center"/>
          </w:tcPr>
          <w:p w14:paraId="1CE82CBB">
            <w:pPr>
              <w:widowControl/>
              <w:spacing w:line="360" w:lineRule="exact"/>
              <w:jc w:val="center"/>
              <w:rPr>
                <w:szCs w:val="20"/>
              </w:rPr>
            </w:pPr>
          </w:p>
        </w:tc>
        <w:tc>
          <w:tcPr>
            <w:tcW w:w="1540" w:type="dxa"/>
            <w:vAlign w:val="center"/>
          </w:tcPr>
          <w:p w14:paraId="4AAB1699">
            <w:pPr>
              <w:widowControl/>
              <w:spacing w:line="360" w:lineRule="exact"/>
              <w:jc w:val="center"/>
              <w:rPr>
                <w:szCs w:val="20"/>
              </w:rPr>
            </w:pPr>
            <w:r>
              <w:rPr>
                <w:rFonts w:hint="eastAsia"/>
                <w:szCs w:val="20"/>
              </w:rPr>
              <w:t>1.2</w:t>
            </w:r>
          </w:p>
        </w:tc>
      </w:tr>
      <w:tr w14:paraId="60E2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1AE79EB">
            <w:pPr>
              <w:widowControl/>
              <w:spacing w:line="360" w:lineRule="exact"/>
              <w:jc w:val="center"/>
              <w:rPr>
                <w:szCs w:val="20"/>
              </w:rPr>
            </w:pPr>
            <w:r>
              <w:rPr>
                <w:rFonts w:hint="eastAsia"/>
                <w:szCs w:val="20"/>
              </w:rPr>
              <w:t>T</w:t>
            </w:r>
            <w:r>
              <w:rPr>
                <w:szCs w:val="20"/>
              </w:rPr>
              <w:t>P</w:t>
            </w:r>
          </w:p>
        </w:tc>
        <w:tc>
          <w:tcPr>
            <w:tcW w:w="1031" w:type="dxa"/>
            <w:vAlign w:val="center"/>
          </w:tcPr>
          <w:p w14:paraId="5F62C207">
            <w:pPr>
              <w:widowControl/>
              <w:spacing w:line="360" w:lineRule="exact"/>
              <w:jc w:val="center"/>
              <w:rPr>
                <w:szCs w:val="20"/>
              </w:rPr>
            </w:pPr>
            <w:r>
              <w:rPr>
                <w:rFonts w:hint="eastAsia"/>
                <w:szCs w:val="20"/>
              </w:rPr>
              <w:t>0.5</w:t>
            </w:r>
          </w:p>
        </w:tc>
        <w:tc>
          <w:tcPr>
            <w:tcW w:w="1134" w:type="dxa"/>
            <w:vMerge w:val="continue"/>
            <w:vAlign w:val="center"/>
          </w:tcPr>
          <w:p w14:paraId="24652957">
            <w:pPr>
              <w:widowControl/>
              <w:spacing w:line="360" w:lineRule="exact"/>
              <w:rPr>
                <w:szCs w:val="20"/>
              </w:rPr>
            </w:pPr>
          </w:p>
        </w:tc>
        <w:tc>
          <w:tcPr>
            <w:tcW w:w="1276" w:type="dxa"/>
            <w:vAlign w:val="center"/>
          </w:tcPr>
          <w:p w14:paraId="3564AD1E">
            <w:pPr>
              <w:widowControl/>
              <w:spacing w:line="360" w:lineRule="exact"/>
              <w:jc w:val="center"/>
              <w:rPr>
                <w:szCs w:val="20"/>
              </w:rPr>
            </w:pPr>
            <w:r>
              <w:rPr>
                <w:rFonts w:hint="eastAsia"/>
                <w:szCs w:val="20"/>
              </w:rPr>
              <w:t>436</w:t>
            </w:r>
          </w:p>
        </w:tc>
        <w:tc>
          <w:tcPr>
            <w:tcW w:w="1134" w:type="dxa"/>
            <w:vMerge w:val="continue"/>
            <w:vAlign w:val="center"/>
          </w:tcPr>
          <w:p w14:paraId="6B31B81E">
            <w:pPr>
              <w:widowControl/>
              <w:spacing w:line="360" w:lineRule="exact"/>
              <w:jc w:val="center"/>
              <w:rPr>
                <w:szCs w:val="20"/>
              </w:rPr>
            </w:pPr>
          </w:p>
        </w:tc>
        <w:tc>
          <w:tcPr>
            <w:tcW w:w="1540" w:type="dxa"/>
            <w:vAlign w:val="center"/>
          </w:tcPr>
          <w:p w14:paraId="1EEACD2E">
            <w:pPr>
              <w:widowControl/>
              <w:spacing w:line="360" w:lineRule="exact"/>
              <w:jc w:val="center"/>
              <w:rPr>
                <w:szCs w:val="20"/>
              </w:rPr>
            </w:pPr>
            <w:r>
              <w:rPr>
                <w:rFonts w:hint="eastAsia"/>
                <w:szCs w:val="20"/>
              </w:rPr>
              <w:t>0.04</w:t>
            </w:r>
          </w:p>
        </w:tc>
      </w:tr>
      <w:tr w14:paraId="502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C14B0F5">
            <w:pPr>
              <w:widowControl/>
              <w:spacing w:line="360" w:lineRule="exact"/>
              <w:jc w:val="center"/>
              <w:rPr>
                <w:szCs w:val="20"/>
              </w:rPr>
            </w:pPr>
            <w:r>
              <w:rPr>
                <w:rFonts w:hint="eastAsia"/>
                <w:szCs w:val="20"/>
              </w:rPr>
              <w:t>（其他重点污染物）</w:t>
            </w:r>
          </w:p>
        </w:tc>
        <w:tc>
          <w:tcPr>
            <w:tcW w:w="1031" w:type="dxa"/>
            <w:vAlign w:val="center"/>
          </w:tcPr>
          <w:p w14:paraId="5C44BC87">
            <w:pPr>
              <w:widowControl/>
              <w:spacing w:line="360" w:lineRule="exact"/>
              <w:rPr>
                <w:szCs w:val="20"/>
              </w:rPr>
            </w:pPr>
          </w:p>
        </w:tc>
        <w:tc>
          <w:tcPr>
            <w:tcW w:w="1134" w:type="dxa"/>
            <w:vMerge w:val="continue"/>
            <w:vAlign w:val="center"/>
          </w:tcPr>
          <w:p w14:paraId="4BAE7B42">
            <w:pPr>
              <w:widowControl/>
              <w:spacing w:line="360" w:lineRule="exact"/>
              <w:rPr>
                <w:szCs w:val="20"/>
              </w:rPr>
            </w:pPr>
          </w:p>
        </w:tc>
        <w:tc>
          <w:tcPr>
            <w:tcW w:w="1276" w:type="dxa"/>
            <w:vAlign w:val="center"/>
          </w:tcPr>
          <w:p w14:paraId="0A02A075">
            <w:pPr>
              <w:widowControl/>
              <w:spacing w:line="360" w:lineRule="exact"/>
              <w:rPr>
                <w:szCs w:val="20"/>
              </w:rPr>
            </w:pPr>
          </w:p>
        </w:tc>
        <w:tc>
          <w:tcPr>
            <w:tcW w:w="1134" w:type="dxa"/>
            <w:vMerge w:val="continue"/>
            <w:vAlign w:val="center"/>
          </w:tcPr>
          <w:p w14:paraId="3698BD8E">
            <w:pPr>
              <w:widowControl/>
              <w:spacing w:line="360" w:lineRule="exact"/>
              <w:rPr>
                <w:szCs w:val="20"/>
              </w:rPr>
            </w:pPr>
          </w:p>
        </w:tc>
        <w:tc>
          <w:tcPr>
            <w:tcW w:w="1540" w:type="dxa"/>
            <w:vAlign w:val="center"/>
          </w:tcPr>
          <w:p w14:paraId="5AFC4E1B">
            <w:pPr>
              <w:widowControl/>
              <w:spacing w:line="360" w:lineRule="exact"/>
              <w:rPr>
                <w:szCs w:val="20"/>
              </w:rPr>
            </w:pPr>
          </w:p>
        </w:tc>
      </w:tr>
      <w:tr w14:paraId="18CC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6"/>
          </w:tcPr>
          <w:p w14:paraId="0E39737E">
            <w:pPr>
              <w:widowControl/>
              <w:snapToGrid w:val="0"/>
              <w:spacing w:line="360" w:lineRule="exact"/>
              <w:rPr>
                <w:szCs w:val="20"/>
              </w:rPr>
            </w:pPr>
            <w:r>
              <w:rPr>
                <w:rFonts w:hint="eastAsia"/>
                <w:szCs w:val="20"/>
              </w:rPr>
              <w:t>信息公开要求：</w:t>
            </w:r>
          </w:p>
          <w:p w14:paraId="6BE483DC">
            <w:pPr>
              <w:pStyle w:val="9"/>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标准要求，该入河排污口的名称、编码、类型、责任主体、管理单位和监督电话等信息应以</w:t>
            </w:r>
            <w:r>
              <w:rPr>
                <w:rFonts w:ascii="Times New Roman" w:hAnsi="Times New Roman" w:eastAsia="宋体"/>
                <w:kern w:val="2"/>
                <w:sz w:val="21"/>
                <w:szCs w:val="22"/>
                <w:lang w:eastAsia="zh-CN"/>
              </w:rPr>
              <w:sym w:font="Wingdings" w:char="F0FE"/>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显示屏等方式在入河排污口处信息公开。</w:t>
            </w:r>
          </w:p>
        </w:tc>
      </w:tr>
      <w:tr w14:paraId="25E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6"/>
            <w:vAlign w:val="center"/>
          </w:tcPr>
          <w:p w14:paraId="2A4BCCFB">
            <w:pPr>
              <w:widowControl/>
              <w:snapToGrid w:val="0"/>
              <w:spacing w:line="360" w:lineRule="exact"/>
              <w:rPr>
                <w:szCs w:val="20"/>
              </w:rPr>
            </w:pPr>
            <w:r>
              <w:rPr>
                <w:rFonts w:hint="eastAsia"/>
                <w:szCs w:val="20"/>
              </w:rPr>
              <w:t>水污染事故应急处理预案以及环境风险防范措施：</w:t>
            </w:r>
          </w:p>
          <w:p w14:paraId="18BA647F">
            <w:pPr>
              <w:snapToGrid w:val="0"/>
              <w:spacing w:line="360" w:lineRule="exact"/>
              <w:ind w:firstLine="420" w:firstLineChars="200"/>
            </w:pPr>
            <w:r>
              <w:rPr>
                <w:rFonts w:hint="eastAsia"/>
              </w:rPr>
              <w:t>该入河排污口对应的责任主体</w:t>
            </w:r>
            <w:r>
              <w:rPr>
                <w:rFonts w:hint="eastAsia"/>
                <w:kern w:val="0"/>
                <w:szCs w:val="21"/>
              </w:rPr>
              <w:t>安康市住房和城乡建设局（市人民防空办公室）</w:t>
            </w:r>
            <w:r>
              <w:rPr>
                <w:rFonts w:hint="eastAsia"/>
              </w:rPr>
              <w:t>应当按照排污单位有关要求，做好污染事故应急处理预案、环境风险防范及应急处置措施，具体包括：加强对污水处理设施和污水管网的日常维护，配备备用电源，开展突发环境事件应急演练等。</w:t>
            </w:r>
          </w:p>
        </w:tc>
      </w:tr>
      <w:tr w14:paraId="620D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6"/>
          </w:tcPr>
          <w:p w14:paraId="70008299">
            <w:pPr>
              <w:pStyle w:val="9"/>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018C6272">
            <w:pPr>
              <w:pStyle w:val="9"/>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为减免该入河排污口设置带来的不利影响，入河排污口设置/使用过程中应当采取监测、巡查、预警等水生态环境保护措施，具体包括：加强项目运行管理，开展自行监测，建立信息报送制度等。</w:t>
            </w:r>
          </w:p>
        </w:tc>
      </w:tr>
      <w:tr w14:paraId="6677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945" w:type="dxa"/>
            <w:gridSpan w:val="6"/>
          </w:tcPr>
          <w:p w14:paraId="0F097AB8">
            <w:pPr>
              <w:pStyle w:val="9"/>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放射性物质管控措施（仅排放放射性物质的入河排污口需要记载）：无</w:t>
            </w:r>
          </w:p>
          <w:p w14:paraId="1117E7C1">
            <w:pPr>
              <w:widowControl/>
              <w:snapToGrid w:val="0"/>
              <w:spacing w:line="360" w:lineRule="exact"/>
              <w:rPr>
                <w:szCs w:val="20"/>
              </w:rPr>
            </w:pPr>
          </w:p>
        </w:tc>
      </w:tr>
      <w:tr w14:paraId="699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6"/>
          </w:tcPr>
          <w:p w14:paraId="0A115CCE">
            <w:pPr>
              <w:widowControl/>
              <w:snapToGrid w:val="0"/>
              <w:spacing w:line="360" w:lineRule="exact"/>
              <w:rPr>
                <w:kern w:val="0"/>
                <w:szCs w:val="21"/>
              </w:rPr>
            </w:pPr>
            <w:r>
              <w:rPr>
                <w:rFonts w:hint="eastAsia"/>
                <w:kern w:val="0"/>
                <w:szCs w:val="21"/>
              </w:rPr>
              <w:t>其他需要注意的事项：</w:t>
            </w:r>
          </w:p>
          <w:p w14:paraId="7208431D">
            <w:pPr>
              <w:pStyle w:val="9"/>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64A64030">
            <w:pPr>
              <w:snapToGrid w:val="0"/>
              <w:spacing w:line="360" w:lineRule="exact"/>
              <w:ind w:firstLine="420" w:firstLineChars="200"/>
            </w:pPr>
            <w:r>
              <w:rPr>
                <w:rFonts w:hint="eastAsia"/>
              </w:rPr>
              <w:t>（二）开展入河排污口规范化建设，定期巡查维护排污通道、口门以及附属设施等；</w:t>
            </w:r>
          </w:p>
          <w:p w14:paraId="6D62AE1E">
            <w:pPr>
              <w:snapToGrid w:val="0"/>
              <w:spacing w:line="360" w:lineRule="exact"/>
              <w:ind w:firstLine="420" w:firstLineChars="200"/>
            </w:pPr>
            <w:r>
              <w:rPr>
                <w:rFonts w:hint="eastAsia"/>
              </w:rPr>
              <w:t>（三）</w:t>
            </w:r>
            <w:r>
              <w:t>该入河排污口设置经批准后，若入河排污口</w:t>
            </w:r>
            <w:r>
              <w:rPr>
                <w:rFonts w:hint="eastAsia"/>
              </w:rPr>
              <w:t>设置地点</w:t>
            </w:r>
            <w:r>
              <w:t>、排放方式</w:t>
            </w:r>
            <w:r>
              <w:rPr>
                <w:rFonts w:hint="eastAsia"/>
              </w:rPr>
              <w:t>、排放量和</w:t>
            </w:r>
            <w:r>
              <w:t>主要污染物</w:t>
            </w:r>
            <w:r>
              <w:rPr>
                <w:rFonts w:hint="eastAsia"/>
              </w:rPr>
              <w:t>发生变化，或导致纳污河段水质超标，造成水质类别改变的，需</w:t>
            </w:r>
            <w:r>
              <w:t>重新进行入河排污口设置申请。</w:t>
            </w:r>
          </w:p>
        </w:tc>
      </w:tr>
    </w:tbl>
    <w:p w14:paraId="58DA07CB">
      <w:pPr>
        <w:pStyle w:val="9"/>
        <w:adjustRightInd w:val="0"/>
        <w:spacing w:before="0" w:line="360" w:lineRule="exact"/>
        <w:ind w:right="207" w:firstLine="600"/>
        <w:jc w:val="right"/>
        <w:rPr>
          <w:rFonts w:ascii="宋体" w:hAnsi="宋体" w:eastAsia="宋体"/>
          <w:spacing w:val="-5"/>
          <w:sz w:val="21"/>
          <w:szCs w:val="21"/>
          <w:lang w:eastAsia="zh-CN"/>
        </w:rPr>
      </w:pPr>
    </w:p>
    <w:p w14:paraId="111A29CC">
      <w:pPr>
        <w:pStyle w:val="9"/>
        <w:adjustRightInd w:val="0"/>
        <w:spacing w:before="0" w:line="360" w:lineRule="exact"/>
        <w:ind w:right="207" w:firstLine="600"/>
        <w:jc w:val="right"/>
        <w:rPr>
          <w:rFonts w:ascii="宋体" w:hAnsi="宋体" w:eastAsia="宋体"/>
          <w:spacing w:val="-5"/>
          <w:sz w:val="21"/>
          <w:szCs w:val="21"/>
          <w:lang w:eastAsia="zh-CN"/>
        </w:rPr>
      </w:pPr>
      <w:r>
        <w:rPr>
          <w:rFonts w:hint="eastAsia" w:ascii="宋体" w:hAnsi="宋体" w:eastAsia="宋体"/>
          <w:spacing w:val="-5"/>
          <w:sz w:val="21"/>
          <w:szCs w:val="21"/>
          <w:lang w:eastAsia="zh-CN"/>
        </w:rPr>
        <w:t>安康市生态环境局汉滨分局</w:t>
      </w:r>
    </w:p>
    <w:p w14:paraId="381901BF">
      <w:pPr>
        <w:pStyle w:val="9"/>
        <w:spacing w:before="0" w:line="360" w:lineRule="exact"/>
        <w:ind w:left="0" w:right="420" w:firstLine="6195" w:firstLineChars="2950"/>
        <w:rPr>
          <w:rFonts w:ascii="宋体" w:hAnsi="宋体" w:eastAsia="宋体"/>
          <w:sz w:val="21"/>
          <w:szCs w:val="21"/>
          <w:lang w:eastAsia="zh-CN"/>
        </w:rPr>
      </w:pPr>
      <w:r>
        <w:rPr>
          <w:rFonts w:hint="eastAsia" w:ascii="宋体" w:hAnsi="宋体" w:eastAsia="宋体"/>
          <w:sz w:val="21"/>
          <w:szCs w:val="21"/>
          <w:lang w:eastAsia="zh-CN"/>
        </w:rPr>
        <w:t>2025</w:t>
      </w:r>
      <w:r>
        <w:rPr>
          <w:rFonts w:ascii="宋体" w:hAnsi="宋体" w:eastAsia="宋体"/>
          <w:sz w:val="21"/>
          <w:szCs w:val="21"/>
          <w:lang w:eastAsia="zh-CN"/>
        </w:rPr>
        <w:t>年</w:t>
      </w:r>
      <w:r>
        <w:rPr>
          <w:rFonts w:hint="eastAsia" w:ascii="宋体" w:hAnsi="宋体" w:eastAsia="宋体"/>
          <w:sz w:val="21"/>
          <w:szCs w:val="21"/>
          <w:lang w:eastAsia="zh-CN"/>
        </w:rPr>
        <w:t>3</w:t>
      </w:r>
      <w:r>
        <w:rPr>
          <w:rFonts w:ascii="宋体" w:hAnsi="宋体" w:eastAsia="宋体"/>
          <w:sz w:val="21"/>
          <w:szCs w:val="21"/>
          <w:lang w:eastAsia="zh-CN"/>
        </w:rPr>
        <w:t>月</w:t>
      </w:r>
      <w:r>
        <w:rPr>
          <w:rFonts w:hint="eastAsia" w:ascii="宋体" w:hAnsi="宋体" w:eastAsia="宋体"/>
          <w:sz w:val="21"/>
          <w:szCs w:val="21"/>
          <w:lang w:eastAsia="zh-CN"/>
        </w:rPr>
        <w:t>13</w:t>
      </w:r>
      <w:r>
        <w:rPr>
          <w:rFonts w:ascii="宋体" w:hAnsi="宋体" w:eastAsia="宋体"/>
          <w:sz w:val="21"/>
          <w:szCs w:val="21"/>
          <w:lang w:eastAsia="zh-CN"/>
        </w:rPr>
        <w:t>日</w:t>
      </w:r>
    </w:p>
    <w:p w14:paraId="187D8563"/>
    <w:p w14:paraId="4E79B55C"/>
    <w:p w14:paraId="68C343D1"/>
    <w:p w14:paraId="662B7D8E"/>
    <w:p w14:paraId="3E1E9729"/>
    <w:p w14:paraId="60F0FF9B">
      <w:pPr>
        <w:sectPr>
          <w:footerReference r:id="rId3" w:type="default"/>
          <w:pgSz w:w="11906" w:h="16838"/>
          <w:pgMar w:top="1276" w:right="1797" w:bottom="1440" w:left="1797" w:header="851" w:footer="992" w:gutter="0"/>
          <w:cols w:space="720" w:num="1"/>
          <w:docGrid w:type="linesAndChars" w:linePitch="312" w:charSpace="0"/>
        </w:sectPr>
      </w:pPr>
      <w:r>
        <w:rPr>
          <w:rFonts w:hint="eastAsia"/>
        </w:rPr>
        <w:t>抄送：区水利局、区住建局，关庙镇人民政府。</w:t>
      </w:r>
    </w:p>
    <w:p w14:paraId="4B9BB35D">
      <w:pPr>
        <w:spacing w:line="360" w:lineRule="exact"/>
        <w:jc w:val="center"/>
        <w:rPr>
          <w:b/>
          <w:bCs/>
          <w:szCs w:val="21"/>
        </w:rPr>
      </w:pPr>
      <w:r>
        <w:rPr>
          <w:rFonts w:hint="eastAsia"/>
          <w:b/>
          <w:bCs/>
          <w:szCs w:val="21"/>
        </w:rPr>
        <w:t>填写说明</w:t>
      </w:r>
    </w:p>
    <w:p w14:paraId="18249AA9">
      <w:pPr>
        <w:pStyle w:val="9"/>
        <w:spacing w:before="0" w:line="360" w:lineRule="exact"/>
        <w:jc w:val="both"/>
        <w:rPr>
          <w:rFonts w:ascii="Times New Roman" w:hAnsi="Times New Roman" w:eastAsia="宋体"/>
          <w:kern w:val="2"/>
          <w:sz w:val="21"/>
          <w:szCs w:val="21"/>
          <w:lang w:eastAsia="zh-CN"/>
        </w:rPr>
      </w:pPr>
    </w:p>
    <w:p w14:paraId="4FDC9612">
      <w:pPr>
        <w:pStyle w:val="80"/>
        <w:widowControl/>
        <w:numPr>
          <w:ilvl w:val="0"/>
          <w:numId w:val="1"/>
        </w:numPr>
        <w:spacing w:line="360" w:lineRule="exact"/>
        <w:ind w:left="-141" w:leftChars="-67" w:firstLine="0" w:firstLineChars="0"/>
        <w:rPr>
          <w:szCs w:val="21"/>
        </w:rPr>
      </w:pPr>
      <w:r>
        <w:rPr>
          <w:rFonts w:hint="eastAsia"/>
          <w:szCs w:val="21"/>
        </w:rPr>
        <w:t>“入河排污口类型”：依据</w:t>
      </w:r>
      <w:r>
        <w:rPr>
          <w:szCs w:val="21"/>
        </w:rPr>
        <w:t>HJ 1312</w:t>
      </w:r>
      <w:r>
        <w:rPr>
          <w:rFonts w:hint="eastAsia"/>
          <w:szCs w:val="21"/>
        </w:rPr>
        <w:t>勾选。</w:t>
      </w:r>
    </w:p>
    <w:p w14:paraId="61A331FD">
      <w:pPr>
        <w:pStyle w:val="80"/>
        <w:widowControl/>
        <w:numPr>
          <w:ilvl w:val="0"/>
          <w:numId w:val="1"/>
        </w:numPr>
        <w:spacing w:line="360" w:lineRule="exact"/>
        <w:ind w:left="-141" w:leftChars="-67" w:firstLine="0" w:firstLineChars="0"/>
        <w:rPr>
          <w:szCs w:val="21"/>
        </w:rPr>
      </w:pPr>
      <w:r>
        <w:rPr>
          <w:rFonts w:hint="eastAsia"/>
          <w:szCs w:val="21"/>
        </w:rPr>
        <w:t xml:space="preserve"> “入河排污口名称”“入河排污口编码”：按照</w:t>
      </w:r>
      <w:r>
        <w:rPr>
          <w:szCs w:val="21"/>
        </w:rPr>
        <w:t>HJ 1235</w:t>
      </w:r>
      <w:r>
        <w:rPr>
          <w:rFonts w:hint="eastAsia"/>
          <w:szCs w:val="21"/>
        </w:rPr>
        <w:t>规定记载。改设、扩大或者因其他情形入河排污口已有名称、编码且符合</w:t>
      </w:r>
      <w:r>
        <w:rPr>
          <w:szCs w:val="21"/>
        </w:rPr>
        <w:t>HJ 1235</w:t>
      </w:r>
      <w:r>
        <w:rPr>
          <w:rFonts w:hint="eastAsia"/>
          <w:szCs w:val="21"/>
        </w:rPr>
        <w:t>规定的，按照已有名称、编码记载。</w:t>
      </w:r>
    </w:p>
    <w:p w14:paraId="2E096FA8">
      <w:pPr>
        <w:pStyle w:val="80"/>
        <w:widowControl/>
        <w:numPr>
          <w:ilvl w:val="0"/>
          <w:numId w:val="1"/>
        </w:numPr>
        <w:spacing w:line="360" w:lineRule="exact"/>
        <w:ind w:left="-141" w:leftChars="-67" w:firstLine="0" w:firstLineChars="0"/>
        <w:rPr>
          <w:szCs w:val="21"/>
        </w:rPr>
      </w:pPr>
      <w:r>
        <w:rPr>
          <w:rFonts w:hint="eastAsia"/>
          <w:szCs w:val="21"/>
        </w:rPr>
        <w:t>“设置类型”：根据实际情况勾选。新设，是指入河排污口的首次建造或者使用；改设，是指已有入河排污口的排放位置、排放方式等事项的重大改变；扩大，是指已有入河排污口排污能力的提高。</w:t>
      </w:r>
    </w:p>
    <w:p w14:paraId="267E14E3">
      <w:pPr>
        <w:pStyle w:val="80"/>
        <w:widowControl/>
        <w:numPr>
          <w:ilvl w:val="0"/>
          <w:numId w:val="1"/>
        </w:numPr>
        <w:spacing w:line="360" w:lineRule="exact"/>
        <w:ind w:left="-141" w:leftChars="-67" w:firstLine="0" w:firstLineChars="0"/>
        <w:rPr>
          <w:szCs w:val="21"/>
        </w:rPr>
      </w:pPr>
      <w:r>
        <w:rPr>
          <w:rFonts w:hint="eastAsia"/>
          <w:szCs w:val="21"/>
        </w:rPr>
        <w:t>“责任主体基本情况”“入河排污口污水排放量，入河排污口重点污染物排放种类、排放浓度和排放量”：多个排污单位共用同一入河排污口的，应记载使用该入河排污口的所有责任主体及相关信息。</w:t>
      </w:r>
    </w:p>
    <w:p w14:paraId="49233E1F">
      <w:pPr>
        <w:pStyle w:val="80"/>
        <w:widowControl/>
        <w:numPr>
          <w:ilvl w:val="0"/>
          <w:numId w:val="1"/>
        </w:numPr>
        <w:spacing w:line="360" w:lineRule="exact"/>
        <w:ind w:left="-141" w:leftChars="-67" w:firstLine="0" w:firstLineChars="0"/>
        <w:rPr>
          <w:szCs w:val="21"/>
        </w:rPr>
      </w:pPr>
      <w:r>
        <w:rPr>
          <w:rFonts w:hint="eastAsia"/>
          <w:szCs w:val="21"/>
        </w:rPr>
        <w:t>“责任主体1名称”“责任主体</w:t>
      </w:r>
      <w:r>
        <w:rPr>
          <w:szCs w:val="21"/>
        </w:rPr>
        <w:t>2</w:t>
      </w:r>
      <w:r>
        <w:rPr>
          <w:rFonts w:hint="eastAsia"/>
          <w:szCs w:val="21"/>
        </w:rPr>
        <w:t>名称”“责任主体</w:t>
      </w:r>
      <w:r>
        <w:rPr>
          <w:szCs w:val="21"/>
        </w:rPr>
        <w:t>N</w:t>
      </w:r>
      <w:r>
        <w:rPr>
          <w:rFonts w:hint="eastAsia"/>
          <w:szCs w:val="21"/>
        </w:rPr>
        <w:t>名称”：记载使用该入河排污口的所有责任主体名称及相关信息。</w:t>
      </w:r>
      <w:r>
        <w:rPr>
          <w:rFonts w:hint="eastAsia"/>
          <w:kern w:val="0"/>
          <w:szCs w:val="21"/>
        </w:rPr>
        <w:t>单一责任主体只需记载“责任主体1名称”及相关信息。</w:t>
      </w:r>
    </w:p>
    <w:p w14:paraId="2B53D516">
      <w:pPr>
        <w:pStyle w:val="80"/>
        <w:widowControl/>
        <w:numPr>
          <w:ilvl w:val="0"/>
          <w:numId w:val="1"/>
        </w:numPr>
        <w:spacing w:line="360" w:lineRule="exact"/>
        <w:ind w:left="-141" w:leftChars="-67" w:firstLine="0" w:firstLineChars="0"/>
        <w:rPr>
          <w:szCs w:val="21"/>
        </w:rPr>
      </w:pPr>
      <w:r>
        <w:rPr>
          <w:rFonts w:hint="eastAsia"/>
          <w:szCs w:val="21"/>
        </w:rPr>
        <w:t>“详细地址”：记载入河排污口责任主体详细地址，具体格式为“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w:t>
      </w:r>
    </w:p>
    <w:p w14:paraId="3D2C1B66">
      <w:pPr>
        <w:pStyle w:val="80"/>
        <w:widowControl/>
        <w:numPr>
          <w:ilvl w:val="0"/>
          <w:numId w:val="1"/>
        </w:numPr>
        <w:spacing w:line="360" w:lineRule="exact"/>
        <w:ind w:left="-141" w:leftChars="-67" w:firstLine="0" w:firstLineChars="0"/>
        <w:rPr>
          <w:szCs w:val="21"/>
        </w:rPr>
      </w:pPr>
      <w:r>
        <w:rPr>
          <w:rFonts w:hint="eastAsia"/>
          <w:szCs w:val="21"/>
        </w:rPr>
        <w:t>“统一社会信用代码”：按照“多证合一”后证照上的内容记载。无统一社会信用代码的，记载组织机构代码。</w:t>
      </w:r>
    </w:p>
    <w:p w14:paraId="7A4C73B6">
      <w:pPr>
        <w:pStyle w:val="80"/>
        <w:widowControl/>
        <w:numPr>
          <w:ilvl w:val="0"/>
          <w:numId w:val="1"/>
        </w:numPr>
        <w:spacing w:line="360" w:lineRule="exact"/>
        <w:ind w:left="-141" w:leftChars="-67" w:firstLine="0" w:firstLineChars="0"/>
        <w:rPr>
          <w:szCs w:val="21"/>
        </w:rPr>
      </w:pPr>
      <w:r>
        <w:rPr>
          <w:rFonts w:hint="eastAsia"/>
          <w:szCs w:val="21"/>
        </w:rPr>
        <w:t>“法定代表人及联系电话”：记载入河排污口责任主体法定代表人及联系电话。</w:t>
      </w:r>
    </w:p>
    <w:p w14:paraId="56A493F9">
      <w:pPr>
        <w:pStyle w:val="80"/>
        <w:widowControl/>
        <w:numPr>
          <w:ilvl w:val="0"/>
          <w:numId w:val="1"/>
        </w:numPr>
        <w:spacing w:line="360" w:lineRule="exact"/>
        <w:ind w:left="-141" w:leftChars="-67" w:firstLine="0" w:firstLineChars="0"/>
        <w:rPr>
          <w:szCs w:val="21"/>
        </w:rPr>
      </w:pPr>
      <w:r>
        <w:rPr>
          <w:rFonts w:hint="eastAsia"/>
          <w:szCs w:val="21"/>
        </w:rPr>
        <w:t>“行业类别”：按照GB/T 4754规定的行业规范记载，GB/T 4754未规定的可不记载。</w:t>
      </w:r>
    </w:p>
    <w:p w14:paraId="245E0371">
      <w:pPr>
        <w:pStyle w:val="80"/>
        <w:widowControl/>
        <w:numPr>
          <w:ilvl w:val="0"/>
          <w:numId w:val="1"/>
        </w:numPr>
        <w:spacing w:line="360" w:lineRule="exact"/>
        <w:ind w:left="-141" w:leftChars="-67" w:firstLine="0" w:firstLineChars="0"/>
        <w:rPr>
          <w:szCs w:val="21"/>
        </w:rPr>
      </w:pPr>
      <w:r>
        <w:rPr>
          <w:rFonts w:hint="eastAsia"/>
          <w:szCs w:val="21"/>
        </w:rPr>
        <w:t>“排污许可证或排污登记编号”：记载生态环境部门颁发的排污许可证上的证书编码或者排污登记编码。如尚未申领排污许可证或尚未实施排污登记，记载“尚未申请”。</w:t>
      </w:r>
    </w:p>
    <w:p w14:paraId="68C4D932">
      <w:pPr>
        <w:pStyle w:val="80"/>
        <w:widowControl/>
        <w:numPr>
          <w:ilvl w:val="0"/>
          <w:numId w:val="1"/>
        </w:numPr>
        <w:spacing w:line="360" w:lineRule="exact"/>
        <w:ind w:left="-141" w:leftChars="-67" w:firstLine="0" w:firstLineChars="0"/>
        <w:rPr>
          <w:szCs w:val="21"/>
        </w:rPr>
      </w:pPr>
      <w:r>
        <w:rPr>
          <w:szCs w:val="21"/>
        </w:rPr>
        <w:t xml:space="preserve"> </w:t>
      </w:r>
      <w:r>
        <w:rPr>
          <w:rFonts w:hint="eastAsia"/>
          <w:szCs w:val="21"/>
        </w:rPr>
        <w:t>“所在行政区域”：记载入河排污口设置地点所在位置，具体格式为“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门牌号或者具体位置”。</w:t>
      </w:r>
    </w:p>
    <w:p w14:paraId="4420F68E">
      <w:pPr>
        <w:pStyle w:val="80"/>
        <w:widowControl/>
        <w:numPr>
          <w:ilvl w:val="0"/>
          <w:numId w:val="1"/>
        </w:numPr>
        <w:spacing w:line="360" w:lineRule="exact"/>
        <w:ind w:left="-141" w:leftChars="-67" w:firstLine="0" w:firstLineChars="0"/>
        <w:rPr>
          <w:szCs w:val="21"/>
        </w:rPr>
      </w:pPr>
      <w:r>
        <w:rPr>
          <w:rFonts w:hint="eastAsia"/>
          <w:szCs w:val="21"/>
        </w:rPr>
        <w:t>“排入水体名称”：记载入河排污口直接排入的河流（含运河、沟、渠等）、湖泊、水库名称。</w:t>
      </w:r>
    </w:p>
    <w:p w14:paraId="4389B7CB">
      <w:pPr>
        <w:pStyle w:val="80"/>
        <w:widowControl/>
        <w:numPr>
          <w:ilvl w:val="0"/>
          <w:numId w:val="1"/>
        </w:numPr>
        <w:spacing w:line="360" w:lineRule="exact"/>
        <w:ind w:left="-141" w:leftChars="-67" w:firstLine="0" w:firstLineChars="0"/>
        <w:rPr>
          <w:szCs w:val="21"/>
        </w:rPr>
      </w:pPr>
      <w:r>
        <w:rPr>
          <w:rFonts w:hint="eastAsia"/>
          <w:szCs w:val="21"/>
        </w:rPr>
        <w:t>“所在流域”：记载长江流域、黄河流域、淮河流域、海河流域、松花江流域、辽河流域、太湖流域、珠江流域、东南诸河、西南诸河、西北诸河。</w:t>
      </w:r>
    </w:p>
    <w:p w14:paraId="2FED857F">
      <w:pPr>
        <w:pStyle w:val="80"/>
        <w:widowControl/>
        <w:numPr>
          <w:ilvl w:val="0"/>
          <w:numId w:val="1"/>
        </w:numPr>
        <w:spacing w:line="360" w:lineRule="exact"/>
        <w:ind w:left="-141" w:leftChars="-67" w:firstLine="0" w:firstLineChars="0"/>
        <w:rPr>
          <w:szCs w:val="21"/>
        </w:rPr>
      </w:pPr>
      <w:r>
        <w:rPr>
          <w:rFonts w:hint="eastAsia"/>
          <w:szCs w:val="21"/>
        </w:rPr>
        <w:t>“经度”“纬度”：采用十进制，精确到小数点后六位，采用</w:t>
      </w:r>
      <w:r>
        <w:rPr>
          <w:szCs w:val="21"/>
        </w:rPr>
        <w:t>CGCS2000</w:t>
      </w:r>
      <w:r>
        <w:rPr>
          <w:rFonts w:hint="eastAsia"/>
          <w:szCs w:val="21"/>
        </w:rPr>
        <w:t>坐标系。</w:t>
      </w:r>
    </w:p>
    <w:p w14:paraId="316AE828">
      <w:pPr>
        <w:pStyle w:val="80"/>
        <w:widowControl/>
        <w:numPr>
          <w:ilvl w:val="0"/>
          <w:numId w:val="1"/>
        </w:numPr>
        <w:spacing w:line="360" w:lineRule="exact"/>
        <w:ind w:left="-141" w:leftChars="-67" w:firstLine="0" w:firstLineChars="0"/>
        <w:rPr>
          <w:szCs w:val="21"/>
        </w:rPr>
      </w:pPr>
      <w:r>
        <w:rPr>
          <w:rFonts w:hint="eastAsia"/>
          <w:szCs w:val="21"/>
        </w:rPr>
        <w:t>“污水排放方式”“是否共用”“入河方式”：以“√”勾选相应选项，“入河方式”勾选“其他”的，须记载具体的入河方式。</w:t>
      </w:r>
    </w:p>
    <w:p w14:paraId="4398B39B">
      <w:pPr>
        <w:pStyle w:val="80"/>
        <w:widowControl/>
        <w:numPr>
          <w:ilvl w:val="0"/>
          <w:numId w:val="1"/>
        </w:numPr>
        <w:spacing w:line="360" w:lineRule="exact"/>
        <w:ind w:left="-141" w:leftChars="-67" w:firstLine="0" w:firstLineChars="0"/>
        <w:rPr>
          <w:szCs w:val="21"/>
        </w:rPr>
      </w:pPr>
      <w:r>
        <w:rPr>
          <w:rFonts w:hint="eastAsia"/>
          <w:szCs w:val="21"/>
        </w:rPr>
        <w:t>“入河排污口截面信息”：入河排污口为圆形截面的，记载直径</w:t>
      </w:r>
      <w:r>
        <w:rPr>
          <w:szCs w:val="21"/>
        </w:rPr>
        <w:t>d</w:t>
      </w:r>
      <w:r>
        <w:rPr>
          <w:rFonts w:hint="eastAsia"/>
          <w:szCs w:val="21"/>
        </w:rPr>
        <w:t>和截面面积</w:t>
      </w:r>
      <w:r>
        <w:rPr>
          <w:szCs w:val="21"/>
        </w:rPr>
        <w:t>S</w:t>
      </w:r>
      <w:r>
        <w:rPr>
          <w:rFonts w:hint="eastAsia"/>
          <w:szCs w:val="21"/>
        </w:rPr>
        <w:t>；入河排污口为方形截面的，记载长</w:t>
      </w:r>
      <w:r>
        <w:rPr>
          <w:szCs w:val="21"/>
        </w:rPr>
        <w:t>L</w:t>
      </w:r>
      <w:r>
        <w:rPr>
          <w:rFonts w:hint="eastAsia"/>
          <w:szCs w:val="21"/>
        </w:rPr>
        <w:t>、宽</w:t>
      </w:r>
      <w:r>
        <w:rPr>
          <w:szCs w:val="21"/>
        </w:rPr>
        <w:t>B</w:t>
      </w:r>
      <w:r>
        <w:rPr>
          <w:rFonts w:hint="eastAsia"/>
          <w:szCs w:val="21"/>
        </w:rPr>
        <w:t>以及截面面积</w:t>
      </w:r>
      <w:r>
        <w:rPr>
          <w:szCs w:val="21"/>
        </w:rPr>
        <w:t>S</w:t>
      </w:r>
      <w:r>
        <w:rPr>
          <w:rFonts w:hint="eastAsia"/>
          <w:szCs w:val="21"/>
        </w:rPr>
        <w:t>；入河排污口为其他形状截面的，记载截面面积</w:t>
      </w:r>
      <w:r>
        <w:rPr>
          <w:szCs w:val="21"/>
        </w:rPr>
        <w:t>S</w:t>
      </w:r>
      <w:r>
        <w:rPr>
          <w:rFonts w:hint="eastAsia"/>
          <w:szCs w:val="21"/>
        </w:rPr>
        <w:t>。长度单位m指米，面积单位m</w:t>
      </w:r>
      <w:r>
        <w:rPr>
          <w:szCs w:val="21"/>
          <w:vertAlign w:val="superscript"/>
        </w:rPr>
        <w:t>2</w:t>
      </w:r>
      <w:r>
        <w:rPr>
          <w:rFonts w:hint="eastAsia"/>
          <w:szCs w:val="21"/>
        </w:rPr>
        <w:t>指平方米。</w:t>
      </w:r>
    </w:p>
    <w:p w14:paraId="51DF42F5">
      <w:pPr>
        <w:pStyle w:val="80"/>
        <w:widowControl/>
        <w:numPr>
          <w:ilvl w:val="0"/>
          <w:numId w:val="1"/>
        </w:numPr>
        <w:spacing w:line="360" w:lineRule="exact"/>
        <w:ind w:left="-141" w:leftChars="-67" w:firstLine="0" w:firstLineChars="0"/>
        <w:rPr>
          <w:szCs w:val="21"/>
        </w:rPr>
      </w:pPr>
      <w:r>
        <w:rPr>
          <w:rFonts w:hint="eastAsia"/>
          <w:szCs w:val="21"/>
        </w:rPr>
        <w:t xml:space="preserve"> “入河污水排放量，入河排污口重点污染物排放种类、排放浓度和排放量”：按照</w:t>
      </w:r>
      <w:r>
        <w:rPr>
          <w:szCs w:val="21"/>
        </w:rPr>
        <w:t>HJ 525</w:t>
      </w:r>
      <w:r>
        <w:rPr>
          <w:rFonts w:hint="eastAsia"/>
          <w:szCs w:val="21"/>
        </w:rPr>
        <w:t>规定，记载重点污染物排放浓度；全年通过入河排污口排放的污水排放量、重点污染物排放量；特殊时段污水日排放量、重点污染物日排放量。多个排污单位共用同一入河排污口的，应记载每个责任主体的入河污水排放量，入河排污口重点污染物排放种类、排放浓度和排放量，特殊时段的限制排放要求。具体确定方法参照</w:t>
      </w:r>
      <w:r>
        <w:rPr>
          <w:szCs w:val="21"/>
        </w:rPr>
        <w:t>HJ 1386</w:t>
      </w:r>
      <w:r>
        <w:rPr>
          <w:rFonts w:hint="eastAsia"/>
          <w:szCs w:val="21"/>
        </w:rPr>
        <w:t>规定。</w:t>
      </w:r>
      <w:r>
        <w:rPr>
          <w:szCs w:val="21"/>
        </w:rPr>
        <w:t>mg/L</w:t>
      </w:r>
      <w:r>
        <w:rPr>
          <w:rFonts w:hint="eastAsia"/>
          <w:szCs w:val="21"/>
        </w:rPr>
        <w:t>指毫克/升，</w:t>
      </w:r>
      <w:r>
        <w:rPr>
          <w:szCs w:val="21"/>
        </w:rPr>
        <w:t>t/a</w:t>
      </w:r>
      <w:r>
        <w:rPr>
          <w:rFonts w:hint="eastAsia"/>
          <w:szCs w:val="21"/>
        </w:rPr>
        <w:t>指吨/年，t</w:t>
      </w:r>
      <w:r>
        <w:rPr>
          <w:szCs w:val="21"/>
        </w:rPr>
        <w:t>/d</w:t>
      </w:r>
      <w:r>
        <w:rPr>
          <w:rFonts w:hint="eastAsia"/>
          <w:szCs w:val="21"/>
        </w:rPr>
        <w:t>指吨/日。</w:t>
      </w:r>
    </w:p>
    <w:p w14:paraId="51518B0F">
      <w:pPr>
        <w:pStyle w:val="80"/>
        <w:widowControl/>
        <w:numPr>
          <w:ilvl w:val="0"/>
          <w:numId w:val="1"/>
        </w:numPr>
        <w:spacing w:line="360" w:lineRule="exact"/>
        <w:ind w:left="-141" w:leftChars="-67" w:firstLine="0" w:firstLineChars="0"/>
        <w:rPr>
          <w:szCs w:val="21"/>
        </w:rPr>
      </w:pPr>
      <w:r>
        <w:rPr>
          <w:rFonts w:hint="eastAsia"/>
          <w:szCs w:val="21"/>
        </w:rPr>
        <w:t>“信息公开要求”：根据H</w:t>
      </w:r>
      <w:r>
        <w:rPr>
          <w:szCs w:val="21"/>
        </w:rPr>
        <w:t>J 1309</w:t>
      </w:r>
      <w:r>
        <w:rPr>
          <w:rFonts w:hint="eastAsia"/>
          <w:szCs w:val="21"/>
        </w:rPr>
        <w:t>、H</w:t>
      </w:r>
      <w:r>
        <w:rPr>
          <w:szCs w:val="21"/>
        </w:rPr>
        <w:t>J 1386</w:t>
      </w:r>
      <w:r>
        <w:rPr>
          <w:rFonts w:hint="eastAsia"/>
          <w:szCs w:val="21"/>
        </w:rPr>
        <w:t>标准要求，明确入河排污口需要公开的信息及公开方式。</w:t>
      </w:r>
    </w:p>
    <w:p w14:paraId="22C90E3C">
      <w:pPr>
        <w:pStyle w:val="80"/>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水污染事故应急处理预案以及环境风险防范措施</w:t>
      </w:r>
      <w:r>
        <w:rPr>
          <w:rFonts w:hint="eastAsia"/>
          <w:szCs w:val="21"/>
        </w:rPr>
        <w:t>”：根据入河排污口设置论证情况，明确入河排污口对应的责任主体</w:t>
      </w:r>
      <w:r>
        <w:rPr>
          <w:rFonts w:hint="eastAsia"/>
          <w:szCs w:val="20"/>
        </w:rPr>
        <w:t>水污染事故应急处理预案编制要求以及应采取的环境风险防范措施。如无具体要求的，可不记载具体内容。</w:t>
      </w:r>
    </w:p>
    <w:p w14:paraId="76683984">
      <w:pPr>
        <w:pStyle w:val="80"/>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水生态环境保护措施</w:t>
      </w:r>
      <w:r>
        <w:rPr>
          <w:rFonts w:hint="eastAsia"/>
          <w:szCs w:val="21"/>
        </w:rPr>
        <w:t>”：根据入河排污口设置论证情况，明确责任主体应采取的入河排污口</w:t>
      </w:r>
      <w:r>
        <w:rPr>
          <w:rFonts w:hint="eastAsia"/>
          <w:szCs w:val="20"/>
        </w:rPr>
        <w:t>水生态环境保护措施。如无具体要求的，可不记载具体内容。</w:t>
      </w:r>
    </w:p>
    <w:p w14:paraId="3DB85259">
      <w:pPr>
        <w:pStyle w:val="80"/>
        <w:widowControl/>
        <w:numPr>
          <w:ilvl w:val="0"/>
          <w:numId w:val="1"/>
        </w:numPr>
        <w:spacing w:line="360" w:lineRule="exact"/>
        <w:ind w:left="-141" w:leftChars="-67" w:firstLine="0" w:firstLineChars="0"/>
        <w:rPr>
          <w:szCs w:val="21"/>
        </w:rPr>
      </w:pPr>
      <w:r>
        <w:rPr>
          <w:rFonts w:hint="eastAsia"/>
          <w:szCs w:val="21"/>
        </w:rPr>
        <w:t>“</w:t>
      </w:r>
      <w:r>
        <w:rPr>
          <w:rFonts w:hint="eastAsia"/>
        </w:rPr>
        <w:t>放射性物质管控措施</w:t>
      </w:r>
      <w:r>
        <w:rPr>
          <w:rFonts w:hint="eastAsia"/>
          <w:szCs w:val="21"/>
        </w:rPr>
        <w:t>”：根据入河排污口设置论证情况，明确责任主体应采取的</w:t>
      </w:r>
      <w:r>
        <w:rPr>
          <w:rFonts w:hint="eastAsia"/>
        </w:rPr>
        <w:t>放射性物质管控措施</w:t>
      </w:r>
      <w:r>
        <w:rPr>
          <w:rFonts w:hint="eastAsia"/>
          <w:szCs w:val="20"/>
        </w:rPr>
        <w:t>。如不涉及放射性物质管控，可不记载具体内容。</w:t>
      </w:r>
    </w:p>
    <w:p w14:paraId="579E2EEC">
      <w:pPr>
        <w:pStyle w:val="80"/>
        <w:widowControl/>
        <w:numPr>
          <w:ilvl w:val="0"/>
          <w:numId w:val="1"/>
        </w:numPr>
        <w:spacing w:line="360" w:lineRule="exact"/>
        <w:ind w:left="-141" w:leftChars="-67" w:firstLine="0" w:firstLineChars="0"/>
        <w:rPr>
          <w:szCs w:val="21"/>
        </w:rPr>
      </w:pPr>
      <w:r>
        <w:rPr>
          <w:rFonts w:hint="eastAsia"/>
          <w:szCs w:val="21"/>
        </w:rPr>
        <w:t>“</w:t>
      </w:r>
      <w:r>
        <w:rPr>
          <w:rFonts w:hint="eastAsia"/>
          <w:kern w:val="0"/>
          <w:szCs w:val="21"/>
        </w:rPr>
        <w:t>其他需要注意的事项</w:t>
      </w:r>
      <w:r>
        <w:rPr>
          <w:rFonts w:hint="eastAsia"/>
          <w:szCs w:val="21"/>
        </w:rPr>
        <w:t>”：根据入河排污口设置论证情况，明确责任主体</w:t>
      </w:r>
      <w:r>
        <w:rPr>
          <w:rFonts w:hint="eastAsia"/>
          <w:kern w:val="0"/>
          <w:szCs w:val="21"/>
        </w:rPr>
        <w:t>其他需要注意的事项</w:t>
      </w:r>
      <w:r>
        <w:rPr>
          <w:rFonts w:hint="eastAsia"/>
          <w:szCs w:val="20"/>
        </w:rPr>
        <w:t>。如无具体要求的，可不记载具体内容。</w:t>
      </w:r>
    </w:p>
    <w:p w14:paraId="0BA77B4E"/>
    <w:bookmarkEnd w:id="0"/>
    <w:p w14:paraId="0A2C8538">
      <w:pPr>
        <w:topLinePunct/>
        <w:adjustRightInd w:val="0"/>
        <w:spacing w:line="360" w:lineRule="exact"/>
        <w:jc w:val="center"/>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BACF44B-2A81-4BBD-B9A5-B37FF7CF4A6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22E1F7C-1F88-4AA3-B9E0-3A7F5C3BC1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embedRegular r:id="rId3" w:fontKey="{DE87C9F2-73ED-4440-9AC7-C868D8B82B21}"/>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5A8B">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5B89"/>
    <w:multiLevelType w:val="multilevel"/>
    <w:tmpl w:val="7CE65B8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0C6D"/>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1FA4"/>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496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0BC"/>
    <w:rsid w:val="0021633A"/>
    <w:rsid w:val="002166E9"/>
    <w:rsid w:val="00216979"/>
    <w:rsid w:val="00221401"/>
    <w:rsid w:val="00221ED8"/>
    <w:rsid w:val="002275BA"/>
    <w:rsid w:val="00237034"/>
    <w:rsid w:val="00240BB8"/>
    <w:rsid w:val="00241E5C"/>
    <w:rsid w:val="002440AF"/>
    <w:rsid w:val="0024491D"/>
    <w:rsid w:val="00245271"/>
    <w:rsid w:val="00250A81"/>
    <w:rsid w:val="00252DB6"/>
    <w:rsid w:val="00252E11"/>
    <w:rsid w:val="0025417B"/>
    <w:rsid w:val="00254A8A"/>
    <w:rsid w:val="002560E1"/>
    <w:rsid w:val="0025677A"/>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68A9"/>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140"/>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0EFB"/>
    <w:rsid w:val="00431F4C"/>
    <w:rsid w:val="00432544"/>
    <w:rsid w:val="0043503B"/>
    <w:rsid w:val="00436D41"/>
    <w:rsid w:val="00437C83"/>
    <w:rsid w:val="00437D34"/>
    <w:rsid w:val="0044276B"/>
    <w:rsid w:val="0045169E"/>
    <w:rsid w:val="00451B6E"/>
    <w:rsid w:val="00452C50"/>
    <w:rsid w:val="004568AA"/>
    <w:rsid w:val="0046249D"/>
    <w:rsid w:val="00467CB5"/>
    <w:rsid w:val="00470C57"/>
    <w:rsid w:val="00470ED8"/>
    <w:rsid w:val="004726EF"/>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1B9"/>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470A"/>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04BA"/>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058F0"/>
    <w:rsid w:val="00607F1E"/>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964B4"/>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033C"/>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53B9"/>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46BE"/>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066B"/>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37E12"/>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23B4"/>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D6E61"/>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02C3"/>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4472A79"/>
    <w:rsid w:val="05034C75"/>
    <w:rsid w:val="067D17F3"/>
    <w:rsid w:val="0BC11EE9"/>
    <w:rsid w:val="0BFDA643"/>
    <w:rsid w:val="0CA27F6D"/>
    <w:rsid w:val="0D0A1357"/>
    <w:rsid w:val="0D841421"/>
    <w:rsid w:val="0E2436DF"/>
    <w:rsid w:val="0E4448F3"/>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9"/>
    <w:qFormat/>
    <w:uiPriority w:val="0"/>
    <w:rPr>
      <w:rFonts w:ascii="仿宋_GB2312" w:hAnsi="仿宋_GB2312" w:eastAsia="仿宋_GB2312" w:cs="Times New Roman"/>
      <w:sz w:val="30"/>
      <w:szCs w:val="30"/>
      <w:lang w:eastAsia="en-US" w:bidi="ar-SA"/>
    </w:rPr>
  </w:style>
  <w:style w:type="character" w:customStyle="1" w:styleId="38">
    <w:name w:val="标题 1 Char1"/>
    <w:link w:val="2"/>
    <w:qFormat/>
    <w:uiPriority w:val="0"/>
    <w:rPr>
      <w:rFonts w:ascii="等线" w:hAnsi="等线" w:eastAsia="等线" w:cs="Times New Roman"/>
      <w:b/>
      <w:bCs/>
      <w:kern w:val="44"/>
      <w:sz w:val="44"/>
      <w:szCs w:val="44"/>
      <w:lang w:bidi="ar-SA"/>
    </w:rPr>
  </w:style>
  <w:style w:type="character" w:customStyle="1" w:styleId="39">
    <w:name w:val="标题 2 Char1"/>
    <w:link w:val="3"/>
    <w:qFormat/>
    <w:uiPriority w:val="9"/>
    <w:rPr>
      <w:rFonts w:ascii="Calibri Light" w:hAnsi="Calibri Light" w:eastAsia="宋体" w:cs="Mongolian Baiti"/>
      <w:b/>
      <w:bCs/>
      <w:sz w:val="32"/>
      <w:szCs w:val="32"/>
      <w:lang w:bidi="ar-SA"/>
    </w:rPr>
  </w:style>
  <w:style w:type="character" w:customStyle="1" w:styleId="40">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7"/>
    <w:qFormat/>
    <w:uiPriority w:val="99"/>
    <w:rPr>
      <w:rFonts w:ascii="Times New Roman" w:hAnsi="Times New Roman" w:eastAsia="宋体" w:cs="Times New Roman"/>
      <w:szCs w:val="22"/>
      <w:lang w:bidi="ar-SA"/>
    </w:rPr>
  </w:style>
  <w:style w:type="character" w:customStyle="1" w:styleId="42">
    <w:name w:val="称呼 Char"/>
    <w:link w:val="8"/>
    <w:qFormat/>
    <w:uiPriority w:val="0"/>
    <w:rPr>
      <w:rFonts w:ascii="Times New Roman" w:hAnsi="Times New Roman" w:eastAsia="宋体" w:cs="Times New Roman"/>
      <w:kern w:val="2"/>
      <w:sz w:val="21"/>
    </w:rPr>
  </w:style>
  <w:style w:type="character" w:customStyle="1" w:styleId="43">
    <w:name w:val="日期 Char"/>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14"/>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65BD3A-5173-42FF-A5B4-718A2678798D}">
  <ds:schemaRefs/>
</ds:datastoreItem>
</file>

<file path=docProps/app.xml><?xml version="1.0" encoding="utf-8"?>
<Properties xmlns="http://schemas.openxmlformats.org/officeDocument/2006/extended-properties" xmlns:vt="http://schemas.openxmlformats.org/officeDocument/2006/docPropsVTypes">
  <Template>Normal</Template>
  <Pages>4</Pages>
  <Words>2787</Words>
  <Characters>3019</Characters>
  <Lines>23</Lines>
  <Paragraphs>6</Paragraphs>
  <TotalTime>262</TotalTime>
  <ScaleCrop>false</ScaleCrop>
  <LinksUpToDate>false</LinksUpToDate>
  <CharactersWithSpaces>3171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郭仲文</cp:lastModifiedBy>
  <cp:lastPrinted>2024-12-26T07:40:00Z</cp:lastPrinted>
  <dcterms:modified xsi:type="dcterms:W3CDTF">2025-03-13T02:38:40Z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1C494124474348AC958D569A84854329_13</vt:lpwstr>
  </property>
  <property fmtid="{D5CDD505-2E9C-101B-9397-08002B2CF9AE}" pid="4" name="KSOTemplateDocerSaveRecord">
    <vt:lpwstr>eyJoZGlkIjoiYzk2N2NkODRkYWY0MTM2NmQyMzdjMWM2MDBkODUyNmEiLCJ1c2VySWQiOiIxNTYwODcxMDc3In0=</vt:lpwstr>
  </property>
</Properties>
</file>