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363FD26">
      <w:pPr>
        <w:snapToGrid w:val="0"/>
        <w:jc w:val="center"/>
        <w:rPr>
          <w:rFonts w:hint="default" w:ascii="Times New Roman" w:hAnsi="Times New Roman" w:eastAsia="宋体" w:cs="Times New Roman"/>
          <w:b/>
          <w:bCs/>
          <w:color w:val="auto"/>
          <w:sz w:val="36"/>
          <w:szCs w:val="36"/>
          <w:highlight w:val="none"/>
        </w:rPr>
      </w:pPr>
      <w:bookmarkStart w:id="0" w:name="_Hlk86394863"/>
    </w:p>
    <w:p w14:paraId="73391B76">
      <w:pPr>
        <w:snapToGrid w:val="0"/>
        <w:spacing w:line="276" w:lineRule="auto"/>
        <w:jc w:val="center"/>
        <w:rPr>
          <w:rFonts w:hint="default" w:ascii="Times New Roman" w:hAnsi="Times New Roman" w:eastAsia="宋体" w:cs="Times New Roman"/>
          <w:b/>
          <w:bCs/>
          <w:color w:val="auto"/>
          <w:sz w:val="36"/>
          <w:szCs w:val="36"/>
          <w:highlight w:val="none"/>
        </w:rPr>
      </w:pPr>
    </w:p>
    <w:p w14:paraId="5B57A0ED">
      <w:pPr>
        <w:snapToGrid w:val="0"/>
        <w:spacing w:line="276" w:lineRule="auto"/>
        <w:jc w:val="center"/>
        <w:rPr>
          <w:rFonts w:hint="default" w:ascii="Times New Roman" w:hAnsi="Times New Roman" w:eastAsia="宋体" w:cs="Times New Roman"/>
          <w:b/>
          <w:bCs/>
          <w:color w:val="auto"/>
          <w:sz w:val="36"/>
          <w:szCs w:val="36"/>
          <w:highlight w:val="none"/>
        </w:rPr>
      </w:pPr>
      <w:r>
        <w:rPr>
          <w:rFonts w:hint="default" w:ascii="Times New Roman" w:hAnsi="Times New Roman" w:eastAsia="宋体" w:cs="Times New Roman"/>
          <w:b/>
          <w:bCs/>
          <w:color w:val="auto"/>
          <w:sz w:val="36"/>
          <w:szCs w:val="36"/>
          <w:highlight w:val="none"/>
        </w:rPr>
        <w:t>利用亚洲基础设施投资银行贷款</w:t>
      </w:r>
    </w:p>
    <w:p w14:paraId="12F672C2">
      <w:pPr>
        <w:pStyle w:val="2"/>
        <w:rPr>
          <w:rFonts w:hint="default" w:ascii="Times New Roman" w:hAnsi="Times New Roman" w:eastAsia="宋体" w:cs="Times New Roman"/>
          <w:color w:val="auto"/>
          <w:highlight w:val="none"/>
        </w:rPr>
      </w:pPr>
    </w:p>
    <w:p w14:paraId="1771E1E6">
      <w:pPr>
        <w:snapToGrid w:val="0"/>
        <w:spacing w:line="276" w:lineRule="auto"/>
        <w:jc w:val="center"/>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b/>
          <w:bCs/>
          <w:color w:val="auto"/>
          <w:sz w:val="36"/>
          <w:szCs w:val="36"/>
          <w:highlight w:val="none"/>
        </w:rPr>
        <w:t>安康城东新区绿色低碳环境可持续发展示范项目</w:t>
      </w:r>
    </w:p>
    <w:p w14:paraId="161E87FF">
      <w:pPr>
        <w:spacing w:line="360" w:lineRule="auto"/>
        <w:jc w:val="center"/>
        <w:rPr>
          <w:rFonts w:hint="default" w:ascii="Times New Roman" w:hAnsi="Times New Roman" w:eastAsia="宋体" w:cs="Times New Roman"/>
          <w:b/>
          <w:color w:val="auto"/>
          <w:sz w:val="32"/>
          <w:szCs w:val="15"/>
          <w:highlight w:val="none"/>
        </w:rPr>
      </w:pPr>
    </w:p>
    <w:p w14:paraId="6DF913CC">
      <w:pPr>
        <w:spacing w:line="360" w:lineRule="auto"/>
        <w:jc w:val="center"/>
        <w:rPr>
          <w:rFonts w:hint="default" w:ascii="Times New Roman" w:hAnsi="Times New Roman" w:eastAsia="宋体" w:cs="Times New Roman"/>
          <w:b w:val="0"/>
          <w:bCs/>
          <w:color w:val="auto"/>
          <w:sz w:val="32"/>
          <w:szCs w:val="15"/>
          <w:highlight w:val="none"/>
        </w:rPr>
      </w:pPr>
      <w:r>
        <w:rPr>
          <w:rFonts w:hint="default" w:ascii="Times New Roman" w:hAnsi="Times New Roman" w:eastAsia="宋体" w:cs="Times New Roman"/>
          <w:b w:val="0"/>
          <w:bCs/>
          <w:color w:val="auto"/>
          <w:sz w:val="32"/>
          <w:szCs w:val="15"/>
          <w:highlight w:val="none"/>
        </w:rPr>
        <w:t>Shaanxi Ankang Green and Low-Carbon Demonstration Urban Development Project</w:t>
      </w:r>
    </w:p>
    <w:p w14:paraId="7E6B8B8B">
      <w:pPr>
        <w:snapToGrid w:val="0"/>
        <w:spacing w:line="360" w:lineRule="auto"/>
        <w:jc w:val="center"/>
        <w:rPr>
          <w:rFonts w:hint="default" w:ascii="Times New Roman" w:hAnsi="Times New Roman" w:eastAsia="宋体" w:cs="Times New Roman"/>
          <w:b/>
          <w:bCs/>
          <w:color w:val="auto"/>
          <w:sz w:val="44"/>
          <w:szCs w:val="44"/>
          <w:highlight w:val="none"/>
        </w:rPr>
      </w:pPr>
    </w:p>
    <w:p w14:paraId="32E3C597">
      <w:pPr>
        <w:snapToGrid w:val="0"/>
        <w:spacing w:line="360" w:lineRule="auto"/>
        <w:jc w:val="center"/>
        <w:rPr>
          <w:rFonts w:hint="default" w:ascii="Times New Roman" w:hAnsi="Times New Roman" w:eastAsia="宋体" w:cs="Times New Roman"/>
          <w:b/>
          <w:bCs/>
          <w:color w:val="auto"/>
          <w:sz w:val="44"/>
          <w:szCs w:val="44"/>
          <w:highlight w:val="none"/>
        </w:rPr>
      </w:pPr>
      <w:r>
        <w:rPr>
          <w:rFonts w:hint="default" w:ascii="Times New Roman" w:hAnsi="Times New Roman" w:eastAsia="宋体" w:cs="Times New Roman"/>
          <w:b/>
          <w:bCs/>
          <w:color w:val="auto"/>
          <w:sz w:val="44"/>
          <w:szCs w:val="44"/>
          <w:highlight w:val="none"/>
        </w:rPr>
        <w:t>社会影响评价报告</w:t>
      </w:r>
    </w:p>
    <w:p w14:paraId="1246A08E">
      <w:pPr>
        <w:snapToGrid w:val="0"/>
        <w:spacing w:line="360" w:lineRule="auto"/>
        <w:jc w:val="center"/>
        <w:rPr>
          <w:rFonts w:hint="default" w:ascii="Times New Roman" w:hAnsi="Times New Roman" w:eastAsia="宋体" w:cs="Times New Roman"/>
          <w:b/>
          <w:color w:val="auto"/>
          <w:highlight w:val="none"/>
        </w:rPr>
      </w:pPr>
    </w:p>
    <w:p w14:paraId="0ED770EB">
      <w:pPr>
        <w:snapToGrid w:val="0"/>
        <w:spacing w:line="360" w:lineRule="auto"/>
        <w:jc w:val="center"/>
        <w:rPr>
          <w:rFonts w:hint="default" w:ascii="Times New Roman" w:hAnsi="Times New Roman" w:eastAsia="宋体" w:cs="Times New Roman"/>
          <w:b/>
          <w:color w:val="auto"/>
          <w:highlight w:val="none"/>
        </w:rPr>
      </w:pPr>
    </w:p>
    <w:p w14:paraId="27C9A60B">
      <w:pPr>
        <w:pStyle w:val="2"/>
        <w:rPr>
          <w:rFonts w:hint="default" w:ascii="Times New Roman" w:hAnsi="Times New Roman" w:eastAsia="宋体" w:cs="Times New Roman"/>
          <w:color w:val="auto"/>
          <w:highlight w:val="none"/>
        </w:rPr>
      </w:pPr>
    </w:p>
    <w:p w14:paraId="4C04684A">
      <w:pPr>
        <w:snapToGrid w:val="0"/>
        <w:spacing w:line="360" w:lineRule="auto"/>
        <w:jc w:val="center"/>
        <w:rPr>
          <w:rFonts w:hint="default" w:ascii="Times New Roman" w:hAnsi="Times New Roman" w:eastAsia="宋体" w:cs="Times New Roman"/>
          <w:b/>
          <w:color w:val="auto"/>
          <w:highlight w:val="none"/>
        </w:rPr>
      </w:pPr>
    </w:p>
    <w:p w14:paraId="7CD1D66A">
      <w:pPr>
        <w:snapToGrid w:val="0"/>
        <w:spacing w:line="360" w:lineRule="auto"/>
        <w:jc w:val="center"/>
        <w:rPr>
          <w:rFonts w:hint="default" w:ascii="Times New Roman" w:hAnsi="Times New Roman" w:eastAsia="宋体" w:cs="Times New Roman"/>
          <w:b/>
          <w:color w:val="auto"/>
          <w:highlight w:val="none"/>
        </w:rPr>
      </w:pPr>
    </w:p>
    <w:p w14:paraId="03F5D7E6">
      <w:pPr>
        <w:snapToGrid w:val="0"/>
        <w:spacing w:line="360" w:lineRule="auto"/>
        <w:jc w:val="center"/>
        <w:rPr>
          <w:rFonts w:hint="default" w:ascii="Times New Roman" w:hAnsi="Times New Roman" w:eastAsia="宋体" w:cs="Times New Roman"/>
          <w:b/>
          <w:color w:val="auto"/>
          <w:highlight w:val="none"/>
        </w:rPr>
      </w:pPr>
    </w:p>
    <w:p w14:paraId="3BA37A22">
      <w:pPr>
        <w:snapToGrid w:val="0"/>
        <w:spacing w:line="360" w:lineRule="auto"/>
        <w:jc w:val="center"/>
        <w:rPr>
          <w:rFonts w:hint="default" w:ascii="Times New Roman" w:hAnsi="Times New Roman" w:eastAsia="宋体" w:cs="Times New Roman"/>
          <w:b/>
          <w:color w:val="auto"/>
          <w:highlight w:val="none"/>
        </w:rPr>
      </w:pPr>
    </w:p>
    <w:p w14:paraId="358DCF8D">
      <w:pPr>
        <w:snapToGrid w:val="0"/>
        <w:spacing w:line="360" w:lineRule="auto"/>
        <w:jc w:val="center"/>
        <w:rPr>
          <w:rFonts w:hint="default" w:ascii="Times New Roman" w:hAnsi="Times New Roman" w:eastAsia="宋体" w:cs="Times New Roman"/>
          <w:b/>
          <w:color w:val="auto"/>
          <w:highlight w:val="none"/>
        </w:rPr>
      </w:pPr>
    </w:p>
    <w:p w14:paraId="0E2049A9">
      <w:pPr>
        <w:snapToGrid w:val="0"/>
        <w:spacing w:line="360" w:lineRule="auto"/>
        <w:jc w:val="center"/>
        <w:rPr>
          <w:rFonts w:hint="default" w:ascii="Times New Roman" w:hAnsi="Times New Roman" w:eastAsia="宋体" w:cs="Times New Roman"/>
          <w:b/>
          <w:color w:val="auto"/>
          <w:highlight w:val="none"/>
        </w:rPr>
      </w:pPr>
    </w:p>
    <w:p w14:paraId="20CAC330">
      <w:pPr>
        <w:snapToGrid w:val="0"/>
        <w:spacing w:line="360" w:lineRule="auto"/>
        <w:jc w:val="center"/>
        <w:rPr>
          <w:rFonts w:hint="default" w:ascii="Times New Roman" w:hAnsi="Times New Roman" w:eastAsia="宋体" w:cs="Times New Roman"/>
          <w:b/>
          <w:color w:val="auto"/>
          <w:sz w:val="32"/>
          <w:szCs w:val="32"/>
          <w:highlight w:val="none"/>
        </w:rPr>
      </w:pPr>
      <w:r>
        <w:rPr>
          <w:rFonts w:hint="default" w:ascii="Times New Roman" w:hAnsi="Times New Roman" w:eastAsia="宋体" w:cs="Times New Roman"/>
          <w:b/>
          <w:color w:val="auto"/>
          <w:sz w:val="32"/>
          <w:szCs w:val="32"/>
          <w:highlight w:val="none"/>
        </w:rPr>
        <w:t>项目管理机构：安康市汉滨区人民政府项目管理办公室</w:t>
      </w:r>
    </w:p>
    <w:p w14:paraId="0E005BD9">
      <w:pPr>
        <w:snapToGrid w:val="0"/>
        <w:spacing w:line="276" w:lineRule="auto"/>
        <w:jc w:val="center"/>
        <w:rPr>
          <w:rFonts w:hint="default" w:ascii="Times New Roman" w:hAnsi="Times New Roman" w:eastAsia="宋体" w:cs="Times New Roman"/>
          <w:b/>
          <w:bCs/>
          <w:color w:val="auto"/>
          <w:sz w:val="32"/>
          <w:szCs w:val="32"/>
          <w:highlight w:val="none"/>
        </w:rPr>
      </w:pPr>
      <w:r>
        <w:rPr>
          <w:rFonts w:hint="default" w:ascii="Times New Roman" w:hAnsi="Times New Roman" w:eastAsia="宋体" w:cs="Times New Roman"/>
          <w:b/>
          <w:color w:val="auto"/>
          <w:sz w:val="32"/>
          <w:szCs w:val="32"/>
          <w:highlight w:val="none"/>
        </w:rPr>
        <w:t>执行机构：汉滨区五里工业集中区（城东新区）管委会</w:t>
      </w:r>
    </w:p>
    <w:p w14:paraId="05153679">
      <w:pPr>
        <w:snapToGrid w:val="0"/>
        <w:spacing w:line="360" w:lineRule="auto"/>
        <w:jc w:val="center"/>
        <w:rPr>
          <w:rFonts w:hint="default" w:ascii="Times New Roman" w:hAnsi="Times New Roman" w:eastAsia="宋体" w:cs="Times New Roman"/>
          <w:b/>
          <w:color w:val="auto"/>
          <w:sz w:val="32"/>
          <w:szCs w:val="32"/>
          <w:highlight w:val="none"/>
        </w:rPr>
      </w:pPr>
      <w:r>
        <w:rPr>
          <w:rFonts w:hint="default" w:ascii="Times New Roman" w:hAnsi="Times New Roman" w:eastAsia="宋体" w:cs="Times New Roman"/>
          <w:b/>
          <w:color w:val="auto"/>
          <w:sz w:val="32"/>
          <w:szCs w:val="32"/>
          <w:highlight w:val="none"/>
        </w:rPr>
        <w:t>2023年11月</w:t>
      </w:r>
    </w:p>
    <w:p w14:paraId="1065A4F5">
      <w:pPr>
        <w:snapToGrid w:val="0"/>
        <w:spacing w:line="360" w:lineRule="auto"/>
        <w:jc w:val="center"/>
        <w:rPr>
          <w:rFonts w:hint="default" w:ascii="Times New Roman" w:hAnsi="Times New Roman" w:eastAsia="宋体" w:cs="Times New Roman"/>
          <w:b/>
          <w:color w:val="auto"/>
          <w:sz w:val="36"/>
          <w:szCs w:val="36"/>
          <w:highlight w:val="none"/>
        </w:rPr>
        <w:sectPr>
          <w:footerReference r:id="rId4" w:type="even"/>
          <w:pgSz w:w="11906" w:h="16838"/>
          <w:pgMar w:top="1440" w:right="1800" w:bottom="1440" w:left="1800" w:header="851" w:footer="992" w:gutter="0"/>
          <w:cols w:space="720" w:num="1"/>
          <w:docGrid w:linePitch="326" w:charSpace="0"/>
        </w:sectPr>
      </w:pPr>
    </w:p>
    <w:p w14:paraId="09715C06">
      <w:pPr>
        <w:snapToGrid w:val="0"/>
        <w:spacing w:line="276" w:lineRule="auto"/>
        <w:jc w:val="cente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执 行 摘 要</w:t>
      </w:r>
    </w:p>
    <w:p w14:paraId="02135B9C">
      <w:pPr>
        <w:tabs>
          <w:tab w:val="right" w:leader="middleDot" w:pos="9240"/>
        </w:tabs>
        <w:spacing w:before="120" w:beforeLines="50" w:after="120" w:afterLines="5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安康城东新区绿色低碳环境可持续发展示范项目是一项为应对能源结构调整和产业结构优化挑战而建设的项目。安康市将依托全国第三批低碳城市试点，突出绿色低碳发展引领作用，把低碳城市试点创建工作作为实现全市转型发展、提高区域生态文明水平的重要途径。项目考察评估期间，安康市在不同板块内规划了17个子项目，主要包括低影响和韧性道路工程、绿色建筑、韧性城市建设、防洪工程、环境治理与生态公园、以及生态绿廊等。</w:t>
      </w:r>
    </w:p>
    <w:p w14:paraId="50BAC749">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是亚洲基础设施投资银行（亚投行）贷款支持的建设项目，安康市汉滨区人民政府作为项目管理机构，设立了项目管理办公室，安康市五里工业集中区作为执行机构，负责本项目的实施。项目文件预计于2024年2月提交亚投行执董会审批。项目准备期间，已进行过多次评估，并编制了不同计划。这些工作主要涉及：社会影响评价（SIA）、利益相关方参与计划（SEP）、移民安置计划（RAP）和环境和社会管理计划（ESMP）。 本文件描述了社会影响评价的结果。</w:t>
      </w:r>
      <w:r>
        <w:rPr>
          <w:rStyle w:val="50"/>
          <w:rFonts w:hint="default" w:ascii="Times New Roman" w:hAnsi="Times New Roman" w:eastAsia="宋体" w:cs="Times New Roman"/>
          <w:color w:val="auto"/>
          <w:highlight w:val="none"/>
        </w:rPr>
        <w:footnoteReference w:id="0"/>
      </w:r>
    </w:p>
    <w:p w14:paraId="5D335CF5">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社会影响评价的依据是根据亚投行环境和社会框架（ESF）中的环境和社会标准（ESS）以及相关的国家/省级规章制度进行。数据来源有主要来源和次要来源，包括文献研究、焦点座谈、关键信息人访谈、问卷调查等方法。社会调查期间，社会影响评价小组在项目服务区进行了实地考察，对项目受益村民、征地和拆迁户、拟土地流转的村民、项目业主和相关政府部门等开展座谈会及关键信息人访谈，了解主要利益相关方对项目的看法、需求以及建议。</w:t>
      </w:r>
    </w:p>
    <w:p w14:paraId="6DE9284C">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社会风险和影响筛选和分析表明，ESS1和ESS2是相关的，因此在项目背景下得以触发。然而，由于本项目不会在少数民族社区施工，并且项目拟建区域没有依附于集体资源的少数民族社区，因此未触发ESS3。</w:t>
      </w:r>
    </w:p>
    <w:p w14:paraId="7E788C25">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的关键社会风险主要包括社区健康与安全、劳工和工作条件、土地征收与移民安置、非包容性影响（即社会包容性和性别平等）、利益相关者参与不足等。为缓解已识别出的风险，本社会影响评价针对不同风险提出了相应的缓解措施，因此针对项目活动及其执行机构制定了单独的利益相关者参与计划（SEP）。</w:t>
      </w:r>
    </w:p>
    <w:p w14:paraId="714F5531">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根据调查及影响分析，</w:t>
      </w:r>
      <w:bookmarkStart w:id="1" w:name="_Toc86388393"/>
      <w:bookmarkStart w:id="2" w:name="_Toc97235743"/>
      <w:bookmarkStart w:id="3" w:name="_Toc83326642"/>
      <w:bookmarkStart w:id="4" w:name="_Toc83387135"/>
      <w:r>
        <w:rPr>
          <w:rFonts w:hint="default" w:ascii="Times New Roman" w:hAnsi="Times New Roman" w:eastAsia="宋体" w:cs="Times New Roman"/>
          <w:b/>
          <w:bCs/>
          <w:color w:val="auto"/>
          <w:highlight w:val="none"/>
          <w:u w:val="single"/>
        </w:rPr>
        <w:t>潜在的社会风险主要包括：</w:t>
      </w:r>
      <w:bookmarkEnd w:id="1"/>
      <w:bookmarkEnd w:id="2"/>
      <w:bookmarkEnd w:id="3"/>
      <w:bookmarkEnd w:id="4"/>
      <w:r>
        <w:rPr>
          <w:rFonts w:hint="default" w:ascii="Times New Roman" w:hAnsi="Times New Roman" w:eastAsia="宋体" w:cs="Times New Roman"/>
          <w:color w:val="auto"/>
          <w:highlight w:val="none"/>
        </w:rPr>
        <w:t>（1）项目在准备、建设和运营过程中的包容性风险，即潜在的女性和其他弱势群体参与项目和从项目受益机会不足</w:t>
      </w:r>
      <w:r>
        <w:rPr>
          <w:rStyle w:val="50"/>
          <w:rFonts w:hint="default" w:ascii="Times New Roman" w:hAnsi="Times New Roman" w:eastAsia="宋体" w:cs="Times New Roman"/>
          <w:color w:val="auto"/>
          <w:highlight w:val="none"/>
        </w:rPr>
        <w:footnoteReference w:id="1"/>
      </w:r>
      <w:r>
        <w:rPr>
          <w:rFonts w:hint="default" w:ascii="Times New Roman" w:hAnsi="Times New Roman" w:eastAsia="宋体" w:cs="Times New Roman"/>
          <w:color w:val="auto"/>
          <w:highlight w:val="none"/>
        </w:rPr>
        <w:t>；（2）征地与移民影响；（3）劳工和工作条件相关：项目建设与运营涉及的管理人员及工作人员（如施工工人等），工作条件（诸如工资水平、工作时间、合同条款、GRM、加班补偿等）应按劳动法要求执行，还包括劳工健康与安全风险；（4）社区健康与安全风险，主要包括项目区内的自然灾害尤其是洪水风险、项目建设工程施工中的道路和交通安全风险、施工对附近居民生活的扰动、以及外来施工人员对附近社区居民生活的影响等，还包括道路子项目建成使用后的道路和交通安全风险；以及（5）如果有效利益相关者参与不足，可能致使项目社会支持度不足和可持续性不强，容易引发社区和公众不满等。</w:t>
      </w:r>
    </w:p>
    <w:p w14:paraId="2A41CEEC">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为应对上述风险，本项目制定了社会管理计划以最大程度避免并缓解项目负面影响。汉滨区人民政府项目办及执行机构同意采取以下</w:t>
      </w:r>
      <w:r>
        <w:rPr>
          <w:rFonts w:hint="default" w:ascii="Times New Roman" w:hAnsi="Times New Roman" w:eastAsia="宋体" w:cs="Times New Roman"/>
          <w:b/>
          <w:bCs/>
          <w:color w:val="auto"/>
          <w:highlight w:val="none"/>
          <w:u w:val="single"/>
        </w:rPr>
        <w:t>主要社会风险管理措施</w:t>
      </w:r>
      <w:r>
        <w:rPr>
          <w:rFonts w:hint="default" w:ascii="Times New Roman" w:hAnsi="Times New Roman" w:eastAsia="宋体" w:cs="Times New Roman"/>
          <w:color w:val="auto"/>
          <w:highlight w:val="none"/>
          <w:u w:val="single"/>
        </w:rPr>
        <w:t>：</w:t>
      </w:r>
    </w:p>
    <w:p w14:paraId="6B628BEB">
      <w:pPr>
        <w:numPr>
          <w:ilvl w:val="0"/>
          <w:numId w:val="2"/>
        </w:numPr>
        <w:spacing w:before="120" w:after="120" w:line="300" w:lineRule="auto"/>
        <w:ind w:firstLine="482"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
          <w:color w:val="auto"/>
          <w:highlight w:val="none"/>
        </w:rPr>
        <w:t>弱势群体影响：</w:t>
      </w:r>
      <w:r>
        <w:rPr>
          <w:rFonts w:hint="default" w:ascii="Times New Roman" w:hAnsi="Times New Roman" w:eastAsia="宋体" w:cs="Times New Roman"/>
          <w:bCs/>
          <w:color w:val="auto"/>
          <w:highlight w:val="none"/>
        </w:rPr>
        <w:t>对于征地影响的弱势群体，相关措施在移民安置计划中已经制定。总体来说，本项目制定了利益相关方参与计划，指导本项目开展有意义的公众咨询，通过完善现有管理机制和程序，在设计和实施的过程中充分考虑弱势群体的发展机会和公平受益的渠道，以确保弱势群体从本项目中受益。</w:t>
      </w:r>
    </w:p>
    <w:p w14:paraId="4B87055E">
      <w:pPr>
        <w:numPr>
          <w:ilvl w:val="0"/>
          <w:numId w:val="2"/>
        </w:numPr>
        <w:spacing w:before="120" w:after="120" w:line="300" w:lineRule="auto"/>
        <w:ind w:left="851" w:leftChars="201" w:hanging="369" w:hangingChars="153"/>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
          <w:color w:val="auto"/>
          <w:highlight w:val="none"/>
        </w:rPr>
        <w:t>性别影响：促进性别平等的主要措施包括：</w:t>
      </w:r>
    </w:p>
    <w:p w14:paraId="2DC36125">
      <w:pPr>
        <w:spacing w:before="120" w:after="120" w:line="300" w:lineRule="auto"/>
        <w:ind w:left="849"/>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 xml:space="preserve">a.确保项目下各类用工男女同工同酬， </w:t>
      </w:r>
    </w:p>
    <w:p w14:paraId="37C9C1D5">
      <w:pPr>
        <w:spacing w:before="120" w:after="120" w:line="300" w:lineRule="auto"/>
        <w:ind w:left="849"/>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b.提高女性在公众咨询和协商活动中的参与比例，</w:t>
      </w:r>
    </w:p>
    <w:p w14:paraId="0896C141">
      <w:pPr>
        <w:spacing w:before="120" w:after="120" w:line="300" w:lineRule="auto"/>
        <w:ind w:left="849"/>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c.优先为女性提供参与技能培训的机会；</w:t>
      </w:r>
    </w:p>
    <w:p w14:paraId="65BA8F2C">
      <w:pPr>
        <w:spacing w:before="120" w:after="120" w:line="300" w:lineRule="auto"/>
        <w:ind w:left="849"/>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d.项目建设和运营过程中，优先为女性提供合适的就业岗位。</w:t>
      </w:r>
    </w:p>
    <w:p w14:paraId="5E4E7E33">
      <w:pPr>
        <w:pStyle w:val="2"/>
        <w:numPr>
          <w:ilvl w:val="0"/>
          <w:numId w:val="2"/>
        </w:numPr>
        <w:ind w:firstLine="482"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
          <w:color w:val="auto"/>
          <w:highlight w:val="none"/>
        </w:rPr>
        <w:t>移民安置：</w:t>
      </w:r>
      <w:r>
        <w:rPr>
          <w:rFonts w:hint="default" w:ascii="Times New Roman" w:hAnsi="Times New Roman" w:eastAsia="宋体" w:cs="Times New Roman"/>
          <w:bCs/>
          <w:color w:val="auto"/>
          <w:highlight w:val="none"/>
        </w:rPr>
        <w:t>随着项目设计的深入，优化的方案将尽可能的避免和减少土地征收及移民影响。对于不可避免的土地征收及移民安置，项目活动按照亚投行环境与社会标准（ESS2）及中国相应的法律法规制定了本项目的移民安置计划。项目办将按照移民行动计划实施土地征收及移民补偿相关活动。项目办还将聘请第三方移民外部监测机构对移民实施情况进行监督和评估，以确保本项目的移民安置目标的实施</w:t>
      </w:r>
      <w:r>
        <w:rPr>
          <w:rFonts w:hint="default" w:ascii="Times New Roman" w:hAnsi="Times New Roman" w:eastAsia="宋体" w:cs="Times New Roman"/>
          <w:color w:val="auto"/>
          <w:highlight w:val="none"/>
        </w:rPr>
        <w:t>。</w:t>
      </w:r>
    </w:p>
    <w:p w14:paraId="1FC468E8">
      <w:pPr>
        <w:pStyle w:val="2"/>
        <w:numPr>
          <w:ilvl w:val="0"/>
          <w:numId w:val="2"/>
        </w:numPr>
        <w:ind w:firstLine="482" w:firstLineChars="20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健康与安全风险：</w:t>
      </w:r>
    </w:p>
    <w:p w14:paraId="31082121">
      <w:pPr>
        <w:pStyle w:val="2"/>
        <w:ind w:firstLine="482" w:firstLineChars="20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u w:val="single"/>
        </w:rPr>
        <w:t>针对工人健康与安全风险：</w:t>
      </w:r>
      <w:r>
        <w:rPr>
          <w:rFonts w:hint="default" w:ascii="Times New Roman" w:hAnsi="Times New Roman" w:eastAsia="宋体" w:cs="Times New Roman"/>
          <w:bCs/>
          <w:color w:val="auto"/>
          <w:highlight w:val="none"/>
        </w:rPr>
        <w:t>加强职业健康和安全培训；强化职工安全意识，引导员工恰当使用个人防护设施（PPE）；进一步完善工人的申诉处理机制，对职工提出的意见、反馈和担忧进行处理，并进行书面记录；</w:t>
      </w:r>
      <w:r>
        <w:rPr>
          <w:rFonts w:hint="default" w:ascii="Times New Roman" w:hAnsi="Times New Roman" w:eastAsia="宋体" w:cs="Times New Roman"/>
          <w:color w:val="auto"/>
          <w:highlight w:val="none"/>
        </w:rPr>
        <w:t>聘请合格的社会管理咨询机构，</w:t>
      </w:r>
      <w:r>
        <w:rPr>
          <w:rFonts w:hint="default" w:ascii="Times New Roman" w:hAnsi="Times New Roman" w:eastAsia="宋体" w:cs="Times New Roman"/>
          <w:bCs/>
          <w:color w:val="auto"/>
          <w:highlight w:val="none"/>
        </w:rPr>
        <w:t>对劳动者风险管理定期进行监测，按照建议对劳动者管理进行完善。</w:t>
      </w:r>
    </w:p>
    <w:p w14:paraId="75BA0FCE">
      <w:pPr>
        <w:spacing w:before="120" w:after="120" w:line="300" w:lineRule="auto"/>
        <w:ind w:firstLine="482"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highlight w:val="none"/>
          <w:u w:val="single"/>
        </w:rPr>
        <w:t>针对社区健康与安全风险：</w:t>
      </w:r>
      <w:r>
        <w:rPr>
          <w:rFonts w:hint="default" w:ascii="Times New Roman" w:hAnsi="Times New Roman" w:eastAsia="宋体" w:cs="Times New Roman"/>
          <w:color w:val="auto"/>
          <w:highlight w:val="none"/>
        </w:rPr>
        <w:t>项目办将建立正式的社区沟通机制，加强社区沟通，及时回应社区关切的问题；聘请合格的社会管理咨询机构，对社会管理措施定期进行监测和评估，并按照建议完善社区健康和安全风险管理。对于建设及运行产生的社区健康与安全风险，以下措施将被采用：</w:t>
      </w:r>
    </w:p>
    <w:p w14:paraId="64BFC37C">
      <w:pPr>
        <w:pStyle w:val="2"/>
        <w:numPr>
          <w:ilvl w:val="0"/>
          <w:numId w:val="3"/>
        </w:numPr>
        <w:ind w:firstLine="6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完善施工组织方案，合理安排施工工序和工期，尽量减少对施工对社区的影响；</w:t>
      </w:r>
    </w:p>
    <w:p w14:paraId="173A1C9A">
      <w:pPr>
        <w:pStyle w:val="2"/>
        <w:numPr>
          <w:ilvl w:val="0"/>
          <w:numId w:val="3"/>
        </w:numPr>
        <w:ind w:firstLine="6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施工应尽量避开晚上9点以后的作业，尤其是启动或运行机械设备，以避免夜间对社区居民的噪声影响；</w:t>
      </w:r>
    </w:p>
    <w:p w14:paraId="5AFA50FA">
      <w:pPr>
        <w:pStyle w:val="2"/>
        <w:numPr>
          <w:ilvl w:val="0"/>
          <w:numId w:val="3"/>
        </w:numPr>
        <w:ind w:firstLine="6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规范驾驶员和车辆管理，并进行运输路线优化，尽可能减少对社区的影响；</w:t>
      </w:r>
    </w:p>
    <w:p w14:paraId="27074C81">
      <w:pPr>
        <w:pStyle w:val="2"/>
        <w:numPr>
          <w:ilvl w:val="0"/>
          <w:numId w:val="3"/>
        </w:numPr>
        <w:ind w:firstLine="6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对当地居民（包括妇女、儿童、老人等）进行安全教育，尤其是提高项目区居民应对自然灾害，尤其是洪水风险的意识和能力；</w:t>
      </w:r>
    </w:p>
    <w:p w14:paraId="559334C8">
      <w:pPr>
        <w:pStyle w:val="2"/>
        <w:numPr>
          <w:ilvl w:val="0"/>
          <w:numId w:val="3"/>
        </w:numPr>
        <w:ind w:firstLine="6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建立、采用有书面记录的申诉处理机制(GRM)，主动对社区抱怨和建议进行处理，并将处理结果及时反馈给申诉人。</w:t>
      </w:r>
    </w:p>
    <w:p w14:paraId="40F807E8">
      <w:pPr>
        <w:pStyle w:val="2"/>
        <w:numPr>
          <w:ilvl w:val="0"/>
          <w:numId w:val="2"/>
        </w:numPr>
        <w:ind w:firstLine="482" w:firstLineChars="20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劳动及工作条件：</w:t>
      </w:r>
    </w:p>
    <w:p w14:paraId="3BD6FB98">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项目办将落实专门部门并安排专人负责相关缓解措施的实施，并要求承包商和分包商，以及主要的供应商，按照相应的要求进行劳动者的管理，项目办将对劳动者管理绩效进行监管。缓解措施如下：</w:t>
      </w:r>
    </w:p>
    <w:p w14:paraId="0FA838A9">
      <w:pPr>
        <w:pStyle w:val="2"/>
        <w:numPr>
          <w:ilvl w:val="0"/>
          <w:numId w:val="3"/>
        </w:numPr>
        <w:ind w:firstLine="60"/>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w:t>
      </w:r>
      <w:r>
        <w:rPr>
          <w:rFonts w:hint="default" w:ascii="Times New Roman" w:hAnsi="Times New Roman" w:eastAsia="宋体" w:cs="Times New Roman"/>
          <w:color w:val="auto"/>
          <w:highlight w:val="none"/>
        </w:rPr>
        <w:t>确保工人的劳动者雇佣条款和条件、职业健康安全、申诉机制等得到有效保障；</w:t>
      </w:r>
    </w:p>
    <w:p w14:paraId="6704203F">
      <w:pPr>
        <w:pStyle w:val="2"/>
        <w:numPr>
          <w:ilvl w:val="0"/>
          <w:numId w:val="3"/>
        </w:numPr>
        <w:ind w:firstLine="6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针对承包商管理，在招标采购文件中纳入劳动管理程序</w:t>
      </w:r>
      <w:r>
        <w:rPr>
          <w:rFonts w:hint="default" w:ascii="Times New Roman" w:hAnsi="Times New Roman" w:eastAsia="宋体" w:cs="Times New Roman"/>
          <w:color w:val="auto"/>
          <w:szCs w:val="24"/>
          <w:highlight w:val="none"/>
        </w:rPr>
        <w:t>（LMP）中关于</w:t>
      </w:r>
      <w:r>
        <w:rPr>
          <w:rFonts w:hint="default" w:ascii="Times New Roman" w:hAnsi="Times New Roman" w:eastAsia="宋体" w:cs="Times New Roman"/>
          <w:color w:val="auto"/>
          <w:highlight w:val="none"/>
        </w:rPr>
        <w:t>承包商的劳动者管理要求，并纳入合同条款；在合同中还应明确相应的不合规补救措施，建立用于管理和监测第三方绩效的程序；对于临时工，还应确保签订劳务合同/协议，及第三方公司为工人购买意外险；</w:t>
      </w:r>
    </w:p>
    <w:p w14:paraId="68CBC5B3">
      <w:pPr>
        <w:pStyle w:val="2"/>
        <w:numPr>
          <w:ilvl w:val="0"/>
          <w:numId w:val="3"/>
        </w:numPr>
        <w:ind w:firstLine="6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针对主要供应商管理，在招标采购文件中纳入主要供应商的劳动者管理要求，并纳入合同条款；在合同中还应明确：①相应的不合规补救措施，及建立用于管理和监测第三方绩效的程序；②提交制造商关于劳动者管理的尽职调查报告，应包含制造商雇佣工人的合同管理、雇佣童工、同工同酬、性别歧视、强迫劳动等方面的内容。</w:t>
      </w:r>
    </w:p>
    <w:p w14:paraId="7D2BFA9B">
      <w:pPr>
        <w:pStyle w:val="2"/>
        <w:numPr>
          <w:ilvl w:val="0"/>
          <w:numId w:val="3"/>
        </w:numPr>
        <w:ind w:firstLine="6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对劳动者管理绩效监测和评估，并对劳动者管理程序(</w:t>
      </w:r>
      <w:r>
        <w:rPr>
          <w:rFonts w:hint="default" w:ascii="Times New Roman" w:hAnsi="Times New Roman" w:eastAsia="宋体" w:cs="Times New Roman"/>
          <w:color w:val="auto"/>
          <w:szCs w:val="24"/>
          <w:highlight w:val="none"/>
        </w:rPr>
        <w:t>LMP</w:t>
      </w:r>
      <w:r>
        <w:rPr>
          <w:rFonts w:hint="default" w:ascii="Times New Roman" w:hAnsi="Times New Roman" w:eastAsia="宋体" w:cs="Times New Roman"/>
          <w:color w:val="auto"/>
          <w:highlight w:val="none"/>
        </w:rPr>
        <w:t>)进行持续改进。</w:t>
      </w:r>
    </w:p>
    <w:p w14:paraId="51018D75">
      <w:pPr>
        <w:pStyle w:val="2"/>
        <w:numPr>
          <w:ilvl w:val="0"/>
          <w:numId w:val="2"/>
        </w:numPr>
        <w:ind w:firstLine="482" w:firstLineChars="20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利益相关方参与：</w:t>
      </w:r>
    </w:p>
    <w:p w14:paraId="75885F0B">
      <w:pPr>
        <w:spacing w:before="120" w:after="120" w:line="300" w:lineRule="auto"/>
        <w:ind w:firstLine="480"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本项目将按照利益相关方参与计划（SEP）以及确定的申诉机制（GRM）实施。项目办及执行机构将提供足够资源，确保相关机制有效运行；项目办在政府网站上设置专栏，定期发布项目信息，尤其是环境和社会绩效信息；</w:t>
      </w:r>
      <w:r>
        <w:rPr>
          <w:rFonts w:hint="default" w:ascii="Times New Roman" w:hAnsi="Times New Roman" w:eastAsia="宋体" w:cs="Times New Roman"/>
          <w:color w:val="auto"/>
          <w:highlight w:val="none"/>
        </w:rPr>
        <w:t>运营过程中的环境和社会监测信息及时对社区公布</w:t>
      </w:r>
      <w:r>
        <w:rPr>
          <w:rFonts w:hint="default" w:ascii="Times New Roman" w:hAnsi="Times New Roman" w:eastAsia="宋体" w:cs="Times New Roman"/>
          <w:bCs/>
          <w:color w:val="auto"/>
          <w:highlight w:val="none"/>
        </w:rPr>
        <w:t>。</w:t>
      </w:r>
    </w:p>
    <w:p w14:paraId="09E8C1A7">
      <w:pPr>
        <w:spacing w:before="120" w:after="120" w:line="300" w:lineRule="auto"/>
        <w:ind w:firstLine="480"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color w:val="auto"/>
          <w:highlight w:val="none"/>
        </w:rPr>
        <w:t>本项目将不时酌情将从利益相关方参与计划中获得的反馈纳入项目社会管理计划（SMP）之中。社会监测机构，将根据拟定的监测指标，定期监测和评估SMP绩效。PMO专职负责人将及时收集整理社会管理相关信息，定期跟进各个子项目实施情况，现场检查子项目的社会绩效，发现问题并提出改进建议。</w:t>
      </w:r>
    </w:p>
    <w:p w14:paraId="57A0898D">
      <w:pPr>
        <w:spacing w:before="120" w:after="120" w:line="300" w:lineRule="auto"/>
        <w:ind w:firstLine="480"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在项目实施过程中，</w:t>
      </w:r>
      <w:r>
        <w:rPr>
          <w:rFonts w:hint="default" w:ascii="Times New Roman" w:hAnsi="Times New Roman" w:eastAsia="宋体" w:cs="Times New Roman"/>
          <w:bCs/>
          <w:color w:val="auto"/>
          <w:highlight w:val="none"/>
          <w:u w:val="single"/>
        </w:rPr>
        <w:t>项目办将聘请第三方对项目社会行动及措施的实施及绩效进行每半年一次的独立的监测与评估。</w:t>
      </w:r>
      <w:bookmarkStart w:id="5" w:name="_Toc56527603"/>
      <w:bookmarkStart w:id="6" w:name="_Toc56350909"/>
      <w:bookmarkStart w:id="7" w:name="_Toc56412228"/>
      <w:bookmarkStart w:id="8" w:name="_Toc57756342"/>
      <w:bookmarkStart w:id="9" w:name="_Toc56412918"/>
    </w:p>
    <w:p w14:paraId="3A1551EE">
      <w:pPr>
        <w:spacing w:before="120" w:after="120" w:line="300" w:lineRule="auto"/>
        <w:ind w:firstLine="480" w:firstLineChars="200"/>
        <w:rPr>
          <w:rFonts w:hint="default" w:ascii="Times New Roman" w:hAnsi="Times New Roman" w:eastAsia="宋体" w:cs="Times New Roman"/>
          <w:bCs/>
          <w:color w:val="auto"/>
          <w:highlight w:val="none"/>
        </w:rPr>
        <w:sectPr>
          <w:footerReference r:id="rId5" w:type="default"/>
          <w:pgSz w:w="11906" w:h="16838"/>
          <w:pgMar w:top="1440" w:right="1800" w:bottom="1440" w:left="1800" w:header="851" w:footer="992" w:gutter="0"/>
          <w:pgNumType w:fmt="upperRoman" w:start="1"/>
          <w:cols w:space="720" w:num="1"/>
          <w:docGrid w:linePitch="326" w:charSpace="0"/>
        </w:sectPr>
      </w:pPr>
    </w:p>
    <w:p w14:paraId="318F88E4">
      <w:pPr>
        <w:jc w:val="cente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目 录</w:t>
      </w:r>
    </w:p>
    <w:p w14:paraId="54C55E55">
      <w:pPr>
        <w:pStyle w:val="2"/>
        <w:rPr>
          <w:rFonts w:hint="default" w:ascii="Times New Roman" w:hAnsi="Times New Roman" w:cs="Times New Roman"/>
          <w:color w:val="auto"/>
          <w:highlight w:val="none"/>
        </w:rPr>
      </w:pPr>
    </w:p>
    <w:p w14:paraId="10763187">
      <w:pPr>
        <w:pStyle w:val="30"/>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 w:val="22"/>
          <w:szCs w:val="22"/>
          <w:highlight w:val="none"/>
        </w:rPr>
        <w:fldChar w:fldCharType="begin"/>
      </w:r>
      <w:r>
        <w:rPr>
          <w:rFonts w:hint="default" w:ascii="Times New Roman" w:hAnsi="Times New Roman" w:eastAsia="宋体" w:cs="Times New Roman"/>
          <w:b w:val="0"/>
          <w:bCs w:val="0"/>
          <w:caps w:val="0"/>
          <w:color w:val="auto"/>
          <w:sz w:val="22"/>
          <w:szCs w:val="22"/>
          <w:highlight w:val="none"/>
        </w:rPr>
        <w:instrText xml:space="preserve"> TOC \o "1-3" \h \z \u </w:instrText>
      </w:r>
      <w:r>
        <w:rPr>
          <w:rFonts w:hint="default" w:ascii="Times New Roman" w:hAnsi="Times New Roman" w:eastAsia="宋体" w:cs="Times New Roman"/>
          <w:color w:val="auto"/>
          <w:sz w:val="22"/>
          <w:szCs w:val="22"/>
          <w:highlight w:val="none"/>
        </w:rPr>
        <w:fldChar w:fldCharType="separate"/>
      </w: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_Toc29143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8"/>
          <w:highlight w:val="none"/>
        </w:rPr>
        <w:t xml:space="preserve">1 </w:t>
      </w:r>
      <w:r>
        <w:rPr>
          <w:rFonts w:hint="default" w:ascii="Times New Roman" w:hAnsi="Times New Roman" w:eastAsia="宋体" w:cs="Times New Roman"/>
          <w:color w:val="auto"/>
          <w:szCs w:val="28"/>
          <w:highlight w:val="none"/>
        </w:rPr>
        <w:t>项目简介</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_Toc29143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2A41F6E7">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_Toc26016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1.1 </w:t>
      </w:r>
      <w:r>
        <w:rPr>
          <w:rFonts w:hint="default" w:ascii="Times New Roman" w:hAnsi="Times New Roman" w:eastAsia="宋体" w:cs="Times New Roman"/>
          <w:color w:val="auto"/>
          <w:szCs w:val="24"/>
          <w:highlight w:val="none"/>
        </w:rPr>
        <w:t>项目背景</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_Toc26016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75ED8DFA">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_Toc8199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1.2 </w:t>
      </w:r>
      <w:r>
        <w:rPr>
          <w:rFonts w:hint="default" w:ascii="Times New Roman" w:hAnsi="Times New Roman" w:eastAsia="宋体" w:cs="Times New Roman"/>
          <w:color w:val="auto"/>
          <w:highlight w:val="none"/>
        </w:rPr>
        <w:t>子项目描述</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_Toc8199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468175E8">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_Toc19579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1.3 </w:t>
      </w:r>
      <w:r>
        <w:rPr>
          <w:rFonts w:hint="default" w:ascii="Times New Roman" w:hAnsi="Times New Roman" w:eastAsia="宋体" w:cs="Times New Roman"/>
          <w:color w:val="auto"/>
          <w:szCs w:val="24"/>
          <w:highlight w:val="none"/>
        </w:rPr>
        <w:t>项目影响区域</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_Toc19579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4</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40ECD6FA">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_Toc7509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1.4 </w:t>
      </w:r>
      <w:r>
        <w:rPr>
          <w:rFonts w:hint="default" w:ascii="Times New Roman" w:hAnsi="Times New Roman" w:eastAsia="宋体" w:cs="Times New Roman"/>
          <w:color w:val="auto"/>
          <w:szCs w:val="24"/>
          <w:highlight w:val="none"/>
        </w:rPr>
        <w:t>社会影响评价范围</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_Toc7509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5834E645">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_Toc11411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1.5 </w:t>
      </w:r>
      <w:r>
        <w:rPr>
          <w:rFonts w:hint="default" w:ascii="Times New Roman" w:hAnsi="Times New Roman" w:eastAsia="宋体" w:cs="Times New Roman"/>
          <w:color w:val="auto"/>
          <w:szCs w:val="24"/>
          <w:highlight w:val="none"/>
        </w:rPr>
        <w:t>社会影响评价目标</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_Toc11411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64943EB5">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_Toc11299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1.6 </w:t>
      </w:r>
      <w:r>
        <w:rPr>
          <w:rFonts w:hint="default" w:ascii="Times New Roman" w:hAnsi="Times New Roman" w:eastAsia="宋体" w:cs="Times New Roman"/>
          <w:color w:val="auto"/>
          <w:szCs w:val="24"/>
          <w:highlight w:val="none"/>
        </w:rPr>
        <w:t>社会影响评价的过程和方法</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_Toc11299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6</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21BFB55E">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_Toc19849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1.7 </w:t>
      </w:r>
      <w:r>
        <w:rPr>
          <w:rFonts w:hint="default" w:ascii="Times New Roman" w:hAnsi="Times New Roman" w:eastAsia="宋体" w:cs="Times New Roman"/>
          <w:color w:val="auto"/>
          <w:highlight w:val="none"/>
        </w:rPr>
        <w:t>社会影响评价对项目可研的积极影响</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_Toc19849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6EBBEC70">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_Toc20810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1.8 </w:t>
      </w:r>
      <w:r>
        <w:rPr>
          <w:rFonts w:hint="default" w:ascii="Times New Roman" w:hAnsi="Times New Roman" w:eastAsia="宋体" w:cs="Times New Roman"/>
          <w:color w:val="auto"/>
          <w:szCs w:val="24"/>
          <w:highlight w:val="none"/>
        </w:rPr>
        <w:t>局限性</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_Toc20810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11</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0D7CA8CB">
      <w:pPr>
        <w:pStyle w:val="30"/>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_Toc30108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8"/>
          <w:highlight w:val="none"/>
        </w:rPr>
        <w:t xml:space="preserve">2 </w:t>
      </w:r>
      <w:r>
        <w:rPr>
          <w:rFonts w:hint="default" w:ascii="Times New Roman" w:hAnsi="Times New Roman" w:eastAsia="宋体" w:cs="Times New Roman"/>
          <w:color w:val="auto"/>
          <w:szCs w:val="28"/>
          <w:highlight w:val="none"/>
        </w:rPr>
        <w:t>社会经济基线</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_Toc30108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12</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49849490">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_Toc915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2.1 </w:t>
      </w:r>
      <w:r>
        <w:rPr>
          <w:rFonts w:hint="default" w:ascii="Times New Roman" w:hAnsi="Times New Roman" w:eastAsia="宋体" w:cs="Times New Roman"/>
          <w:color w:val="auto"/>
          <w:szCs w:val="24"/>
          <w:highlight w:val="none"/>
        </w:rPr>
        <w:t>陕西省社会经济概况</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_Toc915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12</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07DBE316">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_Toc3033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2.2 </w:t>
      </w:r>
      <w:r>
        <w:rPr>
          <w:rFonts w:hint="default" w:ascii="Times New Roman" w:hAnsi="Times New Roman" w:eastAsia="宋体" w:cs="Times New Roman"/>
          <w:color w:val="auto"/>
          <w:szCs w:val="24"/>
          <w:highlight w:val="none"/>
        </w:rPr>
        <w:t>安康市社会经济状况</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_Toc3033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12</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38F7F0FF">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_Toc13237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2.3 </w:t>
      </w:r>
      <w:r>
        <w:rPr>
          <w:rFonts w:hint="default" w:ascii="Times New Roman" w:hAnsi="Times New Roman" w:eastAsia="宋体" w:cs="Times New Roman"/>
          <w:color w:val="auto"/>
          <w:highlight w:val="none"/>
        </w:rPr>
        <w:t>汉滨区</w:t>
      </w:r>
      <w:r>
        <w:rPr>
          <w:rFonts w:hint="default" w:ascii="Times New Roman" w:hAnsi="Times New Roman" w:eastAsia="宋体" w:cs="Times New Roman"/>
          <w:color w:val="auto"/>
          <w:szCs w:val="24"/>
          <w:highlight w:val="none"/>
        </w:rPr>
        <w:t>社会经济状况</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_Toc13237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12</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44DD6097">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_Toc13452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2.4 </w:t>
      </w:r>
      <w:r>
        <w:rPr>
          <w:rFonts w:hint="default" w:ascii="Times New Roman" w:hAnsi="Times New Roman" w:eastAsia="宋体" w:cs="Times New Roman"/>
          <w:color w:val="auto"/>
          <w:highlight w:val="none"/>
        </w:rPr>
        <w:t>受益村镇基本情况</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_Toc13452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15</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45C09C9E">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_Toc22898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2.5 </w:t>
      </w:r>
      <w:r>
        <w:rPr>
          <w:rFonts w:hint="default" w:ascii="Times New Roman" w:hAnsi="Times New Roman" w:eastAsia="宋体" w:cs="Times New Roman"/>
          <w:color w:val="auto"/>
          <w:szCs w:val="24"/>
          <w:highlight w:val="none"/>
        </w:rPr>
        <w:t>问卷调查</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_Toc22898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16</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2EE0BF36">
      <w:pPr>
        <w:pStyle w:val="23"/>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_Toc624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bCs/>
          <w:color w:val="auto"/>
          <w:highlight w:val="none"/>
        </w:rPr>
        <w:t xml:space="preserve">2.5.1 </w:t>
      </w:r>
      <w:r>
        <w:rPr>
          <w:rFonts w:hint="default" w:ascii="Times New Roman" w:hAnsi="Times New Roman" w:eastAsia="宋体" w:cs="Times New Roman"/>
          <w:color w:val="auto"/>
          <w:highlight w:val="none"/>
        </w:rPr>
        <w:t>问卷调查范围</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_Toc624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16</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5CC973B3">
      <w:pPr>
        <w:pStyle w:val="23"/>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_Toc22165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bCs/>
          <w:color w:val="auto"/>
          <w:highlight w:val="none"/>
        </w:rPr>
        <w:t xml:space="preserve">2.5.2 </w:t>
      </w:r>
      <w:r>
        <w:rPr>
          <w:rFonts w:hint="default" w:ascii="Times New Roman" w:hAnsi="Times New Roman" w:eastAsia="宋体" w:cs="Times New Roman"/>
          <w:color w:val="auto"/>
          <w:highlight w:val="none"/>
        </w:rPr>
        <w:t>问卷调查结果分析</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_Toc22165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17</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1B97EC35">
      <w:pPr>
        <w:pStyle w:val="30"/>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_Toc27190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8"/>
          <w:highlight w:val="none"/>
        </w:rPr>
        <w:t xml:space="preserve">3 </w:t>
      </w:r>
      <w:r>
        <w:rPr>
          <w:rFonts w:hint="default" w:ascii="Times New Roman" w:hAnsi="Times New Roman" w:eastAsia="宋体" w:cs="Times New Roman"/>
          <w:color w:val="auto"/>
          <w:szCs w:val="28"/>
          <w:highlight w:val="none"/>
        </w:rPr>
        <w:t>社会管理政策框架</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_Toc27190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25</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79681A78">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_Toc18137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3.1 </w:t>
      </w:r>
      <w:r>
        <w:rPr>
          <w:rFonts w:hint="default" w:ascii="Times New Roman" w:hAnsi="Times New Roman" w:eastAsia="宋体" w:cs="Times New Roman"/>
          <w:color w:val="auto"/>
          <w:szCs w:val="24"/>
          <w:highlight w:val="none"/>
        </w:rPr>
        <w:t>综述</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_Toc18137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25</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3A718DE9">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_Toc21327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3.2 </w:t>
      </w:r>
      <w:r>
        <w:rPr>
          <w:rFonts w:hint="default" w:ascii="Times New Roman" w:hAnsi="Times New Roman" w:eastAsia="宋体" w:cs="Times New Roman"/>
          <w:color w:val="auto"/>
          <w:szCs w:val="24"/>
          <w:highlight w:val="none"/>
        </w:rPr>
        <w:t>政策框架</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_Toc21327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26</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6A94E7C1">
      <w:pPr>
        <w:pStyle w:val="23"/>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_Toc19454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bCs/>
          <w:color w:val="auto"/>
          <w:highlight w:val="none"/>
        </w:rPr>
        <w:t xml:space="preserve">3.2.1 </w:t>
      </w:r>
      <w:r>
        <w:rPr>
          <w:rFonts w:hint="default" w:ascii="Times New Roman" w:hAnsi="Times New Roman" w:eastAsia="宋体" w:cs="Times New Roman"/>
          <w:color w:val="auto"/>
          <w:highlight w:val="none"/>
        </w:rPr>
        <w:t>社会稳定风险评估</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_Toc19454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26</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54CB5A4F">
      <w:pPr>
        <w:pStyle w:val="23"/>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_Toc14382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bCs/>
          <w:color w:val="auto"/>
          <w:highlight w:val="none"/>
        </w:rPr>
        <w:t xml:space="preserve">3.2.2 </w:t>
      </w:r>
      <w:r>
        <w:rPr>
          <w:rFonts w:hint="default" w:ascii="Times New Roman" w:hAnsi="Times New Roman" w:eastAsia="宋体" w:cs="Times New Roman"/>
          <w:color w:val="auto"/>
          <w:highlight w:val="none"/>
        </w:rPr>
        <w:t>劳动者管理</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_Toc14382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27</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37F5A48F">
      <w:pPr>
        <w:pStyle w:val="23"/>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_Toc8090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bCs/>
          <w:color w:val="auto"/>
          <w:highlight w:val="none"/>
        </w:rPr>
        <w:t xml:space="preserve">3.2.3 </w:t>
      </w:r>
      <w:r>
        <w:rPr>
          <w:rFonts w:hint="default" w:ascii="Times New Roman" w:hAnsi="Times New Roman" w:eastAsia="宋体" w:cs="Times New Roman"/>
          <w:color w:val="auto"/>
          <w:highlight w:val="none"/>
        </w:rPr>
        <w:t>社区健康安全</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_Toc8090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29</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2D90FF92">
      <w:pPr>
        <w:pStyle w:val="23"/>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_Toc6480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bCs/>
          <w:color w:val="auto"/>
          <w:highlight w:val="none"/>
        </w:rPr>
        <w:t xml:space="preserve">3.2.4 </w:t>
      </w:r>
      <w:r>
        <w:rPr>
          <w:rFonts w:hint="default" w:ascii="Times New Roman" w:hAnsi="Times New Roman" w:eastAsia="宋体" w:cs="Times New Roman"/>
          <w:color w:val="auto"/>
          <w:highlight w:val="none"/>
        </w:rPr>
        <w:t>土地征收与非自愿移民</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_Toc6480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30</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497C2262">
      <w:pPr>
        <w:pStyle w:val="23"/>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_Toc16491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bCs/>
          <w:color w:val="auto"/>
          <w:highlight w:val="none"/>
        </w:rPr>
        <w:t xml:space="preserve">3.2.5 </w:t>
      </w:r>
      <w:r>
        <w:rPr>
          <w:rFonts w:hint="default" w:ascii="Times New Roman" w:hAnsi="Times New Roman" w:eastAsia="宋体" w:cs="Times New Roman"/>
          <w:color w:val="auto"/>
          <w:highlight w:val="none"/>
        </w:rPr>
        <w:t>信息公开与公众参与</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_Toc16491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31</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471A76FD">
      <w:pPr>
        <w:pStyle w:val="23"/>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_Toc25040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bCs/>
          <w:color w:val="auto"/>
          <w:highlight w:val="none"/>
        </w:rPr>
        <w:t xml:space="preserve">3.2.6 </w:t>
      </w:r>
      <w:r>
        <w:rPr>
          <w:rFonts w:hint="default" w:ascii="Times New Roman" w:hAnsi="Times New Roman" w:eastAsia="宋体" w:cs="Times New Roman"/>
          <w:color w:val="auto"/>
          <w:highlight w:val="none"/>
        </w:rPr>
        <w:t>与亚投行ESS差异分析与弥补措施</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_Toc25040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31</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3BD334E0">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_Toc32561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3.3 </w:t>
      </w:r>
      <w:r>
        <w:rPr>
          <w:rFonts w:hint="default" w:ascii="Times New Roman" w:hAnsi="Times New Roman" w:eastAsia="宋体" w:cs="Times New Roman"/>
          <w:color w:val="auto"/>
          <w:szCs w:val="24"/>
          <w:highlight w:val="none"/>
        </w:rPr>
        <w:t>亚投行《环境和社会框架》的要求和适用性</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_Toc32561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33</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5B32E75C">
      <w:pPr>
        <w:pStyle w:val="30"/>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_Toc4434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8"/>
          <w:highlight w:val="none"/>
        </w:rPr>
        <w:t xml:space="preserve">4 </w:t>
      </w:r>
      <w:r>
        <w:rPr>
          <w:rFonts w:hint="default" w:ascii="Times New Roman" w:hAnsi="Times New Roman" w:eastAsia="宋体" w:cs="Times New Roman"/>
          <w:color w:val="auto"/>
          <w:szCs w:val="28"/>
          <w:highlight w:val="none"/>
        </w:rPr>
        <w:t>社会风险与影响筛选</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_Toc4434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35</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32C6BCF5">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_Toc3926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4.1 </w:t>
      </w:r>
      <w:r>
        <w:rPr>
          <w:rFonts w:hint="default" w:ascii="Times New Roman" w:hAnsi="Times New Roman" w:eastAsia="宋体" w:cs="Times New Roman"/>
          <w:color w:val="auto"/>
          <w:szCs w:val="24"/>
          <w:highlight w:val="none"/>
        </w:rPr>
        <w:t>筛选方法</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_Toc3926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35</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7B591A63">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_Toc24196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4.2 </w:t>
      </w:r>
      <w:r>
        <w:rPr>
          <w:rFonts w:hint="default" w:ascii="Times New Roman" w:hAnsi="Times New Roman" w:eastAsia="宋体" w:cs="Times New Roman"/>
          <w:color w:val="auto"/>
          <w:szCs w:val="24"/>
          <w:highlight w:val="none"/>
        </w:rPr>
        <w:t>社会影响筛选结果</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_Toc24196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35</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3C970795">
      <w:pPr>
        <w:pStyle w:val="23"/>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_Toc8695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bCs/>
          <w:color w:val="auto"/>
          <w:highlight w:val="none"/>
        </w:rPr>
        <w:t xml:space="preserve">4.2.1 </w:t>
      </w:r>
      <w:r>
        <w:rPr>
          <w:rFonts w:hint="default" w:ascii="Times New Roman" w:hAnsi="Times New Roman" w:eastAsia="宋体" w:cs="Times New Roman"/>
          <w:color w:val="auto"/>
          <w:highlight w:val="none"/>
        </w:rPr>
        <w:t>不相关的社会风险与影响</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_Toc8695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35</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559287A2">
      <w:pPr>
        <w:pStyle w:val="23"/>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_Toc24213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bCs/>
          <w:color w:val="auto"/>
          <w:szCs w:val="24"/>
          <w:highlight w:val="none"/>
        </w:rPr>
        <w:t xml:space="preserve">4.2.2 </w:t>
      </w:r>
      <w:r>
        <w:rPr>
          <w:rFonts w:hint="default" w:ascii="Times New Roman" w:hAnsi="Times New Roman" w:eastAsia="宋体" w:cs="Times New Roman"/>
          <w:color w:val="auto"/>
          <w:szCs w:val="24"/>
          <w:highlight w:val="none"/>
        </w:rPr>
        <w:t>相关的社会风险与影响</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_Toc24213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36</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25077D45">
      <w:pPr>
        <w:pStyle w:val="30"/>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_Toc1542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8"/>
          <w:highlight w:val="none"/>
        </w:rPr>
        <w:t xml:space="preserve">5 </w:t>
      </w:r>
      <w:r>
        <w:rPr>
          <w:rFonts w:hint="default" w:ascii="Times New Roman" w:hAnsi="Times New Roman" w:eastAsia="宋体" w:cs="Times New Roman"/>
          <w:color w:val="auto"/>
          <w:szCs w:val="28"/>
          <w:highlight w:val="none"/>
        </w:rPr>
        <w:t>社会影响分析</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_Toc1542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39</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39B4D588">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_Toc24897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5.1 </w:t>
      </w:r>
      <w:r>
        <w:rPr>
          <w:rFonts w:hint="default" w:ascii="Times New Roman" w:hAnsi="Times New Roman" w:eastAsia="宋体" w:cs="Times New Roman"/>
          <w:color w:val="auto"/>
          <w:szCs w:val="24"/>
          <w:highlight w:val="none"/>
        </w:rPr>
        <w:t>社会风险等级综述</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_Toc24897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39</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18B63F09">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_Toc24217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5.2 </w:t>
      </w:r>
      <w:r>
        <w:rPr>
          <w:rFonts w:hint="default" w:ascii="Times New Roman" w:hAnsi="Times New Roman" w:eastAsia="宋体" w:cs="Times New Roman"/>
          <w:color w:val="auto"/>
          <w:highlight w:val="none"/>
        </w:rPr>
        <w:t>社会保障影响分析</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_Toc24217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39</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22B49D36">
      <w:pPr>
        <w:pStyle w:val="23"/>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_Toc28263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bCs/>
          <w:color w:val="auto"/>
          <w:highlight w:val="none"/>
        </w:rPr>
        <w:t xml:space="preserve">5.2.1 </w:t>
      </w:r>
      <w:r>
        <w:rPr>
          <w:rFonts w:hint="default" w:ascii="Times New Roman" w:hAnsi="Times New Roman" w:eastAsia="宋体" w:cs="Times New Roman"/>
          <w:color w:val="auto"/>
          <w:highlight w:val="none"/>
        </w:rPr>
        <w:t>弱势群体影响分析</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_Toc28263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39</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0E308203">
      <w:pPr>
        <w:pStyle w:val="23"/>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_Toc18601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bCs/>
          <w:color w:val="auto"/>
          <w:highlight w:val="none"/>
        </w:rPr>
        <w:t xml:space="preserve">5.2.2 </w:t>
      </w:r>
      <w:r>
        <w:rPr>
          <w:rFonts w:hint="default" w:ascii="Times New Roman" w:hAnsi="Times New Roman" w:eastAsia="宋体" w:cs="Times New Roman"/>
          <w:color w:val="auto"/>
          <w:highlight w:val="none"/>
        </w:rPr>
        <w:t>性别影响分析</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_Toc18601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39</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7646D775">
      <w:pPr>
        <w:pStyle w:val="23"/>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_Toc31056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bCs/>
          <w:color w:val="auto"/>
          <w:highlight w:val="none"/>
        </w:rPr>
        <w:t xml:space="preserve">5.2.3 </w:t>
      </w:r>
      <w:r>
        <w:rPr>
          <w:rFonts w:hint="default" w:ascii="Times New Roman" w:hAnsi="Times New Roman" w:eastAsia="宋体" w:cs="Times New Roman"/>
          <w:color w:val="auto"/>
          <w:highlight w:val="none"/>
        </w:rPr>
        <w:t>征地与移民风险分析</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_Toc31056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41</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24EFF5A1">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_Toc21449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5.3 </w:t>
      </w:r>
      <w:r>
        <w:rPr>
          <w:rFonts w:hint="default" w:ascii="Times New Roman" w:hAnsi="Times New Roman" w:eastAsia="宋体" w:cs="Times New Roman"/>
          <w:color w:val="auto"/>
          <w:szCs w:val="24"/>
          <w:highlight w:val="none"/>
        </w:rPr>
        <w:t>健康与安全</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_Toc21449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45</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7FA88ECD">
      <w:pPr>
        <w:pStyle w:val="23"/>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_Toc16129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bCs/>
          <w:color w:val="auto"/>
          <w:highlight w:val="none"/>
        </w:rPr>
        <w:t xml:space="preserve">5.3.1 </w:t>
      </w:r>
      <w:r>
        <w:rPr>
          <w:rFonts w:hint="default" w:ascii="Times New Roman" w:hAnsi="Times New Roman" w:eastAsia="宋体" w:cs="Times New Roman"/>
          <w:color w:val="auto"/>
          <w:highlight w:val="none"/>
        </w:rPr>
        <w:t>劳动者健康与安全</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_Toc16129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45</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0F55BBDF">
      <w:pPr>
        <w:pStyle w:val="23"/>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_Toc3490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bCs/>
          <w:color w:val="auto"/>
          <w:highlight w:val="none"/>
        </w:rPr>
        <w:t xml:space="preserve">5.3.2 </w:t>
      </w:r>
      <w:r>
        <w:rPr>
          <w:rFonts w:hint="default" w:ascii="Times New Roman" w:hAnsi="Times New Roman" w:eastAsia="宋体" w:cs="Times New Roman"/>
          <w:color w:val="auto"/>
          <w:highlight w:val="none"/>
        </w:rPr>
        <w:t>社区健康与安全影响</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_Toc3490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46</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42BA33EA">
      <w:pPr>
        <w:pStyle w:val="23"/>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_Toc12371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bCs/>
          <w:color w:val="auto"/>
          <w:highlight w:val="none"/>
        </w:rPr>
        <w:t xml:space="preserve">5.3.3 </w:t>
      </w:r>
      <w:r>
        <w:rPr>
          <w:rFonts w:hint="default" w:ascii="Times New Roman" w:hAnsi="Times New Roman" w:eastAsia="宋体" w:cs="Times New Roman"/>
          <w:color w:val="auto"/>
          <w:highlight w:val="none"/>
        </w:rPr>
        <w:t>健康与安全影响减缓措施</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_Toc12371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48</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57C75056">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_Toc7731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5.4 </w:t>
      </w:r>
      <w:r>
        <w:rPr>
          <w:rFonts w:hint="default" w:ascii="Times New Roman" w:hAnsi="Times New Roman" w:eastAsia="宋体" w:cs="Times New Roman"/>
          <w:color w:val="auto"/>
          <w:szCs w:val="24"/>
          <w:highlight w:val="none"/>
        </w:rPr>
        <w:t>劳动及工作条件</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_Toc7731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51</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7E6830FD">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_Toc3500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5.5 </w:t>
      </w:r>
      <w:r>
        <w:rPr>
          <w:rFonts w:hint="default" w:ascii="Times New Roman" w:hAnsi="Times New Roman" w:eastAsia="宋体" w:cs="Times New Roman"/>
          <w:color w:val="auto"/>
          <w:highlight w:val="none"/>
        </w:rPr>
        <w:t>利益相关者参与不足的风险</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_Toc3500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51</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4129E073">
      <w:pPr>
        <w:pStyle w:val="23"/>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_Toc8996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bCs/>
          <w:color w:val="auto"/>
          <w:highlight w:val="none"/>
        </w:rPr>
        <w:t xml:space="preserve">5.5.1 </w:t>
      </w:r>
      <w:r>
        <w:rPr>
          <w:rFonts w:hint="default" w:ascii="Times New Roman" w:hAnsi="Times New Roman" w:eastAsia="宋体" w:cs="Times New Roman"/>
          <w:color w:val="auto"/>
          <w:highlight w:val="none"/>
        </w:rPr>
        <w:t>项目区利益相关方参与分析</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_Toc8996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51</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342E7FE3">
      <w:pPr>
        <w:pStyle w:val="23"/>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_Toc18821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bCs/>
          <w:color w:val="auto"/>
          <w:highlight w:val="none"/>
        </w:rPr>
        <w:t xml:space="preserve">5.5.2 </w:t>
      </w:r>
      <w:r>
        <w:rPr>
          <w:rFonts w:hint="default" w:ascii="Times New Roman" w:hAnsi="Times New Roman" w:eastAsia="宋体" w:cs="Times New Roman"/>
          <w:color w:val="auto"/>
          <w:highlight w:val="none"/>
        </w:rPr>
        <w:t>利益相关方参与设计优化与减缓措施</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_Toc18821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52</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02F2A592">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_Toc10931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5.6 </w:t>
      </w:r>
      <w:r>
        <w:rPr>
          <w:rFonts w:hint="default" w:ascii="Times New Roman" w:hAnsi="Times New Roman" w:eastAsia="宋体" w:cs="Times New Roman"/>
          <w:color w:val="auto"/>
          <w:szCs w:val="24"/>
          <w:highlight w:val="none"/>
        </w:rPr>
        <w:t>社会敏感点筛查</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_Toc10931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52</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0F7A43C8">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_Toc12328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5.7 </w:t>
      </w:r>
      <w:r>
        <w:rPr>
          <w:rFonts w:hint="default" w:ascii="Times New Roman" w:hAnsi="Times New Roman" w:eastAsia="宋体" w:cs="Times New Roman"/>
          <w:color w:val="auto"/>
          <w:highlight w:val="none"/>
        </w:rPr>
        <w:t>项目社会效益分析</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_Toc12328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53</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0C95B5BE">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_Toc29440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5.8 </w:t>
      </w:r>
      <w:r>
        <w:rPr>
          <w:rFonts w:hint="default" w:ascii="Times New Roman" w:hAnsi="Times New Roman" w:eastAsia="宋体" w:cs="Times New Roman"/>
          <w:color w:val="auto"/>
          <w:highlight w:val="none"/>
        </w:rPr>
        <w:t>社会影响和风险及缓解措施汇总</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_Toc29440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54</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3AF5D883">
      <w:pPr>
        <w:pStyle w:val="30"/>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_Toc1603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8"/>
          <w:highlight w:val="none"/>
        </w:rPr>
        <w:t xml:space="preserve">6 </w:t>
      </w:r>
      <w:r>
        <w:rPr>
          <w:rFonts w:hint="default" w:ascii="Times New Roman" w:hAnsi="Times New Roman" w:eastAsia="宋体" w:cs="Times New Roman"/>
          <w:color w:val="auto"/>
          <w:szCs w:val="28"/>
          <w:highlight w:val="none"/>
        </w:rPr>
        <w:t>利益相关者参与</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_Toc1603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58</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5033A6A8">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_Toc30917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6.1 </w:t>
      </w:r>
      <w:r>
        <w:rPr>
          <w:rFonts w:hint="default" w:ascii="Times New Roman" w:hAnsi="Times New Roman" w:eastAsia="宋体" w:cs="Times New Roman"/>
          <w:color w:val="auto"/>
          <w:szCs w:val="24"/>
          <w:highlight w:val="none"/>
        </w:rPr>
        <w:t>已开展的利益相关方参与活动</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_Toc30917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58</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635F3551">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_Toc7501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6.2 </w:t>
      </w:r>
      <w:r>
        <w:rPr>
          <w:rFonts w:hint="default" w:ascii="Times New Roman" w:hAnsi="Times New Roman" w:eastAsia="宋体" w:cs="Times New Roman"/>
          <w:color w:val="auto"/>
          <w:szCs w:val="24"/>
          <w:highlight w:val="none"/>
        </w:rPr>
        <w:t>利益相关方的识别</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_Toc7501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59</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3AD1247E">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_Toc30907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6.3 </w:t>
      </w:r>
      <w:r>
        <w:rPr>
          <w:rFonts w:hint="default" w:ascii="Times New Roman" w:hAnsi="Times New Roman" w:eastAsia="宋体" w:cs="Times New Roman"/>
          <w:color w:val="auto"/>
          <w:szCs w:val="24"/>
          <w:highlight w:val="none"/>
        </w:rPr>
        <w:t>已完成的利益相关方参与活动的主要发现</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_Toc30907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60</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6BE4B0D0">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_Toc5068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6.4 </w:t>
      </w:r>
      <w:r>
        <w:rPr>
          <w:rFonts w:hint="default" w:ascii="Times New Roman" w:hAnsi="Times New Roman" w:eastAsia="宋体" w:cs="Times New Roman"/>
          <w:color w:val="auto"/>
          <w:szCs w:val="24"/>
          <w:highlight w:val="none"/>
        </w:rPr>
        <w:t>环境与社会文件的信息披露活动</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_Toc5068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60</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263A9948">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_Toc24893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6.5 </w:t>
      </w:r>
      <w:r>
        <w:rPr>
          <w:rFonts w:hint="default" w:ascii="Times New Roman" w:hAnsi="Times New Roman" w:eastAsia="宋体" w:cs="Times New Roman"/>
          <w:color w:val="auto"/>
          <w:highlight w:val="none"/>
        </w:rPr>
        <w:t>未来实施过程中的利益相关方参与计划</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_Toc24893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61</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31CAA7C6">
      <w:pPr>
        <w:pStyle w:val="30"/>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_Toc26867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8"/>
          <w:highlight w:val="none"/>
        </w:rPr>
        <w:t xml:space="preserve">7 </w:t>
      </w:r>
      <w:r>
        <w:rPr>
          <w:rFonts w:hint="default" w:ascii="Times New Roman" w:hAnsi="Times New Roman" w:eastAsia="宋体" w:cs="Times New Roman"/>
          <w:color w:val="auto"/>
          <w:szCs w:val="28"/>
          <w:highlight w:val="none"/>
        </w:rPr>
        <w:t>社会管理计划</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_Toc26867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62</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20455DEF">
      <w:pPr>
        <w:pStyle w:val="30"/>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_Toc24036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8"/>
          <w:highlight w:val="none"/>
        </w:rPr>
        <w:t xml:space="preserve">8 </w:t>
      </w:r>
      <w:r>
        <w:rPr>
          <w:rFonts w:hint="default" w:ascii="Times New Roman" w:hAnsi="Times New Roman" w:eastAsia="宋体" w:cs="Times New Roman"/>
          <w:color w:val="auto"/>
          <w:szCs w:val="28"/>
          <w:highlight w:val="none"/>
        </w:rPr>
        <w:t>机构安排和能力建设</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_Toc24036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66</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7612DFA2">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_Toc1605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8.1 </w:t>
      </w:r>
      <w:r>
        <w:rPr>
          <w:rFonts w:hint="default" w:ascii="Times New Roman" w:hAnsi="Times New Roman" w:eastAsia="宋体" w:cs="Times New Roman"/>
          <w:color w:val="auto"/>
          <w:szCs w:val="24"/>
          <w:highlight w:val="none"/>
        </w:rPr>
        <w:t>机构安排</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_Toc1605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66</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3E4E88DD">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_Toc13624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8.2 </w:t>
      </w:r>
      <w:r>
        <w:rPr>
          <w:rFonts w:hint="default" w:ascii="Times New Roman" w:hAnsi="Times New Roman" w:eastAsia="宋体" w:cs="Times New Roman"/>
          <w:color w:val="auto"/>
          <w:szCs w:val="24"/>
          <w:highlight w:val="none"/>
        </w:rPr>
        <w:t>机构职责</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_Toc13624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66</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199F604E">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_Toc14096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8.3 </w:t>
      </w:r>
      <w:r>
        <w:rPr>
          <w:rFonts w:hint="default" w:ascii="Times New Roman" w:hAnsi="Times New Roman" w:eastAsia="宋体" w:cs="Times New Roman"/>
          <w:color w:val="auto"/>
          <w:szCs w:val="24"/>
          <w:highlight w:val="none"/>
        </w:rPr>
        <w:t>机构能力建设</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_Toc14096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68</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3101014E">
      <w:pPr>
        <w:pStyle w:val="30"/>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_Toc12452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8"/>
          <w:highlight w:val="none"/>
        </w:rPr>
        <w:t xml:space="preserve">9 </w:t>
      </w:r>
      <w:r>
        <w:rPr>
          <w:rFonts w:hint="default" w:ascii="Times New Roman" w:hAnsi="Times New Roman" w:eastAsia="宋体" w:cs="Times New Roman"/>
          <w:color w:val="auto"/>
          <w:szCs w:val="28"/>
          <w:highlight w:val="none"/>
        </w:rPr>
        <w:t>监测评估</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_Toc12452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71</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4481988A">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_Toc1280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9.1 </w:t>
      </w:r>
      <w:r>
        <w:rPr>
          <w:rFonts w:hint="default" w:ascii="Times New Roman" w:hAnsi="Times New Roman" w:eastAsia="宋体" w:cs="Times New Roman"/>
          <w:color w:val="auto"/>
          <w:highlight w:val="none"/>
        </w:rPr>
        <w:t>外部监测</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_Toc1280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71</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26BECD0F">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_Toc18770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4"/>
          <w:highlight w:val="none"/>
        </w:rPr>
        <w:t xml:space="preserve">9.2 </w:t>
      </w:r>
      <w:r>
        <w:rPr>
          <w:rFonts w:hint="default" w:ascii="Times New Roman" w:hAnsi="Times New Roman" w:eastAsia="宋体" w:cs="Times New Roman"/>
          <w:color w:val="auto"/>
          <w:szCs w:val="24"/>
          <w:highlight w:val="none"/>
        </w:rPr>
        <w:t>报告制度</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_Toc18770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71</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7C6E986E">
      <w:pPr>
        <w:pStyle w:val="30"/>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_Toc27168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30"/>
          <w:highlight w:val="none"/>
        </w:rPr>
        <w:t>附件</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_Toc27168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73</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407B017F">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_Toc26775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8"/>
          <w:highlight w:val="none"/>
        </w:rPr>
        <w:t>附件1 调查问卷</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_Toc26775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73</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5F42489A">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_Toc3069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8"/>
          <w:highlight w:val="none"/>
        </w:rPr>
        <w:t>附件2 劳动者管理程序</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_Toc3069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75</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0D54C8D6">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_Toc16665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8"/>
          <w:highlight w:val="none"/>
        </w:rPr>
        <w:t>附件3  GBV/SH风险预防措施框架</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_Toc16665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89</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43E22A10">
      <w:pPr>
        <w:pStyle w:val="37"/>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color w:val="auto"/>
          <w:szCs w:val="22"/>
          <w:highlight w:val="none"/>
        </w:rPr>
        <w:fldChar w:fldCharType="begin"/>
      </w:r>
      <w:r>
        <w:rPr>
          <w:rFonts w:hint="default" w:ascii="Times New Roman" w:hAnsi="Times New Roman" w:eastAsia="宋体" w:cs="Times New Roman"/>
          <w:color w:val="auto"/>
          <w:szCs w:val="22"/>
          <w:highlight w:val="none"/>
        </w:rPr>
        <w:instrText xml:space="preserve"> HYPERLINK \l _Toc4298 </w:instrText>
      </w:r>
      <w:r>
        <w:rPr>
          <w:rFonts w:hint="default" w:ascii="Times New Roman" w:hAnsi="Times New Roman" w:eastAsia="宋体" w:cs="Times New Roman"/>
          <w:color w:val="auto"/>
          <w:szCs w:val="22"/>
          <w:highlight w:val="none"/>
        </w:rPr>
        <w:fldChar w:fldCharType="separate"/>
      </w:r>
      <w:r>
        <w:rPr>
          <w:rFonts w:hint="default" w:ascii="Times New Roman" w:hAnsi="Times New Roman" w:eastAsia="宋体" w:cs="Times New Roman"/>
          <w:color w:val="auto"/>
          <w:szCs w:val="28"/>
          <w:highlight w:val="none"/>
        </w:rPr>
        <w:t>附件4 社会调查记录</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_Toc4298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91</w:t>
      </w:r>
      <w:r>
        <w:rPr>
          <w:rFonts w:hint="default" w:ascii="Times New Roman" w:hAnsi="Times New Roman" w:cs="Times New Roman"/>
          <w:color w:val="auto"/>
          <w:highlight w:val="none"/>
        </w:rPr>
        <w:fldChar w:fldCharType="end"/>
      </w:r>
      <w:r>
        <w:rPr>
          <w:rFonts w:hint="default" w:ascii="Times New Roman" w:hAnsi="Times New Roman" w:eastAsia="宋体" w:cs="Times New Roman"/>
          <w:color w:val="auto"/>
          <w:szCs w:val="22"/>
          <w:highlight w:val="none"/>
        </w:rPr>
        <w:fldChar w:fldCharType="end"/>
      </w:r>
    </w:p>
    <w:p w14:paraId="212300A4">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2"/>
          <w:highlight w:val="none"/>
        </w:rPr>
        <w:fldChar w:fldCharType="end"/>
      </w:r>
    </w:p>
    <w:p w14:paraId="1D73AD21">
      <w:pPr>
        <w:spacing w:before="120" w:after="120" w:line="300" w:lineRule="auto"/>
        <w:jc w:val="center"/>
        <w:rPr>
          <w:rFonts w:hint="default" w:ascii="Times New Roman" w:hAnsi="Times New Roman" w:eastAsia="宋体" w:cs="Times New Roman"/>
          <w:b/>
          <w:bCs/>
          <w:color w:val="auto"/>
          <w:sz w:val="28"/>
          <w:szCs w:val="28"/>
          <w:highlight w:val="none"/>
        </w:rPr>
      </w:pPr>
    </w:p>
    <w:p w14:paraId="0CBCC1C8">
      <w:pPr>
        <w:spacing w:before="120" w:after="120" w:line="300" w:lineRule="auto"/>
        <w:jc w:val="center"/>
        <w:rPr>
          <w:rFonts w:hint="default" w:ascii="Times New Roman" w:hAnsi="Times New Roman" w:eastAsia="宋体" w:cs="Times New Roman"/>
          <w:b/>
          <w:bCs/>
          <w:color w:val="auto"/>
          <w:sz w:val="28"/>
          <w:szCs w:val="28"/>
          <w:highlight w:val="none"/>
        </w:rPr>
      </w:pPr>
      <w:r>
        <w:rPr>
          <w:rFonts w:hint="eastAsia" w:ascii="Times New Roman" w:hAnsi="Times New Roman" w:cs="Times New Roman"/>
          <w:b/>
          <w:bCs/>
          <w:color w:val="auto"/>
          <w:sz w:val="28"/>
          <w:szCs w:val="28"/>
          <w:highlight w:val="none"/>
          <w:lang w:eastAsia="zh-CN"/>
        </w:rPr>
        <w:tab/>
      </w:r>
    </w:p>
    <w:p w14:paraId="54C73880">
      <w:pPr>
        <w:spacing w:before="120" w:after="120" w:line="300" w:lineRule="auto"/>
        <w:jc w:val="cente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表目录</w:t>
      </w:r>
    </w:p>
    <w:p w14:paraId="7FDE6B52">
      <w:pPr>
        <w:pStyle w:val="36"/>
        <w:tabs>
          <w:tab w:val="right" w:leader="dot" w:pos="8306"/>
        </w:tabs>
        <w:rPr>
          <w:rFonts w:hint="default" w:ascii="Times New Roman" w:hAnsi="Times New Roman" w:cs="Times New Roman"/>
          <w:b w:val="0"/>
          <w:bCs w:val="0"/>
          <w:color w:val="auto"/>
          <w:highlight w:val="none"/>
        </w:rPr>
      </w:pPr>
      <w:r>
        <w:rPr>
          <w:rStyle w:val="48"/>
          <w:rFonts w:hint="default" w:ascii="Times New Roman" w:hAnsi="Times New Roman" w:eastAsia="宋体" w:cs="Times New Roman"/>
          <w:b w:val="0"/>
          <w:bCs w:val="0"/>
          <w:color w:val="auto"/>
          <w:highlight w:val="none"/>
        </w:rPr>
        <w:fldChar w:fldCharType="begin"/>
      </w:r>
      <w:r>
        <w:rPr>
          <w:rStyle w:val="48"/>
          <w:rFonts w:hint="default" w:ascii="Times New Roman" w:hAnsi="Times New Roman" w:eastAsia="宋体" w:cs="Times New Roman"/>
          <w:b w:val="0"/>
          <w:bCs w:val="0"/>
          <w:color w:val="auto"/>
          <w:highlight w:val="none"/>
        </w:rPr>
        <w:instrText xml:space="preserve"> TOC \h \z \c "表" </w:instrText>
      </w:r>
      <w:r>
        <w:rPr>
          <w:rStyle w:val="48"/>
          <w:rFonts w:hint="default" w:ascii="Times New Roman" w:hAnsi="Times New Roman" w:eastAsia="宋体" w:cs="Times New Roman"/>
          <w:b w:val="0"/>
          <w:bCs w:val="0"/>
          <w:color w:val="auto"/>
          <w:highlight w:val="none"/>
        </w:rPr>
        <w:fldChar w:fldCharType="separate"/>
      </w:r>
      <w:r>
        <w:rPr>
          <w:rFonts w:hint="default" w:ascii="Times New Roman" w:hAnsi="Times New Roman" w:eastAsia="宋体" w:cs="Times New Roman"/>
          <w:b w:val="0"/>
          <w:bCs w:val="0"/>
          <w:color w:val="auto"/>
          <w:highlight w:val="none"/>
        </w:rPr>
        <w:fldChar w:fldCharType="begin"/>
      </w:r>
      <w:r>
        <w:rPr>
          <w:rFonts w:hint="default" w:ascii="Times New Roman" w:hAnsi="Times New Roman" w:eastAsia="宋体" w:cs="Times New Roman"/>
          <w:b w:val="0"/>
          <w:bCs w:val="0"/>
          <w:color w:val="auto"/>
          <w:highlight w:val="none"/>
        </w:rPr>
        <w:instrText xml:space="preserve"> HYPERLINK \l _Toc4070 </w:instrText>
      </w:r>
      <w:r>
        <w:rPr>
          <w:rFonts w:hint="default" w:ascii="Times New Roman" w:hAnsi="Times New Roman" w:eastAsia="宋体" w:cs="Times New Roman"/>
          <w:b w:val="0"/>
          <w:bCs w:val="0"/>
          <w:color w:val="auto"/>
          <w:highlight w:val="none"/>
        </w:rPr>
        <w:fldChar w:fldCharType="separate"/>
      </w:r>
      <w:r>
        <w:rPr>
          <w:rFonts w:hint="default" w:ascii="Times New Roman" w:hAnsi="Times New Roman" w:eastAsia="宋体" w:cs="Times New Roman"/>
          <w:b w:val="0"/>
          <w:bCs w:val="0"/>
          <w:color w:val="auto"/>
          <w:highlight w:val="none"/>
        </w:rPr>
        <w:t>表 1-</w:t>
      </w:r>
      <w:r>
        <w:rPr>
          <w:rFonts w:hint="default" w:ascii="Times New Roman" w:hAnsi="Times New Roman" w:cs="Times New Roman"/>
          <w:b w:val="0"/>
          <w:bCs w:val="0"/>
          <w:color w:val="auto"/>
          <w:highlight w:val="none"/>
        </w:rPr>
        <w:t>1</w:t>
      </w:r>
      <w:r>
        <w:rPr>
          <w:rFonts w:hint="default" w:ascii="Times New Roman" w:hAnsi="Times New Roman" w:eastAsia="宋体" w:cs="Times New Roman"/>
          <w:b w:val="0"/>
          <w:bCs w:val="0"/>
          <w:color w:val="auto"/>
          <w:highlight w:val="none"/>
        </w:rPr>
        <w:t>项目建设工程内容</w:t>
      </w:r>
      <w:r>
        <w:rPr>
          <w:rFonts w:hint="default" w:ascii="Times New Roman" w:hAnsi="Times New Roman" w:cs="Times New Roman"/>
          <w:b w:val="0"/>
          <w:bCs w:val="0"/>
          <w:color w:val="auto"/>
          <w:highlight w:val="none"/>
        </w:rPr>
        <w:tab/>
      </w:r>
      <w:r>
        <w:rPr>
          <w:rFonts w:hint="default" w:ascii="Times New Roman" w:hAnsi="Times New Roman" w:cs="Times New Roman"/>
          <w:b w:val="0"/>
          <w:bCs w:val="0"/>
          <w:color w:val="auto"/>
          <w:highlight w:val="none"/>
        </w:rPr>
        <w:fldChar w:fldCharType="begin"/>
      </w:r>
      <w:r>
        <w:rPr>
          <w:rFonts w:hint="default" w:ascii="Times New Roman" w:hAnsi="Times New Roman" w:cs="Times New Roman"/>
          <w:b w:val="0"/>
          <w:bCs w:val="0"/>
          <w:color w:val="auto"/>
          <w:highlight w:val="none"/>
        </w:rPr>
        <w:instrText xml:space="preserve"> PAGEREF _Toc4070 \h </w:instrText>
      </w:r>
      <w:r>
        <w:rPr>
          <w:rFonts w:hint="default" w:ascii="Times New Roman" w:hAnsi="Times New Roman" w:cs="Times New Roman"/>
          <w:b w:val="0"/>
          <w:bCs w:val="0"/>
          <w:color w:val="auto"/>
          <w:highlight w:val="none"/>
        </w:rPr>
        <w:fldChar w:fldCharType="separate"/>
      </w:r>
      <w:r>
        <w:rPr>
          <w:rFonts w:hint="default" w:ascii="Times New Roman" w:hAnsi="Times New Roman" w:cs="Times New Roman"/>
          <w:b w:val="0"/>
          <w:bCs w:val="0"/>
          <w:color w:val="auto"/>
          <w:highlight w:val="none"/>
        </w:rPr>
        <w:t>2</w:t>
      </w:r>
      <w:r>
        <w:rPr>
          <w:rFonts w:hint="default" w:ascii="Times New Roman" w:hAnsi="Times New Roman" w:cs="Times New Roman"/>
          <w:b w:val="0"/>
          <w:bCs w:val="0"/>
          <w:color w:val="auto"/>
          <w:highlight w:val="none"/>
        </w:rPr>
        <w:fldChar w:fldCharType="end"/>
      </w:r>
      <w:r>
        <w:rPr>
          <w:rFonts w:hint="default" w:ascii="Times New Roman" w:hAnsi="Times New Roman" w:eastAsia="宋体" w:cs="Times New Roman"/>
          <w:b w:val="0"/>
          <w:bCs w:val="0"/>
          <w:color w:val="auto"/>
          <w:highlight w:val="none"/>
        </w:rPr>
        <w:fldChar w:fldCharType="end"/>
      </w:r>
    </w:p>
    <w:p w14:paraId="4CDE84B2">
      <w:pPr>
        <w:pStyle w:val="36"/>
        <w:tabs>
          <w:tab w:val="right" w:leader="dot" w:pos="8306"/>
        </w:tabs>
        <w:rPr>
          <w:rFonts w:hint="default" w:ascii="Times New Roman" w:hAnsi="Times New Roman" w:cs="Times New Roman"/>
          <w:b w:val="0"/>
          <w:bCs w:val="0"/>
          <w:color w:val="auto"/>
          <w:highlight w:val="none"/>
        </w:rPr>
      </w:pPr>
      <w:r>
        <w:rPr>
          <w:rFonts w:hint="default" w:ascii="Times New Roman" w:hAnsi="Times New Roman" w:eastAsia="宋体" w:cs="Times New Roman"/>
          <w:b w:val="0"/>
          <w:bCs w:val="0"/>
          <w:color w:val="auto"/>
          <w:highlight w:val="none"/>
        </w:rPr>
        <w:fldChar w:fldCharType="begin"/>
      </w:r>
      <w:r>
        <w:rPr>
          <w:rFonts w:hint="default" w:ascii="Times New Roman" w:hAnsi="Times New Roman" w:eastAsia="宋体" w:cs="Times New Roman"/>
          <w:b w:val="0"/>
          <w:bCs w:val="0"/>
          <w:color w:val="auto"/>
          <w:highlight w:val="none"/>
        </w:rPr>
        <w:instrText xml:space="preserve"> HYPERLINK \l _Toc10564 </w:instrText>
      </w:r>
      <w:r>
        <w:rPr>
          <w:rFonts w:hint="default" w:ascii="Times New Roman" w:hAnsi="Times New Roman" w:eastAsia="宋体" w:cs="Times New Roman"/>
          <w:b w:val="0"/>
          <w:bCs w:val="0"/>
          <w:color w:val="auto"/>
          <w:highlight w:val="none"/>
        </w:rPr>
        <w:fldChar w:fldCharType="separate"/>
      </w:r>
      <w:r>
        <w:rPr>
          <w:rFonts w:hint="default" w:ascii="Times New Roman" w:hAnsi="Times New Roman" w:eastAsia="宋体" w:cs="Times New Roman"/>
          <w:b w:val="0"/>
          <w:bCs w:val="0"/>
          <w:color w:val="auto"/>
          <w:szCs w:val="24"/>
          <w:highlight w:val="none"/>
        </w:rPr>
        <w:t>表 1-</w:t>
      </w:r>
      <w:r>
        <w:rPr>
          <w:rFonts w:hint="default" w:ascii="Times New Roman" w:hAnsi="Times New Roman" w:cs="Times New Roman"/>
          <w:b w:val="0"/>
          <w:bCs w:val="0"/>
          <w:color w:val="auto"/>
          <w:highlight w:val="none"/>
        </w:rPr>
        <w:t>2</w:t>
      </w:r>
      <w:r>
        <w:rPr>
          <w:rFonts w:hint="default" w:ascii="Times New Roman" w:hAnsi="Times New Roman" w:eastAsia="宋体" w:cs="Times New Roman"/>
          <w:b w:val="0"/>
          <w:bCs w:val="0"/>
          <w:color w:val="auto"/>
          <w:szCs w:val="24"/>
          <w:highlight w:val="none"/>
        </w:rPr>
        <w:t>可研报告采纳社会评价建议统计表</w:t>
      </w:r>
      <w:r>
        <w:rPr>
          <w:rFonts w:hint="default" w:ascii="Times New Roman" w:hAnsi="Times New Roman" w:cs="Times New Roman"/>
          <w:b w:val="0"/>
          <w:bCs w:val="0"/>
          <w:color w:val="auto"/>
          <w:highlight w:val="none"/>
        </w:rPr>
        <w:tab/>
      </w:r>
      <w:r>
        <w:rPr>
          <w:rFonts w:hint="default" w:ascii="Times New Roman" w:hAnsi="Times New Roman" w:cs="Times New Roman"/>
          <w:b w:val="0"/>
          <w:bCs w:val="0"/>
          <w:color w:val="auto"/>
          <w:highlight w:val="none"/>
        </w:rPr>
        <w:fldChar w:fldCharType="begin"/>
      </w:r>
      <w:r>
        <w:rPr>
          <w:rFonts w:hint="default" w:ascii="Times New Roman" w:hAnsi="Times New Roman" w:cs="Times New Roman"/>
          <w:b w:val="0"/>
          <w:bCs w:val="0"/>
          <w:color w:val="auto"/>
          <w:highlight w:val="none"/>
        </w:rPr>
        <w:instrText xml:space="preserve"> PAGEREF _Toc10564 \h </w:instrText>
      </w:r>
      <w:r>
        <w:rPr>
          <w:rFonts w:hint="default" w:ascii="Times New Roman" w:hAnsi="Times New Roman" w:cs="Times New Roman"/>
          <w:b w:val="0"/>
          <w:bCs w:val="0"/>
          <w:color w:val="auto"/>
          <w:highlight w:val="none"/>
        </w:rPr>
        <w:fldChar w:fldCharType="separate"/>
      </w:r>
      <w:r>
        <w:rPr>
          <w:rFonts w:hint="default" w:ascii="Times New Roman" w:hAnsi="Times New Roman" w:cs="Times New Roman"/>
          <w:b w:val="0"/>
          <w:bCs w:val="0"/>
          <w:color w:val="auto"/>
          <w:highlight w:val="none"/>
        </w:rPr>
        <w:t>10</w:t>
      </w:r>
      <w:r>
        <w:rPr>
          <w:rFonts w:hint="default" w:ascii="Times New Roman" w:hAnsi="Times New Roman" w:cs="Times New Roman"/>
          <w:b w:val="0"/>
          <w:bCs w:val="0"/>
          <w:color w:val="auto"/>
          <w:highlight w:val="none"/>
        </w:rPr>
        <w:fldChar w:fldCharType="end"/>
      </w:r>
      <w:r>
        <w:rPr>
          <w:rFonts w:hint="default" w:ascii="Times New Roman" w:hAnsi="Times New Roman" w:eastAsia="宋体" w:cs="Times New Roman"/>
          <w:b w:val="0"/>
          <w:bCs w:val="0"/>
          <w:color w:val="auto"/>
          <w:highlight w:val="none"/>
        </w:rPr>
        <w:fldChar w:fldCharType="end"/>
      </w:r>
    </w:p>
    <w:p w14:paraId="643C396D">
      <w:pPr>
        <w:pStyle w:val="36"/>
        <w:tabs>
          <w:tab w:val="right" w:leader="dot" w:pos="8306"/>
        </w:tabs>
        <w:rPr>
          <w:rFonts w:hint="default" w:ascii="Times New Roman" w:hAnsi="Times New Roman" w:cs="Times New Roman"/>
          <w:b w:val="0"/>
          <w:bCs w:val="0"/>
          <w:color w:val="auto"/>
          <w:highlight w:val="none"/>
        </w:rPr>
      </w:pPr>
      <w:r>
        <w:rPr>
          <w:rFonts w:hint="default" w:ascii="Times New Roman" w:hAnsi="Times New Roman" w:eastAsia="宋体" w:cs="Times New Roman"/>
          <w:b w:val="0"/>
          <w:bCs w:val="0"/>
          <w:color w:val="auto"/>
          <w:highlight w:val="none"/>
        </w:rPr>
        <w:fldChar w:fldCharType="begin"/>
      </w:r>
      <w:r>
        <w:rPr>
          <w:rFonts w:hint="default" w:ascii="Times New Roman" w:hAnsi="Times New Roman" w:eastAsia="宋体" w:cs="Times New Roman"/>
          <w:b w:val="0"/>
          <w:bCs w:val="0"/>
          <w:color w:val="auto"/>
          <w:highlight w:val="none"/>
        </w:rPr>
        <w:instrText xml:space="preserve"> HYPERLINK \l _Toc28816 </w:instrText>
      </w:r>
      <w:r>
        <w:rPr>
          <w:rFonts w:hint="default" w:ascii="Times New Roman" w:hAnsi="Times New Roman" w:eastAsia="宋体" w:cs="Times New Roman"/>
          <w:b w:val="0"/>
          <w:bCs w:val="0"/>
          <w:color w:val="auto"/>
          <w:highlight w:val="none"/>
        </w:rPr>
        <w:fldChar w:fldCharType="separate"/>
      </w:r>
      <w:r>
        <w:rPr>
          <w:rFonts w:hint="default" w:ascii="Times New Roman" w:hAnsi="Times New Roman" w:eastAsia="宋体" w:cs="Times New Roman"/>
          <w:b w:val="0"/>
          <w:bCs w:val="0"/>
          <w:color w:val="auto"/>
          <w:highlight w:val="none"/>
        </w:rPr>
        <w:t>表 2-</w:t>
      </w:r>
      <w:r>
        <w:rPr>
          <w:rFonts w:hint="default" w:ascii="Times New Roman" w:hAnsi="Times New Roman" w:cs="Times New Roman"/>
          <w:b w:val="0"/>
          <w:bCs w:val="0"/>
          <w:color w:val="auto"/>
          <w:highlight w:val="none"/>
        </w:rPr>
        <w:t xml:space="preserve">1 </w:t>
      </w:r>
      <w:r>
        <w:rPr>
          <w:rFonts w:hint="default" w:ascii="Times New Roman" w:hAnsi="Times New Roman" w:eastAsia="宋体" w:cs="Times New Roman"/>
          <w:b w:val="0"/>
          <w:bCs w:val="0"/>
          <w:color w:val="auto"/>
          <w:highlight w:val="none"/>
        </w:rPr>
        <w:t>2022年汉滨区社会经济情况</w:t>
      </w:r>
      <w:r>
        <w:rPr>
          <w:rFonts w:hint="default" w:ascii="Times New Roman" w:hAnsi="Times New Roman" w:cs="Times New Roman"/>
          <w:b w:val="0"/>
          <w:bCs w:val="0"/>
          <w:color w:val="auto"/>
          <w:highlight w:val="none"/>
        </w:rPr>
        <w:tab/>
      </w:r>
      <w:r>
        <w:rPr>
          <w:rFonts w:hint="default" w:ascii="Times New Roman" w:hAnsi="Times New Roman" w:cs="Times New Roman"/>
          <w:b w:val="0"/>
          <w:bCs w:val="0"/>
          <w:color w:val="auto"/>
          <w:highlight w:val="none"/>
        </w:rPr>
        <w:fldChar w:fldCharType="begin"/>
      </w:r>
      <w:r>
        <w:rPr>
          <w:rFonts w:hint="default" w:ascii="Times New Roman" w:hAnsi="Times New Roman" w:cs="Times New Roman"/>
          <w:b w:val="0"/>
          <w:bCs w:val="0"/>
          <w:color w:val="auto"/>
          <w:highlight w:val="none"/>
        </w:rPr>
        <w:instrText xml:space="preserve"> PAGEREF _Toc28816 \h </w:instrText>
      </w:r>
      <w:r>
        <w:rPr>
          <w:rFonts w:hint="default" w:ascii="Times New Roman" w:hAnsi="Times New Roman" w:cs="Times New Roman"/>
          <w:b w:val="0"/>
          <w:bCs w:val="0"/>
          <w:color w:val="auto"/>
          <w:highlight w:val="none"/>
        </w:rPr>
        <w:fldChar w:fldCharType="separate"/>
      </w:r>
      <w:r>
        <w:rPr>
          <w:rFonts w:hint="default" w:ascii="Times New Roman" w:hAnsi="Times New Roman" w:cs="Times New Roman"/>
          <w:b w:val="0"/>
          <w:bCs w:val="0"/>
          <w:color w:val="auto"/>
          <w:highlight w:val="none"/>
        </w:rPr>
        <w:t>13</w:t>
      </w:r>
      <w:r>
        <w:rPr>
          <w:rFonts w:hint="default" w:ascii="Times New Roman" w:hAnsi="Times New Roman" w:cs="Times New Roman"/>
          <w:b w:val="0"/>
          <w:bCs w:val="0"/>
          <w:color w:val="auto"/>
          <w:highlight w:val="none"/>
        </w:rPr>
        <w:fldChar w:fldCharType="end"/>
      </w:r>
      <w:r>
        <w:rPr>
          <w:rFonts w:hint="default" w:ascii="Times New Roman" w:hAnsi="Times New Roman" w:eastAsia="宋体" w:cs="Times New Roman"/>
          <w:b w:val="0"/>
          <w:bCs w:val="0"/>
          <w:color w:val="auto"/>
          <w:highlight w:val="none"/>
        </w:rPr>
        <w:fldChar w:fldCharType="end"/>
      </w:r>
    </w:p>
    <w:p w14:paraId="411F4CD5">
      <w:pPr>
        <w:pStyle w:val="36"/>
        <w:tabs>
          <w:tab w:val="right" w:leader="dot" w:pos="8306"/>
        </w:tabs>
        <w:rPr>
          <w:rFonts w:hint="default" w:ascii="Times New Roman" w:hAnsi="Times New Roman" w:cs="Times New Roman"/>
          <w:b w:val="0"/>
          <w:bCs w:val="0"/>
          <w:color w:val="auto"/>
          <w:highlight w:val="none"/>
        </w:rPr>
      </w:pPr>
      <w:r>
        <w:rPr>
          <w:rFonts w:hint="default" w:ascii="Times New Roman" w:hAnsi="Times New Roman" w:eastAsia="宋体" w:cs="Times New Roman"/>
          <w:b w:val="0"/>
          <w:bCs w:val="0"/>
          <w:color w:val="auto"/>
          <w:highlight w:val="none"/>
        </w:rPr>
        <w:fldChar w:fldCharType="begin"/>
      </w:r>
      <w:r>
        <w:rPr>
          <w:rFonts w:hint="default" w:ascii="Times New Roman" w:hAnsi="Times New Roman" w:eastAsia="宋体" w:cs="Times New Roman"/>
          <w:b w:val="0"/>
          <w:bCs w:val="0"/>
          <w:color w:val="auto"/>
          <w:highlight w:val="none"/>
        </w:rPr>
        <w:instrText xml:space="preserve"> HYPERLINK \l _Toc18333 </w:instrText>
      </w:r>
      <w:r>
        <w:rPr>
          <w:rFonts w:hint="default" w:ascii="Times New Roman" w:hAnsi="Times New Roman" w:eastAsia="宋体" w:cs="Times New Roman"/>
          <w:b w:val="0"/>
          <w:bCs w:val="0"/>
          <w:color w:val="auto"/>
          <w:highlight w:val="none"/>
        </w:rPr>
        <w:fldChar w:fldCharType="separate"/>
      </w:r>
      <w:r>
        <w:rPr>
          <w:rFonts w:hint="default" w:ascii="Times New Roman" w:hAnsi="Times New Roman" w:eastAsia="宋体" w:cs="Times New Roman"/>
          <w:b w:val="0"/>
          <w:bCs w:val="0"/>
          <w:color w:val="auto"/>
          <w:highlight w:val="none"/>
        </w:rPr>
        <w:t>表 2-</w:t>
      </w:r>
      <w:r>
        <w:rPr>
          <w:rFonts w:hint="default" w:ascii="Times New Roman" w:hAnsi="Times New Roman" w:cs="Times New Roman"/>
          <w:b w:val="0"/>
          <w:bCs w:val="0"/>
          <w:color w:val="auto"/>
          <w:highlight w:val="none"/>
        </w:rPr>
        <w:t xml:space="preserve">2 </w:t>
      </w:r>
      <w:r>
        <w:rPr>
          <w:rFonts w:hint="default" w:ascii="Times New Roman" w:hAnsi="Times New Roman" w:eastAsia="宋体" w:cs="Times New Roman"/>
          <w:b w:val="0"/>
          <w:bCs w:val="0"/>
          <w:color w:val="auto"/>
          <w:highlight w:val="none"/>
        </w:rPr>
        <w:t>受益镇/街办基本情况</w:t>
      </w:r>
      <w:r>
        <w:rPr>
          <w:rFonts w:hint="default" w:ascii="Times New Roman" w:hAnsi="Times New Roman" w:cs="Times New Roman"/>
          <w:b w:val="0"/>
          <w:bCs w:val="0"/>
          <w:color w:val="auto"/>
          <w:highlight w:val="none"/>
        </w:rPr>
        <w:tab/>
      </w:r>
      <w:r>
        <w:rPr>
          <w:rFonts w:hint="default" w:ascii="Times New Roman" w:hAnsi="Times New Roman" w:cs="Times New Roman"/>
          <w:b w:val="0"/>
          <w:bCs w:val="0"/>
          <w:color w:val="auto"/>
          <w:highlight w:val="none"/>
        </w:rPr>
        <w:fldChar w:fldCharType="begin"/>
      </w:r>
      <w:r>
        <w:rPr>
          <w:rFonts w:hint="default" w:ascii="Times New Roman" w:hAnsi="Times New Roman" w:cs="Times New Roman"/>
          <w:b w:val="0"/>
          <w:bCs w:val="0"/>
          <w:color w:val="auto"/>
          <w:highlight w:val="none"/>
        </w:rPr>
        <w:instrText xml:space="preserve"> PAGEREF _Toc18333 \h </w:instrText>
      </w:r>
      <w:r>
        <w:rPr>
          <w:rFonts w:hint="default" w:ascii="Times New Roman" w:hAnsi="Times New Roman" w:cs="Times New Roman"/>
          <w:b w:val="0"/>
          <w:bCs w:val="0"/>
          <w:color w:val="auto"/>
          <w:highlight w:val="none"/>
        </w:rPr>
        <w:fldChar w:fldCharType="separate"/>
      </w:r>
      <w:r>
        <w:rPr>
          <w:rFonts w:hint="default" w:ascii="Times New Roman" w:hAnsi="Times New Roman" w:cs="Times New Roman"/>
          <w:b w:val="0"/>
          <w:bCs w:val="0"/>
          <w:color w:val="auto"/>
          <w:highlight w:val="none"/>
        </w:rPr>
        <w:t>15</w:t>
      </w:r>
      <w:r>
        <w:rPr>
          <w:rFonts w:hint="default" w:ascii="Times New Roman" w:hAnsi="Times New Roman" w:cs="Times New Roman"/>
          <w:b w:val="0"/>
          <w:bCs w:val="0"/>
          <w:color w:val="auto"/>
          <w:highlight w:val="none"/>
        </w:rPr>
        <w:fldChar w:fldCharType="end"/>
      </w:r>
      <w:r>
        <w:rPr>
          <w:rFonts w:hint="default" w:ascii="Times New Roman" w:hAnsi="Times New Roman" w:eastAsia="宋体" w:cs="Times New Roman"/>
          <w:b w:val="0"/>
          <w:bCs w:val="0"/>
          <w:color w:val="auto"/>
          <w:highlight w:val="none"/>
        </w:rPr>
        <w:fldChar w:fldCharType="end"/>
      </w:r>
    </w:p>
    <w:p w14:paraId="58C881A4">
      <w:pPr>
        <w:pStyle w:val="36"/>
        <w:tabs>
          <w:tab w:val="right" w:leader="dot" w:pos="8306"/>
        </w:tabs>
        <w:rPr>
          <w:rFonts w:hint="default" w:ascii="Times New Roman" w:hAnsi="Times New Roman" w:cs="Times New Roman"/>
          <w:b w:val="0"/>
          <w:bCs w:val="0"/>
          <w:color w:val="auto"/>
          <w:highlight w:val="none"/>
        </w:rPr>
      </w:pPr>
      <w:r>
        <w:rPr>
          <w:rFonts w:hint="default" w:ascii="Times New Roman" w:hAnsi="Times New Roman" w:eastAsia="宋体" w:cs="Times New Roman"/>
          <w:b w:val="0"/>
          <w:bCs w:val="0"/>
          <w:color w:val="auto"/>
          <w:highlight w:val="none"/>
        </w:rPr>
        <w:fldChar w:fldCharType="begin"/>
      </w:r>
      <w:r>
        <w:rPr>
          <w:rFonts w:hint="default" w:ascii="Times New Roman" w:hAnsi="Times New Roman" w:eastAsia="宋体" w:cs="Times New Roman"/>
          <w:b w:val="0"/>
          <w:bCs w:val="0"/>
          <w:color w:val="auto"/>
          <w:highlight w:val="none"/>
        </w:rPr>
        <w:instrText xml:space="preserve"> HYPERLINK \l _Toc1531 </w:instrText>
      </w:r>
      <w:r>
        <w:rPr>
          <w:rFonts w:hint="default" w:ascii="Times New Roman" w:hAnsi="Times New Roman" w:eastAsia="宋体" w:cs="Times New Roman"/>
          <w:b w:val="0"/>
          <w:bCs w:val="0"/>
          <w:color w:val="auto"/>
          <w:highlight w:val="none"/>
        </w:rPr>
        <w:fldChar w:fldCharType="separate"/>
      </w:r>
      <w:r>
        <w:rPr>
          <w:rFonts w:hint="default" w:ascii="Times New Roman" w:hAnsi="Times New Roman" w:eastAsia="宋体" w:cs="Times New Roman"/>
          <w:b w:val="0"/>
          <w:bCs w:val="0"/>
          <w:color w:val="auto"/>
          <w:highlight w:val="none"/>
        </w:rPr>
        <w:t>表 2-</w:t>
      </w:r>
      <w:r>
        <w:rPr>
          <w:rFonts w:hint="default" w:ascii="Times New Roman" w:hAnsi="Times New Roman" w:cs="Times New Roman"/>
          <w:b w:val="0"/>
          <w:bCs w:val="0"/>
          <w:color w:val="auto"/>
          <w:highlight w:val="none"/>
        </w:rPr>
        <w:t xml:space="preserve">3 </w:t>
      </w:r>
      <w:r>
        <w:rPr>
          <w:rFonts w:hint="default" w:ascii="Times New Roman" w:hAnsi="Times New Roman" w:eastAsia="宋体" w:cs="Times New Roman"/>
          <w:b w:val="0"/>
          <w:bCs w:val="0"/>
          <w:color w:val="auto"/>
          <w:highlight w:val="none"/>
        </w:rPr>
        <w:t>直接受益村/社区基本情况</w:t>
      </w:r>
      <w:r>
        <w:rPr>
          <w:rFonts w:hint="default" w:ascii="Times New Roman" w:hAnsi="Times New Roman" w:cs="Times New Roman"/>
          <w:b w:val="0"/>
          <w:bCs w:val="0"/>
          <w:color w:val="auto"/>
          <w:highlight w:val="none"/>
        </w:rPr>
        <w:tab/>
      </w:r>
      <w:r>
        <w:rPr>
          <w:rFonts w:hint="default" w:ascii="Times New Roman" w:hAnsi="Times New Roman" w:cs="Times New Roman"/>
          <w:b w:val="0"/>
          <w:bCs w:val="0"/>
          <w:color w:val="auto"/>
          <w:highlight w:val="none"/>
        </w:rPr>
        <w:fldChar w:fldCharType="begin"/>
      </w:r>
      <w:r>
        <w:rPr>
          <w:rFonts w:hint="default" w:ascii="Times New Roman" w:hAnsi="Times New Roman" w:cs="Times New Roman"/>
          <w:b w:val="0"/>
          <w:bCs w:val="0"/>
          <w:color w:val="auto"/>
          <w:highlight w:val="none"/>
        </w:rPr>
        <w:instrText xml:space="preserve"> PAGEREF _Toc1531 \h </w:instrText>
      </w:r>
      <w:r>
        <w:rPr>
          <w:rFonts w:hint="default" w:ascii="Times New Roman" w:hAnsi="Times New Roman" w:cs="Times New Roman"/>
          <w:b w:val="0"/>
          <w:bCs w:val="0"/>
          <w:color w:val="auto"/>
          <w:highlight w:val="none"/>
        </w:rPr>
        <w:fldChar w:fldCharType="separate"/>
      </w:r>
      <w:r>
        <w:rPr>
          <w:rFonts w:hint="default" w:ascii="Times New Roman" w:hAnsi="Times New Roman" w:cs="Times New Roman"/>
          <w:b w:val="0"/>
          <w:bCs w:val="0"/>
          <w:color w:val="auto"/>
          <w:highlight w:val="none"/>
        </w:rPr>
        <w:t>15</w:t>
      </w:r>
      <w:r>
        <w:rPr>
          <w:rFonts w:hint="default" w:ascii="Times New Roman" w:hAnsi="Times New Roman" w:cs="Times New Roman"/>
          <w:b w:val="0"/>
          <w:bCs w:val="0"/>
          <w:color w:val="auto"/>
          <w:highlight w:val="none"/>
        </w:rPr>
        <w:fldChar w:fldCharType="end"/>
      </w:r>
      <w:r>
        <w:rPr>
          <w:rFonts w:hint="default" w:ascii="Times New Roman" w:hAnsi="Times New Roman" w:eastAsia="宋体" w:cs="Times New Roman"/>
          <w:b w:val="0"/>
          <w:bCs w:val="0"/>
          <w:color w:val="auto"/>
          <w:highlight w:val="none"/>
        </w:rPr>
        <w:fldChar w:fldCharType="end"/>
      </w:r>
    </w:p>
    <w:p w14:paraId="061F708E">
      <w:pPr>
        <w:pStyle w:val="36"/>
        <w:tabs>
          <w:tab w:val="right" w:leader="dot" w:pos="8306"/>
        </w:tabs>
        <w:rPr>
          <w:rFonts w:hint="default" w:ascii="Times New Roman" w:hAnsi="Times New Roman" w:cs="Times New Roman"/>
          <w:b w:val="0"/>
          <w:bCs w:val="0"/>
          <w:color w:val="auto"/>
          <w:highlight w:val="none"/>
        </w:rPr>
      </w:pPr>
      <w:r>
        <w:rPr>
          <w:rFonts w:hint="default" w:ascii="Times New Roman" w:hAnsi="Times New Roman" w:eastAsia="宋体" w:cs="Times New Roman"/>
          <w:b w:val="0"/>
          <w:bCs w:val="0"/>
          <w:color w:val="auto"/>
          <w:highlight w:val="none"/>
        </w:rPr>
        <w:fldChar w:fldCharType="begin"/>
      </w:r>
      <w:r>
        <w:rPr>
          <w:rFonts w:hint="default" w:ascii="Times New Roman" w:hAnsi="Times New Roman" w:eastAsia="宋体" w:cs="Times New Roman"/>
          <w:b w:val="0"/>
          <w:bCs w:val="0"/>
          <w:color w:val="auto"/>
          <w:highlight w:val="none"/>
        </w:rPr>
        <w:instrText xml:space="preserve"> HYPERLINK \l _Toc32763 </w:instrText>
      </w:r>
      <w:r>
        <w:rPr>
          <w:rFonts w:hint="default" w:ascii="Times New Roman" w:hAnsi="Times New Roman" w:eastAsia="宋体" w:cs="Times New Roman"/>
          <w:b w:val="0"/>
          <w:bCs w:val="0"/>
          <w:color w:val="auto"/>
          <w:highlight w:val="none"/>
        </w:rPr>
        <w:fldChar w:fldCharType="separate"/>
      </w:r>
      <w:r>
        <w:rPr>
          <w:rFonts w:hint="default" w:ascii="Times New Roman" w:hAnsi="Times New Roman" w:eastAsia="宋体" w:cs="Times New Roman"/>
          <w:b w:val="0"/>
          <w:bCs w:val="0"/>
          <w:color w:val="auto"/>
          <w:highlight w:val="none"/>
        </w:rPr>
        <w:t>表 2-</w:t>
      </w:r>
      <w:r>
        <w:rPr>
          <w:rFonts w:hint="default" w:ascii="Times New Roman" w:hAnsi="Times New Roman" w:cs="Times New Roman"/>
          <w:b w:val="0"/>
          <w:bCs w:val="0"/>
          <w:color w:val="auto"/>
          <w:highlight w:val="none"/>
        </w:rPr>
        <w:t xml:space="preserve">4 </w:t>
      </w:r>
      <w:r>
        <w:rPr>
          <w:rFonts w:hint="default" w:ascii="Times New Roman" w:hAnsi="Times New Roman" w:eastAsia="宋体" w:cs="Times New Roman"/>
          <w:b w:val="0"/>
          <w:bCs w:val="0"/>
          <w:color w:val="auto"/>
          <w:highlight w:val="none"/>
        </w:rPr>
        <w:t>问卷调查区域分布及数量</w:t>
      </w:r>
      <w:r>
        <w:rPr>
          <w:rFonts w:hint="default" w:ascii="Times New Roman" w:hAnsi="Times New Roman" w:cs="Times New Roman"/>
          <w:b w:val="0"/>
          <w:bCs w:val="0"/>
          <w:color w:val="auto"/>
          <w:highlight w:val="none"/>
        </w:rPr>
        <w:tab/>
      </w:r>
      <w:r>
        <w:rPr>
          <w:rFonts w:hint="default" w:ascii="Times New Roman" w:hAnsi="Times New Roman" w:cs="Times New Roman"/>
          <w:b w:val="0"/>
          <w:bCs w:val="0"/>
          <w:color w:val="auto"/>
          <w:highlight w:val="none"/>
        </w:rPr>
        <w:fldChar w:fldCharType="begin"/>
      </w:r>
      <w:r>
        <w:rPr>
          <w:rFonts w:hint="default" w:ascii="Times New Roman" w:hAnsi="Times New Roman" w:cs="Times New Roman"/>
          <w:b w:val="0"/>
          <w:bCs w:val="0"/>
          <w:color w:val="auto"/>
          <w:highlight w:val="none"/>
        </w:rPr>
        <w:instrText xml:space="preserve"> PAGEREF _Toc32763 \h </w:instrText>
      </w:r>
      <w:r>
        <w:rPr>
          <w:rFonts w:hint="default" w:ascii="Times New Roman" w:hAnsi="Times New Roman" w:cs="Times New Roman"/>
          <w:b w:val="0"/>
          <w:bCs w:val="0"/>
          <w:color w:val="auto"/>
          <w:highlight w:val="none"/>
        </w:rPr>
        <w:fldChar w:fldCharType="separate"/>
      </w:r>
      <w:r>
        <w:rPr>
          <w:rFonts w:hint="default" w:ascii="Times New Roman" w:hAnsi="Times New Roman" w:cs="Times New Roman"/>
          <w:b w:val="0"/>
          <w:bCs w:val="0"/>
          <w:color w:val="auto"/>
          <w:highlight w:val="none"/>
        </w:rPr>
        <w:t>16</w:t>
      </w:r>
      <w:r>
        <w:rPr>
          <w:rFonts w:hint="default" w:ascii="Times New Roman" w:hAnsi="Times New Roman" w:cs="Times New Roman"/>
          <w:b w:val="0"/>
          <w:bCs w:val="0"/>
          <w:color w:val="auto"/>
          <w:highlight w:val="none"/>
        </w:rPr>
        <w:fldChar w:fldCharType="end"/>
      </w:r>
      <w:r>
        <w:rPr>
          <w:rFonts w:hint="default" w:ascii="Times New Roman" w:hAnsi="Times New Roman" w:eastAsia="宋体" w:cs="Times New Roman"/>
          <w:b w:val="0"/>
          <w:bCs w:val="0"/>
          <w:color w:val="auto"/>
          <w:highlight w:val="none"/>
        </w:rPr>
        <w:fldChar w:fldCharType="end"/>
      </w:r>
    </w:p>
    <w:p w14:paraId="6795BBFF">
      <w:pPr>
        <w:pStyle w:val="36"/>
        <w:tabs>
          <w:tab w:val="right" w:leader="dot" w:pos="8306"/>
        </w:tabs>
        <w:rPr>
          <w:rFonts w:hint="default" w:ascii="Times New Roman" w:hAnsi="Times New Roman" w:cs="Times New Roman"/>
          <w:b w:val="0"/>
          <w:bCs w:val="0"/>
          <w:color w:val="auto"/>
          <w:highlight w:val="none"/>
        </w:rPr>
      </w:pPr>
      <w:r>
        <w:rPr>
          <w:rFonts w:hint="default" w:ascii="Times New Roman" w:hAnsi="Times New Roman" w:eastAsia="宋体" w:cs="Times New Roman"/>
          <w:b w:val="0"/>
          <w:bCs w:val="0"/>
          <w:color w:val="auto"/>
          <w:highlight w:val="none"/>
        </w:rPr>
        <w:fldChar w:fldCharType="begin"/>
      </w:r>
      <w:r>
        <w:rPr>
          <w:rFonts w:hint="default" w:ascii="Times New Roman" w:hAnsi="Times New Roman" w:eastAsia="宋体" w:cs="Times New Roman"/>
          <w:b w:val="0"/>
          <w:bCs w:val="0"/>
          <w:color w:val="auto"/>
          <w:highlight w:val="none"/>
        </w:rPr>
        <w:instrText xml:space="preserve"> HYPERLINK \l _Toc3814 </w:instrText>
      </w:r>
      <w:r>
        <w:rPr>
          <w:rFonts w:hint="default" w:ascii="Times New Roman" w:hAnsi="Times New Roman" w:eastAsia="宋体" w:cs="Times New Roman"/>
          <w:b w:val="0"/>
          <w:bCs w:val="0"/>
          <w:color w:val="auto"/>
          <w:highlight w:val="none"/>
        </w:rPr>
        <w:fldChar w:fldCharType="separate"/>
      </w:r>
      <w:r>
        <w:rPr>
          <w:rFonts w:hint="default" w:ascii="Times New Roman" w:hAnsi="Times New Roman" w:eastAsia="宋体" w:cs="Times New Roman"/>
          <w:b w:val="0"/>
          <w:bCs w:val="0"/>
          <w:color w:val="auto"/>
          <w:highlight w:val="none"/>
        </w:rPr>
        <w:t>表 2-</w:t>
      </w:r>
      <w:r>
        <w:rPr>
          <w:rFonts w:hint="default" w:ascii="Times New Roman" w:hAnsi="Times New Roman" w:cs="Times New Roman"/>
          <w:b w:val="0"/>
          <w:bCs w:val="0"/>
          <w:color w:val="auto"/>
          <w:highlight w:val="none"/>
        </w:rPr>
        <w:t xml:space="preserve">5 </w:t>
      </w:r>
      <w:r>
        <w:rPr>
          <w:rFonts w:hint="default" w:ascii="Times New Roman" w:hAnsi="Times New Roman" w:eastAsia="宋体" w:cs="Times New Roman"/>
          <w:b w:val="0"/>
          <w:bCs w:val="0"/>
          <w:color w:val="auto"/>
          <w:highlight w:val="none"/>
        </w:rPr>
        <w:t>调查问卷分性别统计结果</w:t>
      </w:r>
      <w:r>
        <w:rPr>
          <w:rFonts w:hint="default" w:ascii="Times New Roman" w:hAnsi="Times New Roman" w:cs="Times New Roman"/>
          <w:b w:val="0"/>
          <w:bCs w:val="0"/>
          <w:color w:val="auto"/>
          <w:highlight w:val="none"/>
        </w:rPr>
        <w:tab/>
      </w:r>
      <w:r>
        <w:rPr>
          <w:rFonts w:hint="default" w:ascii="Times New Roman" w:hAnsi="Times New Roman" w:cs="Times New Roman"/>
          <w:b w:val="0"/>
          <w:bCs w:val="0"/>
          <w:color w:val="auto"/>
          <w:highlight w:val="none"/>
        </w:rPr>
        <w:fldChar w:fldCharType="begin"/>
      </w:r>
      <w:r>
        <w:rPr>
          <w:rFonts w:hint="default" w:ascii="Times New Roman" w:hAnsi="Times New Roman" w:cs="Times New Roman"/>
          <w:b w:val="0"/>
          <w:bCs w:val="0"/>
          <w:color w:val="auto"/>
          <w:highlight w:val="none"/>
        </w:rPr>
        <w:instrText xml:space="preserve"> PAGEREF _Toc3814 \h </w:instrText>
      </w:r>
      <w:r>
        <w:rPr>
          <w:rFonts w:hint="default" w:ascii="Times New Roman" w:hAnsi="Times New Roman" w:cs="Times New Roman"/>
          <w:b w:val="0"/>
          <w:bCs w:val="0"/>
          <w:color w:val="auto"/>
          <w:highlight w:val="none"/>
        </w:rPr>
        <w:fldChar w:fldCharType="separate"/>
      </w:r>
      <w:r>
        <w:rPr>
          <w:rFonts w:hint="default" w:ascii="Times New Roman" w:hAnsi="Times New Roman" w:cs="Times New Roman"/>
          <w:b w:val="0"/>
          <w:bCs w:val="0"/>
          <w:color w:val="auto"/>
          <w:highlight w:val="none"/>
        </w:rPr>
        <w:t>20</w:t>
      </w:r>
      <w:r>
        <w:rPr>
          <w:rFonts w:hint="default" w:ascii="Times New Roman" w:hAnsi="Times New Roman" w:cs="Times New Roman"/>
          <w:b w:val="0"/>
          <w:bCs w:val="0"/>
          <w:color w:val="auto"/>
          <w:highlight w:val="none"/>
        </w:rPr>
        <w:fldChar w:fldCharType="end"/>
      </w:r>
      <w:r>
        <w:rPr>
          <w:rFonts w:hint="default" w:ascii="Times New Roman" w:hAnsi="Times New Roman" w:eastAsia="宋体" w:cs="Times New Roman"/>
          <w:b w:val="0"/>
          <w:bCs w:val="0"/>
          <w:color w:val="auto"/>
          <w:highlight w:val="none"/>
        </w:rPr>
        <w:fldChar w:fldCharType="end"/>
      </w:r>
    </w:p>
    <w:p w14:paraId="3985A830">
      <w:pPr>
        <w:pStyle w:val="36"/>
        <w:tabs>
          <w:tab w:val="right" w:leader="dot" w:pos="8306"/>
        </w:tabs>
        <w:rPr>
          <w:rFonts w:hint="default" w:ascii="Times New Roman" w:hAnsi="Times New Roman" w:cs="Times New Roman"/>
          <w:b w:val="0"/>
          <w:bCs w:val="0"/>
          <w:color w:val="auto"/>
          <w:highlight w:val="none"/>
        </w:rPr>
      </w:pPr>
      <w:r>
        <w:rPr>
          <w:rFonts w:hint="default" w:ascii="Times New Roman" w:hAnsi="Times New Roman" w:eastAsia="宋体" w:cs="Times New Roman"/>
          <w:b w:val="0"/>
          <w:bCs w:val="0"/>
          <w:color w:val="auto"/>
          <w:highlight w:val="none"/>
        </w:rPr>
        <w:fldChar w:fldCharType="begin"/>
      </w:r>
      <w:r>
        <w:rPr>
          <w:rFonts w:hint="default" w:ascii="Times New Roman" w:hAnsi="Times New Roman" w:eastAsia="宋体" w:cs="Times New Roman"/>
          <w:b w:val="0"/>
          <w:bCs w:val="0"/>
          <w:color w:val="auto"/>
          <w:highlight w:val="none"/>
        </w:rPr>
        <w:instrText xml:space="preserve"> HYPERLINK \l _Toc27581 </w:instrText>
      </w:r>
      <w:r>
        <w:rPr>
          <w:rFonts w:hint="default" w:ascii="Times New Roman" w:hAnsi="Times New Roman" w:eastAsia="宋体" w:cs="Times New Roman"/>
          <w:b w:val="0"/>
          <w:bCs w:val="0"/>
          <w:color w:val="auto"/>
          <w:highlight w:val="none"/>
        </w:rPr>
        <w:fldChar w:fldCharType="separate"/>
      </w:r>
      <w:r>
        <w:rPr>
          <w:rFonts w:hint="default" w:ascii="Times New Roman" w:hAnsi="Times New Roman" w:eastAsia="宋体" w:cs="Times New Roman"/>
          <w:b w:val="0"/>
          <w:bCs w:val="0"/>
          <w:color w:val="auto"/>
          <w:highlight w:val="none"/>
        </w:rPr>
        <w:t>表 3</w:t>
      </w:r>
      <w:r>
        <w:rPr>
          <w:rFonts w:hint="default" w:ascii="Times New Roman" w:hAnsi="Times New Roman" w:eastAsia="宋体" w:cs="Times New Roman"/>
          <w:b w:val="0"/>
          <w:bCs w:val="0"/>
          <w:color w:val="auto"/>
          <w:highlight w:val="none"/>
        </w:rPr>
        <w:noBreakHyphen/>
      </w:r>
      <w:r>
        <w:rPr>
          <w:rFonts w:hint="default" w:ascii="Times New Roman" w:hAnsi="Times New Roman" w:cs="Times New Roman"/>
          <w:b w:val="0"/>
          <w:bCs w:val="0"/>
          <w:color w:val="auto"/>
          <w:highlight w:val="none"/>
        </w:rPr>
        <w:t>1</w:t>
      </w:r>
      <w:r>
        <w:rPr>
          <w:rFonts w:hint="default" w:ascii="Times New Roman" w:hAnsi="Times New Roman" w:eastAsia="宋体" w:cs="Times New Roman"/>
          <w:b w:val="0"/>
          <w:bCs w:val="0"/>
          <w:color w:val="auto"/>
          <w:highlight w:val="none"/>
        </w:rPr>
        <w:t>项目社会标准相关性分析</w:t>
      </w:r>
      <w:r>
        <w:rPr>
          <w:rFonts w:hint="default" w:ascii="Times New Roman" w:hAnsi="Times New Roman" w:cs="Times New Roman"/>
          <w:b w:val="0"/>
          <w:bCs w:val="0"/>
          <w:color w:val="auto"/>
          <w:highlight w:val="none"/>
        </w:rPr>
        <w:tab/>
      </w:r>
      <w:r>
        <w:rPr>
          <w:rFonts w:hint="default" w:ascii="Times New Roman" w:hAnsi="Times New Roman" w:cs="Times New Roman"/>
          <w:b w:val="0"/>
          <w:bCs w:val="0"/>
          <w:color w:val="auto"/>
          <w:highlight w:val="none"/>
        </w:rPr>
        <w:fldChar w:fldCharType="begin"/>
      </w:r>
      <w:r>
        <w:rPr>
          <w:rFonts w:hint="default" w:ascii="Times New Roman" w:hAnsi="Times New Roman" w:cs="Times New Roman"/>
          <w:b w:val="0"/>
          <w:bCs w:val="0"/>
          <w:color w:val="auto"/>
          <w:highlight w:val="none"/>
        </w:rPr>
        <w:instrText xml:space="preserve"> PAGEREF _Toc27581 \h </w:instrText>
      </w:r>
      <w:r>
        <w:rPr>
          <w:rFonts w:hint="default" w:ascii="Times New Roman" w:hAnsi="Times New Roman" w:cs="Times New Roman"/>
          <w:b w:val="0"/>
          <w:bCs w:val="0"/>
          <w:color w:val="auto"/>
          <w:highlight w:val="none"/>
        </w:rPr>
        <w:fldChar w:fldCharType="separate"/>
      </w:r>
      <w:r>
        <w:rPr>
          <w:rFonts w:hint="default" w:ascii="Times New Roman" w:hAnsi="Times New Roman" w:cs="Times New Roman"/>
          <w:b w:val="0"/>
          <w:bCs w:val="0"/>
          <w:color w:val="auto"/>
          <w:highlight w:val="none"/>
        </w:rPr>
        <w:t>25</w:t>
      </w:r>
      <w:r>
        <w:rPr>
          <w:rFonts w:hint="default" w:ascii="Times New Roman" w:hAnsi="Times New Roman" w:cs="Times New Roman"/>
          <w:b w:val="0"/>
          <w:bCs w:val="0"/>
          <w:color w:val="auto"/>
          <w:highlight w:val="none"/>
        </w:rPr>
        <w:fldChar w:fldCharType="end"/>
      </w:r>
      <w:r>
        <w:rPr>
          <w:rFonts w:hint="default" w:ascii="Times New Roman" w:hAnsi="Times New Roman" w:eastAsia="宋体" w:cs="Times New Roman"/>
          <w:b w:val="0"/>
          <w:bCs w:val="0"/>
          <w:color w:val="auto"/>
          <w:highlight w:val="none"/>
        </w:rPr>
        <w:fldChar w:fldCharType="end"/>
      </w:r>
    </w:p>
    <w:p w14:paraId="7903BBE4">
      <w:pPr>
        <w:pStyle w:val="36"/>
        <w:tabs>
          <w:tab w:val="right" w:leader="dot" w:pos="8306"/>
        </w:tabs>
        <w:rPr>
          <w:rFonts w:hint="default" w:ascii="Times New Roman" w:hAnsi="Times New Roman" w:cs="Times New Roman"/>
          <w:b w:val="0"/>
          <w:bCs w:val="0"/>
          <w:color w:val="auto"/>
          <w:highlight w:val="none"/>
        </w:rPr>
      </w:pPr>
      <w:r>
        <w:rPr>
          <w:rFonts w:hint="default" w:ascii="Times New Roman" w:hAnsi="Times New Roman" w:eastAsia="宋体" w:cs="Times New Roman"/>
          <w:b w:val="0"/>
          <w:bCs w:val="0"/>
          <w:color w:val="auto"/>
          <w:highlight w:val="none"/>
        </w:rPr>
        <w:fldChar w:fldCharType="begin"/>
      </w:r>
      <w:r>
        <w:rPr>
          <w:rFonts w:hint="default" w:ascii="Times New Roman" w:hAnsi="Times New Roman" w:eastAsia="宋体" w:cs="Times New Roman"/>
          <w:b w:val="0"/>
          <w:bCs w:val="0"/>
          <w:color w:val="auto"/>
          <w:highlight w:val="none"/>
        </w:rPr>
        <w:instrText xml:space="preserve"> HYPERLINK \l _Toc31048 </w:instrText>
      </w:r>
      <w:r>
        <w:rPr>
          <w:rFonts w:hint="default" w:ascii="Times New Roman" w:hAnsi="Times New Roman" w:eastAsia="宋体" w:cs="Times New Roman"/>
          <w:b w:val="0"/>
          <w:bCs w:val="0"/>
          <w:color w:val="auto"/>
          <w:highlight w:val="none"/>
        </w:rPr>
        <w:fldChar w:fldCharType="separate"/>
      </w:r>
      <w:r>
        <w:rPr>
          <w:rFonts w:hint="default" w:ascii="Times New Roman" w:hAnsi="Times New Roman" w:eastAsia="宋体" w:cs="Times New Roman"/>
          <w:b w:val="0"/>
          <w:bCs w:val="0"/>
          <w:color w:val="auto"/>
          <w:highlight w:val="none"/>
        </w:rPr>
        <w:t>表 3-</w:t>
      </w:r>
      <w:r>
        <w:rPr>
          <w:rFonts w:hint="default" w:ascii="Times New Roman" w:hAnsi="Times New Roman" w:cs="Times New Roman"/>
          <w:b w:val="0"/>
          <w:bCs w:val="0"/>
          <w:color w:val="auto"/>
          <w:highlight w:val="none"/>
        </w:rPr>
        <w:t xml:space="preserve">2 </w:t>
      </w:r>
      <w:r>
        <w:rPr>
          <w:rFonts w:hint="default" w:ascii="Times New Roman" w:hAnsi="Times New Roman" w:eastAsia="宋体" w:cs="Times New Roman"/>
          <w:b w:val="0"/>
          <w:bCs w:val="0"/>
          <w:color w:val="auto"/>
          <w:highlight w:val="none"/>
        </w:rPr>
        <w:t>社会风险管理法律框架</w:t>
      </w:r>
      <w:r>
        <w:rPr>
          <w:rFonts w:hint="default" w:ascii="Times New Roman" w:hAnsi="Times New Roman" w:cs="Times New Roman"/>
          <w:b w:val="0"/>
          <w:bCs w:val="0"/>
          <w:color w:val="auto"/>
          <w:highlight w:val="none"/>
        </w:rPr>
        <w:tab/>
      </w:r>
      <w:r>
        <w:rPr>
          <w:rFonts w:hint="default" w:ascii="Times New Roman" w:hAnsi="Times New Roman" w:cs="Times New Roman"/>
          <w:b w:val="0"/>
          <w:bCs w:val="0"/>
          <w:color w:val="auto"/>
          <w:highlight w:val="none"/>
        </w:rPr>
        <w:fldChar w:fldCharType="begin"/>
      </w:r>
      <w:r>
        <w:rPr>
          <w:rFonts w:hint="default" w:ascii="Times New Roman" w:hAnsi="Times New Roman" w:cs="Times New Roman"/>
          <w:b w:val="0"/>
          <w:bCs w:val="0"/>
          <w:color w:val="auto"/>
          <w:highlight w:val="none"/>
        </w:rPr>
        <w:instrText xml:space="preserve"> PAGEREF _Toc31048 \h </w:instrText>
      </w:r>
      <w:r>
        <w:rPr>
          <w:rFonts w:hint="default" w:ascii="Times New Roman" w:hAnsi="Times New Roman" w:cs="Times New Roman"/>
          <w:b w:val="0"/>
          <w:bCs w:val="0"/>
          <w:color w:val="auto"/>
          <w:highlight w:val="none"/>
        </w:rPr>
        <w:fldChar w:fldCharType="separate"/>
      </w:r>
      <w:r>
        <w:rPr>
          <w:rFonts w:hint="default" w:ascii="Times New Roman" w:hAnsi="Times New Roman" w:cs="Times New Roman"/>
          <w:b w:val="0"/>
          <w:bCs w:val="0"/>
          <w:color w:val="auto"/>
          <w:highlight w:val="none"/>
        </w:rPr>
        <w:t>27</w:t>
      </w:r>
      <w:r>
        <w:rPr>
          <w:rFonts w:hint="default" w:ascii="Times New Roman" w:hAnsi="Times New Roman" w:cs="Times New Roman"/>
          <w:b w:val="0"/>
          <w:bCs w:val="0"/>
          <w:color w:val="auto"/>
          <w:highlight w:val="none"/>
        </w:rPr>
        <w:fldChar w:fldCharType="end"/>
      </w:r>
      <w:r>
        <w:rPr>
          <w:rFonts w:hint="default" w:ascii="Times New Roman" w:hAnsi="Times New Roman" w:eastAsia="宋体" w:cs="Times New Roman"/>
          <w:b w:val="0"/>
          <w:bCs w:val="0"/>
          <w:color w:val="auto"/>
          <w:highlight w:val="none"/>
        </w:rPr>
        <w:fldChar w:fldCharType="end"/>
      </w:r>
    </w:p>
    <w:p w14:paraId="60ACC7C2">
      <w:pPr>
        <w:pStyle w:val="36"/>
        <w:tabs>
          <w:tab w:val="right" w:leader="dot" w:pos="8306"/>
        </w:tabs>
        <w:rPr>
          <w:rFonts w:hint="default" w:ascii="Times New Roman" w:hAnsi="Times New Roman" w:cs="Times New Roman"/>
          <w:b w:val="0"/>
          <w:bCs w:val="0"/>
          <w:color w:val="auto"/>
          <w:highlight w:val="none"/>
        </w:rPr>
      </w:pPr>
      <w:r>
        <w:rPr>
          <w:rFonts w:hint="default" w:ascii="Times New Roman" w:hAnsi="Times New Roman" w:eastAsia="宋体" w:cs="Times New Roman"/>
          <w:b w:val="0"/>
          <w:bCs w:val="0"/>
          <w:color w:val="auto"/>
          <w:highlight w:val="none"/>
        </w:rPr>
        <w:fldChar w:fldCharType="begin"/>
      </w:r>
      <w:r>
        <w:rPr>
          <w:rFonts w:hint="default" w:ascii="Times New Roman" w:hAnsi="Times New Roman" w:eastAsia="宋体" w:cs="Times New Roman"/>
          <w:b w:val="0"/>
          <w:bCs w:val="0"/>
          <w:color w:val="auto"/>
          <w:highlight w:val="none"/>
        </w:rPr>
        <w:instrText xml:space="preserve"> HYPERLINK \l _Toc16180 </w:instrText>
      </w:r>
      <w:r>
        <w:rPr>
          <w:rFonts w:hint="default" w:ascii="Times New Roman" w:hAnsi="Times New Roman" w:eastAsia="宋体" w:cs="Times New Roman"/>
          <w:b w:val="0"/>
          <w:bCs w:val="0"/>
          <w:color w:val="auto"/>
          <w:highlight w:val="none"/>
        </w:rPr>
        <w:fldChar w:fldCharType="separate"/>
      </w:r>
      <w:r>
        <w:rPr>
          <w:rFonts w:hint="default" w:ascii="Times New Roman" w:hAnsi="Times New Roman" w:eastAsia="宋体" w:cs="Times New Roman"/>
          <w:b w:val="0"/>
          <w:bCs w:val="0"/>
          <w:color w:val="auto"/>
          <w:highlight w:val="none"/>
        </w:rPr>
        <w:t>表 3-</w:t>
      </w:r>
      <w:r>
        <w:rPr>
          <w:rFonts w:hint="default" w:ascii="Times New Roman" w:hAnsi="Times New Roman" w:cs="Times New Roman"/>
          <w:b w:val="0"/>
          <w:bCs w:val="0"/>
          <w:color w:val="auto"/>
          <w:highlight w:val="none"/>
        </w:rPr>
        <w:t xml:space="preserve">3 </w:t>
      </w:r>
      <w:r>
        <w:rPr>
          <w:rFonts w:hint="default" w:ascii="Times New Roman" w:hAnsi="Times New Roman" w:eastAsia="宋体" w:cs="Times New Roman"/>
          <w:b w:val="0"/>
          <w:bCs w:val="0"/>
          <w:color w:val="auto"/>
          <w:highlight w:val="none"/>
        </w:rPr>
        <w:t>中国批准的国际劳动组织公约（生效）清单</w:t>
      </w:r>
      <w:r>
        <w:rPr>
          <w:rFonts w:hint="default" w:ascii="Times New Roman" w:hAnsi="Times New Roman" w:cs="Times New Roman"/>
          <w:b w:val="0"/>
          <w:bCs w:val="0"/>
          <w:color w:val="auto"/>
          <w:highlight w:val="none"/>
        </w:rPr>
        <w:tab/>
      </w:r>
      <w:r>
        <w:rPr>
          <w:rFonts w:hint="default" w:ascii="Times New Roman" w:hAnsi="Times New Roman" w:cs="Times New Roman"/>
          <w:b w:val="0"/>
          <w:bCs w:val="0"/>
          <w:color w:val="auto"/>
          <w:highlight w:val="none"/>
        </w:rPr>
        <w:fldChar w:fldCharType="begin"/>
      </w:r>
      <w:r>
        <w:rPr>
          <w:rFonts w:hint="default" w:ascii="Times New Roman" w:hAnsi="Times New Roman" w:cs="Times New Roman"/>
          <w:b w:val="0"/>
          <w:bCs w:val="0"/>
          <w:color w:val="auto"/>
          <w:highlight w:val="none"/>
        </w:rPr>
        <w:instrText xml:space="preserve"> PAGEREF _Toc16180 \h </w:instrText>
      </w:r>
      <w:r>
        <w:rPr>
          <w:rFonts w:hint="default" w:ascii="Times New Roman" w:hAnsi="Times New Roman" w:cs="Times New Roman"/>
          <w:b w:val="0"/>
          <w:bCs w:val="0"/>
          <w:color w:val="auto"/>
          <w:highlight w:val="none"/>
        </w:rPr>
        <w:fldChar w:fldCharType="separate"/>
      </w:r>
      <w:r>
        <w:rPr>
          <w:rFonts w:hint="default" w:ascii="Times New Roman" w:hAnsi="Times New Roman" w:cs="Times New Roman"/>
          <w:b w:val="0"/>
          <w:bCs w:val="0"/>
          <w:color w:val="auto"/>
          <w:highlight w:val="none"/>
        </w:rPr>
        <w:t>27</w:t>
      </w:r>
      <w:r>
        <w:rPr>
          <w:rFonts w:hint="default" w:ascii="Times New Roman" w:hAnsi="Times New Roman" w:cs="Times New Roman"/>
          <w:b w:val="0"/>
          <w:bCs w:val="0"/>
          <w:color w:val="auto"/>
          <w:highlight w:val="none"/>
        </w:rPr>
        <w:fldChar w:fldCharType="end"/>
      </w:r>
      <w:r>
        <w:rPr>
          <w:rFonts w:hint="default" w:ascii="Times New Roman" w:hAnsi="Times New Roman" w:eastAsia="宋体" w:cs="Times New Roman"/>
          <w:b w:val="0"/>
          <w:bCs w:val="0"/>
          <w:color w:val="auto"/>
          <w:highlight w:val="none"/>
        </w:rPr>
        <w:fldChar w:fldCharType="end"/>
      </w:r>
    </w:p>
    <w:p w14:paraId="6A56BA40">
      <w:pPr>
        <w:pStyle w:val="36"/>
        <w:tabs>
          <w:tab w:val="right" w:leader="dot" w:pos="8306"/>
        </w:tabs>
        <w:rPr>
          <w:rFonts w:hint="default" w:ascii="Times New Roman" w:hAnsi="Times New Roman" w:cs="Times New Roman"/>
          <w:b w:val="0"/>
          <w:bCs w:val="0"/>
          <w:color w:val="auto"/>
          <w:highlight w:val="none"/>
        </w:rPr>
      </w:pPr>
      <w:r>
        <w:rPr>
          <w:rFonts w:hint="default" w:ascii="Times New Roman" w:hAnsi="Times New Roman" w:eastAsia="宋体" w:cs="Times New Roman"/>
          <w:b w:val="0"/>
          <w:bCs w:val="0"/>
          <w:color w:val="auto"/>
          <w:highlight w:val="none"/>
        </w:rPr>
        <w:fldChar w:fldCharType="begin"/>
      </w:r>
      <w:r>
        <w:rPr>
          <w:rFonts w:hint="default" w:ascii="Times New Roman" w:hAnsi="Times New Roman" w:eastAsia="宋体" w:cs="Times New Roman"/>
          <w:b w:val="0"/>
          <w:bCs w:val="0"/>
          <w:color w:val="auto"/>
          <w:highlight w:val="none"/>
        </w:rPr>
        <w:instrText xml:space="preserve"> HYPERLINK \l _Toc10132 </w:instrText>
      </w:r>
      <w:r>
        <w:rPr>
          <w:rFonts w:hint="default" w:ascii="Times New Roman" w:hAnsi="Times New Roman" w:eastAsia="宋体" w:cs="Times New Roman"/>
          <w:b w:val="0"/>
          <w:bCs w:val="0"/>
          <w:color w:val="auto"/>
          <w:highlight w:val="none"/>
        </w:rPr>
        <w:fldChar w:fldCharType="separate"/>
      </w:r>
      <w:r>
        <w:rPr>
          <w:rFonts w:hint="default" w:ascii="Times New Roman" w:hAnsi="Times New Roman" w:eastAsia="宋体" w:cs="Times New Roman"/>
          <w:b w:val="0"/>
          <w:bCs w:val="0"/>
          <w:color w:val="auto"/>
          <w:highlight w:val="none"/>
        </w:rPr>
        <w:t>表 3</w:t>
      </w:r>
      <w:r>
        <w:rPr>
          <w:rFonts w:hint="default" w:ascii="Times New Roman" w:hAnsi="Times New Roman" w:eastAsia="宋体" w:cs="Times New Roman"/>
          <w:b w:val="0"/>
          <w:bCs w:val="0"/>
          <w:color w:val="auto"/>
          <w:highlight w:val="none"/>
        </w:rPr>
        <w:noBreakHyphen/>
      </w:r>
      <w:r>
        <w:rPr>
          <w:rFonts w:hint="default" w:ascii="Times New Roman" w:hAnsi="Times New Roman" w:cs="Times New Roman"/>
          <w:b w:val="0"/>
          <w:bCs w:val="0"/>
          <w:color w:val="auto"/>
          <w:highlight w:val="none"/>
        </w:rPr>
        <w:t>4</w:t>
      </w:r>
      <w:r>
        <w:rPr>
          <w:rFonts w:hint="default" w:ascii="Times New Roman" w:hAnsi="Times New Roman" w:eastAsia="宋体" w:cs="Times New Roman"/>
          <w:b w:val="0"/>
          <w:bCs w:val="0"/>
          <w:color w:val="auto"/>
          <w:szCs w:val="18"/>
          <w:highlight w:val="none"/>
        </w:rPr>
        <w:t>中国和陕西省有关劳动和工作条件的法律法规</w:t>
      </w:r>
      <w:r>
        <w:rPr>
          <w:rFonts w:hint="default" w:ascii="Times New Roman" w:hAnsi="Times New Roman" w:cs="Times New Roman"/>
          <w:b w:val="0"/>
          <w:bCs w:val="0"/>
          <w:color w:val="auto"/>
          <w:highlight w:val="none"/>
        </w:rPr>
        <w:tab/>
      </w:r>
      <w:r>
        <w:rPr>
          <w:rFonts w:hint="default" w:ascii="Times New Roman" w:hAnsi="Times New Roman" w:cs="Times New Roman"/>
          <w:b w:val="0"/>
          <w:bCs w:val="0"/>
          <w:color w:val="auto"/>
          <w:highlight w:val="none"/>
        </w:rPr>
        <w:fldChar w:fldCharType="begin"/>
      </w:r>
      <w:r>
        <w:rPr>
          <w:rFonts w:hint="default" w:ascii="Times New Roman" w:hAnsi="Times New Roman" w:cs="Times New Roman"/>
          <w:b w:val="0"/>
          <w:bCs w:val="0"/>
          <w:color w:val="auto"/>
          <w:highlight w:val="none"/>
        </w:rPr>
        <w:instrText xml:space="preserve"> PAGEREF _Toc10132 \h </w:instrText>
      </w:r>
      <w:r>
        <w:rPr>
          <w:rFonts w:hint="default" w:ascii="Times New Roman" w:hAnsi="Times New Roman" w:cs="Times New Roman"/>
          <w:b w:val="0"/>
          <w:bCs w:val="0"/>
          <w:color w:val="auto"/>
          <w:highlight w:val="none"/>
        </w:rPr>
        <w:fldChar w:fldCharType="separate"/>
      </w:r>
      <w:r>
        <w:rPr>
          <w:rFonts w:hint="default" w:ascii="Times New Roman" w:hAnsi="Times New Roman" w:cs="Times New Roman"/>
          <w:b w:val="0"/>
          <w:bCs w:val="0"/>
          <w:color w:val="auto"/>
          <w:highlight w:val="none"/>
        </w:rPr>
        <w:t>28</w:t>
      </w:r>
      <w:r>
        <w:rPr>
          <w:rFonts w:hint="default" w:ascii="Times New Roman" w:hAnsi="Times New Roman" w:cs="Times New Roman"/>
          <w:b w:val="0"/>
          <w:bCs w:val="0"/>
          <w:color w:val="auto"/>
          <w:highlight w:val="none"/>
        </w:rPr>
        <w:fldChar w:fldCharType="end"/>
      </w:r>
      <w:r>
        <w:rPr>
          <w:rFonts w:hint="default" w:ascii="Times New Roman" w:hAnsi="Times New Roman" w:eastAsia="宋体" w:cs="Times New Roman"/>
          <w:b w:val="0"/>
          <w:bCs w:val="0"/>
          <w:color w:val="auto"/>
          <w:highlight w:val="none"/>
        </w:rPr>
        <w:fldChar w:fldCharType="end"/>
      </w:r>
    </w:p>
    <w:p w14:paraId="3B3509C8">
      <w:pPr>
        <w:pStyle w:val="36"/>
        <w:tabs>
          <w:tab w:val="right" w:leader="dot" w:pos="8306"/>
        </w:tabs>
        <w:rPr>
          <w:rFonts w:hint="default" w:ascii="Times New Roman" w:hAnsi="Times New Roman" w:cs="Times New Roman"/>
          <w:b w:val="0"/>
          <w:bCs w:val="0"/>
          <w:color w:val="auto"/>
          <w:highlight w:val="none"/>
        </w:rPr>
      </w:pPr>
      <w:r>
        <w:rPr>
          <w:rFonts w:hint="default" w:ascii="Times New Roman" w:hAnsi="Times New Roman" w:eastAsia="宋体" w:cs="Times New Roman"/>
          <w:b w:val="0"/>
          <w:bCs w:val="0"/>
          <w:color w:val="auto"/>
          <w:highlight w:val="none"/>
        </w:rPr>
        <w:fldChar w:fldCharType="begin"/>
      </w:r>
      <w:r>
        <w:rPr>
          <w:rFonts w:hint="default" w:ascii="Times New Roman" w:hAnsi="Times New Roman" w:eastAsia="宋体" w:cs="Times New Roman"/>
          <w:b w:val="0"/>
          <w:bCs w:val="0"/>
          <w:color w:val="auto"/>
          <w:highlight w:val="none"/>
        </w:rPr>
        <w:instrText xml:space="preserve"> HYPERLINK \l _Toc22789 </w:instrText>
      </w:r>
      <w:r>
        <w:rPr>
          <w:rFonts w:hint="default" w:ascii="Times New Roman" w:hAnsi="Times New Roman" w:eastAsia="宋体" w:cs="Times New Roman"/>
          <w:b w:val="0"/>
          <w:bCs w:val="0"/>
          <w:color w:val="auto"/>
          <w:highlight w:val="none"/>
        </w:rPr>
        <w:fldChar w:fldCharType="separate"/>
      </w:r>
      <w:r>
        <w:rPr>
          <w:rFonts w:hint="default" w:ascii="Times New Roman" w:hAnsi="Times New Roman" w:eastAsia="宋体" w:cs="Times New Roman"/>
          <w:b w:val="0"/>
          <w:bCs w:val="0"/>
          <w:color w:val="auto"/>
          <w:highlight w:val="none"/>
        </w:rPr>
        <w:t>表 3</w:t>
      </w:r>
      <w:r>
        <w:rPr>
          <w:rFonts w:hint="default" w:ascii="Times New Roman" w:hAnsi="Times New Roman" w:eastAsia="宋体" w:cs="Times New Roman"/>
          <w:b w:val="0"/>
          <w:bCs w:val="0"/>
          <w:color w:val="auto"/>
          <w:highlight w:val="none"/>
        </w:rPr>
        <w:noBreakHyphen/>
      </w:r>
      <w:r>
        <w:rPr>
          <w:rFonts w:hint="default" w:ascii="Times New Roman" w:hAnsi="Times New Roman" w:cs="Times New Roman"/>
          <w:b w:val="0"/>
          <w:bCs w:val="0"/>
          <w:color w:val="auto"/>
          <w:highlight w:val="none"/>
        </w:rPr>
        <w:t xml:space="preserve">5 </w:t>
      </w:r>
      <w:r>
        <w:rPr>
          <w:rFonts w:hint="default" w:ascii="Times New Roman" w:hAnsi="Times New Roman" w:eastAsia="宋体" w:cs="Times New Roman"/>
          <w:b w:val="0"/>
          <w:bCs w:val="0"/>
          <w:color w:val="auto"/>
          <w:highlight w:val="none"/>
        </w:rPr>
        <w:t>国内有关社区健康安全的法律法规</w:t>
      </w:r>
      <w:r>
        <w:rPr>
          <w:rFonts w:hint="default" w:ascii="Times New Roman" w:hAnsi="Times New Roman" w:cs="Times New Roman"/>
          <w:b w:val="0"/>
          <w:bCs w:val="0"/>
          <w:color w:val="auto"/>
          <w:highlight w:val="none"/>
        </w:rPr>
        <w:tab/>
      </w:r>
      <w:r>
        <w:rPr>
          <w:rFonts w:hint="default" w:ascii="Times New Roman" w:hAnsi="Times New Roman" w:cs="Times New Roman"/>
          <w:b w:val="0"/>
          <w:bCs w:val="0"/>
          <w:color w:val="auto"/>
          <w:highlight w:val="none"/>
        </w:rPr>
        <w:fldChar w:fldCharType="begin"/>
      </w:r>
      <w:r>
        <w:rPr>
          <w:rFonts w:hint="default" w:ascii="Times New Roman" w:hAnsi="Times New Roman" w:cs="Times New Roman"/>
          <w:b w:val="0"/>
          <w:bCs w:val="0"/>
          <w:color w:val="auto"/>
          <w:highlight w:val="none"/>
        </w:rPr>
        <w:instrText xml:space="preserve"> PAGEREF _Toc22789 \h </w:instrText>
      </w:r>
      <w:r>
        <w:rPr>
          <w:rFonts w:hint="default" w:ascii="Times New Roman" w:hAnsi="Times New Roman" w:cs="Times New Roman"/>
          <w:b w:val="0"/>
          <w:bCs w:val="0"/>
          <w:color w:val="auto"/>
          <w:highlight w:val="none"/>
        </w:rPr>
        <w:fldChar w:fldCharType="separate"/>
      </w:r>
      <w:r>
        <w:rPr>
          <w:rFonts w:hint="default" w:ascii="Times New Roman" w:hAnsi="Times New Roman" w:cs="Times New Roman"/>
          <w:b w:val="0"/>
          <w:bCs w:val="0"/>
          <w:color w:val="auto"/>
          <w:highlight w:val="none"/>
        </w:rPr>
        <w:t>29</w:t>
      </w:r>
      <w:r>
        <w:rPr>
          <w:rFonts w:hint="default" w:ascii="Times New Roman" w:hAnsi="Times New Roman" w:cs="Times New Roman"/>
          <w:b w:val="0"/>
          <w:bCs w:val="0"/>
          <w:color w:val="auto"/>
          <w:highlight w:val="none"/>
        </w:rPr>
        <w:fldChar w:fldCharType="end"/>
      </w:r>
      <w:r>
        <w:rPr>
          <w:rFonts w:hint="default" w:ascii="Times New Roman" w:hAnsi="Times New Roman" w:eastAsia="宋体" w:cs="Times New Roman"/>
          <w:b w:val="0"/>
          <w:bCs w:val="0"/>
          <w:color w:val="auto"/>
          <w:highlight w:val="none"/>
        </w:rPr>
        <w:fldChar w:fldCharType="end"/>
      </w:r>
    </w:p>
    <w:p w14:paraId="73B953C7">
      <w:pPr>
        <w:pStyle w:val="36"/>
        <w:tabs>
          <w:tab w:val="right" w:leader="dot" w:pos="8306"/>
        </w:tabs>
        <w:rPr>
          <w:rFonts w:hint="default" w:ascii="Times New Roman" w:hAnsi="Times New Roman" w:cs="Times New Roman"/>
          <w:b w:val="0"/>
          <w:bCs w:val="0"/>
          <w:color w:val="auto"/>
          <w:highlight w:val="none"/>
        </w:rPr>
      </w:pPr>
      <w:r>
        <w:rPr>
          <w:rFonts w:hint="default" w:ascii="Times New Roman" w:hAnsi="Times New Roman" w:eastAsia="宋体" w:cs="Times New Roman"/>
          <w:b w:val="0"/>
          <w:bCs w:val="0"/>
          <w:color w:val="auto"/>
          <w:highlight w:val="none"/>
        </w:rPr>
        <w:fldChar w:fldCharType="begin"/>
      </w:r>
      <w:r>
        <w:rPr>
          <w:rFonts w:hint="default" w:ascii="Times New Roman" w:hAnsi="Times New Roman" w:eastAsia="宋体" w:cs="Times New Roman"/>
          <w:b w:val="0"/>
          <w:bCs w:val="0"/>
          <w:color w:val="auto"/>
          <w:highlight w:val="none"/>
        </w:rPr>
        <w:instrText xml:space="preserve"> HYPERLINK \l _Toc6971 </w:instrText>
      </w:r>
      <w:r>
        <w:rPr>
          <w:rFonts w:hint="default" w:ascii="Times New Roman" w:hAnsi="Times New Roman" w:eastAsia="宋体" w:cs="Times New Roman"/>
          <w:b w:val="0"/>
          <w:bCs w:val="0"/>
          <w:color w:val="auto"/>
          <w:highlight w:val="none"/>
        </w:rPr>
        <w:fldChar w:fldCharType="separate"/>
      </w:r>
      <w:r>
        <w:rPr>
          <w:rFonts w:hint="default" w:ascii="Times New Roman" w:hAnsi="Times New Roman" w:eastAsia="宋体" w:cs="Times New Roman"/>
          <w:b w:val="0"/>
          <w:bCs w:val="0"/>
          <w:color w:val="auto"/>
          <w:highlight w:val="none"/>
        </w:rPr>
        <w:t>表 3</w:t>
      </w:r>
      <w:r>
        <w:rPr>
          <w:rFonts w:hint="default" w:ascii="Times New Roman" w:hAnsi="Times New Roman" w:eastAsia="宋体" w:cs="Times New Roman"/>
          <w:b w:val="0"/>
          <w:bCs w:val="0"/>
          <w:color w:val="auto"/>
          <w:highlight w:val="none"/>
        </w:rPr>
        <w:noBreakHyphen/>
      </w:r>
      <w:r>
        <w:rPr>
          <w:rFonts w:hint="default" w:ascii="Times New Roman" w:hAnsi="Times New Roman" w:cs="Times New Roman"/>
          <w:b w:val="0"/>
          <w:bCs w:val="0"/>
          <w:color w:val="auto"/>
          <w:highlight w:val="none"/>
        </w:rPr>
        <w:t>6</w:t>
      </w:r>
      <w:r>
        <w:rPr>
          <w:rFonts w:hint="default" w:ascii="Times New Roman" w:hAnsi="Times New Roman" w:eastAsia="宋体" w:cs="Times New Roman"/>
          <w:b w:val="0"/>
          <w:bCs w:val="0"/>
          <w:color w:val="auto"/>
          <w:highlight w:val="none"/>
        </w:rPr>
        <w:t>征地拆迁/非自愿移民法律框架</w:t>
      </w:r>
      <w:r>
        <w:rPr>
          <w:rFonts w:hint="default" w:ascii="Times New Roman" w:hAnsi="Times New Roman" w:cs="Times New Roman"/>
          <w:b w:val="0"/>
          <w:bCs w:val="0"/>
          <w:color w:val="auto"/>
          <w:highlight w:val="none"/>
        </w:rPr>
        <w:tab/>
      </w:r>
      <w:r>
        <w:rPr>
          <w:rFonts w:hint="default" w:ascii="Times New Roman" w:hAnsi="Times New Roman" w:cs="Times New Roman"/>
          <w:b w:val="0"/>
          <w:bCs w:val="0"/>
          <w:color w:val="auto"/>
          <w:highlight w:val="none"/>
        </w:rPr>
        <w:fldChar w:fldCharType="begin"/>
      </w:r>
      <w:r>
        <w:rPr>
          <w:rFonts w:hint="default" w:ascii="Times New Roman" w:hAnsi="Times New Roman" w:cs="Times New Roman"/>
          <w:b w:val="0"/>
          <w:bCs w:val="0"/>
          <w:color w:val="auto"/>
          <w:highlight w:val="none"/>
        </w:rPr>
        <w:instrText xml:space="preserve"> PAGEREF _Toc6971 \h </w:instrText>
      </w:r>
      <w:r>
        <w:rPr>
          <w:rFonts w:hint="default" w:ascii="Times New Roman" w:hAnsi="Times New Roman" w:cs="Times New Roman"/>
          <w:b w:val="0"/>
          <w:bCs w:val="0"/>
          <w:color w:val="auto"/>
          <w:highlight w:val="none"/>
        </w:rPr>
        <w:fldChar w:fldCharType="separate"/>
      </w:r>
      <w:r>
        <w:rPr>
          <w:rFonts w:hint="default" w:ascii="Times New Roman" w:hAnsi="Times New Roman" w:cs="Times New Roman"/>
          <w:b w:val="0"/>
          <w:bCs w:val="0"/>
          <w:color w:val="auto"/>
          <w:highlight w:val="none"/>
        </w:rPr>
        <w:t>30</w:t>
      </w:r>
      <w:r>
        <w:rPr>
          <w:rFonts w:hint="default" w:ascii="Times New Roman" w:hAnsi="Times New Roman" w:cs="Times New Roman"/>
          <w:b w:val="0"/>
          <w:bCs w:val="0"/>
          <w:color w:val="auto"/>
          <w:highlight w:val="none"/>
        </w:rPr>
        <w:fldChar w:fldCharType="end"/>
      </w:r>
      <w:r>
        <w:rPr>
          <w:rFonts w:hint="default" w:ascii="Times New Roman" w:hAnsi="Times New Roman" w:eastAsia="宋体" w:cs="Times New Roman"/>
          <w:b w:val="0"/>
          <w:bCs w:val="0"/>
          <w:color w:val="auto"/>
          <w:highlight w:val="none"/>
        </w:rPr>
        <w:fldChar w:fldCharType="end"/>
      </w:r>
    </w:p>
    <w:p w14:paraId="799F842E">
      <w:pPr>
        <w:pStyle w:val="36"/>
        <w:tabs>
          <w:tab w:val="right" w:leader="dot" w:pos="8306"/>
        </w:tabs>
        <w:rPr>
          <w:rFonts w:hint="default" w:ascii="Times New Roman" w:hAnsi="Times New Roman" w:cs="Times New Roman"/>
          <w:b w:val="0"/>
          <w:bCs w:val="0"/>
          <w:color w:val="auto"/>
          <w:highlight w:val="none"/>
        </w:rPr>
      </w:pPr>
      <w:r>
        <w:rPr>
          <w:rFonts w:hint="default" w:ascii="Times New Roman" w:hAnsi="Times New Roman" w:eastAsia="宋体" w:cs="Times New Roman"/>
          <w:b w:val="0"/>
          <w:bCs w:val="0"/>
          <w:color w:val="auto"/>
          <w:highlight w:val="none"/>
        </w:rPr>
        <w:fldChar w:fldCharType="begin"/>
      </w:r>
      <w:r>
        <w:rPr>
          <w:rFonts w:hint="default" w:ascii="Times New Roman" w:hAnsi="Times New Roman" w:eastAsia="宋体" w:cs="Times New Roman"/>
          <w:b w:val="0"/>
          <w:bCs w:val="0"/>
          <w:color w:val="auto"/>
          <w:highlight w:val="none"/>
        </w:rPr>
        <w:instrText xml:space="preserve"> HYPERLINK \l _Toc24782 </w:instrText>
      </w:r>
      <w:r>
        <w:rPr>
          <w:rFonts w:hint="default" w:ascii="Times New Roman" w:hAnsi="Times New Roman" w:eastAsia="宋体" w:cs="Times New Roman"/>
          <w:b w:val="0"/>
          <w:bCs w:val="0"/>
          <w:color w:val="auto"/>
          <w:highlight w:val="none"/>
        </w:rPr>
        <w:fldChar w:fldCharType="separate"/>
      </w:r>
      <w:r>
        <w:rPr>
          <w:rFonts w:hint="default" w:ascii="Times New Roman" w:hAnsi="Times New Roman" w:eastAsia="宋体" w:cs="Times New Roman"/>
          <w:b w:val="0"/>
          <w:bCs w:val="0"/>
          <w:color w:val="auto"/>
          <w:highlight w:val="none"/>
        </w:rPr>
        <w:t>表 3</w:t>
      </w:r>
      <w:r>
        <w:rPr>
          <w:rFonts w:hint="default" w:ascii="Times New Roman" w:hAnsi="Times New Roman" w:eastAsia="宋体" w:cs="Times New Roman"/>
          <w:b w:val="0"/>
          <w:bCs w:val="0"/>
          <w:color w:val="auto"/>
          <w:highlight w:val="none"/>
        </w:rPr>
        <w:noBreakHyphen/>
      </w:r>
      <w:r>
        <w:rPr>
          <w:rFonts w:hint="default" w:ascii="Times New Roman" w:hAnsi="Times New Roman" w:cs="Times New Roman"/>
          <w:b w:val="0"/>
          <w:bCs w:val="0"/>
          <w:color w:val="auto"/>
          <w:highlight w:val="none"/>
        </w:rPr>
        <w:t>7</w:t>
      </w:r>
      <w:r>
        <w:rPr>
          <w:rFonts w:hint="default" w:ascii="Times New Roman" w:hAnsi="Times New Roman" w:eastAsia="宋体" w:cs="Times New Roman"/>
          <w:b w:val="0"/>
          <w:bCs w:val="0"/>
          <w:color w:val="auto"/>
          <w:highlight w:val="none"/>
        </w:rPr>
        <w:t>信息公开和公众参与法律框架</w:t>
      </w:r>
      <w:r>
        <w:rPr>
          <w:rFonts w:hint="default" w:ascii="Times New Roman" w:hAnsi="Times New Roman" w:cs="Times New Roman"/>
          <w:b w:val="0"/>
          <w:bCs w:val="0"/>
          <w:color w:val="auto"/>
          <w:highlight w:val="none"/>
        </w:rPr>
        <w:tab/>
      </w:r>
      <w:r>
        <w:rPr>
          <w:rFonts w:hint="default" w:ascii="Times New Roman" w:hAnsi="Times New Roman" w:cs="Times New Roman"/>
          <w:b w:val="0"/>
          <w:bCs w:val="0"/>
          <w:color w:val="auto"/>
          <w:highlight w:val="none"/>
        </w:rPr>
        <w:fldChar w:fldCharType="begin"/>
      </w:r>
      <w:r>
        <w:rPr>
          <w:rFonts w:hint="default" w:ascii="Times New Roman" w:hAnsi="Times New Roman" w:cs="Times New Roman"/>
          <w:b w:val="0"/>
          <w:bCs w:val="0"/>
          <w:color w:val="auto"/>
          <w:highlight w:val="none"/>
        </w:rPr>
        <w:instrText xml:space="preserve"> PAGEREF _Toc24782 \h </w:instrText>
      </w:r>
      <w:r>
        <w:rPr>
          <w:rFonts w:hint="default" w:ascii="Times New Roman" w:hAnsi="Times New Roman" w:cs="Times New Roman"/>
          <w:b w:val="0"/>
          <w:bCs w:val="0"/>
          <w:color w:val="auto"/>
          <w:highlight w:val="none"/>
        </w:rPr>
        <w:fldChar w:fldCharType="separate"/>
      </w:r>
      <w:r>
        <w:rPr>
          <w:rFonts w:hint="default" w:ascii="Times New Roman" w:hAnsi="Times New Roman" w:cs="Times New Roman"/>
          <w:b w:val="0"/>
          <w:bCs w:val="0"/>
          <w:color w:val="auto"/>
          <w:highlight w:val="none"/>
        </w:rPr>
        <w:t>31</w:t>
      </w:r>
      <w:r>
        <w:rPr>
          <w:rFonts w:hint="default" w:ascii="Times New Roman" w:hAnsi="Times New Roman" w:cs="Times New Roman"/>
          <w:b w:val="0"/>
          <w:bCs w:val="0"/>
          <w:color w:val="auto"/>
          <w:highlight w:val="none"/>
        </w:rPr>
        <w:fldChar w:fldCharType="end"/>
      </w:r>
      <w:r>
        <w:rPr>
          <w:rFonts w:hint="default" w:ascii="Times New Roman" w:hAnsi="Times New Roman" w:eastAsia="宋体" w:cs="Times New Roman"/>
          <w:b w:val="0"/>
          <w:bCs w:val="0"/>
          <w:color w:val="auto"/>
          <w:highlight w:val="none"/>
        </w:rPr>
        <w:fldChar w:fldCharType="end"/>
      </w:r>
    </w:p>
    <w:p w14:paraId="169D4E2B">
      <w:pPr>
        <w:pStyle w:val="36"/>
        <w:tabs>
          <w:tab w:val="right" w:leader="dot" w:pos="8306"/>
        </w:tabs>
        <w:rPr>
          <w:rFonts w:hint="default" w:ascii="Times New Roman" w:hAnsi="Times New Roman" w:cs="Times New Roman"/>
          <w:b w:val="0"/>
          <w:bCs w:val="0"/>
          <w:color w:val="auto"/>
          <w:highlight w:val="none"/>
        </w:rPr>
      </w:pPr>
      <w:r>
        <w:rPr>
          <w:rFonts w:hint="default" w:ascii="Times New Roman" w:hAnsi="Times New Roman" w:eastAsia="宋体" w:cs="Times New Roman"/>
          <w:b w:val="0"/>
          <w:bCs w:val="0"/>
          <w:color w:val="auto"/>
          <w:highlight w:val="none"/>
        </w:rPr>
        <w:fldChar w:fldCharType="begin"/>
      </w:r>
      <w:r>
        <w:rPr>
          <w:rFonts w:hint="default" w:ascii="Times New Roman" w:hAnsi="Times New Roman" w:eastAsia="宋体" w:cs="Times New Roman"/>
          <w:b w:val="0"/>
          <w:bCs w:val="0"/>
          <w:color w:val="auto"/>
          <w:highlight w:val="none"/>
        </w:rPr>
        <w:instrText xml:space="preserve"> HYPERLINK \l _Toc10354 </w:instrText>
      </w:r>
      <w:r>
        <w:rPr>
          <w:rFonts w:hint="default" w:ascii="Times New Roman" w:hAnsi="Times New Roman" w:eastAsia="宋体" w:cs="Times New Roman"/>
          <w:b w:val="0"/>
          <w:bCs w:val="0"/>
          <w:color w:val="auto"/>
          <w:highlight w:val="none"/>
        </w:rPr>
        <w:fldChar w:fldCharType="separate"/>
      </w:r>
      <w:r>
        <w:rPr>
          <w:rFonts w:hint="default" w:ascii="Times New Roman" w:hAnsi="Times New Roman" w:eastAsia="宋体" w:cs="Times New Roman"/>
          <w:b w:val="0"/>
          <w:bCs w:val="0"/>
          <w:color w:val="auto"/>
          <w:highlight w:val="none"/>
        </w:rPr>
        <w:t>表 3</w:t>
      </w:r>
      <w:r>
        <w:rPr>
          <w:rFonts w:hint="default" w:ascii="Times New Roman" w:hAnsi="Times New Roman" w:eastAsia="宋体" w:cs="Times New Roman"/>
          <w:b w:val="0"/>
          <w:bCs w:val="0"/>
          <w:color w:val="auto"/>
          <w:highlight w:val="none"/>
        </w:rPr>
        <w:noBreakHyphen/>
      </w:r>
      <w:r>
        <w:rPr>
          <w:rFonts w:hint="default" w:ascii="Times New Roman" w:hAnsi="Times New Roman" w:cs="Times New Roman"/>
          <w:b w:val="0"/>
          <w:bCs w:val="0"/>
          <w:color w:val="auto"/>
          <w:highlight w:val="none"/>
        </w:rPr>
        <w:t>8</w:t>
      </w:r>
      <w:r>
        <w:rPr>
          <w:rFonts w:hint="default" w:ascii="Times New Roman" w:hAnsi="Times New Roman" w:eastAsia="宋体" w:cs="Times New Roman"/>
          <w:b w:val="0"/>
          <w:bCs w:val="0"/>
          <w:color w:val="auto"/>
          <w:highlight w:val="none"/>
        </w:rPr>
        <w:t>亚投行社会标准适用性及与国内政策的差异及弥补措施</w:t>
      </w:r>
      <w:r>
        <w:rPr>
          <w:rFonts w:hint="default" w:ascii="Times New Roman" w:hAnsi="Times New Roman" w:cs="Times New Roman"/>
          <w:b w:val="0"/>
          <w:bCs w:val="0"/>
          <w:color w:val="auto"/>
          <w:highlight w:val="none"/>
        </w:rPr>
        <w:tab/>
      </w:r>
      <w:r>
        <w:rPr>
          <w:rFonts w:hint="default" w:ascii="Times New Roman" w:hAnsi="Times New Roman" w:cs="Times New Roman"/>
          <w:b w:val="0"/>
          <w:bCs w:val="0"/>
          <w:color w:val="auto"/>
          <w:highlight w:val="none"/>
        </w:rPr>
        <w:fldChar w:fldCharType="begin"/>
      </w:r>
      <w:r>
        <w:rPr>
          <w:rFonts w:hint="default" w:ascii="Times New Roman" w:hAnsi="Times New Roman" w:cs="Times New Roman"/>
          <w:b w:val="0"/>
          <w:bCs w:val="0"/>
          <w:color w:val="auto"/>
          <w:highlight w:val="none"/>
        </w:rPr>
        <w:instrText xml:space="preserve"> PAGEREF _Toc10354 \h </w:instrText>
      </w:r>
      <w:r>
        <w:rPr>
          <w:rFonts w:hint="default" w:ascii="Times New Roman" w:hAnsi="Times New Roman" w:cs="Times New Roman"/>
          <w:b w:val="0"/>
          <w:bCs w:val="0"/>
          <w:color w:val="auto"/>
          <w:highlight w:val="none"/>
        </w:rPr>
        <w:fldChar w:fldCharType="separate"/>
      </w:r>
      <w:r>
        <w:rPr>
          <w:rFonts w:hint="default" w:ascii="Times New Roman" w:hAnsi="Times New Roman" w:cs="Times New Roman"/>
          <w:b w:val="0"/>
          <w:bCs w:val="0"/>
          <w:color w:val="auto"/>
          <w:highlight w:val="none"/>
        </w:rPr>
        <w:t>32</w:t>
      </w:r>
      <w:r>
        <w:rPr>
          <w:rFonts w:hint="default" w:ascii="Times New Roman" w:hAnsi="Times New Roman" w:cs="Times New Roman"/>
          <w:b w:val="0"/>
          <w:bCs w:val="0"/>
          <w:color w:val="auto"/>
          <w:highlight w:val="none"/>
        </w:rPr>
        <w:fldChar w:fldCharType="end"/>
      </w:r>
      <w:r>
        <w:rPr>
          <w:rFonts w:hint="default" w:ascii="Times New Roman" w:hAnsi="Times New Roman" w:eastAsia="宋体" w:cs="Times New Roman"/>
          <w:b w:val="0"/>
          <w:bCs w:val="0"/>
          <w:color w:val="auto"/>
          <w:highlight w:val="none"/>
        </w:rPr>
        <w:fldChar w:fldCharType="end"/>
      </w:r>
    </w:p>
    <w:p w14:paraId="2881BDC6">
      <w:pPr>
        <w:pStyle w:val="36"/>
        <w:tabs>
          <w:tab w:val="right" w:leader="dot" w:pos="8306"/>
        </w:tabs>
        <w:rPr>
          <w:rFonts w:hint="default" w:ascii="Times New Roman" w:hAnsi="Times New Roman" w:cs="Times New Roman"/>
          <w:b w:val="0"/>
          <w:bCs w:val="0"/>
          <w:color w:val="auto"/>
          <w:highlight w:val="none"/>
        </w:rPr>
      </w:pPr>
      <w:r>
        <w:rPr>
          <w:rFonts w:hint="default" w:ascii="Times New Roman" w:hAnsi="Times New Roman" w:eastAsia="宋体" w:cs="Times New Roman"/>
          <w:b w:val="0"/>
          <w:bCs w:val="0"/>
          <w:color w:val="auto"/>
          <w:highlight w:val="none"/>
        </w:rPr>
        <w:fldChar w:fldCharType="begin"/>
      </w:r>
      <w:r>
        <w:rPr>
          <w:rFonts w:hint="default" w:ascii="Times New Roman" w:hAnsi="Times New Roman" w:eastAsia="宋体" w:cs="Times New Roman"/>
          <w:b w:val="0"/>
          <w:bCs w:val="0"/>
          <w:color w:val="auto"/>
          <w:highlight w:val="none"/>
        </w:rPr>
        <w:instrText xml:space="preserve"> HYPERLINK \l _Toc14604 </w:instrText>
      </w:r>
      <w:r>
        <w:rPr>
          <w:rFonts w:hint="default" w:ascii="Times New Roman" w:hAnsi="Times New Roman" w:eastAsia="宋体" w:cs="Times New Roman"/>
          <w:b w:val="0"/>
          <w:bCs w:val="0"/>
          <w:color w:val="auto"/>
          <w:highlight w:val="none"/>
        </w:rPr>
        <w:fldChar w:fldCharType="separate"/>
      </w:r>
      <w:r>
        <w:rPr>
          <w:rFonts w:hint="default" w:ascii="Times New Roman" w:hAnsi="Times New Roman" w:eastAsia="宋体" w:cs="Times New Roman"/>
          <w:b w:val="0"/>
          <w:bCs w:val="0"/>
          <w:color w:val="auto"/>
          <w:highlight w:val="none"/>
        </w:rPr>
        <w:t>表 5</w:t>
      </w:r>
      <w:r>
        <w:rPr>
          <w:rFonts w:hint="default" w:ascii="Times New Roman" w:hAnsi="Times New Roman" w:eastAsia="宋体" w:cs="Times New Roman"/>
          <w:b w:val="0"/>
          <w:bCs w:val="0"/>
          <w:color w:val="auto"/>
          <w:highlight w:val="none"/>
        </w:rPr>
        <w:noBreakHyphen/>
      </w:r>
      <w:r>
        <w:rPr>
          <w:rFonts w:hint="default" w:ascii="Times New Roman" w:hAnsi="Times New Roman" w:cs="Times New Roman"/>
          <w:b w:val="0"/>
          <w:bCs w:val="0"/>
          <w:color w:val="auto"/>
          <w:highlight w:val="none"/>
        </w:rPr>
        <w:t>1</w:t>
      </w:r>
      <w:r>
        <w:rPr>
          <w:rFonts w:hint="default" w:ascii="Times New Roman" w:hAnsi="Times New Roman" w:eastAsia="宋体" w:cs="Times New Roman"/>
          <w:b w:val="0"/>
          <w:bCs w:val="0"/>
          <w:color w:val="auto"/>
          <w:highlight w:val="none"/>
        </w:rPr>
        <w:t>各子项目征地拆迁一览表</w:t>
      </w:r>
      <w:r>
        <w:rPr>
          <w:rFonts w:hint="default" w:ascii="Times New Roman" w:hAnsi="Times New Roman" w:cs="Times New Roman"/>
          <w:b w:val="0"/>
          <w:bCs w:val="0"/>
          <w:color w:val="auto"/>
          <w:highlight w:val="none"/>
        </w:rPr>
        <w:tab/>
      </w:r>
      <w:r>
        <w:rPr>
          <w:rFonts w:hint="default" w:ascii="Times New Roman" w:hAnsi="Times New Roman" w:cs="Times New Roman"/>
          <w:b w:val="0"/>
          <w:bCs w:val="0"/>
          <w:color w:val="auto"/>
          <w:highlight w:val="none"/>
        </w:rPr>
        <w:fldChar w:fldCharType="begin"/>
      </w:r>
      <w:r>
        <w:rPr>
          <w:rFonts w:hint="default" w:ascii="Times New Roman" w:hAnsi="Times New Roman" w:cs="Times New Roman"/>
          <w:b w:val="0"/>
          <w:bCs w:val="0"/>
          <w:color w:val="auto"/>
          <w:highlight w:val="none"/>
        </w:rPr>
        <w:instrText xml:space="preserve"> PAGEREF _Toc14604 \h </w:instrText>
      </w:r>
      <w:r>
        <w:rPr>
          <w:rFonts w:hint="default" w:ascii="Times New Roman" w:hAnsi="Times New Roman" w:cs="Times New Roman"/>
          <w:b w:val="0"/>
          <w:bCs w:val="0"/>
          <w:color w:val="auto"/>
          <w:highlight w:val="none"/>
        </w:rPr>
        <w:fldChar w:fldCharType="separate"/>
      </w:r>
      <w:r>
        <w:rPr>
          <w:rFonts w:hint="default" w:ascii="Times New Roman" w:hAnsi="Times New Roman" w:cs="Times New Roman"/>
          <w:b w:val="0"/>
          <w:bCs w:val="0"/>
          <w:color w:val="auto"/>
          <w:highlight w:val="none"/>
        </w:rPr>
        <w:t>43</w:t>
      </w:r>
      <w:r>
        <w:rPr>
          <w:rFonts w:hint="default" w:ascii="Times New Roman" w:hAnsi="Times New Roman" w:cs="Times New Roman"/>
          <w:b w:val="0"/>
          <w:bCs w:val="0"/>
          <w:color w:val="auto"/>
          <w:highlight w:val="none"/>
        </w:rPr>
        <w:fldChar w:fldCharType="end"/>
      </w:r>
      <w:r>
        <w:rPr>
          <w:rFonts w:hint="default" w:ascii="Times New Roman" w:hAnsi="Times New Roman" w:eastAsia="宋体" w:cs="Times New Roman"/>
          <w:b w:val="0"/>
          <w:bCs w:val="0"/>
          <w:color w:val="auto"/>
          <w:highlight w:val="none"/>
        </w:rPr>
        <w:fldChar w:fldCharType="end"/>
      </w:r>
    </w:p>
    <w:p w14:paraId="1A89D84E">
      <w:pPr>
        <w:pStyle w:val="36"/>
        <w:tabs>
          <w:tab w:val="right" w:leader="dot" w:pos="8306"/>
        </w:tabs>
        <w:rPr>
          <w:rFonts w:hint="default" w:ascii="Times New Roman" w:hAnsi="Times New Roman" w:cs="Times New Roman"/>
          <w:b w:val="0"/>
          <w:bCs w:val="0"/>
          <w:color w:val="auto"/>
          <w:highlight w:val="none"/>
        </w:rPr>
      </w:pPr>
      <w:r>
        <w:rPr>
          <w:rFonts w:hint="default" w:ascii="Times New Roman" w:hAnsi="Times New Roman" w:eastAsia="宋体" w:cs="Times New Roman"/>
          <w:b w:val="0"/>
          <w:bCs w:val="0"/>
          <w:color w:val="auto"/>
          <w:highlight w:val="none"/>
        </w:rPr>
        <w:fldChar w:fldCharType="begin"/>
      </w:r>
      <w:r>
        <w:rPr>
          <w:rFonts w:hint="default" w:ascii="Times New Roman" w:hAnsi="Times New Roman" w:eastAsia="宋体" w:cs="Times New Roman"/>
          <w:b w:val="0"/>
          <w:bCs w:val="0"/>
          <w:color w:val="auto"/>
          <w:highlight w:val="none"/>
        </w:rPr>
        <w:instrText xml:space="preserve"> HYPERLINK \l _Toc5943 </w:instrText>
      </w:r>
      <w:r>
        <w:rPr>
          <w:rFonts w:hint="default" w:ascii="Times New Roman" w:hAnsi="Times New Roman" w:eastAsia="宋体" w:cs="Times New Roman"/>
          <w:b w:val="0"/>
          <w:bCs w:val="0"/>
          <w:color w:val="auto"/>
          <w:highlight w:val="none"/>
        </w:rPr>
        <w:fldChar w:fldCharType="separate"/>
      </w:r>
      <w:r>
        <w:rPr>
          <w:rFonts w:hint="default" w:ascii="Times New Roman" w:hAnsi="Times New Roman" w:eastAsia="宋体" w:cs="Times New Roman"/>
          <w:b w:val="0"/>
          <w:bCs w:val="0"/>
          <w:color w:val="auto"/>
          <w:szCs w:val="24"/>
          <w:highlight w:val="none"/>
        </w:rPr>
        <w:t>表 5-</w:t>
      </w:r>
      <w:r>
        <w:rPr>
          <w:rFonts w:hint="default" w:ascii="Times New Roman" w:hAnsi="Times New Roman" w:cs="Times New Roman"/>
          <w:b w:val="0"/>
          <w:bCs w:val="0"/>
          <w:color w:val="auto"/>
          <w:highlight w:val="none"/>
        </w:rPr>
        <w:t xml:space="preserve">2 </w:t>
      </w:r>
      <w:r>
        <w:rPr>
          <w:rFonts w:hint="default" w:ascii="Times New Roman" w:hAnsi="Times New Roman" w:eastAsia="宋体" w:cs="Times New Roman"/>
          <w:b w:val="0"/>
          <w:bCs w:val="0"/>
          <w:color w:val="auto"/>
          <w:szCs w:val="24"/>
          <w:highlight w:val="none"/>
        </w:rPr>
        <w:t>健康和安全风险的减缓措施</w:t>
      </w:r>
      <w:r>
        <w:rPr>
          <w:rFonts w:hint="default" w:ascii="Times New Roman" w:hAnsi="Times New Roman" w:cs="Times New Roman"/>
          <w:b w:val="0"/>
          <w:bCs w:val="0"/>
          <w:color w:val="auto"/>
          <w:highlight w:val="none"/>
        </w:rPr>
        <w:tab/>
      </w:r>
      <w:r>
        <w:rPr>
          <w:rFonts w:hint="default" w:ascii="Times New Roman" w:hAnsi="Times New Roman" w:cs="Times New Roman"/>
          <w:b w:val="0"/>
          <w:bCs w:val="0"/>
          <w:color w:val="auto"/>
          <w:highlight w:val="none"/>
        </w:rPr>
        <w:fldChar w:fldCharType="begin"/>
      </w:r>
      <w:r>
        <w:rPr>
          <w:rFonts w:hint="default" w:ascii="Times New Roman" w:hAnsi="Times New Roman" w:cs="Times New Roman"/>
          <w:b w:val="0"/>
          <w:bCs w:val="0"/>
          <w:color w:val="auto"/>
          <w:highlight w:val="none"/>
        </w:rPr>
        <w:instrText xml:space="preserve"> PAGEREF _Toc5943 \h </w:instrText>
      </w:r>
      <w:r>
        <w:rPr>
          <w:rFonts w:hint="default" w:ascii="Times New Roman" w:hAnsi="Times New Roman" w:cs="Times New Roman"/>
          <w:b w:val="0"/>
          <w:bCs w:val="0"/>
          <w:color w:val="auto"/>
          <w:highlight w:val="none"/>
        </w:rPr>
        <w:fldChar w:fldCharType="separate"/>
      </w:r>
      <w:r>
        <w:rPr>
          <w:rFonts w:hint="default" w:ascii="Times New Roman" w:hAnsi="Times New Roman" w:cs="Times New Roman"/>
          <w:b w:val="0"/>
          <w:bCs w:val="0"/>
          <w:color w:val="auto"/>
          <w:highlight w:val="none"/>
        </w:rPr>
        <w:t>49</w:t>
      </w:r>
      <w:r>
        <w:rPr>
          <w:rFonts w:hint="default" w:ascii="Times New Roman" w:hAnsi="Times New Roman" w:cs="Times New Roman"/>
          <w:b w:val="0"/>
          <w:bCs w:val="0"/>
          <w:color w:val="auto"/>
          <w:highlight w:val="none"/>
        </w:rPr>
        <w:fldChar w:fldCharType="end"/>
      </w:r>
      <w:r>
        <w:rPr>
          <w:rFonts w:hint="default" w:ascii="Times New Roman" w:hAnsi="Times New Roman" w:eastAsia="宋体" w:cs="Times New Roman"/>
          <w:b w:val="0"/>
          <w:bCs w:val="0"/>
          <w:color w:val="auto"/>
          <w:highlight w:val="none"/>
        </w:rPr>
        <w:fldChar w:fldCharType="end"/>
      </w:r>
    </w:p>
    <w:p w14:paraId="1FBCC727">
      <w:pPr>
        <w:pStyle w:val="36"/>
        <w:tabs>
          <w:tab w:val="right" w:leader="dot" w:pos="8306"/>
        </w:tabs>
        <w:rPr>
          <w:rFonts w:hint="default" w:ascii="Times New Roman" w:hAnsi="Times New Roman" w:cs="Times New Roman"/>
          <w:b w:val="0"/>
          <w:bCs w:val="0"/>
          <w:color w:val="auto"/>
          <w:highlight w:val="none"/>
        </w:rPr>
      </w:pPr>
      <w:r>
        <w:rPr>
          <w:rFonts w:hint="default" w:ascii="Times New Roman" w:hAnsi="Times New Roman" w:eastAsia="宋体" w:cs="Times New Roman"/>
          <w:b w:val="0"/>
          <w:bCs w:val="0"/>
          <w:color w:val="auto"/>
          <w:highlight w:val="none"/>
        </w:rPr>
        <w:fldChar w:fldCharType="begin"/>
      </w:r>
      <w:r>
        <w:rPr>
          <w:rFonts w:hint="default" w:ascii="Times New Roman" w:hAnsi="Times New Roman" w:eastAsia="宋体" w:cs="Times New Roman"/>
          <w:b w:val="0"/>
          <w:bCs w:val="0"/>
          <w:color w:val="auto"/>
          <w:highlight w:val="none"/>
        </w:rPr>
        <w:instrText xml:space="preserve"> HYPERLINK \l _Toc18492 </w:instrText>
      </w:r>
      <w:r>
        <w:rPr>
          <w:rFonts w:hint="default" w:ascii="Times New Roman" w:hAnsi="Times New Roman" w:eastAsia="宋体" w:cs="Times New Roman"/>
          <w:b w:val="0"/>
          <w:bCs w:val="0"/>
          <w:color w:val="auto"/>
          <w:highlight w:val="none"/>
        </w:rPr>
        <w:fldChar w:fldCharType="separate"/>
      </w:r>
      <w:r>
        <w:rPr>
          <w:rFonts w:hint="default" w:ascii="Times New Roman" w:hAnsi="Times New Roman" w:eastAsia="宋体" w:cs="Times New Roman"/>
          <w:b w:val="0"/>
          <w:bCs w:val="0"/>
          <w:color w:val="auto"/>
          <w:szCs w:val="24"/>
          <w:highlight w:val="none"/>
        </w:rPr>
        <w:t>表 5-</w:t>
      </w:r>
      <w:r>
        <w:rPr>
          <w:rFonts w:hint="default" w:ascii="Times New Roman" w:hAnsi="Times New Roman" w:cs="Times New Roman"/>
          <w:b w:val="0"/>
          <w:bCs w:val="0"/>
          <w:color w:val="auto"/>
          <w:highlight w:val="none"/>
        </w:rPr>
        <w:t xml:space="preserve">3 </w:t>
      </w:r>
      <w:r>
        <w:rPr>
          <w:rFonts w:hint="default" w:ascii="Times New Roman" w:hAnsi="Times New Roman" w:eastAsia="宋体" w:cs="Times New Roman"/>
          <w:b w:val="0"/>
          <w:bCs w:val="0"/>
          <w:color w:val="auto"/>
          <w:szCs w:val="24"/>
          <w:highlight w:val="none"/>
          <w:lang w:val="zh-CN"/>
        </w:rPr>
        <w:t>项目周边</w:t>
      </w:r>
      <w:r>
        <w:rPr>
          <w:rFonts w:hint="default" w:ascii="Times New Roman" w:hAnsi="Times New Roman" w:eastAsia="宋体" w:cs="Times New Roman"/>
          <w:b w:val="0"/>
          <w:bCs w:val="0"/>
          <w:color w:val="auto"/>
          <w:szCs w:val="24"/>
          <w:highlight w:val="none"/>
        </w:rPr>
        <w:t>社会敏感设施</w:t>
      </w:r>
      <w:r>
        <w:rPr>
          <w:rFonts w:hint="default" w:ascii="Times New Roman" w:hAnsi="Times New Roman" w:eastAsia="宋体" w:cs="Times New Roman"/>
          <w:b w:val="0"/>
          <w:bCs w:val="0"/>
          <w:color w:val="auto"/>
          <w:szCs w:val="24"/>
          <w:highlight w:val="none"/>
          <w:lang w:val="zh-CN"/>
        </w:rPr>
        <w:t>情况</w:t>
      </w:r>
      <w:r>
        <w:rPr>
          <w:rFonts w:hint="default" w:ascii="Times New Roman" w:hAnsi="Times New Roman" w:cs="Times New Roman"/>
          <w:b w:val="0"/>
          <w:bCs w:val="0"/>
          <w:color w:val="auto"/>
          <w:highlight w:val="none"/>
        </w:rPr>
        <w:tab/>
      </w:r>
      <w:r>
        <w:rPr>
          <w:rFonts w:hint="default" w:ascii="Times New Roman" w:hAnsi="Times New Roman" w:cs="Times New Roman"/>
          <w:b w:val="0"/>
          <w:bCs w:val="0"/>
          <w:color w:val="auto"/>
          <w:highlight w:val="none"/>
        </w:rPr>
        <w:fldChar w:fldCharType="begin"/>
      </w:r>
      <w:r>
        <w:rPr>
          <w:rFonts w:hint="default" w:ascii="Times New Roman" w:hAnsi="Times New Roman" w:cs="Times New Roman"/>
          <w:b w:val="0"/>
          <w:bCs w:val="0"/>
          <w:color w:val="auto"/>
          <w:highlight w:val="none"/>
        </w:rPr>
        <w:instrText xml:space="preserve"> PAGEREF _Toc18492 \h </w:instrText>
      </w:r>
      <w:r>
        <w:rPr>
          <w:rFonts w:hint="default" w:ascii="Times New Roman" w:hAnsi="Times New Roman" w:cs="Times New Roman"/>
          <w:b w:val="0"/>
          <w:bCs w:val="0"/>
          <w:color w:val="auto"/>
          <w:highlight w:val="none"/>
        </w:rPr>
        <w:fldChar w:fldCharType="separate"/>
      </w:r>
      <w:r>
        <w:rPr>
          <w:rFonts w:hint="default" w:ascii="Times New Roman" w:hAnsi="Times New Roman" w:cs="Times New Roman"/>
          <w:b w:val="0"/>
          <w:bCs w:val="0"/>
          <w:color w:val="auto"/>
          <w:highlight w:val="none"/>
        </w:rPr>
        <w:t>52</w:t>
      </w:r>
      <w:r>
        <w:rPr>
          <w:rFonts w:hint="default" w:ascii="Times New Roman" w:hAnsi="Times New Roman" w:cs="Times New Roman"/>
          <w:b w:val="0"/>
          <w:bCs w:val="0"/>
          <w:color w:val="auto"/>
          <w:highlight w:val="none"/>
        </w:rPr>
        <w:fldChar w:fldCharType="end"/>
      </w:r>
      <w:r>
        <w:rPr>
          <w:rFonts w:hint="default" w:ascii="Times New Roman" w:hAnsi="Times New Roman" w:eastAsia="宋体" w:cs="Times New Roman"/>
          <w:b w:val="0"/>
          <w:bCs w:val="0"/>
          <w:color w:val="auto"/>
          <w:highlight w:val="none"/>
        </w:rPr>
        <w:fldChar w:fldCharType="end"/>
      </w:r>
    </w:p>
    <w:p w14:paraId="0F113678">
      <w:pPr>
        <w:pStyle w:val="36"/>
        <w:tabs>
          <w:tab w:val="right" w:leader="dot" w:pos="8306"/>
        </w:tabs>
        <w:rPr>
          <w:rFonts w:hint="default" w:ascii="Times New Roman" w:hAnsi="Times New Roman" w:cs="Times New Roman"/>
          <w:b w:val="0"/>
          <w:bCs w:val="0"/>
          <w:color w:val="auto"/>
          <w:highlight w:val="none"/>
        </w:rPr>
      </w:pPr>
      <w:r>
        <w:rPr>
          <w:rFonts w:hint="default" w:ascii="Times New Roman" w:hAnsi="Times New Roman" w:eastAsia="宋体" w:cs="Times New Roman"/>
          <w:b w:val="0"/>
          <w:bCs w:val="0"/>
          <w:color w:val="auto"/>
          <w:highlight w:val="none"/>
        </w:rPr>
        <w:fldChar w:fldCharType="begin"/>
      </w:r>
      <w:r>
        <w:rPr>
          <w:rFonts w:hint="default" w:ascii="Times New Roman" w:hAnsi="Times New Roman" w:eastAsia="宋体" w:cs="Times New Roman"/>
          <w:b w:val="0"/>
          <w:bCs w:val="0"/>
          <w:color w:val="auto"/>
          <w:highlight w:val="none"/>
        </w:rPr>
        <w:instrText xml:space="preserve"> HYPERLINK \l _Toc21902 </w:instrText>
      </w:r>
      <w:r>
        <w:rPr>
          <w:rFonts w:hint="default" w:ascii="Times New Roman" w:hAnsi="Times New Roman" w:eastAsia="宋体" w:cs="Times New Roman"/>
          <w:b w:val="0"/>
          <w:bCs w:val="0"/>
          <w:color w:val="auto"/>
          <w:highlight w:val="none"/>
        </w:rPr>
        <w:fldChar w:fldCharType="separate"/>
      </w:r>
      <w:r>
        <w:rPr>
          <w:rFonts w:hint="default" w:ascii="Times New Roman" w:hAnsi="Times New Roman" w:eastAsia="宋体" w:cs="Times New Roman"/>
          <w:b w:val="0"/>
          <w:bCs w:val="0"/>
          <w:color w:val="auto"/>
          <w:szCs w:val="24"/>
          <w:highlight w:val="none"/>
        </w:rPr>
        <w:t>表 5-</w:t>
      </w:r>
      <w:r>
        <w:rPr>
          <w:rFonts w:hint="default" w:ascii="Times New Roman" w:hAnsi="Times New Roman" w:cs="Times New Roman"/>
          <w:b w:val="0"/>
          <w:bCs w:val="0"/>
          <w:color w:val="auto"/>
          <w:highlight w:val="none"/>
        </w:rPr>
        <w:t xml:space="preserve">4 </w:t>
      </w:r>
      <w:r>
        <w:rPr>
          <w:rFonts w:hint="default" w:ascii="Times New Roman" w:hAnsi="Times New Roman" w:eastAsia="宋体" w:cs="Times New Roman"/>
          <w:b w:val="0"/>
          <w:bCs w:val="0"/>
          <w:color w:val="auto"/>
          <w:szCs w:val="24"/>
          <w:highlight w:val="none"/>
        </w:rPr>
        <w:t>本项目可为当地村民提供的工作岗位</w:t>
      </w:r>
      <w:r>
        <w:rPr>
          <w:rFonts w:hint="default" w:ascii="Times New Roman" w:hAnsi="Times New Roman" w:cs="Times New Roman"/>
          <w:b w:val="0"/>
          <w:bCs w:val="0"/>
          <w:color w:val="auto"/>
          <w:highlight w:val="none"/>
        </w:rPr>
        <w:tab/>
      </w:r>
      <w:r>
        <w:rPr>
          <w:rFonts w:hint="default" w:ascii="Times New Roman" w:hAnsi="Times New Roman" w:cs="Times New Roman"/>
          <w:b w:val="0"/>
          <w:bCs w:val="0"/>
          <w:color w:val="auto"/>
          <w:highlight w:val="none"/>
        </w:rPr>
        <w:fldChar w:fldCharType="begin"/>
      </w:r>
      <w:r>
        <w:rPr>
          <w:rFonts w:hint="default" w:ascii="Times New Roman" w:hAnsi="Times New Roman" w:cs="Times New Roman"/>
          <w:b w:val="0"/>
          <w:bCs w:val="0"/>
          <w:color w:val="auto"/>
          <w:highlight w:val="none"/>
        </w:rPr>
        <w:instrText xml:space="preserve"> PAGEREF _Toc21902 \h </w:instrText>
      </w:r>
      <w:r>
        <w:rPr>
          <w:rFonts w:hint="default" w:ascii="Times New Roman" w:hAnsi="Times New Roman" w:cs="Times New Roman"/>
          <w:b w:val="0"/>
          <w:bCs w:val="0"/>
          <w:color w:val="auto"/>
          <w:highlight w:val="none"/>
        </w:rPr>
        <w:fldChar w:fldCharType="separate"/>
      </w:r>
      <w:r>
        <w:rPr>
          <w:rFonts w:hint="default" w:ascii="Times New Roman" w:hAnsi="Times New Roman" w:cs="Times New Roman"/>
          <w:b w:val="0"/>
          <w:bCs w:val="0"/>
          <w:color w:val="auto"/>
          <w:highlight w:val="none"/>
        </w:rPr>
        <w:t>54</w:t>
      </w:r>
      <w:r>
        <w:rPr>
          <w:rFonts w:hint="default" w:ascii="Times New Roman" w:hAnsi="Times New Roman" w:cs="Times New Roman"/>
          <w:b w:val="0"/>
          <w:bCs w:val="0"/>
          <w:color w:val="auto"/>
          <w:highlight w:val="none"/>
        </w:rPr>
        <w:fldChar w:fldCharType="end"/>
      </w:r>
      <w:r>
        <w:rPr>
          <w:rFonts w:hint="default" w:ascii="Times New Roman" w:hAnsi="Times New Roman" w:eastAsia="宋体" w:cs="Times New Roman"/>
          <w:b w:val="0"/>
          <w:bCs w:val="0"/>
          <w:color w:val="auto"/>
          <w:highlight w:val="none"/>
        </w:rPr>
        <w:fldChar w:fldCharType="end"/>
      </w:r>
    </w:p>
    <w:p w14:paraId="7F986A68">
      <w:pPr>
        <w:pStyle w:val="36"/>
        <w:tabs>
          <w:tab w:val="right" w:leader="dot" w:pos="8306"/>
        </w:tabs>
        <w:rPr>
          <w:rFonts w:hint="default" w:ascii="Times New Roman" w:hAnsi="Times New Roman" w:cs="Times New Roman"/>
          <w:b w:val="0"/>
          <w:bCs w:val="0"/>
          <w:color w:val="auto"/>
          <w:highlight w:val="none"/>
        </w:rPr>
      </w:pPr>
      <w:r>
        <w:rPr>
          <w:rFonts w:hint="default" w:ascii="Times New Roman" w:hAnsi="Times New Roman" w:eastAsia="宋体" w:cs="Times New Roman"/>
          <w:b w:val="0"/>
          <w:bCs w:val="0"/>
          <w:color w:val="auto"/>
          <w:highlight w:val="none"/>
        </w:rPr>
        <w:fldChar w:fldCharType="begin"/>
      </w:r>
      <w:r>
        <w:rPr>
          <w:rFonts w:hint="default" w:ascii="Times New Roman" w:hAnsi="Times New Roman" w:eastAsia="宋体" w:cs="Times New Roman"/>
          <w:b w:val="0"/>
          <w:bCs w:val="0"/>
          <w:color w:val="auto"/>
          <w:highlight w:val="none"/>
        </w:rPr>
        <w:instrText xml:space="preserve"> HYPERLINK \l _Toc23872 </w:instrText>
      </w:r>
      <w:r>
        <w:rPr>
          <w:rFonts w:hint="default" w:ascii="Times New Roman" w:hAnsi="Times New Roman" w:eastAsia="宋体" w:cs="Times New Roman"/>
          <w:b w:val="0"/>
          <w:bCs w:val="0"/>
          <w:color w:val="auto"/>
          <w:highlight w:val="none"/>
        </w:rPr>
        <w:fldChar w:fldCharType="separate"/>
      </w:r>
      <w:r>
        <w:rPr>
          <w:rFonts w:hint="default" w:ascii="Times New Roman" w:hAnsi="Times New Roman" w:eastAsia="宋体" w:cs="Times New Roman"/>
          <w:b w:val="0"/>
          <w:bCs w:val="0"/>
          <w:color w:val="auto"/>
          <w:szCs w:val="24"/>
          <w:highlight w:val="none"/>
        </w:rPr>
        <w:t>表 5-</w:t>
      </w:r>
      <w:r>
        <w:rPr>
          <w:rFonts w:hint="default" w:ascii="Times New Roman" w:hAnsi="Times New Roman" w:cs="Times New Roman"/>
          <w:b w:val="0"/>
          <w:bCs w:val="0"/>
          <w:color w:val="auto"/>
          <w:highlight w:val="none"/>
        </w:rPr>
        <w:t xml:space="preserve">5 </w:t>
      </w:r>
      <w:r>
        <w:rPr>
          <w:rFonts w:hint="default" w:ascii="Times New Roman" w:hAnsi="Times New Roman" w:eastAsia="宋体" w:cs="Times New Roman"/>
          <w:b w:val="0"/>
          <w:bCs w:val="0"/>
          <w:color w:val="auto"/>
          <w:szCs w:val="24"/>
          <w:highlight w:val="none"/>
        </w:rPr>
        <w:t>社会影响和风险及缓解措施汇总表</w:t>
      </w:r>
      <w:r>
        <w:rPr>
          <w:rFonts w:hint="default" w:ascii="Times New Roman" w:hAnsi="Times New Roman" w:cs="Times New Roman"/>
          <w:b w:val="0"/>
          <w:bCs w:val="0"/>
          <w:color w:val="auto"/>
          <w:highlight w:val="none"/>
        </w:rPr>
        <w:tab/>
      </w:r>
      <w:r>
        <w:rPr>
          <w:rFonts w:hint="default" w:ascii="Times New Roman" w:hAnsi="Times New Roman" w:cs="Times New Roman"/>
          <w:b w:val="0"/>
          <w:bCs w:val="0"/>
          <w:color w:val="auto"/>
          <w:highlight w:val="none"/>
        </w:rPr>
        <w:fldChar w:fldCharType="begin"/>
      </w:r>
      <w:r>
        <w:rPr>
          <w:rFonts w:hint="default" w:ascii="Times New Roman" w:hAnsi="Times New Roman" w:cs="Times New Roman"/>
          <w:b w:val="0"/>
          <w:bCs w:val="0"/>
          <w:color w:val="auto"/>
          <w:highlight w:val="none"/>
        </w:rPr>
        <w:instrText xml:space="preserve"> PAGEREF _Toc23872 \h </w:instrText>
      </w:r>
      <w:r>
        <w:rPr>
          <w:rFonts w:hint="default" w:ascii="Times New Roman" w:hAnsi="Times New Roman" w:cs="Times New Roman"/>
          <w:b w:val="0"/>
          <w:bCs w:val="0"/>
          <w:color w:val="auto"/>
          <w:highlight w:val="none"/>
        </w:rPr>
        <w:fldChar w:fldCharType="separate"/>
      </w:r>
      <w:r>
        <w:rPr>
          <w:rFonts w:hint="default" w:ascii="Times New Roman" w:hAnsi="Times New Roman" w:cs="Times New Roman"/>
          <w:b w:val="0"/>
          <w:bCs w:val="0"/>
          <w:color w:val="auto"/>
          <w:highlight w:val="none"/>
        </w:rPr>
        <w:t>55</w:t>
      </w:r>
      <w:r>
        <w:rPr>
          <w:rFonts w:hint="default" w:ascii="Times New Roman" w:hAnsi="Times New Roman" w:cs="Times New Roman"/>
          <w:b w:val="0"/>
          <w:bCs w:val="0"/>
          <w:color w:val="auto"/>
          <w:highlight w:val="none"/>
        </w:rPr>
        <w:fldChar w:fldCharType="end"/>
      </w:r>
      <w:r>
        <w:rPr>
          <w:rFonts w:hint="default" w:ascii="Times New Roman" w:hAnsi="Times New Roman" w:eastAsia="宋体" w:cs="Times New Roman"/>
          <w:b w:val="0"/>
          <w:bCs w:val="0"/>
          <w:color w:val="auto"/>
          <w:highlight w:val="none"/>
        </w:rPr>
        <w:fldChar w:fldCharType="end"/>
      </w:r>
    </w:p>
    <w:p w14:paraId="09AF85F7">
      <w:pPr>
        <w:pStyle w:val="36"/>
        <w:tabs>
          <w:tab w:val="right" w:leader="dot" w:pos="8306"/>
        </w:tabs>
        <w:rPr>
          <w:rFonts w:hint="default" w:ascii="Times New Roman" w:hAnsi="Times New Roman" w:cs="Times New Roman"/>
          <w:b w:val="0"/>
          <w:bCs w:val="0"/>
          <w:color w:val="auto"/>
          <w:highlight w:val="none"/>
        </w:rPr>
      </w:pPr>
      <w:r>
        <w:rPr>
          <w:rFonts w:hint="default" w:ascii="Times New Roman" w:hAnsi="Times New Roman" w:eastAsia="宋体" w:cs="Times New Roman"/>
          <w:b w:val="0"/>
          <w:bCs w:val="0"/>
          <w:color w:val="auto"/>
          <w:highlight w:val="none"/>
        </w:rPr>
        <w:fldChar w:fldCharType="begin"/>
      </w:r>
      <w:r>
        <w:rPr>
          <w:rFonts w:hint="default" w:ascii="Times New Roman" w:hAnsi="Times New Roman" w:eastAsia="宋体" w:cs="Times New Roman"/>
          <w:b w:val="0"/>
          <w:bCs w:val="0"/>
          <w:color w:val="auto"/>
          <w:highlight w:val="none"/>
        </w:rPr>
        <w:instrText xml:space="preserve"> HYPERLINK \l _Toc7953 </w:instrText>
      </w:r>
      <w:r>
        <w:rPr>
          <w:rFonts w:hint="default" w:ascii="Times New Roman" w:hAnsi="Times New Roman" w:eastAsia="宋体" w:cs="Times New Roman"/>
          <w:b w:val="0"/>
          <w:bCs w:val="0"/>
          <w:color w:val="auto"/>
          <w:highlight w:val="none"/>
        </w:rPr>
        <w:fldChar w:fldCharType="separate"/>
      </w:r>
      <w:r>
        <w:rPr>
          <w:rFonts w:hint="default" w:ascii="Times New Roman" w:hAnsi="Times New Roman" w:eastAsia="宋体" w:cs="Times New Roman"/>
          <w:b w:val="0"/>
          <w:bCs w:val="0"/>
          <w:color w:val="auto"/>
          <w:highlight w:val="none"/>
        </w:rPr>
        <w:t>表 6-</w:t>
      </w:r>
      <w:r>
        <w:rPr>
          <w:rFonts w:hint="default" w:ascii="Times New Roman" w:hAnsi="Times New Roman" w:cs="Times New Roman"/>
          <w:b w:val="0"/>
          <w:bCs w:val="0"/>
          <w:color w:val="auto"/>
          <w:highlight w:val="none"/>
        </w:rPr>
        <w:t xml:space="preserve">1 </w:t>
      </w:r>
      <w:r>
        <w:rPr>
          <w:rFonts w:hint="default" w:ascii="Times New Roman" w:hAnsi="Times New Roman" w:eastAsia="宋体" w:cs="Times New Roman"/>
          <w:b w:val="0"/>
          <w:bCs w:val="0"/>
          <w:color w:val="auto"/>
          <w:highlight w:val="none"/>
        </w:rPr>
        <w:t>利益相关方参与人次统计</w:t>
      </w:r>
      <w:r>
        <w:rPr>
          <w:rFonts w:hint="default" w:ascii="Times New Roman" w:hAnsi="Times New Roman" w:cs="Times New Roman"/>
          <w:b w:val="0"/>
          <w:bCs w:val="0"/>
          <w:color w:val="auto"/>
          <w:highlight w:val="none"/>
        </w:rPr>
        <w:tab/>
      </w:r>
      <w:r>
        <w:rPr>
          <w:rFonts w:hint="default" w:ascii="Times New Roman" w:hAnsi="Times New Roman" w:cs="Times New Roman"/>
          <w:b w:val="0"/>
          <w:bCs w:val="0"/>
          <w:color w:val="auto"/>
          <w:highlight w:val="none"/>
        </w:rPr>
        <w:fldChar w:fldCharType="begin"/>
      </w:r>
      <w:r>
        <w:rPr>
          <w:rFonts w:hint="default" w:ascii="Times New Roman" w:hAnsi="Times New Roman" w:cs="Times New Roman"/>
          <w:b w:val="0"/>
          <w:bCs w:val="0"/>
          <w:color w:val="auto"/>
          <w:highlight w:val="none"/>
        </w:rPr>
        <w:instrText xml:space="preserve"> PAGEREF _Toc7953 \h </w:instrText>
      </w:r>
      <w:r>
        <w:rPr>
          <w:rFonts w:hint="default" w:ascii="Times New Roman" w:hAnsi="Times New Roman" w:cs="Times New Roman"/>
          <w:b w:val="0"/>
          <w:bCs w:val="0"/>
          <w:color w:val="auto"/>
          <w:highlight w:val="none"/>
        </w:rPr>
        <w:fldChar w:fldCharType="separate"/>
      </w:r>
      <w:r>
        <w:rPr>
          <w:rFonts w:hint="default" w:ascii="Times New Roman" w:hAnsi="Times New Roman" w:cs="Times New Roman"/>
          <w:b w:val="0"/>
          <w:bCs w:val="0"/>
          <w:color w:val="auto"/>
          <w:highlight w:val="none"/>
        </w:rPr>
        <w:t>59</w:t>
      </w:r>
      <w:r>
        <w:rPr>
          <w:rFonts w:hint="default" w:ascii="Times New Roman" w:hAnsi="Times New Roman" w:cs="Times New Roman"/>
          <w:b w:val="0"/>
          <w:bCs w:val="0"/>
          <w:color w:val="auto"/>
          <w:highlight w:val="none"/>
        </w:rPr>
        <w:fldChar w:fldCharType="end"/>
      </w:r>
      <w:r>
        <w:rPr>
          <w:rFonts w:hint="default" w:ascii="Times New Roman" w:hAnsi="Times New Roman" w:eastAsia="宋体" w:cs="Times New Roman"/>
          <w:b w:val="0"/>
          <w:bCs w:val="0"/>
          <w:color w:val="auto"/>
          <w:highlight w:val="none"/>
        </w:rPr>
        <w:fldChar w:fldCharType="end"/>
      </w:r>
    </w:p>
    <w:p w14:paraId="45B703D8">
      <w:pPr>
        <w:pStyle w:val="36"/>
        <w:tabs>
          <w:tab w:val="right" w:leader="dot" w:pos="8306"/>
        </w:tabs>
        <w:rPr>
          <w:rFonts w:hint="default" w:ascii="Times New Roman" w:hAnsi="Times New Roman" w:cs="Times New Roman"/>
          <w:b w:val="0"/>
          <w:bCs w:val="0"/>
          <w:color w:val="auto"/>
          <w:highlight w:val="none"/>
        </w:rPr>
      </w:pPr>
      <w:r>
        <w:rPr>
          <w:rFonts w:hint="default" w:ascii="Times New Roman" w:hAnsi="Times New Roman" w:eastAsia="宋体" w:cs="Times New Roman"/>
          <w:b w:val="0"/>
          <w:bCs w:val="0"/>
          <w:color w:val="auto"/>
          <w:highlight w:val="none"/>
        </w:rPr>
        <w:fldChar w:fldCharType="begin"/>
      </w:r>
      <w:r>
        <w:rPr>
          <w:rFonts w:hint="default" w:ascii="Times New Roman" w:hAnsi="Times New Roman" w:eastAsia="宋体" w:cs="Times New Roman"/>
          <w:b w:val="0"/>
          <w:bCs w:val="0"/>
          <w:color w:val="auto"/>
          <w:highlight w:val="none"/>
        </w:rPr>
        <w:instrText xml:space="preserve"> HYPERLINK \l _Toc13061 </w:instrText>
      </w:r>
      <w:r>
        <w:rPr>
          <w:rFonts w:hint="default" w:ascii="Times New Roman" w:hAnsi="Times New Roman" w:eastAsia="宋体" w:cs="Times New Roman"/>
          <w:b w:val="0"/>
          <w:bCs w:val="0"/>
          <w:color w:val="auto"/>
          <w:highlight w:val="none"/>
        </w:rPr>
        <w:fldChar w:fldCharType="separate"/>
      </w:r>
      <w:r>
        <w:rPr>
          <w:rFonts w:hint="default" w:ascii="Times New Roman" w:hAnsi="Times New Roman" w:eastAsia="宋体" w:cs="Times New Roman"/>
          <w:b w:val="0"/>
          <w:bCs w:val="0"/>
          <w:color w:val="auto"/>
          <w:szCs w:val="24"/>
          <w:highlight w:val="none"/>
        </w:rPr>
        <w:t>表 7-</w:t>
      </w:r>
      <w:r>
        <w:rPr>
          <w:rFonts w:hint="default" w:ascii="Times New Roman" w:hAnsi="Times New Roman" w:cs="Times New Roman"/>
          <w:b w:val="0"/>
          <w:bCs w:val="0"/>
          <w:color w:val="auto"/>
          <w:highlight w:val="none"/>
        </w:rPr>
        <w:t xml:space="preserve">1 </w:t>
      </w:r>
      <w:r>
        <w:rPr>
          <w:rFonts w:hint="default" w:ascii="Times New Roman" w:hAnsi="Times New Roman" w:eastAsia="宋体" w:cs="Times New Roman"/>
          <w:b w:val="0"/>
          <w:bCs w:val="0"/>
          <w:color w:val="auto"/>
          <w:szCs w:val="24"/>
          <w:highlight w:val="none"/>
        </w:rPr>
        <w:t>社会管理计划</w:t>
      </w:r>
      <w:r>
        <w:rPr>
          <w:rFonts w:hint="default" w:ascii="Times New Roman" w:hAnsi="Times New Roman" w:cs="Times New Roman"/>
          <w:b w:val="0"/>
          <w:bCs w:val="0"/>
          <w:color w:val="auto"/>
          <w:highlight w:val="none"/>
        </w:rPr>
        <w:tab/>
      </w:r>
      <w:r>
        <w:rPr>
          <w:rFonts w:hint="default" w:ascii="Times New Roman" w:hAnsi="Times New Roman" w:cs="Times New Roman"/>
          <w:b w:val="0"/>
          <w:bCs w:val="0"/>
          <w:color w:val="auto"/>
          <w:highlight w:val="none"/>
        </w:rPr>
        <w:fldChar w:fldCharType="begin"/>
      </w:r>
      <w:r>
        <w:rPr>
          <w:rFonts w:hint="default" w:ascii="Times New Roman" w:hAnsi="Times New Roman" w:cs="Times New Roman"/>
          <w:b w:val="0"/>
          <w:bCs w:val="0"/>
          <w:color w:val="auto"/>
          <w:highlight w:val="none"/>
        </w:rPr>
        <w:instrText xml:space="preserve"> PAGEREF _Toc13061 \h </w:instrText>
      </w:r>
      <w:r>
        <w:rPr>
          <w:rFonts w:hint="default" w:ascii="Times New Roman" w:hAnsi="Times New Roman" w:cs="Times New Roman"/>
          <w:b w:val="0"/>
          <w:bCs w:val="0"/>
          <w:color w:val="auto"/>
          <w:highlight w:val="none"/>
        </w:rPr>
        <w:fldChar w:fldCharType="separate"/>
      </w:r>
      <w:r>
        <w:rPr>
          <w:rFonts w:hint="default" w:ascii="Times New Roman" w:hAnsi="Times New Roman" w:cs="Times New Roman"/>
          <w:b w:val="0"/>
          <w:bCs w:val="0"/>
          <w:color w:val="auto"/>
          <w:highlight w:val="none"/>
        </w:rPr>
        <w:t>63</w:t>
      </w:r>
      <w:r>
        <w:rPr>
          <w:rFonts w:hint="default" w:ascii="Times New Roman" w:hAnsi="Times New Roman" w:cs="Times New Roman"/>
          <w:b w:val="0"/>
          <w:bCs w:val="0"/>
          <w:color w:val="auto"/>
          <w:highlight w:val="none"/>
        </w:rPr>
        <w:fldChar w:fldCharType="end"/>
      </w:r>
      <w:r>
        <w:rPr>
          <w:rFonts w:hint="default" w:ascii="Times New Roman" w:hAnsi="Times New Roman" w:eastAsia="宋体" w:cs="Times New Roman"/>
          <w:b w:val="0"/>
          <w:bCs w:val="0"/>
          <w:color w:val="auto"/>
          <w:highlight w:val="none"/>
        </w:rPr>
        <w:fldChar w:fldCharType="end"/>
      </w:r>
    </w:p>
    <w:p w14:paraId="0FBEB2C0">
      <w:pPr>
        <w:pStyle w:val="36"/>
        <w:tabs>
          <w:tab w:val="right" w:leader="dot" w:pos="8306"/>
        </w:tabs>
        <w:rPr>
          <w:rFonts w:hint="default" w:ascii="Times New Roman" w:hAnsi="Times New Roman" w:cs="Times New Roman"/>
          <w:b w:val="0"/>
          <w:bCs w:val="0"/>
          <w:color w:val="auto"/>
          <w:highlight w:val="none"/>
        </w:rPr>
      </w:pPr>
      <w:r>
        <w:rPr>
          <w:rFonts w:hint="default" w:ascii="Times New Roman" w:hAnsi="Times New Roman" w:eastAsia="宋体" w:cs="Times New Roman"/>
          <w:b w:val="0"/>
          <w:bCs w:val="0"/>
          <w:color w:val="auto"/>
          <w:highlight w:val="none"/>
        </w:rPr>
        <w:fldChar w:fldCharType="begin"/>
      </w:r>
      <w:r>
        <w:rPr>
          <w:rFonts w:hint="default" w:ascii="Times New Roman" w:hAnsi="Times New Roman" w:eastAsia="宋体" w:cs="Times New Roman"/>
          <w:b w:val="0"/>
          <w:bCs w:val="0"/>
          <w:color w:val="auto"/>
          <w:highlight w:val="none"/>
        </w:rPr>
        <w:instrText xml:space="preserve"> HYPERLINK \l _Toc15783 </w:instrText>
      </w:r>
      <w:r>
        <w:rPr>
          <w:rFonts w:hint="default" w:ascii="Times New Roman" w:hAnsi="Times New Roman" w:eastAsia="宋体" w:cs="Times New Roman"/>
          <w:b w:val="0"/>
          <w:bCs w:val="0"/>
          <w:color w:val="auto"/>
          <w:highlight w:val="none"/>
        </w:rPr>
        <w:fldChar w:fldCharType="separate"/>
      </w:r>
      <w:r>
        <w:rPr>
          <w:rFonts w:hint="default" w:ascii="Times New Roman" w:hAnsi="Times New Roman" w:eastAsia="宋体" w:cs="Times New Roman"/>
          <w:b w:val="0"/>
          <w:bCs w:val="0"/>
          <w:color w:val="auto"/>
          <w:highlight w:val="none"/>
        </w:rPr>
        <w:t>表 8</w:t>
      </w:r>
      <w:r>
        <w:rPr>
          <w:rFonts w:hint="default" w:ascii="Times New Roman" w:hAnsi="Times New Roman" w:eastAsia="宋体" w:cs="Times New Roman"/>
          <w:b w:val="0"/>
          <w:bCs w:val="0"/>
          <w:color w:val="auto"/>
          <w:highlight w:val="none"/>
        </w:rPr>
        <w:noBreakHyphen/>
      </w:r>
      <w:r>
        <w:rPr>
          <w:rFonts w:hint="default" w:ascii="Times New Roman" w:hAnsi="Times New Roman" w:cs="Times New Roman"/>
          <w:b w:val="0"/>
          <w:bCs w:val="0"/>
          <w:color w:val="auto"/>
          <w:highlight w:val="none"/>
        </w:rPr>
        <w:t xml:space="preserve">1 </w:t>
      </w:r>
      <w:r>
        <w:rPr>
          <w:rFonts w:hint="default" w:ascii="Times New Roman" w:hAnsi="Times New Roman" w:eastAsia="宋体" w:cs="Times New Roman"/>
          <w:b w:val="0"/>
          <w:bCs w:val="0"/>
          <w:color w:val="auto"/>
          <w:highlight w:val="none"/>
        </w:rPr>
        <w:t>社会管理能力建设分阶段安排计划</w:t>
      </w:r>
      <w:r>
        <w:rPr>
          <w:rFonts w:hint="default" w:ascii="Times New Roman" w:hAnsi="Times New Roman" w:cs="Times New Roman"/>
          <w:b w:val="0"/>
          <w:bCs w:val="0"/>
          <w:color w:val="auto"/>
          <w:highlight w:val="none"/>
        </w:rPr>
        <w:tab/>
      </w:r>
      <w:r>
        <w:rPr>
          <w:rFonts w:hint="default" w:ascii="Times New Roman" w:hAnsi="Times New Roman" w:cs="Times New Roman"/>
          <w:b w:val="0"/>
          <w:bCs w:val="0"/>
          <w:color w:val="auto"/>
          <w:highlight w:val="none"/>
        </w:rPr>
        <w:fldChar w:fldCharType="begin"/>
      </w:r>
      <w:r>
        <w:rPr>
          <w:rFonts w:hint="default" w:ascii="Times New Roman" w:hAnsi="Times New Roman" w:cs="Times New Roman"/>
          <w:b w:val="0"/>
          <w:bCs w:val="0"/>
          <w:color w:val="auto"/>
          <w:highlight w:val="none"/>
        </w:rPr>
        <w:instrText xml:space="preserve"> PAGEREF _Toc15783 \h </w:instrText>
      </w:r>
      <w:r>
        <w:rPr>
          <w:rFonts w:hint="default" w:ascii="Times New Roman" w:hAnsi="Times New Roman" w:cs="Times New Roman"/>
          <w:b w:val="0"/>
          <w:bCs w:val="0"/>
          <w:color w:val="auto"/>
          <w:highlight w:val="none"/>
        </w:rPr>
        <w:fldChar w:fldCharType="separate"/>
      </w:r>
      <w:r>
        <w:rPr>
          <w:rFonts w:hint="default" w:ascii="Times New Roman" w:hAnsi="Times New Roman" w:cs="Times New Roman"/>
          <w:b w:val="0"/>
          <w:bCs w:val="0"/>
          <w:color w:val="auto"/>
          <w:highlight w:val="none"/>
        </w:rPr>
        <w:t>69</w:t>
      </w:r>
      <w:r>
        <w:rPr>
          <w:rFonts w:hint="default" w:ascii="Times New Roman" w:hAnsi="Times New Roman" w:cs="Times New Roman"/>
          <w:b w:val="0"/>
          <w:bCs w:val="0"/>
          <w:color w:val="auto"/>
          <w:highlight w:val="none"/>
        </w:rPr>
        <w:fldChar w:fldCharType="end"/>
      </w:r>
      <w:r>
        <w:rPr>
          <w:rFonts w:hint="default" w:ascii="Times New Roman" w:hAnsi="Times New Roman" w:eastAsia="宋体" w:cs="Times New Roman"/>
          <w:b w:val="0"/>
          <w:bCs w:val="0"/>
          <w:color w:val="auto"/>
          <w:highlight w:val="none"/>
        </w:rPr>
        <w:fldChar w:fldCharType="end"/>
      </w:r>
    </w:p>
    <w:p w14:paraId="7356C7BC">
      <w:pPr>
        <w:pStyle w:val="36"/>
        <w:tabs>
          <w:tab w:val="right" w:leader="dot" w:pos="8296"/>
        </w:tabs>
        <w:rPr>
          <w:rFonts w:hint="default" w:ascii="Times New Roman" w:hAnsi="Times New Roman" w:eastAsia="宋体" w:cs="Times New Roman"/>
          <w:smallCaps w:val="0"/>
          <w:color w:val="auto"/>
          <w:szCs w:val="24"/>
          <w:highlight w:val="none"/>
        </w:rPr>
      </w:pPr>
      <w:r>
        <w:rPr>
          <w:rFonts w:hint="default" w:ascii="Times New Roman" w:hAnsi="Times New Roman" w:eastAsia="宋体" w:cs="Times New Roman"/>
          <w:b w:val="0"/>
          <w:bCs w:val="0"/>
          <w:color w:val="auto"/>
          <w:highlight w:val="none"/>
        </w:rPr>
        <w:fldChar w:fldCharType="end"/>
      </w:r>
    </w:p>
    <w:p w14:paraId="33DC0149">
      <w:pPr>
        <w:spacing w:before="120" w:after="120" w:line="300" w:lineRule="auto"/>
        <w:jc w:val="center"/>
        <w:rPr>
          <w:rFonts w:hint="default" w:ascii="Times New Roman" w:hAnsi="Times New Roman" w:eastAsia="宋体" w:cs="Times New Roman"/>
          <w:b/>
          <w:bCs/>
          <w:color w:val="auto"/>
          <w:sz w:val="28"/>
          <w:szCs w:val="28"/>
          <w:highlight w:val="none"/>
        </w:rPr>
      </w:pPr>
    </w:p>
    <w:p w14:paraId="11FA446F">
      <w:pPr>
        <w:spacing w:before="120" w:after="120" w:line="300" w:lineRule="auto"/>
        <w:jc w:val="cente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图目录</w:t>
      </w:r>
    </w:p>
    <w:p w14:paraId="41D0984A">
      <w:pPr>
        <w:pStyle w:val="36"/>
        <w:tabs>
          <w:tab w:val="right" w:leader="dot" w:pos="8306"/>
        </w:tabs>
        <w:rPr>
          <w:rFonts w:hint="default" w:ascii="Times New Roman" w:hAnsi="Times New Roman" w:cs="Times New Roman"/>
          <w:color w:val="auto"/>
          <w:highlight w:val="none"/>
        </w:rPr>
      </w:pPr>
      <w:r>
        <w:rPr>
          <w:rStyle w:val="48"/>
          <w:rFonts w:hint="default" w:ascii="Times New Roman" w:hAnsi="Times New Roman" w:eastAsia="宋体" w:cs="Times New Roman"/>
          <w:bCs/>
          <w:color w:val="auto"/>
          <w:highlight w:val="none"/>
        </w:rPr>
        <w:fldChar w:fldCharType="begin"/>
      </w:r>
      <w:r>
        <w:rPr>
          <w:rStyle w:val="48"/>
          <w:rFonts w:hint="default" w:ascii="Times New Roman" w:hAnsi="Times New Roman" w:eastAsia="宋体" w:cs="Times New Roman"/>
          <w:bCs/>
          <w:color w:val="auto"/>
          <w:highlight w:val="none"/>
        </w:rPr>
        <w:instrText xml:space="preserve">TOC \h \c "图"</w:instrText>
      </w:r>
      <w:r>
        <w:rPr>
          <w:rStyle w:val="48"/>
          <w:rFonts w:hint="default" w:ascii="Times New Roman" w:hAnsi="Times New Roman" w:eastAsia="宋体" w:cs="Times New Roman"/>
          <w:bCs/>
          <w:color w:val="auto"/>
          <w:highlight w:val="none"/>
        </w:rPr>
        <w:fldChar w:fldCharType="separate"/>
      </w:r>
      <w:r>
        <w:rPr>
          <w:rFonts w:hint="default" w:ascii="Times New Roman" w:hAnsi="Times New Roman" w:eastAsia="宋体" w:cs="Times New Roman"/>
          <w:bCs/>
          <w:color w:val="auto"/>
          <w:highlight w:val="none"/>
        </w:rPr>
        <w:fldChar w:fldCharType="begin"/>
      </w:r>
      <w:r>
        <w:rPr>
          <w:rFonts w:hint="default" w:ascii="Times New Roman" w:hAnsi="Times New Roman" w:eastAsia="宋体" w:cs="Times New Roman"/>
          <w:bCs/>
          <w:color w:val="auto"/>
          <w:highlight w:val="none"/>
        </w:rPr>
        <w:instrText xml:space="preserve"> HYPERLINK \l _Toc9576 </w:instrText>
      </w:r>
      <w:r>
        <w:rPr>
          <w:rFonts w:hint="default" w:ascii="Times New Roman" w:hAnsi="Times New Roman" w:eastAsia="宋体" w:cs="Times New Roman"/>
          <w:bCs/>
          <w:color w:val="auto"/>
          <w:highlight w:val="none"/>
        </w:rPr>
        <w:fldChar w:fldCharType="separate"/>
      </w:r>
      <w:r>
        <w:rPr>
          <w:rFonts w:hint="default" w:ascii="Times New Roman" w:hAnsi="Times New Roman" w:eastAsia="宋体" w:cs="Times New Roman"/>
          <w:bCs/>
          <w:color w:val="auto"/>
          <w:highlight w:val="none"/>
        </w:rPr>
        <w:t>图 1</w:t>
      </w:r>
      <w:r>
        <w:rPr>
          <w:rFonts w:hint="default" w:ascii="Times New Roman" w:hAnsi="Times New Roman" w:eastAsia="宋体" w:cs="Times New Roman"/>
          <w:bCs/>
          <w:color w:val="auto"/>
          <w:highlight w:val="none"/>
        </w:rPr>
        <w:noBreakHyphen/>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 xml:space="preserve"> </w:t>
      </w:r>
      <w:r>
        <w:rPr>
          <w:rFonts w:hint="default" w:ascii="Times New Roman" w:hAnsi="Times New Roman" w:eastAsia="宋体" w:cs="Times New Roman"/>
          <w:bCs/>
          <w:color w:val="auto"/>
          <w:highlight w:val="none"/>
        </w:rPr>
        <w:t>项目建设活动分布图</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_Toc9576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4</w:t>
      </w:r>
      <w:r>
        <w:rPr>
          <w:rFonts w:hint="default" w:ascii="Times New Roman" w:hAnsi="Times New Roman" w:cs="Times New Roman"/>
          <w:color w:val="auto"/>
          <w:highlight w:val="none"/>
        </w:rPr>
        <w:fldChar w:fldCharType="end"/>
      </w:r>
      <w:r>
        <w:rPr>
          <w:rFonts w:hint="default" w:ascii="Times New Roman" w:hAnsi="Times New Roman" w:eastAsia="宋体" w:cs="Times New Roman"/>
          <w:bCs/>
          <w:color w:val="auto"/>
          <w:highlight w:val="none"/>
        </w:rPr>
        <w:fldChar w:fldCharType="end"/>
      </w:r>
    </w:p>
    <w:p w14:paraId="16EAFBFB">
      <w:pPr>
        <w:pStyle w:val="36"/>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bCs/>
          <w:color w:val="auto"/>
          <w:highlight w:val="none"/>
        </w:rPr>
        <w:fldChar w:fldCharType="begin"/>
      </w:r>
      <w:r>
        <w:rPr>
          <w:rFonts w:hint="default" w:ascii="Times New Roman" w:hAnsi="Times New Roman" w:eastAsia="宋体" w:cs="Times New Roman"/>
          <w:bCs/>
          <w:color w:val="auto"/>
          <w:highlight w:val="none"/>
        </w:rPr>
        <w:instrText xml:space="preserve"> HYPERLINK \l _Toc26229 </w:instrText>
      </w:r>
      <w:r>
        <w:rPr>
          <w:rFonts w:hint="default" w:ascii="Times New Roman" w:hAnsi="Times New Roman" w:eastAsia="宋体" w:cs="Times New Roman"/>
          <w:bCs/>
          <w:color w:val="auto"/>
          <w:highlight w:val="none"/>
        </w:rPr>
        <w:fldChar w:fldCharType="separate"/>
      </w:r>
      <w:r>
        <w:rPr>
          <w:rFonts w:hint="default" w:ascii="Times New Roman" w:hAnsi="Times New Roman" w:eastAsia="宋体" w:cs="Times New Roman"/>
          <w:bCs/>
          <w:color w:val="auto"/>
          <w:szCs w:val="24"/>
          <w:highlight w:val="none"/>
        </w:rPr>
        <w:t>图 2-</w:t>
      </w:r>
      <w:r>
        <w:rPr>
          <w:rFonts w:hint="default" w:ascii="Times New Roman" w:hAnsi="Times New Roman" w:cs="Times New Roman"/>
          <w:color w:val="auto"/>
          <w:highlight w:val="none"/>
        </w:rPr>
        <w:t xml:space="preserve">1 </w:t>
      </w:r>
      <w:r>
        <w:rPr>
          <w:rFonts w:hint="default" w:ascii="Times New Roman" w:hAnsi="Times New Roman" w:eastAsia="宋体" w:cs="Times New Roman"/>
          <w:bCs/>
          <w:color w:val="auto"/>
          <w:szCs w:val="24"/>
          <w:highlight w:val="none"/>
        </w:rPr>
        <w:t>城东新区区位图</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_Toc26229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14</w:t>
      </w:r>
      <w:r>
        <w:rPr>
          <w:rFonts w:hint="default" w:ascii="Times New Roman" w:hAnsi="Times New Roman" w:cs="Times New Roman"/>
          <w:color w:val="auto"/>
          <w:highlight w:val="none"/>
        </w:rPr>
        <w:fldChar w:fldCharType="end"/>
      </w:r>
      <w:r>
        <w:rPr>
          <w:rFonts w:hint="default" w:ascii="Times New Roman" w:hAnsi="Times New Roman" w:eastAsia="宋体" w:cs="Times New Roman"/>
          <w:bCs/>
          <w:color w:val="auto"/>
          <w:highlight w:val="none"/>
        </w:rPr>
        <w:fldChar w:fldCharType="end"/>
      </w:r>
    </w:p>
    <w:p w14:paraId="75340546">
      <w:pPr>
        <w:pStyle w:val="36"/>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bCs/>
          <w:color w:val="auto"/>
          <w:highlight w:val="none"/>
        </w:rPr>
        <w:fldChar w:fldCharType="begin"/>
      </w:r>
      <w:r>
        <w:rPr>
          <w:rFonts w:hint="default" w:ascii="Times New Roman" w:hAnsi="Times New Roman" w:eastAsia="宋体" w:cs="Times New Roman"/>
          <w:bCs/>
          <w:color w:val="auto"/>
          <w:highlight w:val="none"/>
        </w:rPr>
        <w:instrText xml:space="preserve"> HYPERLINK \l _Toc28124 </w:instrText>
      </w:r>
      <w:r>
        <w:rPr>
          <w:rFonts w:hint="default" w:ascii="Times New Roman" w:hAnsi="Times New Roman" w:eastAsia="宋体" w:cs="Times New Roman"/>
          <w:bCs/>
          <w:color w:val="auto"/>
          <w:highlight w:val="none"/>
        </w:rPr>
        <w:fldChar w:fldCharType="separate"/>
      </w:r>
      <w:r>
        <w:rPr>
          <w:rFonts w:hint="default" w:ascii="Times New Roman" w:hAnsi="Times New Roman" w:eastAsia="宋体" w:cs="Times New Roman"/>
          <w:bCs/>
          <w:color w:val="auto"/>
          <w:szCs w:val="24"/>
          <w:highlight w:val="none"/>
        </w:rPr>
        <w:t>图 2-</w:t>
      </w:r>
      <w:r>
        <w:rPr>
          <w:rFonts w:hint="default" w:ascii="Times New Roman" w:hAnsi="Times New Roman" w:cs="Times New Roman"/>
          <w:color w:val="auto"/>
          <w:highlight w:val="none"/>
        </w:rPr>
        <w:t xml:space="preserve">2 </w:t>
      </w:r>
      <w:r>
        <w:rPr>
          <w:rFonts w:hint="default" w:ascii="Times New Roman" w:hAnsi="Times New Roman" w:eastAsia="宋体" w:cs="Times New Roman"/>
          <w:bCs/>
          <w:color w:val="auto"/>
          <w:szCs w:val="24"/>
          <w:highlight w:val="none"/>
        </w:rPr>
        <w:t>问卷调查者年龄分布</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_Toc28124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17</w:t>
      </w:r>
      <w:r>
        <w:rPr>
          <w:rFonts w:hint="default" w:ascii="Times New Roman" w:hAnsi="Times New Roman" w:cs="Times New Roman"/>
          <w:color w:val="auto"/>
          <w:highlight w:val="none"/>
        </w:rPr>
        <w:fldChar w:fldCharType="end"/>
      </w:r>
      <w:r>
        <w:rPr>
          <w:rFonts w:hint="default" w:ascii="Times New Roman" w:hAnsi="Times New Roman" w:eastAsia="宋体" w:cs="Times New Roman"/>
          <w:bCs/>
          <w:color w:val="auto"/>
          <w:highlight w:val="none"/>
        </w:rPr>
        <w:fldChar w:fldCharType="end"/>
      </w:r>
    </w:p>
    <w:p w14:paraId="0C4C6191">
      <w:pPr>
        <w:pStyle w:val="36"/>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bCs/>
          <w:color w:val="auto"/>
          <w:highlight w:val="none"/>
        </w:rPr>
        <w:fldChar w:fldCharType="begin"/>
      </w:r>
      <w:r>
        <w:rPr>
          <w:rFonts w:hint="default" w:ascii="Times New Roman" w:hAnsi="Times New Roman" w:eastAsia="宋体" w:cs="Times New Roman"/>
          <w:bCs/>
          <w:color w:val="auto"/>
          <w:highlight w:val="none"/>
        </w:rPr>
        <w:instrText xml:space="preserve"> HYPERLINK \l _Toc10371 </w:instrText>
      </w:r>
      <w:r>
        <w:rPr>
          <w:rFonts w:hint="default" w:ascii="Times New Roman" w:hAnsi="Times New Roman" w:eastAsia="宋体" w:cs="Times New Roman"/>
          <w:bCs/>
          <w:color w:val="auto"/>
          <w:highlight w:val="none"/>
        </w:rPr>
        <w:fldChar w:fldCharType="separate"/>
      </w:r>
      <w:r>
        <w:rPr>
          <w:rFonts w:hint="default" w:ascii="Times New Roman" w:hAnsi="Times New Roman" w:eastAsia="宋体" w:cs="Times New Roman"/>
          <w:color w:val="auto"/>
          <w:highlight w:val="none"/>
        </w:rPr>
        <w:t>图 2-</w:t>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家庭年龄结构</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_Toc10371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18</w:t>
      </w:r>
      <w:r>
        <w:rPr>
          <w:rFonts w:hint="default" w:ascii="Times New Roman" w:hAnsi="Times New Roman" w:cs="Times New Roman"/>
          <w:color w:val="auto"/>
          <w:highlight w:val="none"/>
        </w:rPr>
        <w:fldChar w:fldCharType="end"/>
      </w:r>
      <w:r>
        <w:rPr>
          <w:rFonts w:hint="default" w:ascii="Times New Roman" w:hAnsi="Times New Roman" w:eastAsia="宋体" w:cs="Times New Roman"/>
          <w:bCs/>
          <w:color w:val="auto"/>
          <w:highlight w:val="none"/>
        </w:rPr>
        <w:fldChar w:fldCharType="end"/>
      </w:r>
    </w:p>
    <w:p w14:paraId="6702D5A4">
      <w:pPr>
        <w:pStyle w:val="36"/>
        <w:tabs>
          <w:tab w:val="right" w:leader="dot" w:pos="8306"/>
        </w:tabs>
        <w:rPr>
          <w:rFonts w:hint="default" w:ascii="Times New Roman" w:hAnsi="Times New Roman" w:cs="Times New Roman"/>
          <w:color w:val="auto"/>
          <w:highlight w:val="none"/>
        </w:rPr>
      </w:pPr>
      <w:r>
        <w:rPr>
          <w:rFonts w:hint="default" w:ascii="Times New Roman" w:hAnsi="Times New Roman" w:eastAsia="宋体" w:cs="Times New Roman"/>
          <w:bCs/>
          <w:color w:val="auto"/>
          <w:highlight w:val="none"/>
        </w:rPr>
        <w:fldChar w:fldCharType="begin"/>
      </w:r>
      <w:r>
        <w:rPr>
          <w:rFonts w:hint="default" w:ascii="Times New Roman" w:hAnsi="Times New Roman" w:eastAsia="宋体" w:cs="Times New Roman"/>
          <w:bCs/>
          <w:color w:val="auto"/>
          <w:highlight w:val="none"/>
        </w:rPr>
        <w:instrText xml:space="preserve"> HYPERLINK \l _Toc3871 </w:instrText>
      </w:r>
      <w:r>
        <w:rPr>
          <w:rFonts w:hint="default" w:ascii="Times New Roman" w:hAnsi="Times New Roman" w:eastAsia="宋体" w:cs="Times New Roman"/>
          <w:bCs/>
          <w:color w:val="auto"/>
          <w:highlight w:val="none"/>
        </w:rPr>
        <w:fldChar w:fldCharType="separate"/>
      </w:r>
      <w:r>
        <w:rPr>
          <w:rFonts w:hint="default" w:ascii="Times New Roman" w:hAnsi="Times New Roman" w:eastAsia="宋体" w:cs="Times New Roman"/>
          <w:bCs/>
          <w:color w:val="auto"/>
          <w:highlight w:val="none"/>
        </w:rPr>
        <w:t>图 7</w:t>
      </w:r>
      <w:r>
        <w:rPr>
          <w:rFonts w:hint="default" w:ascii="Times New Roman" w:hAnsi="Times New Roman" w:eastAsia="宋体" w:cs="Times New Roman"/>
          <w:bCs/>
          <w:color w:val="auto"/>
          <w:highlight w:val="none"/>
        </w:rPr>
        <w:noBreakHyphen/>
      </w:r>
      <w:r>
        <w:rPr>
          <w:rFonts w:hint="default" w:ascii="Times New Roman" w:hAnsi="Times New Roman" w:cs="Times New Roman"/>
          <w:color w:val="auto"/>
          <w:highlight w:val="none"/>
        </w:rPr>
        <w:t xml:space="preserve">1 </w:t>
      </w:r>
      <w:r>
        <w:rPr>
          <w:rFonts w:hint="default" w:ascii="Times New Roman" w:hAnsi="Times New Roman" w:eastAsia="宋体" w:cs="Times New Roman"/>
          <w:bCs/>
          <w:color w:val="auto"/>
          <w:highlight w:val="none"/>
        </w:rPr>
        <w:t>项目社会管理的组织结构</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_Toc3871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66</w:t>
      </w:r>
      <w:r>
        <w:rPr>
          <w:rFonts w:hint="default" w:ascii="Times New Roman" w:hAnsi="Times New Roman" w:cs="Times New Roman"/>
          <w:color w:val="auto"/>
          <w:highlight w:val="none"/>
        </w:rPr>
        <w:fldChar w:fldCharType="end"/>
      </w:r>
      <w:r>
        <w:rPr>
          <w:rFonts w:hint="default" w:ascii="Times New Roman" w:hAnsi="Times New Roman" w:eastAsia="宋体" w:cs="Times New Roman"/>
          <w:bCs/>
          <w:color w:val="auto"/>
          <w:highlight w:val="none"/>
        </w:rPr>
        <w:fldChar w:fldCharType="end"/>
      </w:r>
    </w:p>
    <w:p w14:paraId="78BBD5E7">
      <w:pPr>
        <w:pStyle w:val="36"/>
        <w:tabs>
          <w:tab w:val="right" w:leader="dot" w:pos="8296"/>
        </w:tabs>
        <w:rPr>
          <w:rFonts w:hint="default" w:ascii="Times New Roman" w:hAnsi="Times New Roman" w:eastAsia="宋体" w:cs="Times New Roman"/>
          <w:smallCaps w:val="0"/>
          <w:color w:val="auto"/>
          <w:sz w:val="22"/>
          <w:highlight w:val="none"/>
        </w:rPr>
      </w:pPr>
      <w:r>
        <w:rPr>
          <w:rFonts w:hint="default" w:ascii="Times New Roman" w:hAnsi="Times New Roman" w:eastAsia="宋体" w:cs="Times New Roman"/>
          <w:bCs/>
          <w:color w:val="auto"/>
          <w:highlight w:val="none"/>
        </w:rPr>
        <w:fldChar w:fldCharType="end"/>
      </w:r>
    </w:p>
    <w:p w14:paraId="7CBC6AA8">
      <w:pPr>
        <w:pStyle w:val="14"/>
        <w:tabs>
          <w:tab w:val="right" w:leader="dot" w:pos="8630"/>
        </w:tabs>
        <w:spacing w:line="276" w:lineRule="auto"/>
        <w:rPr>
          <w:rFonts w:hint="default" w:ascii="Times New Roman" w:hAnsi="Times New Roman" w:eastAsia="宋体" w:cs="Times New Roman"/>
          <w:smallCaps/>
          <w:color w:val="auto"/>
          <w:szCs w:val="24"/>
          <w:highlight w:val="none"/>
        </w:rPr>
      </w:pPr>
    </w:p>
    <w:p w14:paraId="7A489D20">
      <w:pPr>
        <w:pStyle w:val="14"/>
        <w:tabs>
          <w:tab w:val="right" w:leader="dot" w:pos="8630"/>
        </w:tabs>
        <w:spacing w:line="276" w:lineRule="auto"/>
        <w:rPr>
          <w:rFonts w:hint="default" w:ascii="Times New Roman" w:hAnsi="Times New Roman" w:eastAsia="宋体" w:cs="Times New Roman"/>
          <w:smallCaps/>
          <w:color w:val="auto"/>
          <w:szCs w:val="24"/>
          <w:highlight w:val="none"/>
        </w:rPr>
      </w:pPr>
    </w:p>
    <w:p w14:paraId="24207F48">
      <w:pPr>
        <w:pStyle w:val="14"/>
        <w:tabs>
          <w:tab w:val="right" w:leader="dot" w:pos="8630"/>
        </w:tabs>
        <w:spacing w:line="276" w:lineRule="auto"/>
        <w:rPr>
          <w:rFonts w:hint="default" w:ascii="Times New Roman" w:hAnsi="Times New Roman" w:eastAsia="宋体" w:cs="Times New Roman"/>
          <w:smallCaps/>
          <w:color w:val="auto"/>
          <w:szCs w:val="24"/>
          <w:highlight w:val="none"/>
        </w:rPr>
        <w:sectPr>
          <w:pgSz w:w="11906" w:h="16838"/>
          <w:pgMar w:top="1440" w:right="1800" w:bottom="1440" w:left="1800" w:header="851" w:footer="992" w:gutter="0"/>
          <w:pgNumType w:fmt="upperRoman"/>
          <w:cols w:space="720" w:num="1"/>
          <w:docGrid w:linePitch="326" w:charSpace="0"/>
        </w:sectPr>
      </w:pPr>
      <w:bookmarkStart w:id="537" w:name="_GoBack"/>
      <w:bookmarkEnd w:id="537"/>
    </w:p>
    <w:p w14:paraId="585FBC8C">
      <w:pPr>
        <w:pStyle w:val="14"/>
        <w:tabs>
          <w:tab w:val="right" w:leader="dot" w:pos="8630"/>
        </w:tabs>
        <w:spacing w:line="276" w:lineRule="auto"/>
        <w:ind w:left="0"/>
        <w:jc w:val="cente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缩略语</w:t>
      </w:r>
      <w:bookmarkEnd w:id="5"/>
      <w:bookmarkEnd w:id="6"/>
      <w:bookmarkEnd w:id="7"/>
      <w:bookmarkEnd w:id="8"/>
      <w:bookmarkEnd w:id="9"/>
      <w:r>
        <w:rPr>
          <w:rFonts w:hint="default" w:ascii="Times New Roman" w:hAnsi="Times New Roman" w:eastAsia="宋体" w:cs="Times New Roman"/>
          <w:b/>
          <w:bCs/>
          <w:color w:val="auto"/>
          <w:sz w:val="28"/>
          <w:szCs w:val="28"/>
          <w:highlight w:val="none"/>
        </w:rPr>
        <w:t>和缩写</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6836"/>
      </w:tblGrid>
      <w:tr w14:paraId="3A82C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9" w:type="pct"/>
            <w:vAlign w:val="bottom"/>
          </w:tcPr>
          <w:p w14:paraId="5B8B4458">
            <w:pPr>
              <w:jc w:val="center"/>
              <w:rPr>
                <w:rFonts w:hint="default" w:ascii="Times New Roman" w:hAnsi="Times New Roman" w:eastAsia="宋体" w:cs="Times New Roman"/>
                <w:b/>
                <w:color w:val="auto"/>
                <w:sz w:val="22"/>
                <w:highlight w:val="none"/>
              </w:rPr>
            </w:pPr>
            <w:r>
              <w:rPr>
                <w:rFonts w:hint="default" w:ascii="Times New Roman" w:hAnsi="Times New Roman" w:eastAsia="宋体" w:cs="Times New Roman"/>
                <w:b/>
                <w:color w:val="auto"/>
                <w:kern w:val="2"/>
                <w:sz w:val="22"/>
                <w:highlight w:val="none"/>
              </w:rPr>
              <w:t>AIIB</w:t>
            </w:r>
          </w:p>
        </w:tc>
        <w:tc>
          <w:tcPr>
            <w:tcW w:w="4011" w:type="pct"/>
            <w:vAlign w:val="center"/>
          </w:tcPr>
          <w:p w14:paraId="0BA60C15">
            <w:pPr>
              <w:widowControl w:val="0"/>
              <w:ind w:firstLine="480"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kern w:val="2"/>
                <w:highlight w:val="none"/>
              </w:rPr>
              <w:t>亚洲基础设施投资银行</w:t>
            </w:r>
          </w:p>
        </w:tc>
      </w:tr>
      <w:tr w14:paraId="55BEF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9" w:type="pct"/>
            <w:vAlign w:val="bottom"/>
          </w:tcPr>
          <w:p w14:paraId="79BACE8E">
            <w:pPr>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b/>
                <w:bCs/>
                <w:color w:val="auto"/>
                <w:kern w:val="2"/>
                <w:sz w:val="22"/>
                <w:highlight w:val="none"/>
              </w:rPr>
              <w:br w:type="page"/>
            </w:r>
            <w:r>
              <w:rPr>
                <w:rFonts w:hint="default" w:ascii="Times New Roman" w:hAnsi="Times New Roman" w:eastAsia="宋体" w:cs="Times New Roman"/>
                <w:b/>
                <w:color w:val="auto"/>
                <w:kern w:val="2"/>
                <w:sz w:val="22"/>
                <w:highlight w:val="none"/>
              </w:rPr>
              <w:t>E&amp;S</w:t>
            </w:r>
          </w:p>
        </w:tc>
        <w:tc>
          <w:tcPr>
            <w:tcW w:w="4011" w:type="pct"/>
            <w:vAlign w:val="center"/>
          </w:tcPr>
          <w:p w14:paraId="6CCE1409">
            <w:pPr>
              <w:widowControl w:val="0"/>
              <w:ind w:firstLine="480"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kern w:val="2"/>
                <w:highlight w:val="none"/>
              </w:rPr>
              <w:t>环境与社会</w:t>
            </w:r>
          </w:p>
        </w:tc>
      </w:tr>
      <w:tr w14:paraId="2EE91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9" w:type="pct"/>
            <w:vAlign w:val="bottom"/>
          </w:tcPr>
          <w:p w14:paraId="0EC5CA29">
            <w:pPr>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b/>
                <w:color w:val="auto"/>
                <w:kern w:val="2"/>
                <w:sz w:val="22"/>
                <w:highlight w:val="none"/>
              </w:rPr>
              <w:t>EIA</w:t>
            </w:r>
          </w:p>
        </w:tc>
        <w:tc>
          <w:tcPr>
            <w:tcW w:w="4011" w:type="pct"/>
            <w:vAlign w:val="center"/>
          </w:tcPr>
          <w:p w14:paraId="1B8C48B9">
            <w:pPr>
              <w:widowControl w:val="0"/>
              <w:ind w:firstLine="480"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kern w:val="2"/>
                <w:highlight w:val="none"/>
              </w:rPr>
              <w:t>环境影响评估</w:t>
            </w:r>
          </w:p>
        </w:tc>
      </w:tr>
      <w:tr w14:paraId="779E9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9" w:type="pct"/>
            <w:vAlign w:val="bottom"/>
          </w:tcPr>
          <w:p w14:paraId="2F3CDA43">
            <w:pPr>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b/>
                <w:color w:val="auto"/>
                <w:kern w:val="2"/>
                <w:sz w:val="22"/>
                <w:highlight w:val="none"/>
              </w:rPr>
              <w:t>ESF</w:t>
            </w:r>
          </w:p>
        </w:tc>
        <w:tc>
          <w:tcPr>
            <w:tcW w:w="4011" w:type="pct"/>
            <w:vAlign w:val="center"/>
          </w:tcPr>
          <w:p w14:paraId="4C7CC09B">
            <w:pPr>
              <w:widowControl w:val="0"/>
              <w:ind w:firstLine="480"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kern w:val="2"/>
                <w:highlight w:val="none"/>
              </w:rPr>
              <w:t>环境和社会框架</w:t>
            </w:r>
          </w:p>
        </w:tc>
      </w:tr>
      <w:tr w14:paraId="42CEC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9" w:type="pct"/>
            <w:vAlign w:val="bottom"/>
          </w:tcPr>
          <w:p w14:paraId="2BEA2814">
            <w:pPr>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b/>
                <w:color w:val="auto"/>
                <w:kern w:val="2"/>
                <w:sz w:val="22"/>
                <w:highlight w:val="none"/>
              </w:rPr>
              <w:t>ESMP</w:t>
            </w:r>
          </w:p>
        </w:tc>
        <w:tc>
          <w:tcPr>
            <w:tcW w:w="4011" w:type="pct"/>
            <w:vAlign w:val="center"/>
          </w:tcPr>
          <w:p w14:paraId="628B6055">
            <w:pPr>
              <w:widowControl w:val="0"/>
              <w:ind w:firstLine="480"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kern w:val="2"/>
                <w:highlight w:val="none"/>
              </w:rPr>
              <w:t>环境和社会管理计划</w:t>
            </w:r>
          </w:p>
        </w:tc>
      </w:tr>
      <w:tr w14:paraId="75D39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9" w:type="pct"/>
            <w:vAlign w:val="bottom"/>
          </w:tcPr>
          <w:p w14:paraId="764DA434">
            <w:pPr>
              <w:jc w:val="center"/>
              <w:rPr>
                <w:rFonts w:hint="default" w:ascii="Times New Roman" w:hAnsi="Times New Roman" w:eastAsia="宋体" w:cs="Times New Roman"/>
                <w:b/>
                <w:color w:val="auto"/>
                <w:sz w:val="22"/>
                <w:highlight w:val="none"/>
              </w:rPr>
            </w:pPr>
            <w:r>
              <w:rPr>
                <w:rFonts w:hint="default" w:ascii="Times New Roman" w:hAnsi="Times New Roman" w:eastAsia="宋体" w:cs="Times New Roman"/>
                <w:b/>
                <w:color w:val="auto"/>
                <w:kern w:val="2"/>
                <w:sz w:val="22"/>
                <w:highlight w:val="none"/>
              </w:rPr>
              <w:t>ESS</w:t>
            </w:r>
          </w:p>
        </w:tc>
        <w:tc>
          <w:tcPr>
            <w:tcW w:w="4011" w:type="pct"/>
            <w:vAlign w:val="center"/>
          </w:tcPr>
          <w:p w14:paraId="32CCA188">
            <w:pPr>
              <w:widowControl w:val="0"/>
              <w:ind w:firstLine="480"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kern w:val="2"/>
                <w:highlight w:val="none"/>
              </w:rPr>
              <w:t>环境与社会标准</w:t>
            </w:r>
          </w:p>
        </w:tc>
      </w:tr>
      <w:tr w14:paraId="0FF03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9" w:type="pct"/>
            <w:vAlign w:val="bottom"/>
          </w:tcPr>
          <w:p w14:paraId="0F897BAF">
            <w:pPr>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b/>
                <w:color w:val="auto"/>
                <w:kern w:val="2"/>
                <w:sz w:val="22"/>
                <w:highlight w:val="none"/>
              </w:rPr>
              <w:t>GRM</w:t>
            </w:r>
          </w:p>
        </w:tc>
        <w:tc>
          <w:tcPr>
            <w:tcW w:w="4011" w:type="pct"/>
            <w:vAlign w:val="center"/>
          </w:tcPr>
          <w:p w14:paraId="57D3FEC8">
            <w:pPr>
              <w:widowControl w:val="0"/>
              <w:ind w:firstLine="480"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kern w:val="2"/>
                <w:highlight w:val="none"/>
              </w:rPr>
              <w:t>申诉机制</w:t>
            </w:r>
          </w:p>
        </w:tc>
      </w:tr>
      <w:tr w14:paraId="7127F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9" w:type="pct"/>
            <w:vAlign w:val="bottom"/>
          </w:tcPr>
          <w:p w14:paraId="5067F5A0">
            <w:pPr>
              <w:jc w:val="center"/>
              <w:rPr>
                <w:rFonts w:hint="default" w:ascii="Times New Roman" w:hAnsi="Times New Roman" w:eastAsia="宋体" w:cs="Times New Roman"/>
                <w:b/>
                <w:color w:val="auto"/>
                <w:sz w:val="22"/>
                <w:highlight w:val="none"/>
              </w:rPr>
            </w:pPr>
            <w:r>
              <w:rPr>
                <w:rFonts w:hint="default" w:ascii="Times New Roman" w:hAnsi="Times New Roman" w:eastAsia="宋体" w:cs="Times New Roman"/>
                <w:b/>
                <w:color w:val="auto"/>
                <w:kern w:val="2"/>
                <w:sz w:val="22"/>
                <w:highlight w:val="none"/>
              </w:rPr>
              <w:t>LMP</w:t>
            </w:r>
          </w:p>
        </w:tc>
        <w:tc>
          <w:tcPr>
            <w:tcW w:w="4011" w:type="pct"/>
            <w:vAlign w:val="center"/>
          </w:tcPr>
          <w:p w14:paraId="64231DF8">
            <w:pPr>
              <w:widowControl w:val="0"/>
              <w:ind w:firstLine="480"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kern w:val="2"/>
                <w:highlight w:val="none"/>
              </w:rPr>
              <w:t>劳工管理程序</w:t>
            </w:r>
          </w:p>
        </w:tc>
      </w:tr>
      <w:tr w14:paraId="70538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9" w:type="pct"/>
            <w:vAlign w:val="bottom"/>
          </w:tcPr>
          <w:p w14:paraId="4BCD547E">
            <w:pPr>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b/>
                <w:color w:val="auto"/>
                <w:kern w:val="2"/>
                <w:sz w:val="22"/>
                <w:highlight w:val="none"/>
              </w:rPr>
              <w:t>M&amp;E</w:t>
            </w:r>
          </w:p>
        </w:tc>
        <w:tc>
          <w:tcPr>
            <w:tcW w:w="4011" w:type="pct"/>
            <w:vAlign w:val="center"/>
          </w:tcPr>
          <w:p w14:paraId="51F71338">
            <w:pPr>
              <w:widowControl w:val="0"/>
              <w:ind w:firstLine="480"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kern w:val="2"/>
                <w:highlight w:val="none"/>
              </w:rPr>
              <w:t>监测和评估</w:t>
            </w:r>
          </w:p>
        </w:tc>
      </w:tr>
      <w:tr w14:paraId="7DFA8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9" w:type="pct"/>
            <w:vAlign w:val="bottom"/>
          </w:tcPr>
          <w:p w14:paraId="1E9048E3">
            <w:pPr>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b/>
                <w:color w:val="auto"/>
                <w:kern w:val="2"/>
                <w:sz w:val="22"/>
                <w:highlight w:val="none"/>
              </w:rPr>
              <w:t>PIU</w:t>
            </w:r>
          </w:p>
        </w:tc>
        <w:tc>
          <w:tcPr>
            <w:tcW w:w="4011" w:type="pct"/>
            <w:vAlign w:val="center"/>
          </w:tcPr>
          <w:p w14:paraId="31695818">
            <w:pPr>
              <w:widowControl w:val="0"/>
              <w:ind w:firstLine="480"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kern w:val="2"/>
                <w:highlight w:val="none"/>
              </w:rPr>
              <w:t>项目执行单位</w:t>
            </w:r>
          </w:p>
        </w:tc>
      </w:tr>
      <w:tr w14:paraId="5A7AC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9" w:type="pct"/>
            <w:vAlign w:val="bottom"/>
          </w:tcPr>
          <w:p w14:paraId="0C382A3F">
            <w:pPr>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b/>
                <w:color w:val="auto"/>
                <w:kern w:val="2"/>
                <w:sz w:val="22"/>
                <w:highlight w:val="none"/>
              </w:rPr>
              <w:t>PMO</w:t>
            </w:r>
          </w:p>
        </w:tc>
        <w:tc>
          <w:tcPr>
            <w:tcW w:w="4011" w:type="pct"/>
            <w:vAlign w:val="center"/>
          </w:tcPr>
          <w:p w14:paraId="2B6F59B8">
            <w:pPr>
              <w:widowControl w:val="0"/>
              <w:ind w:firstLine="480"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kern w:val="2"/>
                <w:highlight w:val="none"/>
              </w:rPr>
              <w:t>项目管理办公室</w:t>
            </w:r>
          </w:p>
        </w:tc>
      </w:tr>
      <w:tr w14:paraId="18188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9" w:type="pct"/>
            <w:vAlign w:val="bottom"/>
          </w:tcPr>
          <w:p w14:paraId="25507156">
            <w:pPr>
              <w:jc w:val="center"/>
              <w:rPr>
                <w:rFonts w:hint="default" w:ascii="Times New Roman" w:hAnsi="Times New Roman" w:eastAsia="宋体" w:cs="Times New Roman"/>
                <w:b/>
                <w:color w:val="auto"/>
                <w:kern w:val="2"/>
                <w:sz w:val="22"/>
                <w:highlight w:val="none"/>
              </w:rPr>
            </w:pPr>
            <w:r>
              <w:rPr>
                <w:rFonts w:hint="default" w:ascii="Times New Roman" w:hAnsi="Times New Roman" w:eastAsia="宋体" w:cs="Times New Roman"/>
                <w:b/>
                <w:color w:val="auto"/>
                <w:kern w:val="2"/>
                <w:sz w:val="22"/>
                <w:highlight w:val="none"/>
              </w:rPr>
              <w:t>RP</w:t>
            </w:r>
          </w:p>
        </w:tc>
        <w:tc>
          <w:tcPr>
            <w:tcW w:w="4011" w:type="pct"/>
            <w:vAlign w:val="center"/>
          </w:tcPr>
          <w:p w14:paraId="4F266AF9">
            <w:pPr>
              <w:widowControl w:val="0"/>
              <w:ind w:firstLine="480" w:firstLineChars="200"/>
              <w:jc w:val="both"/>
              <w:rPr>
                <w:rFonts w:hint="default" w:ascii="Times New Roman" w:hAnsi="Times New Roman" w:eastAsia="宋体" w:cs="Times New Roman"/>
                <w:bCs/>
                <w:color w:val="auto"/>
                <w:kern w:val="2"/>
                <w:highlight w:val="none"/>
              </w:rPr>
            </w:pPr>
            <w:r>
              <w:rPr>
                <w:rFonts w:hint="default" w:ascii="Times New Roman" w:hAnsi="Times New Roman" w:eastAsia="宋体" w:cs="Times New Roman"/>
                <w:bCs/>
                <w:color w:val="auto"/>
                <w:kern w:val="2"/>
                <w:highlight w:val="none"/>
              </w:rPr>
              <w:t>移民安置计划</w:t>
            </w:r>
          </w:p>
        </w:tc>
      </w:tr>
      <w:tr w14:paraId="222E9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9" w:type="pct"/>
            <w:vAlign w:val="bottom"/>
          </w:tcPr>
          <w:p w14:paraId="481F12C2">
            <w:pPr>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b/>
                <w:color w:val="auto"/>
                <w:kern w:val="2"/>
                <w:sz w:val="22"/>
                <w:highlight w:val="none"/>
              </w:rPr>
              <w:t>SEP</w:t>
            </w:r>
          </w:p>
        </w:tc>
        <w:tc>
          <w:tcPr>
            <w:tcW w:w="4011" w:type="pct"/>
            <w:vAlign w:val="center"/>
          </w:tcPr>
          <w:p w14:paraId="0699B3AE">
            <w:pPr>
              <w:widowControl w:val="0"/>
              <w:ind w:firstLine="480"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kern w:val="2"/>
                <w:highlight w:val="none"/>
              </w:rPr>
              <w:t>利益相关方参与计划</w:t>
            </w:r>
          </w:p>
        </w:tc>
      </w:tr>
      <w:tr w14:paraId="70ACA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9" w:type="pct"/>
            <w:vAlign w:val="center"/>
          </w:tcPr>
          <w:p w14:paraId="1DF9638C">
            <w:pPr>
              <w:widowControl w:val="0"/>
              <w:jc w:val="center"/>
              <w:rPr>
                <w:rFonts w:hint="default" w:ascii="Times New Roman" w:hAnsi="Times New Roman" w:eastAsia="宋体" w:cs="Times New Roman"/>
                <w:bCs/>
                <w:color w:val="auto"/>
                <w:kern w:val="2"/>
                <w:highlight w:val="none"/>
              </w:rPr>
            </w:pPr>
            <w:r>
              <w:rPr>
                <w:rFonts w:hint="default" w:ascii="Times New Roman" w:hAnsi="Times New Roman" w:eastAsia="宋体" w:cs="Times New Roman"/>
                <w:b/>
                <w:color w:val="auto"/>
                <w:kern w:val="2"/>
                <w:sz w:val="22"/>
                <w:highlight w:val="none"/>
              </w:rPr>
              <w:t>SEA</w:t>
            </w:r>
          </w:p>
        </w:tc>
        <w:tc>
          <w:tcPr>
            <w:tcW w:w="4011" w:type="pct"/>
            <w:vAlign w:val="center"/>
          </w:tcPr>
          <w:p w14:paraId="4FCF04B3">
            <w:pPr>
              <w:widowControl w:val="0"/>
              <w:ind w:firstLine="480" w:firstLineChars="200"/>
              <w:jc w:val="both"/>
              <w:rPr>
                <w:rFonts w:hint="default" w:ascii="Times New Roman" w:hAnsi="Times New Roman" w:eastAsia="宋体" w:cs="Times New Roman"/>
                <w:bCs/>
                <w:color w:val="auto"/>
                <w:kern w:val="2"/>
                <w:highlight w:val="none"/>
              </w:rPr>
            </w:pPr>
            <w:r>
              <w:rPr>
                <w:rFonts w:hint="default" w:ascii="Times New Roman" w:hAnsi="Times New Roman" w:eastAsia="宋体" w:cs="Times New Roman"/>
                <w:bCs/>
                <w:color w:val="auto"/>
                <w:kern w:val="2"/>
                <w:highlight w:val="none"/>
              </w:rPr>
              <w:t>性剥削和性虐待</w:t>
            </w:r>
          </w:p>
        </w:tc>
      </w:tr>
      <w:tr w14:paraId="170A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9" w:type="pct"/>
            <w:vAlign w:val="center"/>
          </w:tcPr>
          <w:p w14:paraId="4018D0FF">
            <w:pPr>
              <w:widowControl w:val="0"/>
              <w:jc w:val="center"/>
              <w:rPr>
                <w:rFonts w:hint="default" w:ascii="Times New Roman" w:hAnsi="Times New Roman" w:eastAsia="宋体" w:cs="Times New Roman"/>
                <w:bCs/>
                <w:color w:val="auto"/>
                <w:kern w:val="2"/>
                <w:highlight w:val="none"/>
              </w:rPr>
            </w:pPr>
            <w:r>
              <w:rPr>
                <w:rFonts w:hint="default" w:ascii="Times New Roman" w:hAnsi="Times New Roman" w:eastAsia="宋体" w:cs="Times New Roman"/>
                <w:b/>
                <w:color w:val="auto"/>
                <w:kern w:val="2"/>
                <w:sz w:val="22"/>
                <w:highlight w:val="none"/>
              </w:rPr>
              <w:t>SH</w:t>
            </w:r>
          </w:p>
        </w:tc>
        <w:tc>
          <w:tcPr>
            <w:tcW w:w="4011" w:type="pct"/>
            <w:vAlign w:val="center"/>
          </w:tcPr>
          <w:p w14:paraId="57B286F6">
            <w:pPr>
              <w:widowControl w:val="0"/>
              <w:ind w:firstLine="480" w:firstLineChars="200"/>
              <w:jc w:val="both"/>
              <w:rPr>
                <w:rFonts w:hint="default" w:ascii="Times New Roman" w:hAnsi="Times New Roman" w:eastAsia="宋体" w:cs="Times New Roman"/>
                <w:bCs/>
                <w:color w:val="auto"/>
                <w:kern w:val="2"/>
                <w:highlight w:val="none"/>
              </w:rPr>
            </w:pPr>
            <w:r>
              <w:rPr>
                <w:rFonts w:hint="default" w:ascii="Times New Roman" w:hAnsi="Times New Roman" w:eastAsia="宋体" w:cs="Times New Roman"/>
                <w:bCs/>
                <w:color w:val="auto"/>
                <w:kern w:val="2"/>
                <w:highlight w:val="none"/>
              </w:rPr>
              <w:t>性骚扰</w:t>
            </w:r>
          </w:p>
        </w:tc>
      </w:tr>
      <w:tr w14:paraId="5C03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9" w:type="pct"/>
            <w:vAlign w:val="bottom"/>
          </w:tcPr>
          <w:p w14:paraId="00CDEE52">
            <w:pPr>
              <w:jc w:val="center"/>
              <w:rPr>
                <w:rFonts w:hint="default" w:ascii="Times New Roman" w:hAnsi="Times New Roman" w:eastAsia="宋体" w:cs="Times New Roman"/>
                <w:b/>
                <w:color w:val="auto"/>
                <w:sz w:val="22"/>
                <w:highlight w:val="none"/>
              </w:rPr>
            </w:pPr>
            <w:r>
              <w:rPr>
                <w:rFonts w:hint="default" w:ascii="Times New Roman" w:hAnsi="Times New Roman" w:eastAsia="宋体" w:cs="Times New Roman"/>
                <w:b/>
                <w:color w:val="auto"/>
                <w:kern w:val="2"/>
                <w:sz w:val="22"/>
                <w:highlight w:val="none"/>
              </w:rPr>
              <w:t>ToRs</w:t>
            </w:r>
          </w:p>
        </w:tc>
        <w:tc>
          <w:tcPr>
            <w:tcW w:w="4011" w:type="pct"/>
            <w:vAlign w:val="center"/>
          </w:tcPr>
          <w:p w14:paraId="3688B0D8">
            <w:pPr>
              <w:widowControl w:val="0"/>
              <w:ind w:firstLine="480"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kern w:val="2"/>
                <w:highlight w:val="none"/>
              </w:rPr>
              <w:t>工作任务大纲</w:t>
            </w:r>
          </w:p>
        </w:tc>
      </w:tr>
      <w:tr w14:paraId="22C08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9" w:type="pct"/>
            <w:vAlign w:val="bottom"/>
          </w:tcPr>
          <w:p w14:paraId="416D8D27">
            <w:pPr>
              <w:jc w:val="center"/>
              <w:rPr>
                <w:rFonts w:hint="default" w:ascii="Times New Roman" w:hAnsi="Times New Roman" w:eastAsia="宋体" w:cs="Times New Roman"/>
                <w:b/>
                <w:color w:val="auto"/>
                <w:kern w:val="2"/>
                <w:sz w:val="22"/>
                <w:highlight w:val="none"/>
              </w:rPr>
            </w:pPr>
            <w:bookmarkStart w:id="10" w:name="_Toc110846246"/>
            <w:bookmarkStart w:id="11" w:name="_Toc83326381"/>
            <w:bookmarkStart w:id="12" w:name="_Toc1139"/>
            <w:r>
              <w:rPr>
                <w:rFonts w:hint="default" w:ascii="Times New Roman" w:hAnsi="Times New Roman" w:eastAsia="宋体" w:cs="Times New Roman"/>
                <w:b/>
                <w:color w:val="auto"/>
                <w:kern w:val="2"/>
                <w:sz w:val="22"/>
                <w:highlight w:val="none"/>
              </w:rPr>
              <w:t>USD</w:t>
            </w:r>
          </w:p>
        </w:tc>
        <w:tc>
          <w:tcPr>
            <w:tcW w:w="4011" w:type="pct"/>
            <w:vAlign w:val="center"/>
          </w:tcPr>
          <w:p w14:paraId="77AF850E">
            <w:pPr>
              <w:widowControl w:val="0"/>
              <w:ind w:firstLine="480" w:firstLineChars="200"/>
              <w:jc w:val="both"/>
              <w:rPr>
                <w:rFonts w:hint="default" w:ascii="Times New Roman" w:hAnsi="Times New Roman" w:eastAsia="宋体" w:cs="Times New Roman"/>
                <w:bCs/>
                <w:color w:val="auto"/>
                <w:kern w:val="2"/>
                <w:highlight w:val="none"/>
              </w:rPr>
            </w:pPr>
            <w:r>
              <w:rPr>
                <w:rFonts w:hint="default" w:ascii="Times New Roman" w:hAnsi="Times New Roman" w:eastAsia="宋体" w:cs="Times New Roman"/>
                <w:bCs/>
                <w:color w:val="auto"/>
                <w:kern w:val="2"/>
                <w:highlight w:val="none"/>
              </w:rPr>
              <w:t>美元</w:t>
            </w:r>
          </w:p>
        </w:tc>
      </w:tr>
    </w:tbl>
    <w:p w14:paraId="13298513">
      <w:pPr>
        <w:spacing w:before="120" w:beforeLines="50" w:after="120" w:afterLines="50" w:line="300" w:lineRule="auto"/>
        <w:ind w:firstLine="480"/>
        <w:jc w:val="both"/>
        <w:rPr>
          <w:rFonts w:hint="default" w:ascii="Times New Roman" w:hAnsi="Times New Roman" w:eastAsia="宋体" w:cs="Times New Roman"/>
          <w:color w:val="auto"/>
          <w:highlight w:val="none"/>
        </w:rPr>
        <w:sectPr>
          <w:pgSz w:w="11906" w:h="16838"/>
          <w:pgMar w:top="1440" w:right="1800" w:bottom="1440" w:left="1800" w:header="851" w:footer="992" w:gutter="0"/>
          <w:pgNumType w:fmt="upperRoman"/>
          <w:cols w:space="720" w:num="1"/>
          <w:docGrid w:linePitch="326" w:charSpace="0"/>
        </w:sectPr>
      </w:pPr>
    </w:p>
    <w:p w14:paraId="5FE80B7F">
      <w:pPr>
        <w:pStyle w:val="3"/>
        <w:numPr>
          <w:ilvl w:val="0"/>
          <w:numId w:val="4"/>
        </w:numPr>
        <w:spacing w:line="276" w:lineRule="auto"/>
        <w:ind w:left="431" w:hanging="431"/>
        <w:jc w:val="center"/>
        <w:rPr>
          <w:rFonts w:hint="default" w:ascii="Times New Roman" w:hAnsi="Times New Roman" w:eastAsia="宋体" w:cs="Times New Roman"/>
          <w:color w:val="auto"/>
          <w:sz w:val="28"/>
          <w:szCs w:val="28"/>
          <w:highlight w:val="none"/>
        </w:rPr>
      </w:pPr>
      <w:bookmarkStart w:id="13" w:name="_Toc114673043"/>
      <w:bookmarkStart w:id="14" w:name="_Toc29143"/>
      <w:r>
        <w:rPr>
          <w:rFonts w:hint="default" w:ascii="Times New Roman" w:hAnsi="Times New Roman" w:eastAsia="宋体" w:cs="Times New Roman"/>
          <w:color w:val="auto"/>
          <w:sz w:val="28"/>
          <w:szCs w:val="28"/>
          <w:highlight w:val="none"/>
        </w:rPr>
        <w:t>项目简介</w:t>
      </w:r>
      <w:bookmarkEnd w:id="10"/>
      <w:bookmarkEnd w:id="11"/>
      <w:bookmarkEnd w:id="12"/>
      <w:bookmarkEnd w:id="13"/>
      <w:bookmarkEnd w:id="14"/>
    </w:p>
    <w:p w14:paraId="1CC3121A">
      <w:pPr>
        <w:pStyle w:val="4"/>
        <w:spacing w:before="120"/>
        <w:rPr>
          <w:rFonts w:hint="default" w:ascii="Times New Roman" w:hAnsi="Times New Roman" w:eastAsia="宋体" w:cs="Times New Roman"/>
          <w:color w:val="auto"/>
          <w:szCs w:val="24"/>
          <w:highlight w:val="none"/>
        </w:rPr>
      </w:pPr>
      <w:bookmarkStart w:id="15" w:name="_Toc110846247"/>
      <w:bookmarkStart w:id="16" w:name="_Toc27373"/>
      <w:bookmarkStart w:id="17" w:name="_Toc114673044"/>
      <w:bookmarkStart w:id="18" w:name="_Toc83326382"/>
      <w:bookmarkStart w:id="19" w:name="_Toc26016"/>
      <w:bookmarkStart w:id="20" w:name="_Toc110846248"/>
      <w:bookmarkStart w:id="21" w:name="_Toc114673045"/>
      <w:bookmarkStart w:id="22" w:name="_Toc8199"/>
      <w:bookmarkStart w:id="23" w:name="_Toc58328427"/>
      <w:bookmarkStart w:id="24" w:name="_Toc56439031"/>
      <w:bookmarkStart w:id="25" w:name="_Toc6014"/>
      <w:r>
        <w:rPr>
          <w:rFonts w:hint="default" w:ascii="Times New Roman" w:hAnsi="Times New Roman" w:eastAsia="宋体" w:cs="Times New Roman"/>
          <w:color w:val="auto"/>
          <w:szCs w:val="24"/>
          <w:highlight w:val="none"/>
        </w:rPr>
        <w:t>项目背景</w:t>
      </w:r>
      <w:bookmarkEnd w:id="15"/>
      <w:bookmarkEnd w:id="16"/>
      <w:bookmarkEnd w:id="17"/>
      <w:bookmarkEnd w:id="18"/>
      <w:bookmarkEnd w:id="19"/>
    </w:p>
    <w:p w14:paraId="4AB63B66">
      <w:pPr>
        <w:tabs>
          <w:tab w:val="right" w:leader="middleDot" w:pos="9240"/>
        </w:tabs>
        <w:spacing w:before="120" w:beforeLines="50" w:after="120" w:afterLines="50" w:line="300" w:lineRule="auto"/>
        <w:ind w:firstLine="480" w:firstLineChars="200"/>
        <w:jc w:val="both"/>
        <w:rPr>
          <w:rFonts w:hint="default" w:ascii="Times New Roman" w:hAnsi="Times New Roman" w:eastAsia="宋体" w:cs="Times New Roman"/>
          <w:color w:val="auto"/>
          <w:highlight w:val="none"/>
        </w:rPr>
      </w:pPr>
      <w:bookmarkStart w:id="26" w:name="_Toc50325835"/>
      <w:bookmarkEnd w:id="26"/>
      <w:bookmarkStart w:id="27" w:name="_Toc50324706"/>
      <w:bookmarkEnd w:id="27"/>
      <w:r>
        <w:rPr>
          <w:rFonts w:hint="default" w:ascii="Times New Roman" w:hAnsi="Times New Roman" w:eastAsia="宋体" w:cs="Times New Roman"/>
          <w:color w:val="auto"/>
          <w:highlight w:val="none"/>
        </w:rPr>
        <w:t>安康城东新区绿色低碳环境可持续发展示范项目（本项目）是一项为应对能源结构调整和产业结构优化挑战而建设的项目。安康市将依托全国第三批低碳城市试点，突出绿色低碳发展引领作用，把低碳城市试点创建工作作为实现全市转型发展、提高区域生态文明水平的重要途径。本项目实施区域位于安康市汉滨区城东新区的规划区域内，主要目标如下：</w:t>
      </w:r>
    </w:p>
    <w:p w14:paraId="0AC15C80">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t>提高项目参与各方的管理、操作和协调能力，为推动建设低碳试点城市提供示范和经验。</w:t>
      </w:r>
    </w:p>
    <w:p w14:paraId="1CB904E4">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t>通过项目建设，增加绿地面积约200万㎡，实现碳减排量约8000吨/年，实现固碳量约5000吨/年，产氧量约4500吨/年。</w:t>
      </w:r>
    </w:p>
    <w:p w14:paraId="636EB178">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t>将海绵城市理念贯彻至低碳交通基础设施建设、生态公园建设、城市内涝防治当中。同时打造标志性绿色建筑，增加绿色建筑面积32000㎡。</w:t>
      </w:r>
    </w:p>
    <w:p w14:paraId="5FAAD664">
      <w:pPr>
        <w:pStyle w:val="2"/>
        <w:spacing w:before="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szCs w:val="24"/>
          <w:highlight w:val="none"/>
        </w:rPr>
        <w:t>提高低碳产业集群，建立绿色城市管理中心以及绿色低碳生活科普基地，更好的监督管理运营城市的同时，向大众传递低碳生活方式及理念。</w:t>
      </w:r>
    </w:p>
    <w:p w14:paraId="6EBA5CA4">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是亚洲基础设施投资银行（亚投行）贷款支持的建设项目，安康市汉滨区政府作为项目管理机构，已经设立了项目管理办公室，安康市五里工业集中区作为执行机构，负责本项目的具体实施。项目文件预计于2024年2月提交亚投行执董会审批。项目准备期间，本项目已进行过多次评估，并编制了不同行动计划。这些项目文件主要涉及：社会影响评价（SIA）、利益相关方参与计划（SEP）、移民安置计划（RAP）和环境和社会管理计划（ESMP）。本文件描述了社会影响评价的结果。</w:t>
      </w:r>
      <w:r>
        <w:rPr>
          <w:rStyle w:val="50"/>
          <w:rFonts w:hint="default" w:ascii="Times New Roman" w:hAnsi="Times New Roman" w:eastAsia="宋体" w:cs="Times New Roman"/>
          <w:color w:val="auto"/>
          <w:sz w:val="24"/>
          <w:szCs w:val="24"/>
          <w:highlight w:val="none"/>
        </w:rPr>
        <w:footnoteReference w:id="2"/>
      </w:r>
    </w:p>
    <w:p w14:paraId="3E8A2B77">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社会影响评价是根据亚投行环境和社会框架（ESF）中的环境和社会标准（ESS）以及相关的国家/省级规章制度编制的。社会影响评价的数据来源有主要来源和次要来源，包括文献研究、焦点座谈、关键信息人访谈、问卷调查。调查期间，社会影响评价小组在项目服务区进行了实地考察，对项目受益村民、征地和拆迁户、拟土地流转的村民、项目业主和相关政府部门等开展座谈会及关键信息人访谈，了解主要利益相关方对项目的看法、需求以及建议。</w:t>
      </w:r>
    </w:p>
    <w:p w14:paraId="3F47105A">
      <w:pPr>
        <w:pStyle w:val="4"/>
        <w:spacing w:before="12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子项目</w:t>
      </w:r>
      <w:bookmarkEnd w:id="20"/>
      <w:bookmarkEnd w:id="21"/>
      <w:r>
        <w:rPr>
          <w:rFonts w:hint="default" w:ascii="Times New Roman" w:hAnsi="Times New Roman" w:eastAsia="宋体" w:cs="Times New Roman"/>
          <w:color w:val="auto"/>
          <w:highlight w:val="none"/>
        </w:rPr>
        <w:t>描述</w:t>
      </w:r>
      <w:bookmarkEnd w:id="22"/>
    </w:p>
    <w:p w14:paraId="3D4AF13C">
      <w:pPr>
        <w:spacing w:before="120" w:after="120" w:line="276"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根据项目的建设目标，结合项目范围内区域实际情况，本项目设计了5个板块的活动，由17个子项目组成，具体如下：</w:t>
      </w:r>
    </w:p>
    <w:p w14:paraId="36F31DF5">
      <w:pPr>
        <w:spacing w:before="120" w:after="120" w:line="276"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板块1：低影响和韧性道路工程。该板块下共有9个子项目，涉及5条新建道路工程，两条道路改建提升工程，5处绿色公共停车场及新能源路灯建设。</w:t>
      </w:r>
    </w:p>
    <w:p w14:paraId="39EEB62A">
      <w:pPr>
        <w:spacing w:before="120" w:after="120" w:line="276"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板块2：城市生态恢复和绿色韧性基础设施建设。该板块下共有3个子项目，即汉江修复和沿岸绿廊项目（一期）、黄洋河水环境治理和生态公园项目、汉江综合整治项目张滩集镇段防护工程防护一区项目。</w:t>
      </w:r>
    </w:p>
    <w:p w14:paraId="23D7A655">
      <w:pPr>
        <w:spacing w:before="120" w:after="120" w:line="276"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板块3：生态公园和城市综合内涝防治系统。该板块下共有3个子项目，包括安康城东体育运动公园子项目、社区生态公园及10处易涝点防治提升工程。</w:t>
      </w:r>
    </w:p>
    <w:p w14:paraId="42F9985F">
      <w:pPr>
        <w:spacing w:before="120" w:after="120" w:line="276"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板块4：绿色低碳城市运营系统。该板块下的2个子项目分别是绿色低碳城市运营管理和数据中心、及信息化系统和数据库建设。</w:t>
      </w:r>
    </w:p>
    <w:p w14:paraId="710C700E">
      <w:pPr>
        <w:spacing w:before="120" w:after="120" w:line="276"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板块5：机构能力提升和项目管理支持。该板块主要内容为：通过与绿色低碳城市建设，包括但不限于低碳社经济相关的管理和技术培训、咨询、考察交流和监测，提升项目管理机构及参与各方的执行能力和实操水平，绿色低碳生态教育、知识传播、社区参与等方面的管理和技术水平。</w:t>
      </w:r>
    </w:p>
    <w:p w14:paraId="425DB3D5">
      <w:pPr>
        <w:spacing w:before="120" w:after="120" w:line="276"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2"/>
          <w:highlight w:val="none"/>
        </w:rPr>
        <w:t>本项目建设工程内容详见表</w:t>
      </w:r>
      <w:r>
        <w:rPr>
          <w:rFonts w:hint="default" w:ascii="Times New Roman" w:hAnsi="Times New Roman" w:eastAsia="宋体" w:cs="Times New Roman"/>
          <w:color w:val="auto"/>
          <w:highlight w:val="none"/>
        </w:rPr>
        <w:t>1-1。</w:t>
      </w:r>
    </w:p>
    <w:p w14:paraId="6463411A">
      <w:pPr>
        <w:pStyle w:val="13"/>
        <w:spacing w:after="120"/>
        <w:rPr>
          <w:rFonts w:hint="default" w:ascii="Times New Roman" w:hAnsi="Times New Roman" w:eastAsia="宋体" w:cs="Times New Roman"/>
          <w:bCs/>
          <w:color w:val="auto"/>
          <w:highlight w:val="none"/>
        </w:rPr>
      </w:pPr>
      <w:bookmarkStart w:id="28" w:name="_Toc113946477"/>
      <w:r>
        <w:rPr>
          <w:rFonts w:hint="default" w:ascii="Times New Roman" w:hAnsi="Times New Roman" w:eastAsia="宋体" w:cs="Times New Roman"/>
          <w:color w:val="auto"/>
          <w:highlight w:val="none"/>
        </w:rPr>
        <w:t xml:space="preserve">表 </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STYLEREF 1 \s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1</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SEQ 表 \* ARABIC \s 1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1</w:t>
      </w:r>
      <w:r>
        <w:rPr>
          <w:rFonts w:hint="default" w:ascii="Times New Roman" w:hAnsi="Times New Roman" w:eastAsia="宋体" w:cs="Times New Roman"/>
          <w:color w:val="auto"/>
          <w:highlight w:val="none"/>
        </w:rPr>
        <w:fldChar w:fldCharType="end"/>
      </w:r>
      <w:bookmarkStart w:id="29" w:name="_Toc4070"/>
      <w:r>
        <w:rPr>
          <w:rFonts w:hint="default" w:ascii="Times New Roman" w:hAnsi="Times New Roman" w:eastAsia="宋体" w:cs="Times New Roman"/>
          <w:bCs/>
          <w:color w:val="auto"/>
          <w:highlight w:val="none"/>
        </w:rPr>
        <w:t xml:space="preserve"> 项目建设工程内容</w:t>
      </w:r>
      <w:bookmarkEnd w:id="28"/>
      <w:bookmarkEnd w:id="29"/>
    </w:p>
    <w:tbl>
      <w:tblPr>
        <w:tblStyle w:val="43"/>
        <w:tblW w:w="5117" w:type="pct"/>
        <w:tblInd w:w="0" w:type="dxa"/>
        <w:tblLayout w:type="autofit"/>
        <w:tblCellMar>
          <w:top w:w="0" w:type="dxa"/>
          <w:left w:w="108" w:type="dxa"/>
          <w:bottom w:w="0" w:type="dxa"/>
          <w:right w:w="108" w:type="dxa"/>
        </w:tblCellMar>
      </w:tblPr>
      <w:tblGrid>
        <w:gridCol w:w="844"/>
        <w:gridCol w:w="2031"/>
        <w:gridCol w:w="5846"/>
      </w:tblGrid>
      <w:tr w14:paraId="7290DE4A">
        <w:tblPrEx>
          <w:tblCellMar>
            <w:top w:w="0" w:type="dxa"/>
            <w:left w:w="108" w:type="dxa"/>
            <w:bottom w:w="0" w:type="dxa"/>
            <w:right w:w="108" w:type="dxa"/>
          </w:tblCellMar>
        </w:tblPrEx>
        <w:trPr>
          <w:trHeight w:val="303" w:hRule="atLeast"/>
          <w:tblHeader/>
        </w:trPr>
        <w:tc>
          <w:tcPr>
            <w:tcW w:w="484" w:type="pct"/>
            <w:tcBorders>
              <w:top w:val="single" w:color="000000" w:sz="8" w:space="0"/>
              <w:left w:val="single" w:color="000000" w:sz="8" w:space="0"/>
              <w:bottom w:val="single" w:color="000000" w:sz="8" w:space="0"/>
              <w:right w:val="single" w:color="000000" w:sz="8" w:space="0"/>
            </w:tcBorders>
            <w:shd w:val="clear" w:color="auto" w:fill="F1F1F1"/>
            <w:vAlign w:val="center"/>
          </w:tcPr>
          <w:p w14:paraId="0D4AE462">
            <w:pPr>
              <w:jc w:val="center"/>
              <w:textAlignment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项目板块</w:t>
            </w:r>
          </w:p>
        </w:tc>
        <w:tc>
          <w:tcPr>
            <w:tcW w:w="1164" w:type="pct"/>
            <w:tcBorders>
              <w:top w:val="single" w:color="000000" w:sz="8" w:space="0"/>
              <w:left w:val="single" w:color="000000" w:sz="8" w:space="0"/>
              <w:bottom w:val="single" w:color="000000" w:sz="8" w:space="0"/>
              <w:right w:val="single" w:color="000000" w:sz="8" w:space="0"/>
            </w:tcBorders>
            <w:shd w:val="clear" w:color="auto" w:fill="F1F1F1"/>
            <w:vAlign w:val="center"/>
          </w:tcPr>
          <w:p w14:paraId="63E1B1AE">
            <w:pPr>
              <w:jc w:val="center"/>
              <w:textAlignment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子项目活动</w:t>
            </w:r>
          </w:p>
        </w:tc>
        <w:tc>
          <w:tcPr>
            <w:tcW w:w="3350" w:type="pct"/>
            <w:tcBorders>
              <w:top w:val="single" w:color="000000" w:sz="8" w:space="0"/>
              <w:left w:val="single" w:color="000000" w:sz="8" w:space="0"/>
              <w:bottom w:val="single" w:color="000000" w:sz="8" w:space="0"/>
              <w:right w:val="single" w:color="000000" w:sz="8" w:space="0"/>
            </w:tcBorders>
            <w:shd w:val="clear" w:color="auto" w:fill="F1F1F1"/>
            <w:vAlign w:val="center"/>
          </w:tcPr>
          <w:p w14:paraId="6CDFE770">
            <w:pPr>
              <w:jc w:val="center"/>
              <w:textAlignment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建设规模内容</w:t>
            </w:r>
          </w:p>
        </w:tc>
      </w:tr>
      <w:tr w14:paraId="484403AB">
        <w:tblPrEx>
          <w:tblCellMar>
            <w:top w:w="0" w:type="dxa"/>
            <w:left w:w="108" w:type="dxa"/>
            <w:bottom w:w="0" w:type="dxa"/>
            <w:right w:w="108" w:type="dxa"/>
          </w:tblCellMar>
        </w:tblPrEx>
        <w:trPr>
          <w:trHeight w:val="303" w:hRule="atLeast"/>
        </w:trPr>
        <w:tc>
          <w:tcPr>
            <w:tcW w:w="484" w:type="pct"/>
            <w:vMerge w:val="restart"/>
            <w:tcBorders>
              <w:top w:val="single" w:color="000000" w:sz="8" w:space="0"/>
              <w:left w:val="single" w:color="000000" w:sz="8" w:space="0"/>
              <w:bottom w:val="single" w:color="000000" w:sz="8" w:space="0"/>
              <w:right w:val="nil"/>
            </w:tcBorders>
            <w:shd w:val="clear" w:color="auto" w:fill="auto"/>
            <w:vAlign w:val="center"/>
          </w:tcPr>
          <w:p w14:paraId="08DD02CC">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低影响和韧性道路工程</w:t>
            </w:r>
          </w:p>
        </w:tc>
        <w:tc>
          <w:tcPr>
            <w:tcW w:w="116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54DD53E">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安康城东产城融合示范区振兴路</w:t>
            </w:r>
          </w:p>
        </w:tc>
        <w:tc>
          <w:tcPr>
            <w:tcW w:w="33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36BA014">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全长2080m，路宽26m，主要建设内容包括道路、交通、给水、雨水、污水、海绵、电力、通信及其他附属工程等。</w:t>
            </w:r>
          </w:p>
        </w:tc>
      </w:tr>
      <w:tr w14:paraId="600EB0D1">
        <w:tblPrEx>
          <w:tblCellMar>
            <w:top w:w="0" w:type="dxa"/>
            <w:left w:w="108" w:type="dxa"/>
            <w:bottom w:w="0" w:type="dxa"/>
            <w:right w:w="108" w:type="dxa"/>
          </w:tblCellMar>
        </w:tblPrEx>
        <w:trPr>
          <w:trHeight w:val="303" w:hRule="atLeast"/>
        </w:trPr>
        <w:tc>
          <w:tcPr>
            <w:tcW w:w="484" w:type="pct"/>
            <w:vMerge w:val="continue"/>
            <w:tcBorders>
              <w:top w:val="single" w:color="000000" w:sz="8" w:space="0"/>
              <w:left w:val="single" w:color="000000" w:sz="8" w:space="0"/>
              <w:bottom w:val="single" w:color="000000" w:sz="8" w:space="0"/>
              <w:right w:val="nil"/>
            </w:tcBorders>
            <w:shd w:val="clear" w:color="auto" w:fill="auto"/>
            <w:vAlign w:val="center"/>
          </w:tcPr>
          <w:p w14:paraId="005AC777">
            <w:pPr>
              <w:jc w:val="center"/>
              <w:rPr>
                <w:rFonts w:hint="default" w:ascii="Times New Roman" w:hAnsi="Times New Roman" w:eastAsia="宋体" w:cs="Times New Roman"/>
                <w:color w:val="auto"/>
                <w:sz w:val="22"/>
                <w:szCs w:val="22"/>
                <w:highlight w:val="none"/>
              </w:rPr>
            </w:pPr>
          </w:p>
        </w:tc>
        <w:tc>
          <w:tcPr>
            <w:tcW w:w="116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EB54E5E">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安康城东产城融合示范区环塔路</w:t>
            </w:r>
          </w:p>
        </w:tc>
        <w:tc>
          <w:tcPr>
            <w:tcW w:w="33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5316EE8">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全长1890.00m，路宽18米，主要建设内容包括道路、交通、给水、污水、电力及其他附属工程等。</w:t>
            </w:r>
          </w:p>
        </w:tc>
      </w:tr>
      <w:tr w14:paraId="7AD68674">
        <w:tblPrEx>
          <w:tblCellMar>
            <w:top w:w="0" w:type="dxa"/>
            <w:left w:w="108" w:type="dxa"/>
            <w:bottom w:w="0" w:type="dxa"/>
            <w:right w:w="108" w:type="dxa"/>
          </w:tblCellMar>
        </w:tblPrEx>
        <w:trPr>
          <w:trHeight w:val="303" w:hRule="atLeast"/>
        </w:trPr>
        <w:tc>
          <w:tcPr>
            <w:tcW w:w="484" w:type="pct"/>
            <w:vMerge w:val="continue"/>
            <w:tcBorders>
              <w:top w:val="single" w:color="000000" w:sz="8" w:space="0"/>
              <w:left w:val="single" w:color="000000" w:sz="8" w:space="0"/>
              <w:bottom w:val="single" w:color="000000" w:sz="8" w:space="0"/>
              <w:right w:val="nil"/>
            </w:tcBorders>
            <w:shd w:val="clear" w:color="auto" w:fill="auto"/>
            <w:vAlign w:val="center"/>
          </w:tcPr>
          <w:p w14:paraId="6235AA59">
            <w:pPr>
              <w:jc w:val="center"/>
              <w:rPr>
                <w:rFonts w:hint="default" w:ascii="Times New Roman" w:hAnsi="Times New Roman" w:eastAsia="宋体" w:cs="Times New Roman"/>
                <w:color w:val="auto"/>
                <w:sz w:val="22"/>
                <w:szCs w:val="22"/>
                <w:highlight w:val="none"/>
              </w:rPr>
            </w:pPr>
          </w:p>
        </w:tc>
        <w:tc>
          <w:tcPr>
            <w:tcW w:w="116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FEFA07E">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安康城东产城融合示范区绿苑路</w:t>
            </w:r>
          </w:p>
        </w:tc>
        <w:tc>
          <w:tcPr>
            <w:tcW w:w="33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CA949E6">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全长约225.00m，主要建设内容包括道路、交通、雨水、污水及其他附属工程等。</w:t>
            </w:r>
          </w:p>
        </w:tc>
      </w:tr>
      <w:tr w14:paraId="79E2CE87">
        <w:tblPrEx>
          <w:tblCellMar>
            <w:top w:w="0" w:type="dxa"/>
            <w:left w:w="108" w:type="dxa"/>
            <w:bottom w:w="0" w:type="dxa"/>
            <w:right w:w="108" w:type="dxa"/>
          </w:tblCellMar>
        </w:tblPrEx>
        <w:trPr>
          <w:trHeight w:val="303" w:hRule="atLeast"/>
        </w:trPr>
        <w:tc>
          <w:tcPr>
            <w:tcW w:w="484" w:type="pct"/>
            <w:vMerge w:val="continue"/>
            <w:tcBorders>
              <w:top w:val="single" w:color="000000" w:sz="8" w:space="0"/>
              <w:left w:val="single" w:color="000000" w:sz="8" w:space="0"/>
              <w:bottom w:val="single" w:color="000000" w:sz="8" w:space="0"/>
              <w:right w:val="nil"/>
            </w:tcBorders>
            <w:shd w:val="clear" w:color="auto" w:fill="auto"/>
            <w:vAlign w:val="center"/>
          </w:tcPr>
          <w:p w14:paraId="5B7FA8F1">
            <w:pPr>
              <w:jc w:val="center"/>
              <w:rPr>
                <w:rFonts w:hint="default" w:ascii="Times New Roman" w:hAnsi="Times New Roman" w:eastAsia="宋体" w:cs="Times New Roman"/>
                <w:color w:val="auto"/>
                <w:sz w:val="22"/>
                <w:szCs w:val="22"/>
                <w:highlight w:val="none"/>
              </w:rPr>
            </w:pPr>
          </w:p>
        </w:tc>
        <w:tc>
          <w:tcPr>
            <w:tcW w:w="116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F96CF74">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安康城东产城融合示范区春林路</w:t>
            </w:r>
          </w:p>
        </w:tc>
        <w:tc>
          <w:tcPr>
            <w:tcW w:w="33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94B31AC">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全长278m，路宽18米，主要建设内容包括道路、交通、雨水、污水及其他附属工程等；</w:t>
            </w:r>
          </w:p>
        </w:tc>
      </w:tr>
      <w:tr w14:paraId="4A1246EC">
        <w:tblPrEx>
          <w:tblCellMar>
            <w:top w:w="0" w:type="dxa"/>
            <w:left w:w="108" w:type="dxa"/>
            <w:bottom w:w="0" w:type="dxa"/>
            <w:right w:w="108" w:type="dxa"/>
          </w:tblCellMar>
        </w:tblPrEx>
        <w:trPr>
          <w:trHeight w:val="303" w:hRule="atLeast"/>
        </w:trPr>
        <w:tc>
          <w:tcPr>
            <w:tcW w:w="484" w:type="pct"/>
            <w:vMerge w:val="continue"/>
            <w:tcBorders>
              <w:top w:val="single" w:color="000000" w:sz="8" w:space="0"/>
              <w:left w:val="single" w:color="000000" w:sz="8" w:space="0"/>
              <w:bottom w:val="single" w:color="000000" w:sz="8" w:space="0"/>
              <w:right w:val="nil"/>
            </w:tcBorders>
            <w:shd w:val="clear" w:color="auto" w:fill="auto"/>
            <w:vAlign w:val="center"/>
          </w:tcPr>
          <w:p w14:paraId="051C082A">
            <w:pPr>
              <w:jc w:val="center"/>
              <w:rPr>
                <w:rFonts w:hint="default" w:ascii="Times New Roman" w:hAnsi="Times New Roman" w:eastAsia="宋体" w:cs="Times New Roman"/>
                <w:color w:val="auto"/>
                <w:sz w:val="22"/>
                <w:szCs w:val="22"/>
                <w:highlight w:val="none"/>
              </w:rPr>
            </w:pPr>
          </w:p>
        </w:tc>
        <w:tc>
          <w:tcPr>
            <w:tcW w:w="116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ED2B41F">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安康城东产城融合示范区永安路北段</w:t>
            </w:r>
          </w:p>
        </w:tc>
        <w:tc>
          <w:tcPr>
            <w:tcW w:w="33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8D44F04">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全长1148m，路宽26m，主要建设内容包括道路、交通、隧道、给水、雨水、污水、海绵、电力、通信及其他附属工程等。</w:t>
            </w:r>
          </w:p>
        </w:tc>
      </w:tr>
      <w:tr w14:paraId="682FF52D">
        <w:tblPrEx>
          <w:tblCellMar>
            <w:top w:w="0" w:type="dxa"/>
            <w:left w:w="108" w:type="dxa"/>
            <w:bottom w:w="0" w:type="dxa"/>
            <w:right w:w="108" w:type="dxa"/>
          </w:tblCellMar>
        </w:tblPrEx>
        <w:trPr>
          <w:trHeight w:val="591" w:hRule="atLeast"/>
        </w:trPr>
        <w:tc>
          <w:tcPr>
            <w:tcW w:w="484" w:type="pct"/>
            <w:vMerge w:val="continue"/>
            <w:tcBorders>
              <w:top w:val="single" w:color="000000" w:sz="8" w:space="0"/>
              <w:left w:val="single" w:color="000000" w:sz="8" w:space="0"/>
              <w:bottom w:val="single" w:color="000000" w:sz="8" w:space="0"/>
              <w:right w:val="nil"/>
            </w:tcBorders>
            <w:shd w:val="clear" w:color="auto" w:fill="auto"/>
            <w:vAlign w:val="center"/>
          </w:tcPr>
          <w:p w14:paraId="0EC50C9C">
            <w:pPr>
              <w:jc w:val="center"/>
              <w:rPr>
                <w:rFonts w:hint="default" w:ascii="Times New Roman" w:hAnsi="Times New Roman" w:eastAsia="宋体" w:cs="Times New Roman"/>
                <w:color w:val="auto"/>
                <w:sz w:val="22"/>
                <w:szCs w:val="22"/>
                <w:highlight w:val="none"/>
              </w:rPr>
            </w:pPr>
          </w:p>
        </w:tc>
        <w:tc>
          <w:tcPr>
            <w:tcW w:w="116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58FE23C">
            <w:pPr>
              <w:textAlignment w:val="center"/>
              <w:rPr>
                <w:rFonts w:hint="eastAsia" w:ascii="Times New Roman" w:hAnsi="Times New Roman" w:eastAsia="宋体" w:cs="Times New Roman"/>
                <w:color w:val="auto"/>
                <w:sz w:val="22"/>
                <w:szCs w:val="22"/>
                <w:highlight w:val="none"/>
                <w:lang w:eastAsia="zh-CN"/>
              </w:rPr>
            </w:pPr>
            <w:r>
              <w:rPr>
                <w:rFonts w:hint="eastAsia" w:ascii="Times New Roman" w:hAnsi="Times New Roman" w:cs="Times New Roman"/>
                <w:color w:val="auto"/>
                <w:sz w:val="22"/>
                <w:szCs w:val="22"/>
                <w:highlight w:val="none"/>
                <w:lang w:eastAsia="zh-CN" w:bidi="ar"/>
              </w:rPr>
              <w:t>安康关庙至黄洋河（环城干道东段）改建工程</w:t>
            </w:r>
          </w:p>
        </w:tc>
        <w:tc>
          <w:tcPr>
            <w:tcW w:w="33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0900A7C">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全长1254m，路宽40m，主要建设内容包括道路、交通、给水、雨水、污水、海绵、电力、通信及其他附属工程等。</w:t>
            </w:r>
          </w:p>
        </w:tc>
      </w:tr>
      <w:tr w14:paraId="19C422C1">
        <w:tblPrEx>
          <w:tblCellMar>
            <w:top w:w="0" w:type="dxa"/>
            <w:left w:w="108" w:type="dxa"/>
            <w:bottom w:w="0" w:type="dxa"/>
            <w:right w:w="108" w:type="dxa"/>
          </w:tblCellMar>
        </w:tblPrEx>
        <w:trPr>
          <w:trHeight w:val="591" w:hRule="atLeast"/>
        </w:trPr>
        <w:tc>
          <w:tcPr>
            <w:tcW w:w="484" w:type="pct"/>
            <w:vMerge w:val="continue"/>
            <w:tcBorders>
              <w:top w:val="single" w:color="000000" w:sz="8" w:space="0"/>
              <w:left w:val="single" w:color="000000" w:sz="8" w:space="0"/>
              <w:bottom w:val="single" w:color="000000" w:sz="8" w:space="0"/>
              <w:right w:val="nil"/>
            </w:tcBorders>
            <w:shd w:val="clear" w:color="auto" w:fill="auto"/>
            <w:vAlign w:val="center"/>
          </w:tcPr>
          <w:p w14:paraId="38745BE5">
            <w:pPr>
              <w:jc w:val="center"/>
              <w:rPr>
                <w:rFonts w:hint="default" w:ascii="Times New Roman" w:hAnsi="Times New Roman" w:eastAsia="宋体" w:cs="Times New Roman"/>
                <w:color w:val="auto"/>
                <w:sz w:val="22"/>
                <w:szCs w:val="22"/>
                <w:highlight w:val="none"/>
              </w:rPr>
            </w:pPr>
          </w:p>
        </w:tc>
        <w:tc>
          <w:tcPr>
            <w:tcW w:w="116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5E1F8FC">
            <w:pPr>
              <w:jc w:val="lef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城东新区张滩北片区污水干管工程</w:t>
            </w:r>
          </w:p>
        </w:tc>
        <w:tc>
          <w:tcPr>
            <w:tcW w:w="33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0C669D7">
            <w:pPr>
              <w:jc w:val="left"/>
              <w:textAlignment w:val="center"/>
              <w:rPr>
                <w:rFonts w:hint="eastAsia" w:ascii="Times New Roman" w:hAnsi="Times New Roman" w:eastAsia="宋体" w:cs="Times New Roman"/>
                <w:color w:val="auto"/>
                <w:sz w:val="22"/>
                <w:szCs w:val="22"/>
                <w:highlight w:val="none"/>
                <w:lang w:eastAsia="zh-CN"/>
              </w:rPr>
            </w:pPr>
            <w:r>
              <w:rPr>
                <w:rFonts w:hint="default" w:ascii="Times New Roman" w:hAnsi="Times New Roman" w:eastAsia="宋体" w:cs="Times New Roman"/>
                <w:color w:val="auto"/>
                <w:sz w:val="22"/>
                <w:szCs w:val="22"/>
                <w:highlight w:val="none"/>
                <w:lang w:bidi="ar"/>
              </w:rPr>
              <w:t>建设内容为污水管网及其他附属工程</w:t>
            </w:r>
            <w:r>
              <w:rPr>
                <w:rFonts w:hint="eastAsia" w:ascii="Times New Roman" w:hAnsi="Times New Roman" w:cs="Times New Roman"/>
                <w:color w:val="auto"/>
                <w:sz w:val="22"/>
                <w:szCs w:val="22"/>
                <w:highlight w:val="none"/>
                <w:lang w:eastAsia="zh-CN" w:bidi="ar"/>
              </w:rPr>
              <w:t>，</w:t>
            </w:r>
            <w:r>
              <w:rPr>
                <w:rFonts w:hint="default" w:ascii="Times New Roman" w:hAnsi="Times New Roman" w:eastAsia="宋体" w:cs="Times New Roman"/>
                <w:color w:val="auto"/>
                <w:sz w:val="22"/>
                <w:szCs w:val="22"/>
                <w:highlight w:val="none"/>
                <w:lang w:bidi="ar"/>
              </w:rPr>
              <w:t>污水管道总长 2715m</w:t>
            </w:r>
            <w:r>
              <w:rPr>
                <w:rFonts w:hint="eastAsia" w:ascii="Times New Roman" w:hAnsi="Times New Roman" w:cs="Times New Roman"/>
                <w:color w:val="auto"/>
                <w:sz w:val="22"/>
                <w:szCs w:val="22"/>
                <w:highlight w:val="none"/>
                <w:lang w:eastAsia="zh-CN" w:bidi="ar"/>
              </w:rPr>
              <w:t>。</w:t>
            </w:r>
          </w:p>
        </w:tc>
      </w:tr>
      <w:tr w14:paraId="743F93EC">
        <w:tblPrEx>
          <w:tblCellMar>
            <w:top w:w="0" w:type="dxa"/>
            <w:left w:w="108" w:type="dxa"/>
            <w:bottom w:w="0" w:type="dxa"/>
            <w:right w:w="108" w:type="dxa"/>
          </w:tblCellMar>
        </w:tblPrEx>
        <w:trPr>
          <w:trHeight w:val="303" w:hRule="atLeast"/>
        </w:trPr>
        <w:tc>
          <w:tcPr>
            <w:tcW w:w="484" w:type="pct"/>
            <w:vMerge w:val="continue"/>
            <w:tcBorders>
              <w:top w:val="single" w:color="000000" w:sz="8" w:space="0"/>
              <w:left w:val="single" w:color="000000" w:sz="8" w:space="0"/>
              <w:bottom w:val="single" w:color="000000" w:sz="8" w:space="0"/>
              <w:right w:val="nil"/>
            </w:tcBorders>
            <w:shd w:val="clear" w:color="auto" w:fill="auto"/>
            <w:vAlign w:val="center"/>
          </w:tcPr>
          <w:p w14:paraId="31FF7B28">
            <w:pPr>
              <w:jc w:val="center"/>
              <w:rPr>
                <w:rFonts w:hint="default" w:ascii="Times New Roman" w:hAnsi="Times New Roman" w:eastAsia="宋体" w:cs="Times New Roman"/>
                <w:color w:val="auto"/>
                <w:sz w:val="22"/>
                <w:szCs w:val="22"/>
                <w:highlight w:val="none"/>
              </w:rPr>
            </w:pPr>
          </w:p>
        </w:tc>
        <w:tc>
          <w:tcPr>
            <w:tcW w:w="116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F2AA26D">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安康城东新区核心片区绿色公共停车场项目</w:t>
            </w:r>
          </w:p>
        </w:tc>
        <w:tc>
          <w:tcPr>
            <w:tcW w:w="33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CA536B4">
            <w:pPr>
              <w:jc w:val="both"/>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新建绿色公共停车场4处，总面积25550㎡，共计679个车位，其中小汽车车位663个，无障碍停车位16个。</w:t>
            </w:r>
          </w:p>
        </w:tc>
      </w:tr>
      <w:tr w14:paraId="6FFB3062">
        <w:tblPrEx>
          <w:tblCellMar>
            <w:top w:w="0" w:type="dxa"/>
            <w:left w:w="108" w:type="dxa"/>
            <w:bottom w:w="0" w:type="dxa"/>
            <w:right w:w="108" w:type="dxa"/>
          </w:tblCellMar>
        </w:tblPrEx>
        <w:trPr>
          <w:trHeight w:val="303" w:hRule="atLeast"/>
        </w:trPr>
        <w:tc>
          <w:tcPr>
            <w:tcW w:w="484" w:type="pct"/>
            <w:vMerge w:val="continue"/>
            <w:tcBorders>
              <w:top w:val="single" w:color="000000" w:sz="8" w:space="0"/>
              <w:left w:val="single" w:color="000000" w:sz="8" w:space="0"/>
              <w:bottom w:val="single" w:color="000000" w:sz="8" w:space="0"/>
              <w:right w:val="nil"/>
            </w:tcBorders>
            <w:shd w:val="clear" w:color="auto" w:fill="auto"/>
            <w:vAlign w:val="center"/>
          </w:tcPr>
          <w:p w14:paraId="2B4B99F8">
            <w:pPr>
              <w:jc w:val="center"/>
              <w:rPr>
                <w:rFonts w:hint="default" w:ascii="Times New Roman" w:hAnsi="Times New Roman" w:eastAsia="宋体" w:cs="Times New Roman"/>
                <w:color w:val="auto"/>
                <w:sz w:val="22"/>
                <w:szCs w:val="22"/>
                <w:highlight w:val="none"/>
              </w:rPr>
            </w:pPr>
          </w:p>
        </w:tc>
        <w:tc>
          <w:tcPr>
            <w:tcW w:w="116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9DAF692">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新能源路灯建设项目</w:t>
            </w:r>
          </w:p>
        </w:tc>
        <w:tc>
          <w:tcPr>
            <w:tcW w:w="33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2CFC4B4">
            <w:pPr>
              <w:jc w:val="both"/>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在已有及规划建设道路（17条）上安装新能源路灯共计3471盏</w:t>
            </w:r>
          </w:p>
        </w:tc>
      </w:tr>
      <w:tr w14:paraId="50B07F16">
        <w:tblPrEx>
          <w:tblCellMar>
            <w:top w:w="0" w:type="dxa"/>
            <w:left w:w="108" w:type="dxa"/>
            <w:bottom w:w="0" w:type="dxa"/>
            <w:right w:w="108" w:type="dxa"/>
          </w:tblCellMar>
        </w:tblPrEx>
        <w:trPr>
          <w:trHeight w:val="303" w:hRule="atLeast"/>
        </w:trPr>
        <w:tc>
          <w:tcPr>
            <w:tcW w:w="484" w:type="pct"/>
            <w:vMerge w:val="restart"/>
            <w:tcBorders>
              <w:top w:val="single" w:color="000000" w:sz="8" w:space="0"/>
              <w:left w:val="single" w:color="000000" w:sz="8" w:space="0"/>
              <w:bottom w:val="single" w:color="000000" w:sz="8" w:space="0"/>
              <w:right w:val="nil"/>
            </w:tcBorders>
            <w:shd w:val="clear" w:color="auto" w:fill="auto"/>
            <w:vAlign w:val="center"/>
          </w:tcPr>
          <w:p w14:paraId="645D0609">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城市生态恢复和绿色韧性基础设施建设</w:t>
            </w:r>
          </w:p>
        </w:tc>
        <w:tc>
          <w:tcPr>
            <w:tcW w:w="116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A96FD5">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汉江修复和沿岸绿廊项目（一期）</w:t>
            </w:r>
          </w:p>
        </w:tc>
        <w:tc>
          <w:tcPr>
            <w:tcW w:w="33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098571">
            <w:pPr>
              <w:jc w:val="both"/>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总面积</w:t>
            </w:r>
            <w:r>
              <w:rPr>
                <w:rFonts w:hint="default" w:ascii="Times New Roman" w:hAnsi="Times New Roman" w:eastAsia="宋体" w:cs="Times New Roman"/>
                <w:color w:val="auto"/>
                <w:sz w:val="22"/>
                <w:szCs w:val="22"/>
                <w:highlight w:val="none"/>
              </w:rPr>
              <w:t>93.5万㎡</w:t>
            </w:r>
            <w:r>
              <w:rPr>
                <w:rFonts w:hint="default" w:ascii="Times New Roman" w:hAnsi="Times New Roman" w:eastAsia="宋体" w:cs="Times New Roman"/>
                <w:color w:val="auto"/>
                <w:sz w:val="22"/>
                <w:szCs w:val="22"/>
                <w:highlight w:val="none"/>
                <w:lang w:bidi="ar"/>
              </w:rPr>
              <w:t>，主要建设内容包含汉江河道整治、沿河廊道绿化、慢行步道建设</w:t>
            </w:r>
          </w:p>
        </w:tc>
      </w:tr>
      <w:tr w14:paraId="6E373EFC">
        <w:tblPrEx>
          <w:tblCellMar>
            <w:top w:w="0" w:type="dxa"/>
            <w:left w:w="108" w:type="dxa"/>
            <w:bottom w:w="0" w:type="dxa"/>
            <w:right w:w="108" w:type="dxa"/>
          </w:tblCellMar>
        </w:tblPrEx>
        <w:trPr>
          <w:trHeight w:val="303" w:hRule="atLeast"/>
        </w:trPr>
        <w:tc>
          <w:tcPr>
            <w:tcW w:w="484" w:type="pct"/>
            <w:vMerge w:val="continue"/>
            <w:tcBorders>
              <w:top w:val="single" w:color="000000" w:sz="8" w:space="0"/>
              <w:left w:val="single" w:color="000000" w:sz="8" w:space="0"/>
              <w:bottom w:val="single" w:color="000000" w:sz="8" w:space="0"/>
              <w:right w:val="nil"/>
            </w:tcBorders>
            <w:shd w:val="clear" w:color="auto" w:fill="auto"/>
            <w:vAlign w:val="center"/>
          </w:tcPr>
          <w:p w14:paraId="4AF7B322">
            <w:pPr>
              <w:jc w:val="center"/>
              <w:rPr>
                <w:rFonts w:hint="default" w:ascii="Times New Roman" w:hAnsi="Times New Roman" w:eastAsia="宋体" w:cs="Times New Roman"/>
                <w:color w:val="auto"/>
                <w:sz w:val="22"/>
                <w:szCs w:val="22"/>
                <w:highlight w:val="none"/>
              </w:rPr>
            </w:pPr>
          </w:p>
        </w:tc>
        <w:tc>
          <w:tcPr>
            <w:tcW w:w="116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3558D33">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黄洋河水环境治理和生态公园项目</w:t>
            </w:r>
          </w:p>
        </w:tc>
        <w:tc>
          <w:tcPr>
            <w:tcW w:w="33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4E0ECEC">
            <w:pPr>
              <w:jc w:val="both"/>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总面积</w:t>
            </w:r>
            <w:r>
              <w:rPr>
                <w:rFonts w:hint="default" w:ascii="Times New Roman" w:hAnsi="Times New Roman" w:eastAsia="宋体" w:cs="Times New Roman"/>
                <w:color w:val="auto"/>
                <w:sz w:val="22"/>
                <w:szCs w:val="22"/>
                <w:highlight w:val="none"/>
              </w:rPr>
              <w:t>144.7</w:t>
            </w:r>
            <w:r>
              <w:rPr>
                <w:rFonts w:hint="default" w:ascii="Times New Roman" w:hAnsi="Times New Roman" w:cs="Times New Roman"/>
                <w:color w:val="auto"/>
                <w:sz w:val="22"/>
                <w:szCs w:val="22"/>
                <w:highlight w:val="none"/>
                <w:lang w:val="en-US" w:eastAsia="zh-CN"/>
              </w:rPr>
              <w:t>万</w:t>
            </w:r>
            <w:r>
              <w:rPr>
                <w:rFonts w:hint="default" w:ascii="Times New Roman" w:hAnsi="Times New Roman" w:eastAsia="宋体" w:cs="Times New Roman"/>
                <w:color w:val="auto"/>
                <w:sz w:val="22"/>
                <w:szCs w:val="22"/>
                <w:highlight w:val="none"/>
              </w:rPr>
              <w:t>㎡</w:t>
            </w:r>
            <w:r>
              <w:rPr>
                <w:rFonts w:hint="default" w:ascii="Times New Roman" w:hAnsi="Times New Roman" w:eastAsia="宋体" w:cs="Times New Roman"/>
                <w:color w:val="auto"/>
                <w:sz w:val="22"/>
                <w:szCs w:val="22"/>
                <w:highlight w:val="none"/>
                <w:lang w:bidi="ar"/>
              </w:rPr>
              <w:t>。主要建设内容包含水环境治理、科普宣教、生态农业及生态保育。</w:t>
            </w:r>
          </w:p>
        </w:tc>
      </w:tr>
      <w:tr w14:paraId="1A7BC775">
        <w:tblPrEx>
          <w:tblCellMar>
            <w:top w:w="0" w:type="dxa"/>
            <w:left w:w="108" w:type="dxa"/>
            <w:bottom w:w="0" w:type="dxa"/>
            <w:right w:w="108" w:type="dxa"/>
          </w:tblCellMar>
        </w:tblPrEx>
        <w:trPr>
          <w:trHeight w:val="879" w:hRule="atLeast"/>
        </w:trPr>
        <w:tc>
          <w:tcPr>
            <w:tcW w:w="484" w:type="pct"/>
            <w:vMerge w:val="continue"/>
            <w:tcBorders>
              <w:top w:val="single" w:color="000000" w:sz="8" w:space="0"/>
              <w:left w:val="single" w:color="000000" w:sz="8" w:space="0"/>
              <w:bottom w:val="single" w:color="000000" w:sz="8" w:space="0"/>
              <w:right w:val="nil"/>
            </w:tcBorders>
            <w:shd w:val="clear" w:color="auto" w:fill="auto"/>
            <w:vAlign w:val="center"/>
          </w:tcPr>
          <w:p w14:paraId="18B1DCA5">
            <w:pPr>
              <w:jc w:val="center"/>
              <w:rPr>
                <w:rFonts w:hint="default" w:ascii="Times New Roman" w:hAnsi="Times New Roman" w:eastAsia="宋体" w:cs="Times New Roman"/>
                <w:color w:val="auto"/>
                <w:sz w:val="22"/>
                <w:szCs w:val="22"/>
                <w:highlight w:val="none"/>
              </w:rPr>
            </w:pPr>
          </w:p>
        </w:tc>
        <w:tc>
          <w:tcPr>
            <w:tcW w:w="116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CE79C74">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汉江综合整治项目张滩集镇段防护工程防护一区</w:t>
            </w:r>
          </w:p>
        </w:tc>
        <w:tc>
          <w:tcPr>
            <w:tcW w:w="33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BE73FCC">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汉江综合整治项目张滩集镇段防护工程防护一区，上起张滩镇大桥上游230m（桩号黄洋4+450），沿集镇外围布置，交磨沟后（桩号磨沟1+060），沿磨沟左岸布置至桩号磨沟1+920，形成封闭防洪区域，堤线长2490m，其中张滩镇大桥处已建成500m，本次设计堤线总长1990m，防护区总面积50667㎡。</w:t>
            </w:r>
          </w:p>
        </w:tc>
      </w:tr>
      <w:tr w14:paraId="28557824">
        <w:tblPrEx>
          <w:tblCellMar>
            <w:top w:w="0" w:type="dxa"/>
            <w:left w:w="108" w:type="dxa"/>
            <w:bottom w:w="0" w:type="dxa"/>
            <w:right w:w="108" w:type="dxa"/>
          </w:tblCellMar>
        </w:tblPrEx>
        <w:trPr>
          <w:trHeight w:val="879" w:hRule="atLeast"/>
        </w:trPr>
        <w:tc>
          <w:tcPr>
            <w:tcW w:w="484" w:type="pct"/>
            <w:vMerge w:val="restart"/>
            <w:tcBorders>
              <w:top w:val="single" w:color="000000" w:sz="8" w:space="0"/>
              <w:left w:val="single" w:color="000000" w:sz="8" w:space="0"/>
              <w:bottom w:val="single" w:color="000000" w:sz="8" w:space="0"/>
              <w:right w:val="nil"/>
            </w:tcBorders>
            <w:shd w:val="clear" w:color="auto" w:fill="auto"/>
            <w:vAlign w:val="center"/>
          </w:tcPr>
          <w:p w14:paraId="78C95693">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生态公园和城市综合内涝防治系统</w:t>
            </w:r>
          </w:p>
        </w:tc>
        <w:tc>
          <w:tcPr>
            <w:tcW w:w="116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7FCDEAE">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安康城东体育公园</w:t>
            </w:r>
          </w:p>
        </w:tc>
        <w:tc>
          <w:tcPr>
            <w:tcW w:w="33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54B7424">
            <w:pPr>
              <w:jc w:val="both"/>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项目规划用地面积</w:t>
            </w:r>
            <w:bookmarkStart w:id="30" w:name="OLE_LINK2"/>
            <w:r>
              <w:rPr>
                <w:rFonts w:hint="default" w:ascii="Times New Roman" w:hAnsi="Times New Roman" w:eastAsia="宋体" w:cs="Times New Roman"/>
                <w:color w:val="auto"/>
                <w:sz w:val="22"/>
                <w:szCs w:val="22"/>
                <w:highlight w:val="none"/>
              </w:rPr>
              <w:t>174747.62㎡</w:t>
            </w:r>
            <w:bookmarkEnd w:id="30"/>
            <w:r>
              <w:rPr>
                <w:rFonts w:hint="default" w:ascii="Times New Roman" w:hAnsi="Times New Roman" w:eastAsia="宋体" w:cs="Times New Roman"/>
                <w:color w:val="auto"/>
                <w:sz w:val="22"/>
                <w:szCs w:val="22"/>
                <w:highlight w:val="none"/>
              </w:rPr>
              <w:t>，其中包括：主入口广场9635.96㎡，园路19674㎡，室外体育场地3082㎡，室外广场及儿童活动用地8431.56㎡，停车位200个，绿地面积139867.06㎡，配套建设给排水管网等基础设施。</w:t>
            </w:r>
          </w:p>
        </w:tc>
      </w:tr>
      <w:tr w14:paraId="305EBF51">
        <w:tblPrEx>
          <w:tblCellMar>
            <w:top w:w="0" w:type="dxa"/>
            <w:left w:w="108" w:type="dxa"/>
            <w:bottom w:w="0" w:type="dxa"/>
            <w:right w:w="108" w:type="dxa"/>
          </w:tblCellMar>
        </w:tblPrEx>
        <w:trPr>
          <w:trHeight w:val="303" w:hRule="atLeast"/>
        </w:trPr>
        <w:tc>
          <w:tcPr>
            <w:tcW w:w="484" w:type="pct"/>
            <w:vMerge w:val="continue"/>
            <w:tcBorders>
              <w:top w:val="single" w:color="000000" w:sz="8" w:space="0"/>
              <w:left w:val="single" w:color="000000" w:sz="8" w:space="0"/>
              <w:bottom w:val="single" w:color="000000" w:sz="8" w:space="0"/>
              <w:right w:val="nil"/>
            </w:tcBorders>
            <w:shd w:val="clear" w:color="auto" w:fill="auto"/>
            <w:vAlign w:val="center"/>
          </w:tcPr>
          <w:p w14:paraId="149D7295">
            <w:pPr>
              <w:jc w:val="center"/>
              <w:rPr>
                <w:rFonts w:hint="default" w:ascii="Times New Roman" w:hAnsi="Times New Roman" w:eastAsia="宋体" w:cs="Times New Roman"/>
                <w:color w:val="auto"/>
                <w:sz w:val="22"/>
                <w:szCs w:val="22"/>
                <w:highlight w:val="none"/>
              </w:rPr>
            </w:pPr>
          </w:p>
        </w:tc>
        <w:tc>
          <w:tcPr>
            <w:tcW w:w="116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F0334CC">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社区生态公园项目</w:t>
            </w:r>
          </w:p>
        </w:tc>
        <w:tc>
          <w:tcPr>
            <w:tcW w:w="33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BCF881">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本项目规划布置社区公园2处，</w:t>
            </w:r>
            <w:r>
              <w:rPr>
                <w:rFonts w:hint="default" w:ascii="Times New Roman" w:hAnsi="Times New Roman" w:eastAsia="宋体" w:cs="Times New Roman"/>
                <w:color w:val="auto"/>
                <w:sz w:val="22"/>
                <w:szCs w:val="22"/>
                <w:highlight w:val="none"/>
              </w:rPr>
              <w:t>总占地面积23900㎡，绿化面积17447㎡</w:t>
            </w:r>
            <w:r>
              <w:rPr>
                <w:rFonts w:hint="default" w:ascii="Times New Roman" w:hAnsi="Times New Roman" w:eastAsia="宋体" w:cs="Times New Roman"/>
                <w:color w:val="auto"/>
                <w:highlight w:val="none"/>
              </w:rPr>
              <w:t>。</w:t>
            </w:r>
          </w:p>
        </w:tc>
      </w:tr>
      <w:tr w14:paraId="4EE87EA6">
        <w:tblPrEx>
          <w:tblCellMar>
            <w:top w:w="0" w:type="dxa"/>
            <w:left w:w="108" w:type="dxa"/>
            <w:bottom w:w="0" w:type="dxa"/>
            <w:right w:w="108" w:type="dxa"/>
          </w:tblCellMar>
        </w:tblPrEx>
        <w:trPr>
          <w:trHeight w:val="879" w:hRule="atLeast"/>
        </w:trPr>
        <w:tc>
          <w:tcPr>
            <w:tcW w:w="484" w:type="pct"/>
            <w:tcBorders>
              <w:top w:val="single" w:color="000000" w:sz="8" w:space="0"/>
              <w:left w:val="single" w:color="000000" w:sz="8" w:space="0"/>
              <w:bottom w:val="single" w:color="000000" w:sz="8" w:space="0"/>
              <w:right w:val="nil"/>
            </w:tcBorders>
            <w:shd w:val="clear" w:color="auto" w:fill="auto"/>
            <w:vAlign w:val="center"/>
          </w:tcPr>
          <w:p w14:paraId="638C595A">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绿色低碳城市运营系统</w:t>
            </w:r>
          </w:p>
        </w:tc>
        <w:tc>
          <w:tcPr>
            <w:tcW w:w="116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EFB64DB">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绿色低碳城市运营管理和数据中心</w:t>
            </w:r>
          </w:p>
        </w:tc>
        <w:tc>
          <w:tcPr>
            <w:tcW w:w="33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587CF41">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项目总占地面积为13087.03㎡（约19.63亩），规划建设总建筑面积约49950㎡，其中地上建筑面积为33000㎡，包括绿色产业经济中心、绿色城市管理系统、绿色城市及建筑成果展示中心；地下建筑面积为16950㎡，包括地下车库、人防及设备用房。绿地率为30.06%，容积率为2.52，建筑密度为28.65。，建设停车位396个，其中地上停车位40个，地下停车位356个。</w:t>
            </w:r>
          </w:p>
        </w:tc>
      </w:tr>
    </w:tbl>
    <w:p w14:paraId="7593C25B">
      <w:pPr>
        <w:pStyle w:val="2"/>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0"/>
          <w:szCs w:val="20"/>
          <w:highlight w:val="none"/>
        </w:rPr>
        <w:t>数据来源：项目可行性研究报告，2023年11月。</w:t>
      </w:r>
    </w:p>
    <w:p w14:paraId="2CBBE59A">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5261610" cy="3721735"/>
            <wp:effectExtent l="0" t="0" r="11430" b="12065"/>
            <wp:docPr id="42" name="图片 42"/>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8"/>
                  </pic:blipFill>
                  <pic:spPr>
                    <a:xfrm>
                      <a:off x="0" y="0"/>
                      <a:ext cx="5261610" cy="3721735"/>
                    </a:xfrm>
                    <a:prstGeom prst="rect">
                      <a:avLst/>
                    </a:prstGeom>
                  </pic:spPr>
                </pic:pic>
              </a:graphicData>
            </a:graphic>
          </wp:inline>
        </w:drawing>
      </w:r>
    </w:p>
    <w:p w14:paraId="0D46E6D4">
      <w:pPr>
        <w:spacing w:line="240" w:lineRule="atLeast"/>
        <w:ind w:firstLine="480"/>
        <w:jc w:val="center"/>
        <w:rPr>
          <w:rFonts w:hint="default" w:ascii="Times New Roman" w:hAnsi="Times New Roman" w:eastAsia="宋体" w:cs="Times New Roman"/>
          <w:b/>
          <w:bCs/>
          <w:color w:val="auto"/>
          <w:highlight w:val="none"/>
        </w:rPr>
      </w:pPr>
      <w:bookmarkStart w:id="31" w:name="_Toc113899656"/>
      <w:bookmarkStart w:id="32" w:name="_Toc120110856"/>
      <w:bookmarkStart w:id="33" w:name="_Toc112537237"/>
      <w:r>
        <w:rPr>
          <w:rFonts w:hint="default" w:ascii="Times New Roman" w:hAnsi="Times New Roman" w:eastAsia="宋体" w:cs="Times New Roman"/>
          <w:b/>
          <w:bCs/>
          <w:color w:val="auto"/>
          <w:highlight w:val="none"/>
        </w:rPr>
        <w:t xml:space="preserve">图 </w:t>
      </w:r>
      <w:r>
        <w:rPr>
          <w:rFonts w:hint="default" w:ascii="Times New Roman" w:hAnsi="Times New Roman" w:eastAsia="宋体" w:cs="Times New Roman"/>
          <w:b/>
          <w:bCs/>
          <w:color w:val="auto"/>
          <w:highlight w:val="none"/>
        </w:rPr>
        <w:fldChar w:fldCharType="begin"/>
      </w:r>
      <w:r>
        <w:rPr>
          <w:rFonts w:hint="default" w:ascii="Times New Roman" w:hAnsi="Times New Roman" w:eastAsia="宋体" w:cs="Times New Roman"/>
          <w:b/>
          <w:bCs/>
          <w:color w:val="auto"/>
          <w:highlight w:val="none"/>
        </w:rPr>
        <w:instrText xml:space="preserve"> STYLEREF 1 \s </w:instrText>
      </w:r>
      <w:r>
        <w:rPr>
          <w:rFonts w:hint="default" w:ascii="Times New Roman" w:hAnsi="Times New Roman" w:eastAsia="宋体" w:cs="Times New Roman"/>
          <w:b/>
          <w:bCs/>
          <w:color w:val="auto"/>
          <w:highlight w:val="none"/>
        </w:rPr>
        <w:fldChar w:fldCharType="separate"/>
      </w:r>
      <w:r>
        <w:rPr>
          <w:rFonts w:hint="default" w:ascii="Times New Roman" w:hAnsi="Times New Roman" w:eastAsia="宋体" w:cs="Times New Roman"/>
          <w:b/>
          <w:bCs/>
          <w:color w:val="auto"/>
          <w:highlight w:val="none"/>
        </w:rPr>
        <w:t>1</w:t>
      </w:r>
      <w:r>
        <w:rPr>
          <w:rFonts w:hint="default" w:ascii="Times New Roman" w:hAnsi="Times New Roman" w:eastAsia="宋体" w:cs="Times New Roman"/>
          <w:b/>
          <w:bCs/>
          <w:color w:val="auto"/>
          <w:highlight w:val="none"/>
        </w:rPr>
        <w:fldChar w:fldCharType="end"/>
      </w:r>
      <w:r>
        <w:rPr>
          <w:rFonts w:hint="default" w:ascii="Times New Roman" w:hAnsi="Times New Roman" w:eastAsia="宋体" w:cs="Times New Roman"/>
          <w:b/>
          <w:bCs/>
          <w:color w:val="auto"/>
          <w:highlight w:val="none"/>
        </w:rPr>
        <w:noBreakHyphen/>
      </w:r>
      <w:r>
        <w:rPr>
          <w:rFonts w:hint="default" w:ascii="Times New Roman" w:hAnsi="Times New Roman" w:eastAsia="宋体" w:cs="Times New Roman"/>
          <w:b/>
          <w:bCs/>
          <w:color w:val="auto"/>
          <w:highlight w:val="none"/>
        </w:rPr>
        <w:fldChar w:fldCharType="begin"/>
      </w:r>
      <w:r>
        <w:rPr>
          <w:rFonts w:hint="default" w:ascii="Times New Roman" w:hAnsi="Times New Roman" w:eastAsia="宋体" w:cs="Times New Roman"/>
          <w:b/>
          <w:bCs/>
          <w:color w:val="auto"/>
          <w:highlight w:val="none"/>
        </w:rPr>
        <w:instrText xml:space="preserve"> SEQ 图 \* ARABIC \s 1 </w:instrText>
      </w:r>
      <w:r>
        <w:rPr>
          <w:rFonts w:hint="default" w:ascii="Times New Roman" w:hAnsi="Times New Roman" w:eastAsia="宋体" w:cs="Times New Roman"/>
          <w:b/>
          <w:bCs/>
          <w:color w:val="auto"/>
          <w:highlight w:val="none"/>
        </w:rPr>
        <w:fldChar w:fldCharType="separate"/>
      </w:r>
      <w:r>
        <w:rPr>
          <w:rFonts w:hint="default" w:ascii="Times New Roman" w:hAnsi="Times New Roman" w:eastAsia="宋体" w:cs="Times New Roman"/>
          <w:b/>
          <w:bCs/>
          <w:color w:val="auto"/>
          <w:highlight w:val="none"/>
        </w:rPr>
        <w:t>1</w:t>
      </w:r>
      <w:r>
        <w:rPr>
          <w:rFonts w:hint="default" w:ascii="Times New Roman" w:hAnsi="Times New Roman" w:eastAsia="宋体" w:cs="Times New Roman"/>
          <w:b/>
          <w:bCs/>
          <w:color w:val="auto"/>
          <w:highlight w:val="none"/>
        </w:rPr>
        <w:fldChar w:fldCharType="end"/>
      </w:r>
      <w:bookmarkStart w:id="34" w:name="_Toc9576"/>
      <w:r>
        <w:rPr>
          <w:rFonts w:hint="default" w:ascii="Times New Roman" w:hAnsi="Times New Roman" w:eastAsia="宋体" w:cs="Times New Roman"/>
          <w:b/>
          <w:bCs/>
          <w:color w:val="auto"/>
          <w:highlight w:val="none"/>
        </w:rPr>
        <w:t xml:space="preserve"> 项目建设活动分布图</w:t>
      </w:r>
      <w:bookmarkEnd w:id="31"/>
      <w:bookmarkEnd w:id="32"/>
      <w:bookmarkEnd w:id="33"/>
      <w:bookmarkEnd w:id="34"/>
    </w:p>
    <w:p w14:paraId="4E1000DB">
      <w:pPr>
        <w:spacing w:before="120" w:after="120" w:line="300" w:lineRule="auto"/>
        <w:ind w:firstLine="475"/>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为了确保本项目建设工作顺利进行，</w:t>
      </w:r>
      <w:r>
        <w:rPr>
          <w:rFonts w:hint="default" w:ascii="Times New Roman" w:hAnsi="Times New Roman" w:eastAsia="宋体" w:cs="Times New Roman"/>
          <w:color w:val="auto"/>
          <w:highlight w:val="none"/>
          <w:u w:val="single"/>
        </w:rPr>
        <w:t>安康市人民政府</w:t>
      </w:r>
      <w:r>
        <w:rPr>
          <w:rFonts w:hint="default" w:ascii="Times New Roman" w:hAnsi="Times New Roman" w:eastAsia="宋体" w:cs="Times New Roman"/>
          <w:color w:val="auto"/>
          <w:highlight w:val="none"/>
        </w:rPr>
        <w:t>作为</w:t>
      </w:r>
      <w:r>
        <w:rPr>
          <w:rFonts w:hint="default" w:ascii="Times New Roman" w:hAnsi="Times New Roman" w:eastAsia="宋体" w:cs="Times New Roman"/>
          <w:color w:val="auto"/>
          <w:highlight w:val="none"/>
          <w:u w:val="single"/>
        </w:rPr>
        <w:t>项目领导机构</w:t>
      </w:r>
      <w:r>
        <w:rPr>
          <w:rFonts w:hint="default" w:ascii="Times New Roman" w:hAnsi="Times New Roman" w:eastAsia="宋体" w:cs="Times New Roman"/>
          <w:color w:val="auto"/>
          <w:highlight w:val="none"/>
        </w:rPr>
        <w:t>，协调解决建设中的重大问题；办公室设在安康市发改委，负责整个项目的规划、指导、协调、实施和监督管理工作，包括社会事务的管理。</w:t>
      </w:r>
    </w:p>
    <w:p w14:paraId="1BFF83A6">
      <w:pPr>
        <w:spacing w:before="120" w:after="120" w:line="300" w:lineRule="auto"/>
        <w:ind w:firstLine="475"/>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u w:val="single"/>
        </w:rPr>
        <w:t>安康市汉滨区人民政府负责本项目的项目管理，已经成立了项目管理办公室（PMO）</w:t>
      </w:r>
      <w:r>
        <w:rPr>
          <w:rFonts w:hint="default" w:ascii="Times New Roman" w:hAnsi="Times New Roman" w:eastAsia="宋体" w:cs="Times New Roman"/>
          <w:color w:val="auto"/>
          <w:highlight w:val="none"/>
        </w:rPr>
        <w:t>，统筹管理子项目的协调、实施及监督工作。</w:t>
      </w:r>
    </w:p>
    <w:p w14:paraId="6DAB1FCB">
      <w:pPr>
        <w:spacing w:before="120" w:after="120" w:line="300" w:lineRule="auto"/>
        <w:ind w:firstLine="475"/>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u w:val="single"/>
        </w:rPr>
        <w:t>汉滨区五里工业集中区（安康城东新区）管委会（以下简称“管委会”）为执行机构（PIU）</w:t>
      </w:r>
      <w:r>
        <w:rPr>
          <w:rFonts w:hint="default" w:ascii="Times New Roman" w:hAnsi="Times New Roman" w:eastAsia="宋体" w:cs="Times New Roman"/>
          <w:color w:val="auto"/>
          <w:highlight w:val="none"/>
        </w:rPr>
        <w:t>，负责各区县辖区范围内子项目的规划、协调、实施和监督管理工作</w:t>
      </w:r>
      <w:r>
        <w:rPr>
          <w:rFonts w:hint="default" w:ascii="Times New Roman" w:hAnsi="Times New Roman" w:eastAsia="宋体" w:cs="Times New Roman"/>
          <w:color w:val="auto"/>
          <w:highlight w:val="none"/>
          <w:u w:val="single"/>
        </w:rPr>
        <w:t>，并且</w:t>
      </w:r>
      <w:r>
        <w:rPr>
          <w:rFonts w:hint="default" w:ascii="Times New Roman" w:hAnsi="Times New Roman" w:eastAsia="宋体" w:cs="Times New Roman"/>
          <w:color w:val="auto"/>
          <w:highlight w:val="none"/>
        </w:rPr>
        <w:t>将在项目建成使用后负责具体运营。</w:t>
      </w:r>
    </w:p>
    <w:p w14:paraId="32CCDACD">
      <w:pPr>
        <w:pStyle w:val="4"/>
        <w:spacing w:before="120" w:after="240"/>
        <w:rPr>
          <w:rFonts w:hint="default" w:ascii="Times New Roman" w:hAnsi="Times New Roman" w:eastAsia="宋体" w:cs="Times New Roman"/>
          <w:color w:val="auto"/>
          <w:szCs w:val="24"/>
          <w:highlight w:val="none"/>
        </w:rPr>
      </w:pPr>
      <w:bookmarkStart w:id="35" w:name="_Toc19579"/>
      <w:r>
        <w:rPr>
          <w:rFonts w:hint="default" w:ascii="Times New Roman" w:hAnsi="Times New Roman" w:eastAsia="宋体" w:cs="Times New Roman"/>
          <w:color w:val="auto"/>
          <w:szCs w:val="24"/>
          <w:highlight w:val="none"/>
        </w:rPr>
        <w:t>项目影响区域</w:t>
      </w:r>
      <w:bookmarkEnd w:id="35"/>
    </w:p>
    <w:p w14:paraId="7B2C9933">
      <w:pPr>
        <w:pStyle w:val="2"/>
        <w:spacing w:before="120" w:beforeLines="50" w:line="30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2023年11月的项目可研报告，本项目直接影响区域涉及安康市汉滨区3镇/街办的12村/社区，即张滩镇奠安村、立石村、王湾村、双井村、后堰村、邹坡村、张滩社区、兰沟村、汪岭社区，石梯镇九条沟村、杨寇村，新城街办大树岭村，同时这些村/社区也直接受益，这些即是受项目直接影响又是直接受益的人口为25143人。项目的间接影响辐射整个汉滨区，间接受益人口达到89.34万人。</w:t>
      </w:r>
    </w:p>
    <w:bookmarkEnd w:id="23"/>
    <w:bookmarkEnd w:id="24"/>
    <w:p w14:paraId="3265D428">
      <w:pPr>
        <w:pStyle w:val="4"/>
        <w:spacing w:before="120" w:after="240"/>
        <w:rPr>
          <w:rFonts w:hint="default" w:ascii="Times New Roman" w:hAnsi="Times New Roman" w:eastAsia="宋体" w:cs="Times New Roman"/>
          <w:color w:val="auto"/>
          <w:szCs w:val="24"/>
          <w:highlight w:val="none"/>
        </w:rPr>
      </w:pPr>
      <w:bookmarkStart w:id="36" w:name="_Toc98661714"/>
      <w:bookmarkEnd w:id="36"/>
      <w:bookmarkStart w:id="37" w:name="_Toc98661377"/>
      <w:bookmarkEnd w:id="37"/>
      <w:bookmarkStart w:id="38" w:name="_Toc98662045"/>
      <w:bookmarkEnd w:id="38"/>
      <w:bookmarkStart w:id="39" w:name="_Toc98661037"/>
      <w:bookmarkEnd w:id="39"/>
      <w:bookmarkStart w:id="40" w:name="_Toc7509"/>
      <w:bookmarkStart w:id="41" w:name="_Toc114673046"/>
      <w:bookmarkStart w:id="42" w:name="_Toc83326383"/>
      <w:bookmarkStart w:id="43" w:name="_Toc110846249"/>
      <w:r>
        <w:rPr>
          <w:rFonts w:hint="default" w:ascii="Times New Roman" w:hAnsi="Times New Roman" w:eastAsia="宋体" w:cs="Times New Roman"/>
          <w:color w:val="auto"/>
          <w:szCs w:val="24"/>
          <w:highlight w:val="none"/>
        </w:rPr>
        <w:t>社会影响评价范围</w:t>
      </w:r>
      <w:bookmarkEnd w:id="40"/>
      <w:bookmarkEnd w:id="41"/>
    </w:p>
    <w:p w14:paraId="6DBCDBF3">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按照亚投行对项目鉴别和评估期间的要求，结合子项目活动的具体细节（包括选址、规模、技术方案等），本项目社会影响评价和社会管理文件按以下方式准备和评估：</w:t>
      </w:r>
    </w:p>
    <w:p w14:paraId="31831FF5">
      <w:pPr>
        <w:numPr>
          <w:ilvl w:val="0"/>
          <w:numId w:val="5"/>
        </w:numPr>
        <w:spacing w:before="120" w:after="120" w:line="30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项目鉴别和评估期间可研中的建设内容，准备详细的环境和社会管理文件初稿，并随着可研及设计的深入，更新相关环境和社会管理文件。社评单位单独准备社会管理文件包括社会影响评价报告（SIA）、移民安置行动计划（RAP）、移民安置尽职调查报告（DDR）、利益相关方参与计划（SEP）等。</w:t>
      </w:r>
    </w:p>
    <w:p w14:paraId="323BC637">
      <w:pPr>
        <w:numPr>
          <w:ilvl w:val="0"/>
          <w:numId w:val="5"/>
        </w:numPr>
        <w:spacing w:before="120" w:after="120" w:line="30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由环评单位和社评单位整合的文件为环境与社会管理计划（ESMP）。</w:t>
      </w:r>
    </w:p>
    <w:p w14:paraId="262517C6">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本次社会影响评价将重点关注各子项建设活动范围、项目活动建设期和运行期可能影响劳动者、周边主要社区、征地拆迁影响社区及居民，以及各子项目建成使用可能受影响的社区。</w:t>
      </w:r>
    </w:p>
    <w:p w14:paraId="19A32B0E">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同时，本社会影响评价对子项目的前期准备阶段、施工期间和建成使用阶段可能产生的社会风险和社会影响作出筛查、评估，制定减缓措施，编制相关文件，开展利益相关方参与活动，拟定项目实施期间的跟踪监测和报告安排。</w:t>
      </w:r>
    </w:p>
    <w:p w14:paraId="1FE8AAE7">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社会影响评价的同时，对所有子项目活动的影响（包括用地、社区安全及劳动者管理等）开展了社会调查，系统评估了项目区项目社会风险及影响（包括劳动者及工作条件、土地征收及移民安置、社区安全及利益相关方参与等），以评估项目管理和执行机构的社会风险管理的能力和水平，并拟定能力建设行动，为项目社会影响评价和相应的社会管理措施奠定基础。</w:t>
      </w:r>
    </w:p>
    <w:p w14:paraId="535E93AC">
      <w:pPr>
        <w:pStyle w:val="2"/>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由于社会影响评价（SIA）报告是涵盖所有子项目所有相关社会风险和影响的主要社会文件，但其详细程度不同于特定环境和社会标准所要求的其他相关报告文本。社会影响评价和其他社会报告文本的某些内容会有所重叠。但是，专题社会报告文本（如移民安置行动计划（RAP））强调更详细的安排，以实施相关行动和措施，以避免、最小化、管理和监控相关风险和影响。</w:t>
      </w:r>
    </w:p>
    <w:p w14:paraId="162FD351">
      <w:pPr>
        <w:pStyle w:val="4"/>
        <w:spacing w:before="120" w:after="240"/>
        <w:rPr>
          <w:rFonts w:hint="default" w:ascii="Times New Roman" w:hAnsi="Times New Roman" w:eastAsia="宋体" w:cs="Times New Roman"/>
          <w:color w:val="auto"/>
          <w:szCs w:val="24"/>
          <w:highlight w:val="none"/>
        </w:rPr>
      </w:pPr>
      <w:bookmarkStart w:id="44" w:name="_Toc152083649"/>
      <w:bookmarkEnd w:id="44"/>
      <w:bookmarkStart w:id="45" w:name="_Toc152083489"/>
      <w:bookmarkEnd w:id="45"/>
      <w:bookmarkStart w:id="46" w:name="_Toc152083724"/>
      <w:bookmarkEnd w:id="46"/>
      <w:bookmarkStart w:id="47" w:name="_Toc11411"/>
      <w:bookmarkStart w:id="48" w:name="_Toc114673047"/>
      <w:r>
        <w:rPr>
          <w:rFonts w:hint="default" w:ascii="Times New Roman" w:hAnsi="Times New Roman" w:eastAsia="宋体" w:cs="Times New Roman"/>
          <w:color w:val="auto"/>
          <w:szCs w:val="24"/>
          <w:highlight w:val="none"/>
        </w:rPr>
        <w:t>社会影响评价目标</w:t>
      </w:r>
      <w:bookmarkEnd w:id="25"/>
      <w:bookmarkEnd w:id="42"/>
      <w:bookmarkEnd w:id="43"/>
      <w:bookmarkEnd w:id="47"/>
      <w:bookmarkEnd w:id="48"/>
    </w:p>
    <w:p w14:paraId="7FAB3907">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社会影响评价的主要目标是根据亚洲基础设施投资银行《环境和社会框架》的相关要求，分析和评估被提议子项目在项目整个项目周期内（包括现状水平、准备、建设、运营）可能产生的社会影响和风险。本社会影响评价的</w:t>
      </w:r>
      <w:r>
        <w:rPr>
          <w:rFonts w:hint="default" w:ascii="Times New Roman" w:hAnsi="Times New Roman" w:eastAsia="宋体" w:cs="Times New Roman"/>
          <w:b/>
          <w:bCs/>
          <w:color w:val="auto"/>
          <w:highlight w:val="none"/>
          <w:u w:val="single"/>
        </w:rPr>
        <w:t>具体目的</w:t>
      </w:r>
      <w:r>
        <w:rPr>
          <w:rFonts w:hint="default" w:ascii="Times New Roman" w:hAnsi="Times New Roman" w:eastAsia="宋体" w:cs="Times New Roman"/>
          <w:color w:val="auto"/>
          <w:highlight w:val="none"/>
        </w:rPr>
        <w:t>如下：</w:t>
      </w:r>
    </w:p>
    <w:p w14:paraId="5D61F2DE">
      <w:pPr>
        <w:pStyle w:val="25"/>
        <w:numPr>
          <w:ilvl w:val="0"/>
          <w:numId w:val="6"/>
        </w:numPr>
        <w:spacing w:before="120" w:after="120" w:line="300" w:lineRule="auto"/>
        <w:ind w:left="900" w:hanging="42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基于社会尽职调查和风险筛查的结果，针对被提议子项目未来的投资活动，按照中国相关法规以及亚投行《环境和社会框架》（ESF）相关环境和社会标准的要求，评估其未来建设和运营中可能存在的社会影响和风险，包括：</w:t>
      </w:r>
    </w:p>
    <w:p w14:paraId="0DA2688E">
      <w:pPr>
        <w:pStyle w:val="25"/>
        <w:numPr>
          <w:ilvl w:val="1"/>
          <w:numId w:val="6"/>
        </w:numPr>
        <w:spacing w:before="120" w:after="120" w:line="276" w:lineRule="auto"/>
        <w:ind w:left="1380" w:leftChars="400" w:hanging="42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环境和社会评估和管理（ESS1），包括对社会包容性、健康与安全、劳动者工作条件等；</w:t>
      </w:r>
    </w:p>
    <w:p w14:paraId="6F1FFA8A">
      <w:pPr>
        <w:pStyle w:val="25"/>
        <w:numPr>
          <w:ilvl w:val="1"/>
          <w:numId w:val="6"/>
        </w:numPr>
        <w:spacing w:before="120" w:after="120" w:line="276" w:lineRule="auto"/>
        <w:ind w:left="1380" w:leftChars="400" w:hanging="42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土地征用/非自愿移民（ESS2）。</w:t>
      </w:r>
    </w:p>
    <w:p w14:paraId="47A477A1">
      <w:pPr>
        <w:pStyle w:val="25"/>
        <w:numPr>
          <w:ilvl w:val="0"/>
          <w:numId w:val="6"/>
        </w:numPr>
        <w:spacing w:before="120" w:after="120" w:line="300" w:lineRule="auto"/>
        <w:ind w:left="900" w:hanging="42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制定并实施利益相关方参与计划（含申诉处理机制GRM），通过与各种利益相关方进行有意义的磋商（Meaningful Consultation），根据他们提出的意见和建议完善项目设计和影响/风险缓解措施和行动。</w:t>
      </w:r>
    </w:p>
    <w:p w14:paraId="680E5C7C">
      <w:pPr>
        <w:pStyle w:val="25"/>
        <w:numPr>
          <w:ilvl w:val="0"/>
          <w:numId w:val="6"/>
        </w:numPr>
        <w:spacing w:before="120" w:after="120" w:line="300" w:lineRule="auto"/>
        <w:ind w:left="900" w:hanging="42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了解当地社区（尤其是建设地点周边社区）对拟建子项目的态度以及他们关注的问题，为分析本项目投资可能存在的社会风险和影响以及制定更加有效的缓解措施提供依据。</w:t>
      </w:r>
    </w:p>
    <w:p w14:paraId="43658590">
      <w:pPr>
        <w:pStyle w:val="25"/>
        <w:numPr>
          <w:ilvl w:val="0"/>
          <w:numId w:val="6"/>
        </w:numPr>
        <w:spacing w:before="120" w:after="120" w:line="300" w:lineRule="auto"/>
        <w:ind w:left="900" w:hanging="42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根据社会评价的结果提出解决相关缓解社会影响与风险的建议，以确保在合理的期限内相关子项目能满足亚洲基础设施投资银行相关环境和社会标准及国内相关法规要求；</w:t>
      </w:r>
    </w:p>
    <w:p w14:paraId="4C27C32C">
      <w:pPr>
        <w:pStyle w:val="25"/>
        <w:numPr>
          <w:ilvl w:val="0"/>
          <w:numId w:val="6"/>
        </w:numPr>
        <w:spacing w:before="120" w:after="120" w:line="300" w:lineRule="auto"/>
        <w:ind w:left="900" w:hanging="42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与项目业主就风险缓解措施以及方案优化、方案建议进行充分沟通和确认，并就措施和行动的实施时序进行安排；</w:t>
      </w:r>
    </w:p>
    <w:p w14:paraId="271CABE0">
      <w:pPr>
        <w:pStyle w:val="25"/>
        <w:numPr>
          <w:ilvl w:val="0"/>
          <w:numId w:val="6"/>
        </w:numPr>
        <w:spacing w:before="120" w:after="120" w:line="300" w:lineRule="auto"/>
        <w:ind w:left="900" w:hanging="42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制定社会管理计划（SMP）、明确被提议子项目社会管理实施的机构安排、人员设置、资金安排、监测和报告等。</w:t>
      </w:r>
    </w:p>
    <w:p w14:paraId="178AE170">
      <w:pPr>
        <w:rPr>
          <w:rFonts w:hint="default" w:ascii="Times New Roman" w:hAnsi="Times New Roman" w:eastAsia="宋体" w:cs="Times New Roman"/>
          <w:color w:val="auto"/>
          <w:highlight w:val="none"/>
        </w:rPr>
      </w:pPr>
      <w:bookmarkStart w:id="49" w:name="_Toc110846251"/>
      <w:bookmarkStart w:id="50" w:name="_Toc114673048"/>
    </w:p>
    <w:p w14:paraId="2E8F461F">
      <w:pPr>
        <w:pStyle w:val="4"/>
        <w:spacing w:before="120" w:after="240"/>
        <w:rPr>
          <w:rFonts w:hint="default" w:ascii="Times New Roman" w:hAnsi="Times New Roman" w:eastAsia="宋体" w:cs="Times New Roman"/>
          <w:color w:val="auto"/>
          <w:szCs w:val="24"/>
          <w:highlight w:val="none"/>
        </w:rPr>
      </w:pPr>
      <w:bookmarkStart w:id="51" w:name="_Toc11299"/>
      <w:r>
        <w:rPr>
          <w:rFonts w:hint="default" w:ascii="Times New Roman" w:hAnsi="Times New Roman" w:eastAsia="宋体" w:cs="Times New Roman"/>
          <w:color w:val="auto"/>
          <w:szCs w:val="24"/>
          <w:highlight w:val="none"/>
        </w:rPr>
        <w:t>社会影响评价的过程和方法</w:t>
      </w:r>
      <w:bookmarkEnd w:id="49"/>
      <w:bookmarkEnd w:id="50"/>
      <w:bookmarkEnd w:id="51"/>
    </w:p>
    <w:p w14:paraId="61234167">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根据可研和实地调查，项目建设区域主要分布在汉滨区张滩镇的9个街/社区(征迁影响)、新城办2个村（土地流转影响）及石梯镇2个村/社区（施工临时影响）。</w:t>
      </w:r>
    </w:p>
    <w:p w14:paraId="37EF942C">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2023年3月~7月，社会影响评价小组在汉滨区人民政府项目办和执行机构的积极配合下，深入项目建设区域开展了实地调查。具体包括如下过程（详见图1-1）：</w:t>
      </w:r>
    </w:p>
    <w:p w14:paraId="0746B518">
      <w:pPr>
        <w:pStyle w:val="25"/>
        <w:numPr>
          <w:ilvl w:val="0"/>
          <w:numId w:val="7"/>
        </w:numPr>
        <w:spacing w:before="120" w:after="120" w:line="30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社会影响评价首先进行的是分析项目活动，这对于确定社会风险和影响的性质、确定与社会受体相互作用的要素、重点分析相关ESS的相关性以及确定社会基线研究和监管框架分析的目标范围至关重要。</w:t>
      </w:r>
    </w:p>
    <w:p w14:paraId="4EB74218">
      <w:pPr>
        <w:pStyle w:val="25"/>
        <w:numPr>
          <w:ilvl w:val="0"/>
          <w:numId w:val="7"/>
        </w:numPr>
        <w:spacing w:before="120" w:after="120" w:line="30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结合项目建设活动，对已经完成征地的社会尽职调查，项目活动分析，和拟投资活动社会风险筛查(Social Screening)，确定环境和社会标准的相关性，筛查出与子项目相关的社会影响风险，确定分析范围(Scoping)。</w:t>
      </w:r>
    </w:p>
    <w:p w14:paraId="6B0CFC65">
      <w:pPr>
        <w:pStyle w:val="25"/>
        <w:numPr>
          <w:ilvl w:val="0"/>
          <w:numId w:val="7"/>
        </w:numPr>
        <w:spacing w:before="120" w:line="30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rPr>
        <w:t>根据项目描述和筛查出的社会影响和风险，分析中国现有法规框架及相关环境和社会标注（ESSs）的关联性和适用性，及差距弥补措施，并有针对性地开展社会基线调查。基线调查和监管框架构成了可靠的社会风险筛选和分析范围确定的基础。</w:t>
      </w:r>
    </w:p>
    <w:p w14:paraId="16DA4DA3">
      <w:pPr>
        <w:pStyle w:val="25"/>
        <w:numPr>
          <w:ilvl w:val="0"/>
          <w:numId w:val="7"/>
        </w:numPr>
        <w:spacing w:before="120" w:after="120" w:line="30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分析范围确定之后，社会影响评价小组开展了有针对性的调查和利益相关方参与，为风险评估和减缓措施提供信息。利益相关方的参与贯穿于整个评价的过程，以及项目批准后社会措施的执行和监测评估。项目制定了独立的利益相关方参与计划（SEP），以管理信息公示和利益相关方参与，符合ESF的要求。</w:t>
      </w:r>
    </w:p>
    <w:p w14:paraId="49EA38D7">
      <w:pPr>
        <w:pStyle w:val="25"/>
        <w:numPr>
          <w:ilvl w:val="0"/>
          <w:numId w:val="7"/>
        </w:numPr>
        <w:spacing w:before="120" w:after="120" w:line="30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对与被提议子项目相关且影响显著的可能社会风险和影响分别进行评价，重点分析显著性影响与风险，并提出项目设计优化建议和影响/风险缓解的措施，在此基础上形成社会管理计划。风险评估和优化是一个迭代式的完整过程，同时综合考虑各种措施以找到更好的方案。</w:t>
      </w:r>
    </w:p>
    <w:p w14:paraId="7F1BBB2E">
      <w:pPr>
        <w:pStyle w:val="25"/>
        <w:numPr>
          <w:ilvl w:val="0"/>
          <w:numId w:val="7"/>
        </w:numPr>
        <w:spacing w:before="120" w:after="120" w:line="30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在完成风险和影响评估和减缓措施过程之后，社会影响评价单位以表格形式按活动和县分类总结了所有行动，这更便于项目办参考和使用。</w:t>
      </w:r>
    </w:p>
    <w:p w14:paraId="7EA843C9">
      <w:pPr>
        <w:pStyle w:val="25"/>
        <w:numPr>
          <w:ilvl w:val="255"/>
          <w:numId w:val="0"/>
        </w:numPr>
        <w:spacing w:before="120" w:after="120" w:line="300" w:lineRule="auto"/>
        <w:jc w:val="both"/>
        <w:rPr>
          <w:rFonts w:hint="default" w:ascii="Times New Roman" w:hAnsi="Times New Roman" w:eastAsia="宋体" w:cs="Times New Roman"/>
          <w:color w:val="auto"/>
          <w:highlight w:val="none"/>
        </w:rPr>
      </w:pPr>
      <w:bookmarkStart w:id="52" w:name="_Ref58249523"/>
      <w:r>
        <w:rPr>
          <w:rFonts w:hint="default" w:ascii="Times New Roman" w:hAnsi="Times New Roman" w:eastAsia="宋体" w:cs="Times New Roman"/>
          <w:color w:val="auto"/>
          <w:highlight w:val="none"/>
        </w:rPr>
        <w:drawing>
          <wp:inline distT="0" distB="0" distL="0" distR="0">
            <wp:extent cx="5350510" cy="3566795"/>
            <wp:effectExtent l="0" t="0" r="0" b="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9"/>
                    <a:stretch>
                      <a:fillRect/>
                    </a:stretch>
                  </pic:blipFill>
                  <pic:spPr>
                    <a:xfrm>
                      <a:off x="0" y="0"/>
                      <a:ext cx="5350510" cy="3566795"/>
                    </a:xfrm>
                    <a:prstGeom prst="rect">
                      <a:avLst/>
                    </a:prstGeom>
                  </pic:spPr>
                </pic:pic>
              </a:graphicData>
            </a:graphic>
          </wp:inline>
        </w:drawing>
      </w:r>
      <w:bookmarkEnd w:id="52"/>
    </w:p>
    <w:p w14:paraId="1CBD7A11">
      <w:pPr>
        <w:pStyle w:val="25"/>
        <w:numPr>
          <w:ilvl w:val="255"/>
          <w:numId w:val="0"/>
        </w:numPr>
        <w:spacing w:before="120" w:after="120" w:line="300" w:lineRule="auto"/>
        <w:ind w:left="48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图1-4 社会影响评价方法</w:t>
      </w:r>
    </w:p>
    <w:p w14:paraId="14A7182F">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本项目社会影响评价采用的</w:t>
      </w:r>
      <w:r>
        <w:rPr>
          <w:rFonts w:hint="default" w:ascii="Times New Roman" w:hAnsi="Times New Roman" w:eastAsia="宋体" w:cs="Times New Roman"/>
          <w:b/>
          <w:bCs/>
          <w:color w:val="auto"/>
          <w:highlight w:val="none"/>
          <w:u w:val="single"/>
        </w:rPr>
        <w:t>调查方法</w:t>
      </w:r>
      <w:r>
        <w:rPr>
          <w:rFonts w:hint="default" w:ascii="Times New Roman" w:hAnsi="Times New Roman" w:eastAsia="宋体" w:cs="Times New Roman"/>
          <w:color w:val="auto"/>
          <w:highlight w:val="none"/>
        </w:rPr>
        <w:t>包括：</w:t>
      </w:r>
    </w:p>
    <w:p w14:paraId="450986B0">
      <w:pPr>
        <w:pStyle w:val="39"/>
        <w:widowControl w:val="0"/>
        <w:numPr>
          <w:ilvl w:val="0"/>
          <w:numId w:val="8"/>
        </w:numPr>
        <w:spacing w:before="120" w:after="120" w:line="300" w:lineRule="auto"/>
        <w:jc w:val="both"/>
        <w:rPr>
          <w:rFonts w:hint="default" w:ascii="Times New Roman" w:hAnsi="Times New Roman" w:eastAsia="宋体" w:cs="Times New Roman"/>
          <w:color w:val="auto"/>
          <w:highlight w:val="none"/>
        </w:rPr>
      </w:pPr>
      <w:bookmarkStart w:id="53" w:name="_Toc110846252"/>
      <w:r>
        <w:rPr>
          <w:rFonts w:hint="default" w:ascii="Times New Roman" w:hAnsi="Times New Roman" w:eastAsia="宋体" w:cs="Times New Roman"/>
          <w:b/>
          <w:bCs/>
          <w:color w:val="auto"/>
          <w:highlight w:val="none"/>
        </w:rPr>
        <w:t>资料搜集和审核</w:t>
      </w:r>
    </w:p>
    <w:p w14:paraId="295420D9">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社会影响评价小组通过汉滨区人民政府项目办、执行机构及政府相关部门和网络搜索引擎搜集与项目建设与社会稳定相关的各种资料，如项目前期工作审批文件、项目专项报告、信访维稳文件、相关管理制度汇编、征地批文、征地补偿安置档案等。</w:t>
      </w:r>
    </w:p>
    <w:p w14:paraId="793D43CC">
      <w:pPr>
        <w:pStyle w:val="39"/>
        <w:widowControl w:val="0"/>
        <w:numPr>
          <w:ilvl w:val="0"/>
          <w:numId w:val="8"/>
        </w:numPr>
        <w:spacing w:before="120" w:after="120" w:line="300" w:lineRule="auto"/>
        <w:jc w:val="both"/>
        <w:rPr>
          <w:rFonts w:hint="default" w:ascii="Times New Roman" w:hAnsi="Times New Roman" w:eastAsia="宋体" w:cs="Times New Roman"/>
          <w:b/>
          <w:bCs/>
          <w:color w:val="auto"/>
          <w:highlight w:val="none"/>
          <w:u w:val="single"/>
        </w:rPr>
      </w:pPr>
      <w:r>
        <w:rPr>
          <w:rFonts w:hint="default" w:ascii="Times New Roman" w:hAnsi="Times New Roman" w:eastAsia="宋体" w:cs="Times New Roman"/>
          <w:b/>
          <w:bCs/>
          <w:color w:val="auto"/>
          <w:highlight w:val="none"/>
          <w:u w:val="single"/>
        </w:rPr>
        <w:t>实地走访</w:t>
      </w:r>
    </w:p>
    <w:p w14:paraId="261E923A">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社会影响评价小组在审核所搜集的资料基础上，对拟建的项目活动选址进行实地踏勘，了解项目区周边社会和环境敏感点，通过现场观察发现可能存在的社会风险因素以及评估管理水平。</w:t>
      </w:r>
    </w:p>
    <w:p w14:paraId="3C8FD5FC">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此外，社会影响评价小组还对现有主要设施的选址及现状进行了实地调查，对周边社区和村民进行了访谈，了解他们对项目态度、意见和建议。</w:t>
      </w:r>
    </w:p>
    <w:p w14:paraId="5C992C2F">
      <w:pPr>
        <w:snapToGrid w:val="0"/>
        <w:spacing w:before="120" w:after="120" w:line="300" w:lineRule="auto"/>
        <w:ind w:firstLine="482" w:firstLineChars="200"/>
        <w:jc w:val="both"/>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u w:val="single"/>
        </w:rPr>
        <w:t>3）关键政府职能部门访谈</w:t>
      </w:r>
    </w:p>
    <w:p w14:paraId="37415AF5">
      <w:pPr>
        <w:snapToGrid w:val="0"/>
        <w:spacing w:before="120" w:after="120" w:line="300" w:lineRule="auto"/>
        <w:ind w:firstLine="480" w:firstLineChars="200"/>
        <w:jc w:val="both"/>
        <w:rPr>
          <w:rFonts w:hint="default" w:ascii="Times New Roman" w:hAnsi="Times New Roman" w:eastAsia="宋体" w:cs="Times New Roman"/>
          <w:b/>
          <w:color w:val="auto"/>
          <w:highlight w:val="none"/>
        </w:rPr>
      </w:pPr>
      <w:r>
        <w:rPr>
          <w:rFonts w:hint="default" w:ascii="Times New Roman" w:hAnsi="Times New Roman" w:eastAsia="宋体" w:cs="Times New Roman"/>
          <w:color w:val="auto"/>
          <w:highlight w:val="none"/>
        </w:rPr>
        <w:t>社会影响评价小组通过访谈、热线电话等方式与对项目有重大影响力的相关政府职能部门（主要包括汉滨区自然资源局、水利局、人社局等）进行了访谈，重点了解这些政府职能部门在用地、职业健康安全等方面相关的要求和指导意见。</w:t>
      </w:r>
    </w:p>
    <w:p w14:paraId="63B582BA">
      <w:pPr>
        <w:snapToGrid w:val="0"/>
        <w:spacing w:before="120" w:after="120" w:line="300" w:lineRule="auto"/>
        <w:ind w:firstLine="482" w:firstLineChars="200"/>
        <w:rPr>
          <w:rFonts w:hint="default" w:ascii="Times New Roman" w:hAnsi="Times New Roman" w:eastAsia="宋体" w:cs="Times New Roman"/>
          <w:b/>
          <w:color w:val="auto"/>
          <w:highlight w:val="none"/>
          <w:u w:val="single"/>
        </w:rPr>
      </w:pPr>
      <w:r>
        <w:rPr>
          <w:rFonts w:hint="default" w:ascii="Times New Roman" w:hAnsi="Times New Roman" w:eastAsia="宋体" w:cs="Times New Roman"/>
          <w:b/>
          <w:color w:val="auto"/>
          <w:highlight w:val="none"/>
          <w:u w:val="single"/>
        </w:rPr>
        <w:t>4）关键信息人访谈</w:t>
      </w:r>
    </w:p>
    <w:p w14:paraId="55CC477D">
      <w:pPr>
        <w:snapToGrid w:val="0"/>
        <w:spacing w:before="120" w:after="120" w:line="300" w:lineRule="auto"/>
        <w:ind w:firstLine="480" w:firstLineChars="200"/>
        <w:rPr>
          <w:rFonts w:hint="default" w:ascii="Times New Roman" w:hAnsi="Times New Roman" w:eastAsia="宋体" w:cs="Times New Roman"/>
          <w:b/>
          <w:color w:val="auto"/>
          <w:highlight w:val="none"/>
        </w:rPr>
      </w:pPr>
      <w:r>
        <w:rPr>
          <w:rFonts w:hint="default" w:ascii="Times New Roman" w:hAnsi="Times New Roman" w:eastAsia="宋体" w:cs="Times New Roman"/>
          <w:color w:val="auto"/>
          <w:highlight w:val="none"/>
        </w:rPr>
        <w:t>社会影响评价小组通过现场调查、线上沟通等多种形式和本项目的关键信息人（主要包括项目办及其职能科室、张滩镇征迁办、可研单位、环评单位、街镇政府和村干部等）进行了访谈，了解现子项目活动的环境社会风险（包括用地、劳动者和周边社区的健康、道路交通安全等）、现有的制度和管理措施以及落实的情况，以及对未来建设运营中的环境和社会风险管理建议。</w:t>
      </w:r>
    </w:p>
    <w:p w14:paraId="424C942A">
      <w:pPr>
        <w:snapToGrid w:val="0"/>
        <w:spacing w:before="120" w:after="120" w:line="300" w:lineRule="auto"/>
        <w:ind w:firstLine="482" w:firstLineChars="20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u w:val="single"/>
        </w:rPr>
        <w:t>5）座谈会</w:t>
      </w:r>
    </w:p>
    <w:p w14:paraId="1785EA72">
      <w:pPr>
        <w:snapToGrid w:val="0"/>
        <w:spacing w:before="120" w:after="120" w:line="300" w:lineRule="auto"/>
        <w:ind w:firstLine="480" w:firstLineChars="200"/>
        <w:rPr>
          <w:rFonts w:hint="default" w:ascii="Times New Roman" w:hAnsi="Times New Roman" w:eastAsia="宋体" w:cs="Times New Roman"/>
          <w:b/>
          <w:color w:val="auto"/>
          <w:highlight w:val="none"/>
        </w:rPr>
      </w:pPr>
      <w:r>
        <w:rPr>
          <w:rFonts w:hint="default" w:ascii="Times New Roman" w:hAnsi="Times New Roman" w:eastAsia="宋体" w:cs="Times New Roman"/>
          <w:color w:val="auto"/>
          <w:highlight w:val="none"/>
        </w:rPr>
        <w:t>社会影响评价小组在现场调查过程中，与现有设施的劳动者、社区工人以及周边社区的居民、学校教职工等进行了座谈，了解劳动者现有的工作条件、工作时间、加班情况、相关待遇以及相关的职业健康安全等的培训、防护、体检等情况，了解设施周边社区居民、学校教职工等对设施选址以及建设运营过程中的噪音、自然灾害（尤其是洪水）风险以及道路交通安全等方面的顾虑、需求和建议。与利益相关方举行了10次座谈会，共计145人次，了解他们的需求、影响以及意见和建议。</w:t>
      </w:r>
    </w:p>
    <w:p w14:paraId="4807262F">
      <w:pPr>
        <w:spacing w:before="120" w:after="120" w:line="300" w:lineRule="auto"/>
        <w:ind w:firstLine="482" w:firstLineChars="200"/>
        <w:jc w:val="both"/>
        <w:rPr>
          <w:rFonts w:hint="default" w:ascii="Times New Roman" w:hAnsi="Times New Roman" w:eastAsia="宋体" w:cs="Times New Roman"/>
          <w:color w:val="auto"/>
          <w:highlight w:val="none"/>
          <w:u w:val="single"/>
        </w:rPr>
      </w:pPr>
      <w:r>
        <w:rPr>
          <w:rFonts w:hint="default" w:ascii="Times New Roman" w:hAnsi="Times New Roman" w:eastAsia="宋体" w:cs="Times New Roman"/>
          <w:b/>
          <w:color w:val="auto"/>
          <w:highlight w:val="none"/>
          <w:u w:val="single"/>
        </w:rPr>
        <w:t>6）问卷调查</w:t>
      </w:r>
    </w:p>
    <w:p w14:paraId="7C9E125A">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各市区县项目办的协调支持下，社会影响评价小组还开展了针对受影响村的问卷调查，了解社区居民对项目选址等的看法和建议。本次调查共收到760份有效问卷（其中征地影响户397份，非征迁户363份）。调查对象分布在3个镇/街办12个村/社区。</w:t>
      </w:r>
    </w:p>
    <w:p w14:paraId="770313E7">
      <w:pPr>
        <w:spacing w:before="120" w:after="120" w:line="300" w:lineRule="auto"/>
        <w:ind w:firstLine="482" w:firstLineChars="200"/>
        <w:jc w:val="both"/>
        <w:rPr>
          <w:rFonts w:hint="default" w:ascii="Times New Roman" w:hAnsi="Times New Roman" w:eastAsia="宋体" w:cs="Times New Roman"/>
          <w:b/>
          <w:color w:val="auto"/>
          <w:highlight w:val="none"/>
          <w:u w:val="single"/>
        </w:rPr>
      </w:pPr>
      <w:r>
        <w:rPr>
          <w:rFonts w:hint="default" w:ascii="Times New Roman" w:hAnsi="Times New Roman" w:eastAsia="宋体" w:cs="Times New Roman"/>
          <w:b/>
          <w:color w:val="auto"/>
          <w:highlight w:val="none"/>
          <w:u w:val="single"/>
        </w:rPr>
        <w:t>7）咨询研讨会</w:t>
      </w:r>
    </w:p>
    <w:p w14:paraId="098860A2">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针对社会尽职调查及社会影响评价的结果，社会影响评价小组就项目活动用地、劳动者和工作条件、社区健康和安全等风险与缓解措施与项目办、设计单位、环评单位及相关政府部门（如自然资源局、农业农村局、生态环保局等）进行了多次沟通，商讨确定可行的且符合国内法律法规、亚投行ESF及国际良好实践的解决方案。</w:t>
      </w:r>
    </w:p>
    <w:p w14:paraId="55590386">
      <w:pPr>
        <w:pStyle w:val="4"/>
        <w:spacing w:before="120"/>
        <w:rPr>
          <w:rFonts w:hint="default" w:ascii="Times New Roman" w:hAnsi="Times New Roman" w:eastAsia="宋体" w:cs="Times New Roman"/>
          <w:color w:val="auto"/>
          <w:highlight w:val="none"/>
        </w:rPr>
      </w:pPr>
      <w:bookmarkStart w:id="54" w:name="_Toc19849"/>
      <w:r>
        <w:rPr>
          <w:rFonts w:hint="default" w:ascii="Times New Roman" w:hAnsi="Times New Roman" w:eastAsia="宋体" w:cs="Times New Roman"/>
          <w:color w:val="auto"/>
          <w:highlight w:val="none"/>
        </w:rPr>
        <w:t>社会影响评价对项目可研的积极影响</w:t>
      </w:r>
      <w:bookmarkEnd w:id="54"/>
    </w:p>
    <w:p w14:paraId="1A43BE85">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社评单位根据社会调查及利益相关方参与，对可研报告中的建设内容提出了合理的建议。与可研单位讨论后，采纳了相关建议，具体见表1-2。</w:t>
      </w:r>
    </w:p>
    <w:p w14:paraId="1C685E0C">
      <w:pPr>
        <w:pStyle w:val="13"/>
        <w:adjustRightInd w:val="0"/>
        <w:snapToGrid w:val="0"/>
        <w:spacing w:after="120"/>
        <w:rPr>
          <w:rFonts w:hint="default" w:ascii="Times New Roman" w:hAnsi="Times New Roman" w:eastAsia="宋体" w:cs="Times New Roman"/>
          <w:bCs/>
          <w:color w:val="auto"/>
          <w:szCs w:val="24"/>
          <w:highlight w:val="none"/>
        </w:rPr>
      </w:pPr>
    </w:p>
    <w:p w14:paraId="3A66A5E1">
      <w:pPr>
        <w:pStyle w:val="13"/>
        <w:adjustRightInd w:val="0"/>
        <w:snapToGrid w:val="0"/>
        <w:spacing w:after="120"/>
        <w:rPr>
          <w:rFonts w:hint="default" w:ascii="Times New Roman" w:hAnsi="Times New Roman" w:eastAsia="宋体" w:cs="Times New Roman"/>
          <w:bCs/>
          <w:color w:val="auto"/>
          <w:szCs w:val="24"/>
          <w:highlight w:val="none"/>
        </w:rPr>
        <w:sectPr>
          <w:footerReference r:id="rId6" w:type="default"/>
          <w:pgSz w:w="11906" w:h="16838"/>
          <w:pgMar w:top="1440" w:right="1800" w:bottom="1440" w:left="1800" w:header="851" w:footer="992" w:gutter="0"/>
          <w:pgNumType w:start="1"/>
          <w:cols w:space="720" w:num="1"/>
          <w:docGrid w:linePitch="326" w:charSpace="0"/>
        </w:sectPr>
      </w:pPr>
    </w:p>
    <w:p w14:paraId="20CD5A72">
      <w:pPr>
        <w:pStyle w:val="13"/>
        <w:adjustRightInd w:val="0"/>
        <w:snapToGrid w:val="0"/>
        <w:spacing w:after="120"/>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szCs w:val="24"/>
          <w:highlight w:val="none"/>
        </w:rPr>
        <w:t xml:space="preserve">表 </w:t>
      </w:r>
      <w:r>
        <w:rPr>
          <w:rFonts w:hint="default" w:ascii="Times New Roman" w:hAnsi="Times New Roman" w:eastAsia="宋体" w:cs="Times New Roman"/>
          <w:bCs/>
          <w:color w:val="auto"/>
          <w:szCs w:val="24"/>
          <w:highlight w:val="none"/>
        </w:rPr>
        <w:fldChar w:fldCharType="begin"/>
      </w:r>
      <w:r>
        <w:rPr>
          <w:rFonts w:hint="default" w:ascii="Times New Roman" w:hAnsi="Times New Roman" w:eastAsia="宋体" w:cs="Times New Roman"/>
          <w:bCs/>
          <w:color w:val="auto"/>
          <w:szCs w:val="24"/>
          <w:highlight w:val="none"/>
        </w:rPr>
        <w:instrText xml:space="preserve"> STYLEREF 1 \s </w:instrText>
      </w:r>
      <w:r>
        <w:rPr>
          <w:rFonts w:hint="default" w:ascii="Times New Roman" w:hAnsi="Times New Roman" w:eastAsia="宋体" w:cs="Times New Roman"/>
          <w:bCs/>
          <w:color w:val="auto"/>
          <w:szCs w:val="24"/>
          <w:highlight w:val="none"/>
        </w:rPr>
        <w:fldChar w:fldCharType="separate"/>
      </w:r>
      <w:r>
        <w:rPr>
          <w:rFonts w:hint="default" w:ascii="Times New Roman" w:hAnsi="Times New Roman" w:eastAsia="宋体" w:cs="Times New Roman"/>
          <w:bCs/>
          <w:color w:val="auto"/>
          <w:szCs w:val="24"/>
          <w:highlight w:val="none"/>
        </w:rPr>
        <w:t>1</w:t>
      </w:r>
      <w:r>
        <w:rPr>
          <w:rFonts w:hint="default" w:ascii="Times New Roman" w:hAnsi="Times New Roman" w:eastAsia="宋体" w:cs="Times New Roman"/>
          <w:bCs/>
          <w:color w:val="auto"/>
          <w:szCs w:val="24"/>
          <w:highlight w:val="none"/>
        </w:rPr>
        <w:fldChar w:fldCharType="end"/>
      </w:r>
      <w:r>
        <w:rPr>
          <w:rFonts w:hint="default" w:ascii="Times New Roman" w:hAnsi="Times New Roman" w:eastAsia="宋体" w:cs="Times New Roman"/>
          <w:bCs/>
          <w:color w:val="auto"/>
          <w:szCs w:val="24"/>
          <w:highlight w:val="none"/>
        </w:rPr>
        <w:t>-</w:t>
      </w:r>
      <w:r>
        <w:rPr>
          <w:rFonts w:hint="default" w:ascii="Times New Roman" w:hAnsi="Times New Roman" w:eastAsia="宋体" w:cs="Times New Roman"/>
          <w:bCs/>
          <w:color w:val="auto"/>
          <w:szCs w:val="24"/>
          <w:highlight w:val="none"/>
        </w:rPr>
        <w:fldChar w:fldCharType="begin"/>
      </w:r>
      <w:r>
        <w:rPr>
          <w:rFonts w:hint="default" w:ascii="Times New Roman" w:hAnsi="Times New Roman" w:eastAsia="宋体" w:cs="Times New Roman"/>
          <w:bCs/>
          <w:color w:val="auto"/>
          <w:szCs w:val="24"/>
          <w:highlight w:val="none"/>
        </w:rPr>
        <w:instrText xml:space="preserve"> SEQ 表 \* ARABIC \s 1 </w:instrText>
      </w:r>
      <w:r>
        <w:rPr>
          <w:rFonts w:hint="default" w:ascii="Times New Roman" w:hAnsi="Times New Roman" w:eastAsia="宋体" w:cs="Times New Roman"/>
          <w:bCs/>
          <w:color w:val="auto"/>
          <w:szCs w:val="24"/>
          <w:highlight w:val="none"/>
        </w:rPr>
        <w:fldChar w:fldCharType="separate"/>
      </w:r>
      <w:r>
        <w:rPr>
          <w:rFonts w:hint="default" w:ascii="Times New Roman" w:hAnsi="Times New Roman" w:eastAsia="宋体" w:cs="Times New Roman"/>
          <w:bCs/>
          <w:color w:val="auto"/>
          <w:szCs w:val="24"/>
          <w:highlight w:val="none"/>
        </w:rPr>
        <w:t>2</w:t>
      </w:r>
      <w:r>
        <w:rPr>
          <w:rFonts w:hint="default" w:ascii="Times New Roman" w:hAnsi="Times New Roman" w:eastAsia="宋体" w:cs="Times New Roman"/>
          <w:bCs/>
          <w:color w:val="auto"/>
          <w:szCs w:val="24"/>
          <w:highlight w:val="none"/>
        </w:rPr>
        <w:fldChar w:fldCharType="end"/>
      </w:r>
      <w:bookmarkStart w:id="55" w:name="_Toc10564"/>
      <w:r>
        <w:rPr>
          <w:rFonts w:hint="default" w:ascii="Times New Roman" w:hAnsi="Times New Roman" w:eastAsia="宋体" w:cs="Times New Roman"/>
          <w:bCs/>
          <w:color w:val="auto"/>
          <w:szCs w:val="24"/>
          <w:highlight w:val="none"/>
        </w:rPr>
        <w:t>可研报告采纳社会评价建议统计表</w:t>
      </w:r>
      <w:bookmarkEnd w:id="55"/>
    </w:p>
    <w:tbl>
      <w:tblPr>
        <w:tblStyle w:val="43"/>
        <w:tblW w:w="5000" w:type="pct"/>
        <w:tblInd w:w="0" w:type="dxa"/>
        <w:tblLayout w:type="fixed"/>
        <w:tblCellMar>
          <w:top w:w="0" w:type="dxa"/>
          <w:left w:w="108" w:type="dxa"/>
          <w:bottom w:w="0" w:type="dxa"/>
          <w:right w:w="108" w:type="dxa"/>
        </w:tblCellMar>
      </w:tblPr>
      <w:tblGrid>
        <w:gridCol w:w="547"/>
        <w:gridCol w:w="2016"/>
        <w:gridCol w:w="3427"/>
        <w:gridCol w:w="4465"/>
        <w:gridCol w:w="3719"/>
      </w:tblGrid>
      <w:tr w14:paraId="2CDA5998">
        <w:tblPrEx>
          <w:tblCellMar>
            <w:top w:w="0" w:type="dxa"/>
            <w:left w:w="108" w:type="dxa"/>
            <w:bottom w:w="0" w:type="dxa"/>
            <w:right w:w="108" w:type="dxa"/>
          </w:tblCellMar>
        </w:tblPrEx>
        <w:trPr>
          <w:trHeight w:val="599" w:hRule="atLeast"/>
        </w:trPr>
        <w:tc>
          <w:tcPr>
            <w:tcW w:w="193" w:type="pct"/>
            <w:tcBorders>
              <w:top w:val="single" w:color="auto" w:sz="4" w:space="0"/>
              <w:left w:val="single" w:color="auto" w:sz="4" w:space="0"/>
              <w:bottom w:val="single" w:color="auto" w:sz="4" w:space="0"/>
              <w:right w:val="single" w:color="auto" w:sz="4" w:space="0"/>
            </w:tcBorders>
            <w:shd w:val="pct10" w:color="auto" w:fill="auto"/>
            <w:noWrap/>
            <w:vAlign w:val="center"/>
          </w:tcPr>
          <w:p w14:paraId="62C4E07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711" w:type="pct"/>
            <w:tcBorders>
              <w:top w:val="single" w:color="auto" w:sz="4" w:space="0"/>
              <w:left w:val="single" w:color="auto" w:sz="4" w:space="0"/>
              <w:bottom w:val="single" w:color="auto" w:sz="4" w:space="0"/>
              <w:right w:val="single" w:color="auto" w:sz="4" w:space="0"/>
            </w:tcBorders>
            <w:shd w:val="pct10" w:color="auto" w:fill="auto"/>
            <w:noWrap/>
            <w:vAlign w:val="center"/>
          </w:tcPr>
          <w:p w14:paraId="05B1317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1208" w:type="pct"/>
            <w:tcBorders>
              <w:top w:val="single" w:color="auto" w:sz="4" w:space="0"/>
              <w:left w:val="single" w:color="auto" w:sz="4" w:space="0"/>
              <w:bottom w:val="single" w:color="auto" w:sz="4" w:space="0"/>
              <w:right w:val="single" w:color="auto" w:sz="4" w:space="0"/>
            </w:tcBorders>
            <w:shd w:val="pct10" w:color="auto" w:fill="auto"/>
            <w:noWrap/>
            <w:vAlign w:val="center"/>
          </w:tcPr>
          <w:p w14:paraId="2652234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原可研工程建设内容</w:t>
            </w:r>
          </w:p>
        </w:tc>
        <w:tc>
          <w:tcPr>
            <w:tcW w:w="1574" w:type="pct"/>
            <w:tcBorders>
              <w:top w:val="single" w:color="auto" w:sz="4" w:space="0"/>
              <w:left w:val="single" w:color="auto" w:sz="4" w:space="0"/>
              <w:bottom w:val="single" w:color="auto" w:sz="4" w:space="0"/>
              <w:right w:val="single" w:color="auto" w:sz="4" w:space="0"/>
            </w:tcBorders>
            <w:shd w:val="pct10" w:color="auto" w:fill="auto"/>
            <w:noWrap/>
            <w:vAlign w:val="center"/>
          </w:tcPr>
          <w:p w14:paraId="7A10FCD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社评建议</w:t>
            </w:r>
          </w:p>
        </w:tc>
        <w:tc>
          <w:tcPr>
            <w:tcW w:w="1311" w:type="pct"/>
            <w:tcBorders>
              <w:top w:val="single" w:color="auto" w:sz="4" w:space="0"/>
              <w:left w:val="single" w:color="auto" w:sz="4" w:space="0"/>
              <w:bottom w:val="single" w:color="auto" w:sz="4" w:space="0"/>
              <w:right w:val="single" w:color="auto" w:sz="4" w:space="0"/>
            </w:tcBorders>
            <w:shd w:val="pct10" w:color="auto" w:fill="auto"/>
            <w:noWrap/>
            <w:vAlign w:val="center"/>
          </w:tcPr>
          <w:p w14:paraId="7874DA8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采纳建议后可研工程建设内容</w:t>
            </w:r>
          </w:p>
        </w:tc>
      </w:tr>
      <w:tr w14:paraId="135834FB">
        <w:tblPrEx>
          <w:tblCellMar>
            <w:top w:w="0" w:type="dxa"/>
            <w:left w:w="108" w:type="dxa"/>
            <w:bottom w:w="0" w:type="dxa"/>
            <w:right w:w="108" w:type="dxa"/>
          </w:tblCellMar>
        </w:tblPrEx>
        <w:trPr>
          <w:trHeight w:val="285" w:hRule="atLeast"/>
        </w:trPr>
        <w:tc>
          <w:tcPr>
            <w:tcW w:w="19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F4CA793">
            <w:pPr>
              <w:jc w:val="righ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7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25E93B9">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黄洋河水环境治理和生态公园项目</w:t>
            </w:r>
          </w:p>
        </w:tc>
        <w:tc>
          <w:tcPr>
            <w:tcW w:w="120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A9041EE">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子项目按照征地方式设计项目。</w:t>
            </w:r>
          </w:p>
        </w:tc>
        <w:tc>
          <w:tcPr>
            <w:tcW w:w="157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7406EC1">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该子项目区域存在基本农田且土地未报批，社评单位认为该子项目用地办理征地相关审批手续很难，应考虑按照土地流转的方式用地，按照不改变土地用途及性质的原则进行设计。</w:t>
            </w:r>
          </w:p>
        </w:tc>
        <w:tc>
          <w:tcPr>
            <w:tcW w:w="13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E4193C1">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涉及基本农田的用地按照有机农业设计，其他土地按照基于自然的解决方案设计。同时，不改变土地用途及性质。</w:t>
            </w:r>
          </w:p>
        </w:tc>
      </w:tr>
      <w:tr w14:paraId="34A2C440">
        <w:tblPrEx>
          <w:tblCellMar>
            <w:top w:w="0" w:type="dxa"/>
            <w:left w:w="108" w:type="dxa"/>
            <w:bottom w:w="0" w:type="dxa"/>
            <w:right w:w="108" w:type="dxa"/>
          </w:tblCellMar>
        </w:tblPrEx>
        <w:trPr>
          <w:trHeight w:val="1100" w:hRule="atLeast"/>
        </w:trPr>
        <w:tc>
          <w:tcPr>
            <w:tcW w:w="19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99D8CA3">
            <w:pPr>
              <w:jc w:val="righ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7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2406D03">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汉江修复和沿岸绿廊项目（一期）</w:t>
            </w:r>
          </w:p>
        </w:tc>
        <w:tc>
          <w:tcPr>
            <w:tcW w:w="120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946E6E9">
            <w:pPr>
              <w:rPr>
                <w:rFonts w:hint="default" w:ascii="Times New Roman" w:hAnsi="Times New Roman" w:eastAsia="宋体" w:cs="Times New Roman"/>
                <w:color w:val="auto"/>
                <w:sz w:val="18"/>
                <w:szCs w:val="21"/>
                <w:highlight w:val="none"/>
              </w:rPr>
            </w:pPr>
            <w:r>
              <w:rPr>
                <w:rFonts w:hint="default" w:ascii="Times New Roman" w:hAnsi="Times New Roman" w:eastAsia="宋体" w:cs="Times New Roman"/>
                <w:color w:val="auto"/>
                <w:sz w:val="21"/>
                <w:szCs w:val="21"/>
                <w:highlight w:val="none"/>
              </w:rPr>
              <w:t>子项目按照征地方式设计项目。</w:t>
            </w:r>
          </w:p>
        </w:tc>
        <w:tc>
          <w:tcPr>
            <w:tcW w:w="157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8E0149E">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社评单位通过调查发现，该子项目石梯镇区域没有在城镇开发边界内，办理征地相关审批手续很难。建议按照土地流转的方式用地，按照不改变土地用途及性质的原则进行设计。</w:t>
            </w:r>
          </w:p>
        </w:tc>
        <w:tc>
          <w:tcPr>
            <w:tcW w:w="13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FACAE94">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按照基于自然的解决方案设计。同时不改变土地用途及性质。</w:t>
            </w:r>
          </w:p>
        </w:tc>
      </w:tr>
      <w:tr w14:paraId="10CEFB48">
        <w:tblPrEx>
          <w:tblCellMar>
            <w:top w:w="0" w:type="dxa"/>
            <w:left w:w="108" w:type="dxa"/>
            <w:bottom w:w="0" w:type="dxa"/>
            <w:right w:w="108" w:type="dxa"/>
          </w:tblCellMar>
        </w:tblPrEx>
        <w:trPr>
          <w:trHeight w:val="285" w:hRule="atLeast"/>
        </w:trPr>
        <w:tc>
          <w:tcPr>
            <w:tcW w:w="19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7B1C616">
            <w:pPr>
              <w:jc w:val="righ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7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1CE0001">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涉及建设公厕的子项目</w:t>
            </w:r>
          </w:p>
        </w:tc>
        <w:tc>
          <w:tcPr>
            <w:tcW w:w="120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F09685C">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在绿化带出入口及有台阶的地方设置专用的轮椅坡道，坡道宽度及坡度按《无障碍设计规范》设计。并在无障碍设施的位置设置无障碍标志，公共卫生间设置无障碍厕位。</w:t>
            </w:r>
          </w:p>
        </w:tc>
        <w:tc>
          <w:tcPr>
            <w:tcW w:w="157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5F5D42A">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社评单位通过调研发现，群众对建设适老化公厕意愿较强。社评单位针对该意见向可研单位建议公厕设计中应考虑适老化功能设施，如紧急呼叫功能、助力设施等。</w:t>
            </w:r>
          </w:p>
        </w:tc>
        <w:tc>
          <w:tcPr>
            <w:tcW w:w="13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86621CA">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增加公厕适老化设计：在洗手台靠墙一侧、及厕位侧墙上增设加装紧急呼叫按钮，为老年如厕者提供安全保障；室内公共区域通行助力扶手从公厕进门处延伸至男、女厕位、洗手盆等区域；厕内加装助力扶手；洗手台安装软硅胶防撞贴；加装可伸缩360度转向水龙头，方便照顾到部分腰背不便的老者使用。</w:t>
            </w:r>
          </w:p>
        </w:tc>
      </w:tr>
      <w:tr w14:paraId="7409FA41">
        <w:tblPrEx>
          <w:tblCellMar>
            <w:top w:w="0" w:type="dxa"/>
            <w:left w:w="108" w:type="dxa"/>
            <w:bottom w:w="0" w:type="dxa"/>
            <w:right w:w="108" w:type="dxa"/>
          </w:tblCellMar>
        </w:tblPrEx>
        <w:trPr>
          <w:trHeight w:val="285" w:hRule="atLeast"/>
        </w:trPr>
        <w:tc>
          <w:tcPr>
            <w:tcW w:w="19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E7DEF9F">
            <w:pPr>
              <w:jc w:val="righ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7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FC359A">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城东体育公园子项目</w:t>
            </w:r>
          </w:p>
        </w:tc>
        <w:tc>
          <w:tcPr>
            <w:tcW w:w="120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BFD0931">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建设体育场馆</w:t>
            </w:r>
          </w:p>
        </w:tc>
        <w:tc>
          <w:tcPr>
            <w:tcW w:w="157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E635CDE">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根据与附近村民的访谈，村民希望建设公园有更多的绿地，认为封闭式的场馆并不能更好的为附近群众服务。建议优化设计，增加公园绿地和开放式的场地的面积。</w:t>
            </w:r>
          </w:p>
        </w:tc>
        <w:tc>
          <w:tcPr>
            <w:tcW w:w="13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804D1FB">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取消了体育场馆建设，采用丰富的绿化及露天场地设计代替封闭的体育场馆建设。</w:t>
            </w:r>
          </w:p>
        </w:tc>
      </w:tr>
    </w:tbl>
    <w:p w14:paraId="261D1CDA">
      <w:pPr>
        <w:pStyle w:val="2"/>
        <w:rPr>
          <w:rFonts w:hint="default" w:ascii="Times New Roman" w:hAnsi="Times New Roman" w:eastAsia="宋体" w:cs="Times New Roman"/>
          <w:color w:val="auto"/>
          <w:highlight w:val="none"/>
        </w:rPr>
        <w:sectPr>
          <w:pgSz w:w="16838" w:h="11906" w:orient="landscape"/>
          <w:pgMar w:top="1800" w:right="1440" w:bottom="1800" w:left="1440" w:header="851" w:footer="992" w:gutter="0"/>
          <w:cols w:space="720" w:num="1"/>
          <w:docGrid w:linePitch="326" w:charSpace="0"/>
        </w:sectPr>
      </w:pPr>
    </w:p>
    <w:p w14:paraId="206C1EE0">
      <w:pPr>
        <w:pStyle w:val="2"/>
        <w:rPr>
          <w:rFonts w:hint="default" w:ascii="Times New Roman" w:hAnsi="Times New Roman" w:eastAsia="宋体" w:cs="Times New Roman"/>
          <w:color w:val="auto"/>
          <w:highlight w:val="none"/>
        </w:rPr>
      </w:pPr>
    </w:p>
    <w:p w14:paraId="5A0FA286">
      <w:pPr>
        <w:pStyle w:val="4"/>
        <w:spacing w:before="120" w:after="240"/>
        <w:rPr>
          <w:rFonts w:hint="default" w:ascii="Times New Roman" w:hAnsi="Times New Roman" w:eastAsia="宋体" w:cs="Times New Roman"/>
          <w:color w:val="auto"/>
          <w:szCs w:val="24"/>
          <w:highlight w:val="none"/>
        </w:rPr>
      </w:pPr>
      <w:bookmarkStart w:id="56" w:name="_Toc114673049"/>
      <w:bookmarkStart w:id="57" w:name="_Toc20810"/>
      <w:r>
        <w:rPr>
          <w:rFonts w:hint="default" w:ascii="Times New Roman" w:hAnsi="Times New Roman" w:eastAsia="宋体" w:cs="Times New Roman"/>
          <w:color w:val="auto"/>
          <w:szCs w:val="24"/>
          <w:highlight w:val="none"/>
        </w:rPr>
        <w:t>局限性</w:t>
      </w:r>
      <w:bookmarkEnd w:id="53"/>
      <w:bookmarkEnd w:id="56"/>
      <w:bookmarkEnd w:id="57"/>
    </w:p>
    <w:p w14:paraId="01C5C8CB">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社会影响评价与项目可行性报告的修改优化同时进行，在编制社会影响评价报告时，该报告仍处于初期阶段。本社会影响评价基于项目办提供的数据和信息，以及该研究时社会咨询团队的实地调查和咨询。且部分子项目用地可能存在生态红线及水利条件限制，用地范围可能会发生变化。因此，如果拟议投资活动范围的变化，或项目设计、组成和服务采购等其他相关信息有所改变，将对本社会影响评价报告的分析、评估和结论产生影响。</w:t>
      </w:r>
    </w:p>
    <w:p w14:paraId="1704FC08">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2）由于时间关系，文件审查采用随机抽样的方式进行。抽样过程并非旨在进行全面的文件审查，而是通过抽样验证当前状态以进行风险筛查。</w:t>
      </w:r>
    </w:p>
    <w:p w14:paraId="08708766">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3）大多数许可和批准文件只提供扫描件，而非原始文件以供审查。社会影响评价小组假设这些扫描文件是准确可靠的，除非书面文件或实地调查与这一假设相矛盾。</w:t>
      </w:r>
    </w:p>
    <w:p w14:paraId="619D99ED">
      <w:pPr>
        <w:spacing w:before="120" w:after="120" w:line="300" w:lineRule="auto"/>
        <w:ind w:firstLine="480" w:firstLineChars="200"/>
        <w:jc w:val="both"/>
        <w:rPr>
          <w:rFonts w:hint="default" w:ascii="Times New Roman" w:hAnsi="Times New Roman" w:eastAsia="宋体" w:cs="Times New Roman"/>
          <w:color w:val="auto"/>
          <w:highlight w:val="none"/>
        </w:rPr>
        <w:sectPr>
          <w:pgSz w:w="11906" w:h="16838"/>
          <w:pgMar w:top="1440" w:right="1800" w:bottom="1440" w:left="1800" w:header="851" w:footer="992" w:gutter="0"/>
          <w:cols w:space="720" w:num="1"/>
          <w:docGrid w:linePitch="326" w:charSpace="0"/>
        </w:sectPr>
      </w:pPr>
      <w:bookmarkStart w:id="58" w:name="_Toc98661719"/>
      <w:bookmarkEnd w:id="58"/>
      <w:bookmarkStart w:id="59" w:name="_Toc98661382"/>
      <w:bookmarkEnd w:id="59"/>
      <w:bookmarkStart w:id="60" w:name="_Toc98661042"/>
      <w:bookmarkEnd w:id="60"/>
      <w:bookmarkStart w:id="61" w:name="_Toc98662050"/>
      <w:bookmarkEnd w:id="61"/>
      <w:bookmarkStart w:id="62" w:name="_Toc110846254"/>
    </w:p>
    <w:bookmarkEnd w:id="62"/>
    <w:p w14:paraId="07205E6C">
      <w:pPr>
        <w:rPr>
          <w:rFonts w:hint="default" w:ascii="Times New Roman" w:hAnsi="Times New Roman" w:eastAsia="宋体" w:cs="Times New Roman"/>
          <w:color w:val="auto"/>
          <w:highlight w:val="none"/>
        </w:rPr>
      </w:pPr>
      <w:bookmarkStart w:id="63" w:name="_Toc83149902"/>
      <w:bookmarkEnd w:id="63"/>
      <w:bookmarkStart w:id="64" w:name="_Toc83150344"/>
      <w:bookmarkEnd w:id="64"/>
      <w:bookmarkStart w:id="65" w:name="_Toc83149886"/>
      <w:bookmarkEnd w:id="65"/>
      <w:bookmarkStart w:id="66" w:name="_Toc83150346"/>
      <w:bookmarkEnd w:id="66"/>
      <w:bookmarkStart w:id="67" w:name="_Toc83149889"/>
      <w:bookmarkEnd w:id="67"/>
      <w:bookmarkStart w:id="68" w:name="_Toc83149898"/>
      <w:bookmarkEnd w:id="68"/>
      <w:bookmarkStart w:id="69" w:name="_Toc83150352"/>
      <w:bookmarkEnd w:id="69"/>
      <w:bookmarkStart w:id="70" w:name="_Toc83150347"/>
      <w:bookmarkEnd w:id="70"/>
      <w:bookmarkStart w:id="71" w:name="_Toc83150349"/>
      <w:bookmarkEnd w:id="71"/>
      <w:bookmarkStart w:id="72" w:name="_Toc83150357"/>
      <w:bookmarkEnd w:id="72"/>
      <w:bookmarkStart w:id="73" w:name="_Toc83150353"/>
      <w:bookmarkEnd w:id="73"/>
      <w:bookmarkStart w:id="74" w:name="_Toc83149908"/>
      <w:bookmarkEnd w:id="74"/>
      <w:bookmarkStart w:id="75" w:name="_Toc83150337"/>
      <w:bookmarkEnd w:id="75"/>
      <w:bookmarkStart w:id="76" w:name="_Toc83149905"/>
      <w:bookmarkEnd w:id="76"/>
      <w:bookmarkStart w:id="77" w:name="_Toc83150345"/>
      <w:bookmarkEnd w:id="77"/>
      <w:bookmarkStart w:id="78" w:name="_Toc83150355"/>
      <w:bookmarkEnd w:id="78"/>
      <w:bookmarkStart w:id="79" w:name="_Toc83149897"/>
      <w:bookmarkEnd w:id="79"/>
      <w:bookmarkStart w:id="80" w:name="_Toc83150358"/>
      <w:bookmarkEnd w:id="80"/>
      <w:bookmarkStart w:id="81" w:name="_Toc83149904"/>
      <w:bookmarkEnd w:id="81"/>
      <w:bookmarkStart w:id="82" w:name="_Toc83150343"/>
      <w:bookmarkEnd w:id="82"/>
      <w:bookmarkStart w:id="83" w:name="_Toc83149892"/>
      <w:bookmarkEnd w:id="83"/>
      <w:bookmarkStart w:id="84" w:name="_Toc83149893"/>
      <w:bookmarkEnd w:id="84"/>
      <w:bookmarkStart w:id="85" w:name="_Toc83149895"/>
      <w:bookmarkEnd w:id="85"/>
      <w:bookmarkStart w:id="86" w:name="_Toc83150336"/>
      <w:bookmarkEnd w:id="86"/>
      <w:bookmarkStart w:id="87" w:name="_Toc83149899"/>
      <w:bookmarkEnd w:id="87"/>
      <w:bookmarkStart w:id="88" w:name="_Toc83149907"/>
      <w:bookmarkEnd w:id="88"/>
      <w:bookmarkStart w:id="89" w:name="_Toc83150356"/>
      <w:bookmarkEnd w:id="89"/>
      <w:bookmarkStart w:id="90" w:name="_Toc83150354"/>
      <w:bookmarkEnd w:id="90"/>
      <w:bookmarkStart w:id="91" w:name="_Toc83149890"/>
      <w:bookmarkEnd w:id="91"/>
      <w:bookmarkStart w:id="92" w:name="_Toc83150340"/>
      <w:bookmarkEnd w:id="92"/>
      <w:bookmarkStart w:id="93" w:name="_Toc83150342"/>
      <w:bookmarkEnd w:id="93"/>
      <w:bookmarkStart w:id="94" w:name="_Toc83149887"/>
      <w:bookmarkEnd w:id="94"/>
      <w:bookmarkStart w:id="95" w:name="_Toc83150335"/>
      <w:bookmarkEnd w:id="95"/>
      <w:bookmarkStart w:id="96" w:name="_Toc83149885"/>
      <w:bookmarkEnd w:id="96"/>
      <w:bookmarkStart w:id="97" w:name="_Toc83149894"/>
      <w:bookmarkEnd w:id="97"/>
      <w:bookmarkStart w:id="98" w:name="_Toc83149906"/>
      <w:bookmarkEnd w:id="98"/>
      <w:bookmarkStart w:id="99" w:name="_Toc83149903"/>
      <w:bookmarkEnd w:id="99"/>
      <w:bookmarkStart w:id="100" w:name="_Toc83150339"/>
      <w:bookmarkEnd w:id="100"/>
      <w:bookmarkStart w:id="101" w:name="_Toc83150341"/>
      <w:bookmarkEnd w:id="101"/>
      <w:bookmarkStart w:id="102" w:name="_Toc83150348"/>
      <w:bookmarkEnd w:id="102"/>
      <w:bookmarkStart w:id="103" w:name="_Toc83149888"/>
      <w:bookmarkEnd w:id="103"/>
      <w:bookmarkStart w:id="104" w:name="_Toc83149891"/>
      <w:bookmarkEnd w:id="104"/>
      <w:bookmarkStart w:id="105" w:name="_Toc83150338"/>
      <w:bookmarkEnd w:id="105"/>
      <w:bookmarkStart w:id="106" w:name="_Toc83149900"/>
      <w:bookmarkEnd w:id="106"/>
      <w:bookmarkStart w:id="107" w:name="_Toc83149896"/>
      <w:bookmarkEnd w:id="107"/>
      <w:bookmarkStart w:id="108" w:name="_Toc83150350"/>
      <w:bookmarkEnd w:id="108"/>
      <w:bookmarkStart w:id="109" w:name="_Toc110846273"/>
      <w:bookmarkStart w:id="110" w:name="_Toc83326388"/>
      <w:bookmarkStart w:id="111" w:name="_Toc114673065"/>
    </w:p>
    <w:p w14:paraId="466C95F7">
      <w:pPr>
        <w:pStyle w:val="3"/>
        <w:numPr>
          <w:ilvl w:val="0"/>
          <w:numId w:val="4"/>
        </w:numPr>
        <w:spacing w:line="276" w:lineRule="auto"/>
        <w:ind w:left="431" w:hanging="431"/>
        <w:jc w:val="center"/>
        <w:rPr>
          <w:rFonts w:hint="default" w:ascii="Times New Roman" w:hAnsi="Times New Roman" w:eastAsia="宋体" w:cs="Times New Roman"/>
          <w:color w:val="auto"/>
          <w:sz w:val="28"/>
          <w:szCs w:val="28"/>
          <w:highlight w:val="none"/>
        </w:rPr>
      </w:pPr>
      <w:bookmarkStart w:id="112" w:name="_Toc30108"/>
      <w:r>
        <w:rPr>
          <w:rFonts w:hint="default" w:ascii="Times New Roman" w:hAnsi="Times New Roman" w:eastAsia="宋体" w:cs="Times New Roman"/>
          <w:color w:val="auto"/>
          <w:sz w:val="28"/>
          <w:szCs w:val="28"/>
          <w:highlight w:val="none"/>
        </w:rPr>
        <w:t>社会经济基线</w:t>
      </w:r>
      <w:bookmarkEnd w:id="109"/>
      <w:bookmarkEnd w:id="110"/>
      <w:bookmarkEnd w:id="111"/>
      <w:bookmarkEnd w:id="112"/>
    </w:p>
    <w:p w14:paraId="3BEAC37E">
      <w:pPr>
        <w:pStyle w:val="4"/>
        <w:spacing w:before="120"/>
        <w:rPr>
          <w:rFonts w:hint="default" w:ascii="Times New Roman" w:hAnsi="Times New Roman" w:eastAsia="宋体" w:cs="Times New Roman"/>
          <w:color w:val="auto"/>
          <w:szCs w:val="24"/>
          <w:highlight w:val="none"/>
        </w:rPr>
      </w:pPr>
      <w:bookmarkStart w:id="113" w:name="_Toc915"/>
      <w:bookmarkStart w:id="114" w:name="_Toc114673066"/>
      <w:bookmarkStart w:id="115" w:name="_Toc110846274"/>
      <w:r>
        <w:rPr>
          <w:rFonts w:hint="default" w:ascii="Times New Roman" w:hAnsi="Times New Roman" w:eastAsia="宋体" w:cs="Times New Roman"/>
          <w:color w:val="auto"/>
          <w:szCs w:val="24"/>
          <w:highlight w:val="none"/>
        </w:rPr>
        <w:t>陕西省社会经济概况</w:t>
      </w:r>
      <w:bookmarkEnd w:id="113"/>
      <w:bookmarkEnd w:id="114"/>
      <w:bookmarkEnd w:id="115"/>
    </w:p>
    <w:p w14:paraId="331FB751">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陕西省，简称“陕”或“秦”，地处中国大陆中心腹地，自古是帝王建都之地，九个大一统王朝，有五个建都西安（咸阳），是中华民族重要发祥地。陕西全省总面积20.58万平方公里，陕西省下辖10个地级市（其中省会西安为副省级市）、31个市辖区、7个县级市、69个县。截止2022年末，全省常住人口3956万人，比上年增加2万人。其中，男性2018万人，占51.01%；女性1938万人，占48.99%。陕西省是一个少数民族散杂居省份，共有54个少数民族，常住人口19万，以回族为主，分布在全省各地，其中城镇人口占80%。</w:t>
      </w:r>
    </w:p>
    <w:p w14:paraId="5113008A">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2022年陕西全年生产总值32772.68亿元，比上年增长4.3%。其中，第一产业增加值2575.34亿元，增长4.3%，占生产总值的比重为7.9%；第二产业增加值15933.11亿元，增长6.2%，占生产总值的比重为48.6%；第三产业增加值14264.23亿元，增长2.6%，占生产总值的比重为43.5%。</w:t>
      </w:r>
    </w:p>
    <w:p w14:paraId="55A9B4B6">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全年城镇居民人均可支配收入42431元，增长4.2%；全年农村居民人均可支配收入15704元，增长6.5%</w:t>
      </w:r>
      <w:r>
        <w:rPr>
          <w:rFonts w:hint="default" w:ascii="Times New Roman" w:hAnsi="Times New Roman" w:eastAsia="宋体" w:cs="Times New Roman"/>
          <w:color w:val="auto"/>
          <w:highlight w:val="none"/>
          <w:vertAlign w:val="superscript"/>
        </w:rPr>
        <w:footnoteReference w:id="3"/>
      </w:r>
      <w:r>
        <w:rPr>
          <w:rFonts w:hint="default" w:ascii="Times New Roman" w:hAnsi="Times New Roman" w:eastAsia="宋体" w:cs="Times New Roman"/>
          <w:color w:val="auto"/>
          <w:highlight w:val="none"/>
        </w:rPr>
        <w:t>。</w:t>
      </w:r>
    </w:p>
    <w:p w14:paraId="41BF2073">
      <w:pPr>
        <w:pStyle w:val="4"/>
        <w:spacing w:before="120" w:after="240"/>
        <w:rPr>
          <w:rFonts w:hint="default" w:ascii="Times New Roman" w:hAnsi="Times New Roman" w:eastAsia="宋体" w:cs="Times New Roman"/>
          <w:color w:val="auto"/>
          <w:highlight w:val="none"/>
        </w:rPr>
      </w:pPr>
      <w:bookmarkStart w:id="116" w:name="_Toc110846275"/>
      <w:bookmarkStart w:id="117" w:name="_Toc114673067"/>
      <w:bookmarkStart w:id="118" w:name="_Toc3033"/>
      <w:r>
        <w:rPr>
          <w:rFonts w:hint="default" w:ascii="Times New Roman" w:hAnsi="Times New Roman" w:eastAsia="宋体" w:cs="Times New Roman"/>
          <w:color w:val="auto"/>
          <w:szCs w:val="24"/>
          <w:highlight w:val="none"/>
        </w:rPr>
        <w:t>安康市社会经济状况</w:t>
      </w:r>
      <w:bookmarkEnd w:id="116"/>
      <w:bookmarkEnd w:id="117"/>
      <w:bookmarkEnd w:id="118"/>
    </w:p>
    <w:p w14:paraId="1CD1F376">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安康市位于陕西省东南部，居川、陕、鄂、渝交接部，气候温润，植被丰茂，是早期人类繁衍、生息之地。据已发掘的考古文物资料证明，早在石器时代，汉江两岸及秦巴腹地就有先民活动。安康市下辖1县级市1区8县135个镇、4个街道办事处、1673个行政村，国土面积2.35万平方公里。2022年末全市户籍人口301.8万人，其中，男性160.88万人，女性140.91万人。</w:t>
      </w:r>
    </w:p>
    <w:p w14:paraId="73002F93">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2022年地区生产总值1268.65亿元，同比增长2.0%。其中，第一产业增加值174.56亿元，增长4.2%，占地区生产总值的比重为13.7%；第二产业增加值540.07亿元，增长0.2%，占比42.6%；第三产业增加值554.02亿元，增长2.9%，占比43.7%。城镇居民人均可支配收入31976元，比上年增加1480元，增长4.9%。农村居民人均可支配收入13368元，比上年增加904元，增长7.3%。</w:t>
      </w:r>
    </w:p>
    <w:p w14:paraId="522000A0">
      <w:pPr>
        <w:pStyle w:val="4"/>
        <w:spacing w:before="120"/>
        <w:rPr>
          <w:rFonts w:hint="default" w:ascii="Times New Roman" w:hAnsi="Times New Roman" w:eastAsia="宋体" w:cs="Times New Roman"/>
          <w:color w:val="auto"/>
          <w:highlight w:val="none"/>
        </w:rPr>
      </w:pPr>
      <w:bookmarkStart w:id="119" w:name="_Toc13237"/>
      <w:r>
        <w:rPr>
          <w:rFonts w:hint="default" w:ascii="Times New Roman" w:hAnsi="Times New Roman" w:eastAsia="宋体" w:cs="Times New Roman"/>
          <w:color w:val="auto"/>
          <w:highlight w:val="none"/>
        </w:rPr>
        <w:t>汉滨区</w:t>
      </w:r>
      <w:r>
        <w:rPr>
          <w:rFonts w:hint="default" w:ascii="Times New Roman" w:hAnsi="Times New Roman" w:eastAsia="宋体" w:cs="Times New Roman"/>
          <w:color w:val="auto"/>
          <w:szCs w:val="24"/>
          <w:highlight w:val="none"/>
        </w:rPr>
        <w:t>社会经济状况</w:t>
      </w:r>
      <w:bookmarkEnd w:id="119"/>
    </w:p>
    <w:p w14:paraId="3829EFD5">
      <w:pPr>
        <w:spacing w:before="120" w:after="120" w:line="300" w:lineRule="auto"/>
        <w:ind w:firstLine="482" w:firstLineChars="200"/>
        <w:jc w:val="both"/>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（1）社会经济情况</w:t>
      </w:r>
    </w:p>
    <w:p w14:paraId="1C59AACE">
      <w:pPr>
        <w:spacing w:before="120" w:after="120" w:line="300" w:lineRule="auto"/>
        <w:ind w:firstLine="480" w:firstLineChars="200"/>
        <w:jc w:val="both"/>
        <w:rPr>
          <w:rFonts w:hint="default" w:ascii="Times New Roman" w:hAnsi="Times New Roman" w:eastAsia="宋体" w:cs="Times New Roman"/>
          <w:color w:val="auto"/>
          <w:highlight w:val="none"/>
        </w:rPr>
      </w:pPr>
      <w:bookmarkStart w:id="120" w:name="_Toc110846276"/>
      <w:r>
        <w:rPr>
          <w:rFonts w:hint="default" w:ascii="Times New Roman" w:hAnsi="Times New Roman" w:eastAsia="宋体" w:cs="Times New Roman"/>
          <w:color w:val="auto"/>
          <w:highlight w:val="none"/>
        </w:rPr>
        <w:t>汉滨区位于陕西省东南部、汉江上游，是关中东部的交通枢纽是国家南水北调中线工程的重要水源涵养地。汉滨区下辖23个镇4个街道办、293个村94个社区，常住人口89.34万人。</w:t>
      </w:r>
    </w:p>
    <w:p w14:paraId="321FE0CB">
      <w:pPr>
        <w:jc w:val="center"/>
        <w:rPr>
          <w:rFonts w:hint="default" w:ascii="Times New Roman" w:hAnsi="Times New Roman" w:eastAsia="宋体" w:cs="Times New Roman"/>
          <w:b/>
          <w:bCs/>
          <w:color w:val="auto"/>
          <w:highlight w:val="none"/>
        </w:rPr>
      </w:pPr>
      <w:bookmarkStart w:id="121" w:name="_Toc19561"/>
      <w:bookmarkStart w:id="122" w:name="_Toc111907818"/>
      <w:r>
        <w:rPr>
          <w:rFonts w:hint="default" w:ascii="Times New Roman" w:hAnsi="Times New Roman" w:eastAsia="宋体" w:cs="Times New Roman"/>
          <w:b/>
          <w:bCs/>
          <w:color w:val="auto"/>
          <w:highlight w:val="none"/>
        </w:rPr>
        <w:t xml:space="preserve">表 </w:t>
      </w:r>
      <w:r>
        <w:rPr>
          <w:rFonts w:hint="default" w:ascii="Times New Roman" w:hAnsi="Times New Roman" w:eastAsia="宋体" w:cs="Times New Roman"/>
          <w:b/>
          <w:bCs/>
          <w:color w:val="auto"/>
          <w:highlight w:val="none"/>
        </w:rPr>
        <w:fldChar w:fldCharType="begin"/>
      </w:r>
      <w:r>
        <w:rPr>
          <w:rFonts w:hint="default" w:ascii="Times New Roman" w:hAnsi="Times New Roman" w:eastAsia="宋体" w:cs="Times New Roman"/>
          <w:b/>
          <w:bCs/>
          <w:color w:val="auto"/>
          <w:highlight w:val="none"/>
        </w:rPr>
        <w:instrText xml:space="preserve"> STYLEREF 1 \s </w:instrText>
      </w:r>
      <w:r>
        <w:rPr>
          <w:rFonts w:hint="default" w:ascii="Times New Roman" w:hAnsi="Times New Roman" w:eastAsia="宋体" w:cs="Times New Roman"/>
          <w:b/>
          <w:bCs/>
          <w:color w:val="auto"/>
          <w:highlight w:val="none"/>
        </w:rPr>
        <w:fldChar w:fldCharType="separate"/>
      </w:r>
      <w:r>
        <w:rPr>
          <w:rFonts w:hint="default" w:ascii="Times New Roman" w:hAnsi="Times New Roman" w:eastAsia="宋体" w:cs="Times New Roman"/>
          <w:b/>
          <w:bCs/>
          <w:color w:val="auto"/>
          <w:highlight w:val="none"/>
        </w:rPr>
        <w:t>2</w:t>
      </w:r>
      <w:r>
        <w:rPr>
          <w:rFonts w:hint="default" w:ascii="Times New Roman" w:hAnsi="Times New Roman" w:eastAsia="宋体" w:cs="Times New Roman"/>
          <w:b/>
          <w:bCs/>
          <w:color w:val="auto"/>
          <w:highlight w:val="none"/>
        </w:rPr>
        <w:fldChar w:fldCharType="end"/>
      </w:r>
      <w:r>
        <w:rPr>
          <w:rFonts w:hint="default" w:ascii="Times New Roman" w:hAnsi="Times New Roman" w:eastAsia="宋体" w:cs="Times New Roman"/>
          <w:b/>
          <w:bCs/>
          <w:color w:val="auto"/>
          <w:highlight w:val="none"/>
        </w:rPr>
        <w:t>-</w:t>
      </w:r>
      <w:r>
        <w:rPr>
          <w:rFonts w:hint="default" w:ascii="Times New Roman" w:hAnsi="Times New Roman" w:eastAsia="宋体" w:cs="Times New Roman"/>
          <w:b/>
          <w:bCs/>
          <w:color w:val="auto"/>
          <w:highlight w:val="none"/>
        </w:rPr>
        <w:fldChar w:fldCharType="begin"/>
      </w:r>
      <w:r>
        <w:rPr>
          <w:rFonts w:hint="default" w:ascii="Times New Roman" w:hAnsi="Times New Roman" w:eastAsia="宋体" w:cs="Times New Roman"/>
          <w:b/>
          <w:bCs/>
          <w:color w:val="auto"/>
          <w:highlight w:val="none"/>
        </w:rPr>
        <w:instrText xml:space="preserve"> SEQ 表 \* ARABIC \s 1 </w:instrText>
      </w:r>
      <w:r>
        <w:rPr>
          <w:rFonts w:hint="default" w:ascii="Times New Roman" w:hAnsi="Times New Roman" w:eastAsia="宋体" w:cs="Times New Roman"/>
          <w:b/>
          <w:bCs/>
          <w:color w:val="auto"/>
          <w:highlight w:val="none"/>
        </w:rPr>
        <w:fldChar w:fldCharType="separate"/>
      </w:r>
      <w:r>
        <w:rPr>
          <w:rFonts w:hint="default" w:ascii="Times New Roman" w:hAnsi="Times New Roman" w:eastAsia="宋体" w:cs="Times New Roman"/>
          <w:b/>
          <w:bCs/>
          <w:color w:val="auto"/>
          <w:highlight w:val="none"/>
        </w:rPr>
        <w:t>1</w:t>
      </w:r>
      <w:r>
        <w:rPr>
          <w:rFonts w:hint="default" w:ascii="Times New Roman" w:hAnsi="Times New Roman" w:eastAsia="宋体" w:cs="Times New Roman"/>
          <w:b/>
          <w:bCs/>
          <w:color w:val="auto"/>
          <w:highlight w:val="none"/>
        </w:rPr>
        <w:fldChar w:fldCharType="end"/>
      </w:r>
      <w:bookmarkStart w:id="123" w:name="_Toc29268"/>
      <w:bookmarkStart w:id="124" w:name="_Toc28816"/>
      <w:r>
        <w:rPr>
          <w:rFonts w:hint="default" w:ascii="Times New Roman" w:hAnsi="Times New Roman" w:eastAsia="宋体" w:cs="Times New Roman"/>
          <w:b/>
          <w:bCs/>
          <w:color w:val="auto"/>
          <w:highlight w:val="none"/>
        </w:rPr>
        <w:t xml:space="preserve"> 2022年汉滨区社会经济情况</w:t>
      </w:r>
      <w:bookmarkEnd w:id="121"/>
      <w:bookmarkEnd w:id="122"/>
      <w:bookmarkEnd w:id="123"/>
      <w:bookmarkEnd w:id="124"/>
    </w:p>
    <w:tbl>
      <w:tblPr>
        <w:tblStyle w:val="4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133"/>
        <w:gridCol w:w="4327"/>
        <w:gridCol w:w="1256"/>
        <w:gridCol w:w="1702"/>
      </w:tblGrid>
      <w:tr w14:paraId="6A1CC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blHeader/>
          <w:jc w:val="center"/>
        </w:trPr>
        <w:tc>
          <w:tcPr>
            <w:tcW w:w="673" w:type="pct"/>
            <w:shd w:val="clear" w:color="auto" w:fill="F1F1F1" w:themeFill="background1" w:themeFillShade="F2"/>
            <w:vAlign w:val="center"/>
          </w:tcPr>
          <w:p w14:paraId="7D9D3F5B">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序号</w:t>
            </w:r>
          </w:p>
        </w:tc>
        <w:tc>
          <w:tcPr>
            <w:tcW w:w="2569" w:type="pct"/>
            <w:shd w:val="clear" w:color="auto" w:fill="F1F1F1" w:themeFill="background1" w:themeFillShade="F2"/>
            <w:vAlign w:val="center"/>
          </w:tcPr>
          <w:p w14:paraId="274F48CC">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指标</w:t>
            </w:r>
          </w:p>
        </w:tc>
        <w:tc>
          <w:tcPr>
            <w:tcW w:w="746" w:type="pct"/>
            <w:shd w:val="clear" w:color="auto" w:fill="F1F1F1" w:themeFill="background1" w:themeFillShade="F2"/>
            <w:vAlign w:val="center"/>
          </w:tcPr>
          <w:p w14:paraId="1006C4DE">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单位</w:t>
            </w:r>
          </w:p>
        </w:tc>
        <w:tc>
          <w:tcPr>
            <w:tcW w:w="1010" w:type="pct"/>
            <w:shd w:val="clear" w:color="auto" w:fill="F1F1F1" w:themeFill="background1" w:themeFillShade="F2"/>
            <w:vAlign w:val="center"/>
          </w:tcPr>
          <w:p w14:paraId="21BBC9C8">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数量</w:t>
            </w:r>
          </w:p>
        </w:tc>
      </w:tr>
      <w:tr w14:paraId="4D589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2" w:hRule="atLeast"/>
          <w:jc w:val="center"/>
        </w:trPr>
        <w:tc>
          <w:tcPr>
            <w:tcW w:w="673" w:type="pct"/>
            <w:vAlign w:val="center"/>
          </w:tcPr>
          <w:p w14:paraId="6AB855C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2569" w:type="pct"/>
            <w:vAlign w:val="center"/>
          </w:tcPr>
          <w:p w14:paraId="777C485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国土面积</w:t>
            </w:r>
          </w:p>
        </w:tc>
        <w:tc>
          <w:tcPr>
            <w:tcW w:w="746" w:type="pct"/>
            <w:vAlign w:val="center"/>
          </w:tcPr>
          <w:p w14:paraId="6DAEC4C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km</w:t>
            </w:r>
            <w:r>
              <w:rPr>
                <w:rFonts w:hint="default" w:ascii="Times New Roman" w:hAnsi="Times New Roman" w:eastAsia="宋体" w:cs="Times New Roman"/>
                <w:color w:val="auto"/>
                <w:highlight w:val="none"/>
                <w:vertAlign w:val="superscript"/>
              </w:rPr>
              <w:t>2</w:t>
            </w:r>
          </w:p>
        </w:tc>
        <w:tc>
          <w:tcPr>
            <w:tcW w:w="1010" w:type="pct"/>
            <w:vAlign w:val="center"/>
          </w:tcPr>
          <w:p w14:paraId="23C2E795">
            <w:pPr>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3645.91</w:t>
            </w:r>
          </w:p>
        </w:tc>
      </w:tr>
      <w:tr w14:paraId="4D122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1" w:hRule="atLeast"/>
          <w:jc w:val="center"/>
        </w:trPr>
        <w:tc>
          <w:tcPr>
            <w:tcW w:w="673" w:type="pct"/>
            <w:vAlign w:val="center"/>
          </w:tcPr>
          <w:p w14:paraId="75CB726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2569" w:type="pct"/>
            <w:vAlign w:val="center"/>
          </w:tcPr>
          <w:p w14:paraId="108DD76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户籍总人口</w:t>
            </w:r>
          </w:p>
        </w:tc>
        <w:tc>
          <w:tcPr>
            <w:tcW w:w="746" w:type="pct"/>
            <w:vAlign w:val="center"/>
          </w:tcPr>
          <w:p w14:paraId="6E0E85C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万人</w:t>
            </w:r>
          </w:p>
        </w:tc>
        <w:tc>
          <w:tcPr>
            <w:tcW w:w="1010" w:type="pct"/>
            <w:vAlign w:val="center"/>
          </w:tcPr>
          <w:p w14:paraId="233AC58F">
            <w:pPr>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103.08</w:t>
            </w:r>
          </w:p>
        </w:tc>
      </w:tr>
      <w:tr w14:paraId="40B4C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2" w:hRule="atLeast"/>
          <w:jc w:val="center"/>
        </w:trPr>
        <w:tc>
          <w:tcPr>
            <w:tcW w:w="673" w:type="pct"/>
            <w:vAlign w:val="center"/>
          </w:tcPr>
          <w:p w14:paraId="0C6629F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2.1</w:t>
            </w:r>
          </w:p>
        </w:tc>
        <w:tc>
          <w:tcPr>
            <w:tcW w:w="2569" w:type="pct"/>
            <w:vAlign w:val="center"/>
          </w:tcPr>
          <w:p w14:paraId="384E720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城镇人口</w:t>
            </w:r>
          </w:p>
        </w:tc>
        <w:tc>
          <w:tcPr>
            <w:tcW w:w="746" w:type="pct"/>
            <w:vAlign w:val="center"/>
          </w:tcPr>
          <w:p w14:paraId="74B4107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万人</w:t>
            </w:r>
          </w:p>
        </w:tc>
        <w:tc>
          <w:tcPr>
            <w:tcW w:w="1010" w:type="pct"/>
            <w:vAlign w:val="center"/>
          </w:tcPr>
          <w:p w14:paraId="57856447">
            <w:pPr>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54.18</w:t>
            </w:r>
          </w:p>
        </w:tc>
      </w:tr>
      <w:tr w14:paraId="5DA29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1" w:hRule="atLeast"/>
          <w:jc w:val="center"/>
        </w:trPr>
        <w:tc>
          <w:tcPr>
            <w:tcW w:w="673" w:type="pct"/>
            <w:vAlign w:val="center"/>
          </w:tcPr>
          <w:p w14:paraId="1D8ED1A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2.2</w:t>
            </w:r>
          </w:p>
        </w:tc>
        <w:tc>
          <w:tcPr>
            <w:tcW w:w="2569" w:type="pct"/>
            <w:vAlign w:val="center"/>
          </w:tcPr>
          <w:p w14:paraId="62F49AE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女性人口</w:t>
            </w:r>
          </w:p>
        </w:tc>
        <w:tc>
          <w:tcPr>
            <w:tcW w:w="746" w:type="pct"/>
            <w:vAlign w:val="center"/>
          </w:tcPr>
          <w:p w14:paraId="645C47C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万人</w:t>
            </w:r>
          </w:p>
        </w:tc>
        <w:tc>
          <w:tcPr>
            <w:tcW w:w="1010" w:type="pct"/>
            <w:vAlign w:val="center"/>
          </w:tcPr>
          <w:p w14:paraId="59B7622E">
            <w:pPr>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48.9</w:t>
            </w:r>
          </w:p>
        </w:tc>
      </w:tr>
      <w:tr w14:paraId="4BD1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1" w:hRule="atLeast"/>
          <w:jc w:val="center"/>
        </w:trPr>
        <w:tc>
          <w:tcPr>
            <w:tcW w:w="673" w:type="pct"/>
            <w:vAlign w:val="center"/>
          </w:tcPr>
          <w:p w14:paraId="7A91549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2569" w:type="pct"/>
            <w:vAlign w:val="center"/>
          </w:tcPr>
          <w:p w14:paraId="79CCF6E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GDP</w:t>
            </w:r>
          </w:p>
        </w:tc>
        <w:tc>
          <w:tcPr>
            <w:tcW w:w="746" w:type="pct"/>
            <w:vAlign w:val="center"/>
          </w:tcPr>
          <w:p w14:paraId="01E0C64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亿元</w:t>
            </w:r>
          </w:p>
        </w:tc>
        <w:tc>
          <w:tcPr>
            <w:tcW w:w="1010" w:type="pct"/>
            <w:vAlign w:val="center"/>
          </w:tcPr>
          <w:p w14:paraId="5EBD97A6">
            <w:pPr>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405.89</w:t>
            </w:r>
          </w:p>
        </w:tc>
      </w:tr>
      <w:tr w14:paraId="3179D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1" w:hRule="atLeast"/>
          <w:jc w:val="center"/>
        </w:trPr>
        <w:tc>
          <w:tcPr>
            <w:tcW w:w="673" w:type="pct"/>
            <w:vAlign w:val="center"/>
          </w:tcPr>
          <w:p w14:paraId="4CAC974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3.1</w:t>
            </w:r>
          </w:p>
        </w:tc>
        <w:tc>
          <w:tcPr>
            <w:tcW w:w="2569" w:type="pct"/>
            <w:vAlign w:val="center"/>
          </w:tcPr>
          <w:p w14:paraId="6C706C8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第一产业</w:t>
            </w:r>
          </w:p>
        </w:tc>
        <w:tc>
          <w:tcPr>
            <w:tcW w:w="746" w:type="pct"/>
            <w:vAlign w:val="center"/>
          </w:tcPr>
          <w:p w14:paraId="0DCA47B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亿元</w:t>
            </w:r>
          </w:p>
        </w:tc>
        <w:tc>
          <w:tcPr>
            <w:tcW w:w="1010" w:type="pct"/>
            <w:vAlign w:val="center"/>
          </w:tcPr>
          <w:p w14:paraId="095F2E9D">
            <w:pPr>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45.01</w:t>
            </w:r>
          </w:p>
        </w:tc>
      </w:tr>
      <w:tr w14:paraId="09D12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1" w:hRule="atLeast"/>
          <w:jc w:val="center"/>
        </w:trPr>
        <w:tc>
          <w:tcPr>
            <w:tcW w:w="673" w:type="pct"/>
            <w:vAlign w:val="center"/>
          </w:tcPr>
          <w:p w14:paraId="253D6FD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3.2</w:t>
            </w:r>
          </w:p>
        </w:tc>
        <w:tc>
          <w:tcPr>
            <w:tcW w:w="2569" w:type="pct"/>
            <w:vAlign w:val="center"/>
          </w:tcPr>
          <w:p w14:paraId="2E174D7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第二产业</w:t>
            </w:r>
          </w:p>
        </w:tc>
        <w:tc>
          <w:tcPr>
            <w:tcW w:w="746" w:type="pct"/>
            <w:vAlign w:val="center"/>
          </w:tcPr>
          <w:p w14:paraId="5D54DF0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亿元</w:t>
            </w:r>
          </w:p>
        </w:tc>
        <w:tc>
          <w:tcPr>
            <w:tcW w:w="1010" w:type="pct"/>
            <w:vAlign w:val="center"/>
          </w:tcPr>
          <w:p w14:paraId="0E8A61E9">
            <w:pPr>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129.48</w:t>
            </w:r>
          </w:p>
        </w:tc>
      </w:tr>
      <w:tr w14:paraId="0742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1" w:hRule="atLeast"/>
          <w:jc w:val="center"/>
        </w:trPr>
        <w:tc>
          <w:tcPr>
            <w:tcW w:w="673" w:type="pct"/>
            <w:vAlign w:val="center"/>
          </w:tcPr>
          <w:p w14:paraId="1713D35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3.3</w:t>
            </w:r>
          </w:p>
        </w:tc>
        <w:tc>
          <w:tcPr>
            <w:tcW w:w="2569" w:type="pct"/>
            <w:vAlign w:val="center"/>
          </w:tcPr>
          <w:p w14:paraId="7BFBCB1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第三产业</w:t>
            </w:r>
          </w:p>
        </w:tc>
        <w:tc>
          <w:tcPr>
            <w:tcW w:w="746" w:type="pct"/>
            <w:vAlign w:val="center"/>
          </w:tcPr>
          <w:p w14:paraId="433C272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亿元</w:t>
            </w:r>
          </w:p>
        </w:tc>
        <w:tc>
          <w:tcPr>
            <w:tcW w:w="1010" w:type="pct"/>
            <w:vAlign w:val="center"/>
          </w:tcPr>
          <w:p w14:paraId="302F6B94">
            <w:pPr>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231.41</w:t>
            </w:r>
          </w:p>
        </w:tc>
      </w:tr>
      <w:tr w14:paraId="4D81D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1" w:hRule="atLeast"/>
          <w:jc w:val="center"/>
        </w:trPr>
        <w:tc>
          <w:tcPr>
            <w:tcW w:w="673" w:type="pct"/>
            <w:vAlign w:val="center"/>
          </w:tcPr>
          <w:p w14:paraId="4E45027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3.4</w:t>
            </w:r>
          </w:p>
        </w:tc>
        <w:tc>
          <w:tcPr>
            <w:tcW w:w="2569" w:type="pct"/>
            <w:vAlign w:val="center"/>
          </w:tcPr>
          <w:p w14:paraId="3CB794A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人均GDP</w:t>
            </w:r>
          </w:p>
        </w:tc>
        <w:tc>
          <w:tcPr>
            <w:tcW w:w="746" w:type="pct"/>
            <w:vAlign w:val="center"/>
          </w:tcPr>
          <w:p w14:paraId="6B515B0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元/人</w:t>
            </w:r>
          </w:p>
        </w:tc>
        <w:tc>
          <w:tcPr>
            <w:tcW w:w="1010" w:type="pct"/>
            <w:vAlign w:val="center"/>
          </w:tcPr>
          <w:p w14:paraId="70E84284">
            <w:pPr>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45489</w:t>
            </w:r>
          </w:p>
        </w:tc>
      </w:tr>
      <w:tr w14:paraId="3D5CF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1" w:hRule="atLeast"/>
          <w:jc w:val="center"/>
        </w:trPr>
        <w:tc>
          <w:tcPr>
            <w:tcW w:w="673" w:type="pct"/>
            <w:vAlign w:val="center"/>
          </w:tcPr>
          <w:p w14:paraId="4446208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2569" w:type="pct"/>
            <w:vAlign w:val="center"/>
          </w:tcPr>
          <w:p w14:paraId="24BD71C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财政一般预算收入</w:t>
            </w:r>
          </w:p>
        </w:tc>
        <w:tc>
          <w:tcPr>
            <w:tcW w:w="746" w:type="pct"/>
            <w:vAlign w:val="center"/>
          </w:tcPr>
          <w:p w14:paraId="2BD841C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亿元</w:t>
            </w:r>
          </w:p>
        </w:tc>
        <w:tc>
          <w:tcPr>
            <w:tcW w:w="1010" w:type="pct"/>
            <w:vAlign w:val="center"/>
          </w:tcPr>
          <w:p w14:paraId="5731B82F">
            <w:pPr>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4.64</w:t>
            </w:r>
          </w:p>
        </w:tc>
      </w:tr>
      <w:tr w14:paraId="5F327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7" w:hRule="atLeast"/>
          <w:jc w:val="center"/>
        </w:trPr>
        <w:tc>
          <w:tcPr>
            <w:tcW w:w="673" w:type="pct"/>
            <w:vAlign w:val="center"/>
          </w:tcPr>
          <w:p w14:paraId="3E8A046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w:t>
            </w:r>
          </w:p>
        </w:tc>
        <w:tc>
          <w:tcPr>
            <w:tcW w:w="2569" w:type="pct"/>
            <w:vAlign w:val="center"/>
          </w:tcPr>
          <w:p w14:paraId="1612FBC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城镇人均可支配收入</w:t>
            </w:r>
          </w:p>
        </w:tc>
        <w:tc>
          <w:tcPr>
            <w:tcW w:w="746" w:type="pct"/>
            <w:vAlign w:val="center"/>
          </w:tcPr>
          <w:p w14:paraId="712BFCB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元/人</w:t>
            </w:r>
          </w:p>
        </w:tc>
        <w:tc>
          <w:tcPr>
            <w:tcW w:w="1010" w:type="pct"/>
            <w:vAlign w:val="center"/>
          </w:tcPr>
          <w:p w14:paraId="3913874C">
            <w:pPr>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32397</w:t>
            </w:r>
          </w:p>
        </w:tc>
      </w:tr>
      <w:tr w14:paraId="271CC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7" w:hRule="atLeast"/>
          <w:jc w:val="center"/>
        </w:trPr>
        <w:tc>
          <w:tcPr>
            <w:tcW w:w="673" w:type="pct"/>
            <w:vAlign w:val="center"/>
          </w:tcPr>
          <w:p w14:paraId="5514D5D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w:t>
            </w:r>
          </w:p>
        </w:tc>
        <w:tc>
          <w:tcPr>
            <w:tcW w:w="2569" w:type="pct"/>
            <w:vAlign w:val="center"/>
          </w:tcPr>
          <w:p w14:paraId="51B10CD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农村人均可支配收入</w:t>
            </w:r>
          </w:p>
        </w:tc>
        <w:tc>
          <w:tcPr>
            <w:tcW w:w="746" w:type="pct"/>
            <w:vAlign w:val="center"/>
          </w:tcPr>
          <w:p w14:paraId="49D061B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元/人</w:t>
            </w:r>
          </w:p>
        </w:tc>
        <w:tc>
          <w:tcPr>
            <w:tcW w:w="1010" w:type="pct"/>
            <w:vAlign w:val="center"/>
          </w:tcPr>
          <w:p w14:paraId="3FCBF4B1">
            <w:pPr>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13245</w:t>
            </w:r>
          </w:p>
        </w:tc>
      </w:tr>
    </w:tbl>
    <w:p w14:paraId="28C77D38">
      <w:pPr>
        <w:pStyle w:val="76"/>
        <w:ind w:left="0"/>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sz w:val="22"/>
          <w:szCs w:val="22"/>
          <w:highlight w:val="none"/>
        </w:rPr>
        <w:t>数据来源：汉滨区2022年国民经济发展统计公报。</w:t>
      </w:r>
    </w:p>
    <w:p w14:paraId="14B2098F">
      <w:pPr>
        <w:spacing w:before="120" w:after="120" w:line="300" w:lineRule="auto"/>
        <w:ind w:firstLine="482" w:firstLineChars="200"/>
        <w:jc w:val="both"/>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（2）低收入人群</w:t>
      </w:r>
    </w:p>
    <w:p w14:paraId="21CADA27">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汉滨区民政局和人社局提供的数据，2022年汉滨区低保在册家庭有17341户44660人。低保家庭收入低的主要原因为：患病、缺乏劳动力、孤寡老人等。汉滨区对符合最低生活保障条件的家庭进行兜底保障。根据保家庭实际情况，2022年汉滨区农村低保户领取的低保补贴为200~400元/人/月之间，能够保障低保家庭的基本生活。</w:t>
      </w:r>
    </w:p>
    <w:p w14:paraId="13D9CD9E">
      <w:pPr>
        <w:numPr>
          <w:ilvl w:val="0"/>
          <w:numId w:val="9"/>
        </w:numPr>
        <w:spacing w:before="120" w:line="300" w:lineRule="auto"/>
        <w:ind w:firstLine="482"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城东新区概况</w:t>
      </w:r>
    </w:p>
    <w:p w14:paraId="1AC89799">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安康市城东新区是安康市市委、市政府统筹中心城市建设和汉滨区发展做出的重大决策，隶属于汉滨区人民政府。城东新区规划控制人口容量为8万人，用地规模控制为9.78平方公里（14670亩），建设用地面积为7.955平方公里。城东新区自2017年启动实施以来，开发建设主要在片区主中心区域，本项目建设也集中在该区域，如图2-1。</w:t>
      </w:r>
    </w:p>
    <w:p w14:paraId="70421C17">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城东新区区域沟壑纵横，南高北低，地貌属于浅山丘陵地带，海拔在200~800m之间。该区域地处北亚热带湿润季风气候区，光照适中、雨量充足，气候温和，四季分明，降水的年际变化大，年均降水量750~1200mm，60%集中在6-9月，最低值540.3mm（1966年），最大值为1109.2mm（1983年）。</w:t>
      </w:r>
    </w:p>
    <w:p w14:paraId="6848F053">
      <w:pPr>
        <w:numPr>
          <w:ilvl w:val="255"/>
          <w:numId w:val="0"/>
        </w:num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4272915" cy="5911215"/>
            <wp:effectExtent l="0" t="0" r="9525" b="1905"/>
            <wp:docPr id="4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IMG_256"/>
                    <pic:cNvPicPr>
                      <a:picLocks noChangeAspect="1"/>
                    </pic:cNvPicPr>
                  </pic:nvPicPr>
                  <pic:blipFill>
                    <a:blip r:embed="rId10"/>
                    <a:srcRect t="9491" b="3881"/>
                    <a:stretch>
                      <a:fillRect/>
                    </a:stretch>
                  </pic:blipFill>
                  <pic:spPr>
                    <a:xfrm>
                      <a:off x="0" y="0"/>
                      <a:ext cx="4272915" cy="5911215"/>
                    </a:xfrm>
                    <a:prstGeom prst="rect">
                      <a:avLst/>
                    </a:prstGeom>
                    <a:noFill/>
                    <a:ln w="9525">
                      <a:noFill/>
                    </a:ln>
                  </pic:spPr>
                </pic:pic>
              </a:graphicData>
            </a:graphic>
          </wp:inline>
        </w:drawing>
      </w:r>
    </w:p>
    <w:p w14:paraId="55187959">
      <w:pPr>
        <w:pStyle w:val="13"/>
        <w:numPr>
          <w:ilvl w:val="255"/>
          <w:numId w:val="0"/>
        </w:numPr>
        <w:spacing w:after="120"/>
        <w:rPr>
          <w:rFonts w:hint="default" w:ascii="Times New Roman" w:hAnsi="Times New Roman" w:eastAsia="宋体" w:cs="Times New Roman"/>
          <w:color w:val="auto"/>
          <w:szCs w:val="24"/>
          <w:highlight w:val="none"/>
        </w:rPr>
      </w:pPr>
      <w:r>
        <w:rPr>
          <w:rFonts w:hint="default" w:ascii="Times New Roman" w:hAnsi="Times New Roman" w:eastAsia="宋体" w:cs="Times New Roman"/>
          <w:bCs/>
          <w:color w:val="auto"/>
          <w:szCs w:val="24"/>
          <w:highlight w:val="none"/>
        </w:rPr>
        <w:t xml:space="preserve">图 </w:t>
      </w:r>
      <w:r>
        <w:rPr>
          <w:rFonts w:hint="default" w:ascii="Times New Roman" w:hAnsi="Times New Roman" w:eastAsia="宋体" w:cs="Times New Roman"/>
          <w:bCs/>
          <w:color w:val="auto"/>
          <w:szCs w:val="24"/>
          <w:highlight w:val="none"/>
        </w:rPr>
        <w:fldChar w:fldCharType="begin"/>
      </w:r>
      <w:r>
        <w:rPr>
          <w:rFonts w:hint="default" w:ascii="Times New Roman" w:hAnsi="Times New Roman" w:eastAsia="宋体" w:cs="Times New Roman"/>
          <w:bCs/>
          <w:color w:val="auto"/>
          <w:szCs w:val="24"/>
          <w:highlight w:val="none"/>
        </w:rPr>
        <w:instrText xml:space="preserve"> STYLEREF 1 \s </w:instrText>
      </w:r>
      <w:r>
        <w:rPr>
          <w:rFonts w:hint="default" w:ascii="Times New Roman" w:hAnsi="Times New Roman" w:eastAsia="宋体" w:cs="Times New Roman"/>
          <w:bCs/>
          <w:color w:val="auto"/>
          <w:szCs w:val="24"/>
          <w:highlight w:val="none"/>
        </w:rPr>
        <w:fldChar w:fldCharType="separate"/>
      </w:r>
      <w:r>
        <w:rPr>
          <w:rFonts w:hint="default" w:ascii="Times New Roman" w:hAnsi="Times New Roman" w:eastAsia="宋体" w:cs="Times New Roman"/>
          <w:bCs/>
          <w:color w:val="auto"/>
          <w:szCs w:val="24"/>
          <w:highlight w:val="none"/>
        </w:rPr>
        <w:t>2</w:t>
      </w:r>
      <w:r>
        <w:rPr>
          <w:rFonts w:hint="default" w:ascii="Times New Roman" w:hAnsi="Times New Roman" w:eastAsia="宋体" w:cs="Times New Roman"/>
          <w:bCs/>
          <w:color w:val="auto"/>
          <w:szCs w:val="24"/>
          <w:highlight w:val="none"/>
        </w:rPr>
        <w:fldChar w:fldCharType="end"/>
      </w:r>
      <w:r>
        <w:rPr>
          <w:rFonts w:hint="default" w:ascii="Times New Roman" w:hAnsi="Times New Roman" w:eastAsia="宋体" w:cs="Times New Roman"/>
          <w:bCs/>
          <w:color w:val="auto"/>
          <w:szCs w:val="24"/>
          <w:highlight w:val="none"/>
        </w:rPr>
        <w:t>-</w:t>
      </w:r>
      <w:r>
        <w:rPr>
          <w:rFonts w:hint="default" w:ascii="Times New Roman" w:hAnsi="Times New Roman" w:eastAsia="宋体" w:cs="Times New Roman"/>
          <w:bCs/>
          <w:color w:val="auto"/>
          <w:szCs w:val="24"/>
          <w:highlight w:val="none"/>
        </w:rPr>
        <w:fldChar w:fldCharType="begin"/>
      </w:r>
      <w:r>
        <w:rPr>
          <w:rFonts w:hint="default" w:ascii="Times New Roman" w:hAnsi="Times New Roman" w:eastAsia="宋体" w:cs="Times New Roman"/>
          <w:bCs/>
          <w:color w:val="auto"/>
          <w:szCs w:val="24"/>
          <w:highlight w:val="none"/>
        </w:rPr>
        <w:instrText xml:space="preserve"> SEQ 图 \* ARABIC \s 1 </w:instrText>
      </w:r>
      <w:r>
        <w:rPr>
          <w:rFonts w:hint="default" w:ascii="Times New Roman" w:hAnsi="Times New Roman" w:eastAsia="宋体" w:cs="Times New Roman"/>
          <w:bCs/>
          <w:color w:val="auto"/>
          <w:szCs w:val="24"/>
          <w:highlight w:val="none"/>
        </w:rPr>
        <w:fldChar w:fldCharType="separate"/>
      </w:r>
      <w:r>
        <w:rPr>
          <w:rFonts w:hint="default" w:ascii="Times New Roman" w:hAnsi="Times New Roman" w:eastAsia="宋体" w:cs="Times New Roman"/>
          <w:bCs/>
          <w:color w:val="auto"/>
          <w:szCs w:val="24"/>
          <w:highlight w:val="none"/>
        </w:rPr>
        <w:t>1</w:t>
      </w:r>
      <w:r>
        <w:rPr>
          <w:rFonts w:hint="default" w:ascii="Times New Roman" w:hAnsi="Times New Roman" w:eastAsia="宋体" w:cs="Times New Roman"/>
          <w:bCs/>
          <w:color w:val="auto"/>
          <w:szCs w:val="24"/>
          <w:highlight w:val="none"/>
        </w:rPr>
        <w:fldChar w:fldCharType="end"/>
      </w:r>
      <w:bookmarkStart w:id="125" w:name="_Toc26229"/>
      <w:r>
        <w:rPr>
          <w:rFonts w:hint="default" w:ascii="Times New Roman" w:hAnsi="Times New Roman" w:eastAsia="宋体" w:cs="Times New Roman"/>
          <w:bCs/>
          <w:color w:val="auto"/>
          <w:szCs w:val="24"/>
          <w:highlight w:val="none"/>
        </w:rPr>
        <w:t xml:space="preserve"> 城东新区区位图</w:t>
      </w:r>
      <w:bookmarkEnd w:id="125"/>
    </w:p>
    <w:p w14:paraId="332D4431">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城东新区区域内人口约6万人，女性占比约46%，已呈现老龄化趋势。区域内农作物以水稻、油菜、玉米为主，还种植有少量的蔬菜。区域位置紧邻安康市主城区，与山区农村有所不同，在城区务工相对方便，青壮年村民大多在安康市区务工，也有一部分村民在市外务工。农业劳动基本由老年人承担，且区域内地形起伏，坡地较多，农业产值相对较低。因此，农业已经不是当地村民的一般农村家庭的收入主要依靠务工收入。</w:t>
      </w:r>
    </w:p>
    <w:p w14:paraId="1781C0AD">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城东新区主要布局数字经济、生态工业、加工制造、生态康养及绿色生态农业等产业板块，目前，已入驻数字经济企业30多家。未来3~5年，城东新区将引进更多的高科技加工制造型企业、健康养老产业型企业、及数字经济型企业等，预计可为当地提供8000~10000个就业岗位。</w:t>
      </w:r>
    </w:p>
    <w:bookmarkEnd w:id="120"/>
    <w:p w14:paraId="0B5DEDAF">
      <w:pPr>
        <w:pStyle w:val="4"/>
        <w:spacing w:before="120" w:line="276" w:lineRule="auto"/>
        <w:jc w:val="both"/>
        <w:rPr>
          <w:rFonts w:hint="default" w:ascii="Times New Roman" w:hAnsi="Times New Roman" w:eastAsia="宋体" w:cs="Times New Roman"/>
          <w:color w:val="auto"/>
          <w:highlight w:val="none"/>
        </w:rPr>
      </w:pPr>
      <w:bookmarkStart w:id="126" w:name="_Toc13452"/>
      <w:bookmarkStart w:id="127" w:name="_Toc110846287"/>
      <w:r>
        <w:rPr>
          <w:rFonts w:hint="default" w:ascii="Times New Roman" w:hAnsi="Times New Roman" w:eastAsia="宋体" w:cs="Times New Roman"/>
          <w:color w:val="auto"/>
          <w:highlight w:val="none"/>
        </w:rPr>
        <w:t>受益村镇基本情况</w:t>
      </w:r>
      <w:bookmarkEnd w:id="126"/>
    </w:p>
    <w:p w14:paraId="4E39E554">
      <w:pPr>
        <w:numPr>
          <w:ilvl w:val="0"/>
          <w:numId w:val="10"/>
        </w:numPr>
        <w:spacing w:line="276" w:lineRule="auto"/>
        <w:jc w:val="both"/>
        <w:rPr>
          <w:rFonts w:hint="default" w:ascii="Times New Roman" w:hAnsi="Times New Roman" w:eastAsia="宋体" w:cs="Times New Roman"/>
          <w:color w:val="auto"/>
          <w:szCs w:val="32"/>
          <w:highlight w:val="none"/>
        </w:rPr>
      </w:pPr>
      <w:r>
        <w:rPr>
          <w:rFonts w:hint="default" w:ascii="Times New Roman" w:hAnsi="Times New Roman" w:eastAsia="宋体" w:cs="Times New Roman"/>
          <w:color w:val="auto"/>
          <w:szCs w:val="32"/>
          <w:highlight w:val="none"/>
        </w:rPr>
        <w:t>受益镇/街办</w:t>
      </w:r>
    </w:p>
    <w:p w14:paraId="0ADCFB81">
      <w:pPr>
        <w:spacing w:line="276" w:lineRule="auto"/>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 xml:space="preserve">表 </w:t>
      </w:r>
      <w:r>
        <w:rPr>
          <w:rFonts w:hint="default" w:ascii="Times New Roman" w:hAnsi="Times New Roman" w:eastAsia="宋体" w:cs="Times New Roman"/>
          <w:b/>
          <w:bCs/>
          <w:color w:val="auto"/>
          <w:highlight w:val="none"/>
        </w:rPr>
        <w:fldChar w:fldCharType="begin"/>
      </w:r>
      <w:r>
        <w:rPr>
          <w:rFonts w:hint="default" w:ascii="Times New Roman" w:hAnsi="Times New Roman" w:eastAsia="宋体" w:cs="Times New Roman"/>
          <w:b/>
          <w:bCs/>
          <w:color w:val="auto"/>
          <w:highlight w:val="none"/>
        </w:rPr>
        <w:instrText xml:space="preserve"> STYLEREF 1 \s </w:instrText>
      </w:r>
      <w:r>
        <w:rPr>
          <w:rFonts w:hint="default" w:ascii="Times New Roman" w:hAnsi="Times New Roman" w:eastAsia="宋体" w:cs="Times New Roman"/>
          <w:b/>
          <w:bCs/>
          <w:color w:val="auto"/>
          <w:highlight w:val="none"/>
        </w:rPr>
        <w:fldChar w:fldCharType="separate"/>
      </w:r>
      <w:r>
        <w:rPr>
          <w:rFonts w:hint="default" w:ascii="Times New Roman" w:hAnsi="Times New Roman" w:eastAsia="宋体" w:cs="Times New Roman"/>
          <w:b/>
          <w:bCs/>
          <w:color w:val="auto"/>
          <w:highlight w:val="none"/>
        </w:rPr>
        <w:t>2</w:t>
      </w:r>
      <w:r>
        <w:rPr>
          <w:rFonts w:hint="default" w:ascii="Times New Roman" w:hAnsi="Times New Roman" w:eastAsia="宋体" w:cs="Times New Roman"/>
          <w:b/>
          <w:bCs/>
          <w:color w:val="auto"/>
          <w:highlight w:val="none"/>
        </w:rPr>
        <w:fldChar w:fldCharType="end"/>
      </w:r>
      <w:r>
        <w:rPr>
          <w:rFonts w:hint="default" w:ascii="Times New Roman" w:hAnsi="Times New Roman" w:eastAsia="宋体" w:cs="Times New Roman"/>
          <w:b/>
          <w:bCs/>
          <w:color w:val="auto"/>
          <w:highlight w:val="none"/>
        </w:rPr>
        <w:t>-</w:t>
      </w:r>
      <w:r>
        <w:rPr>
          <w:rFonts w:hint="default" w:ascii="Times New Roman" w:hAnsi="Times New Roman" w:eastAsia="宋体" w:cs="Times New Roman"/>
          <w:b/>
          <w:bCs/>
          <w:color w:val="auto"/>
          <w:highlight w:val="none"/>
        </w:rPr>
        <w:fldChar w:fldCharType="begin"/>
      </w:r>
      <w:r>
        <w:rPr>
          <w:rFonts w:hint="default" w:ascii="Times New Roman" w:hAnsi="Times New Roman" w:eastAsia="宋体" w:cs="Times New Roman"/>
          <w:b/>
          <w:bCs/>
          <w:color w:val="auto"/>
          <w:highlight w:val="none"/>
        </w:rPr>
        <w:instrText xml:space="preserve"> SEQ 表 \* ARABIC \s 1 </w:instrText>
      </w:r>
      <w:r>
        <w:rPr>
          <w:rFonts w:hint="default" w:ascii="Times New Roman" w:hAnsi="Times New Roman" w:eastAsia="宋体" w:cs="Times New Roman"/>
          <w:b/>
          <w:bCs/>
          <w:color w:val="auto"/>
          <w:highlight w:val="none"/>
        </w:rPr>
        <w:fldChar w:fldCharType="separate"/>
      </w:r>
      <w:r>
        <w:rPr>
          <w:rFonts w:hint="default" w:ascii="Times New Roman" w:hAnsi="Times New Roman" w:eastAsia="宋体" w:cs="Times New Roman"/>
          <w:b/>
          <w:bCs/>
          <w:color w:val="auto"/>
          <w:highlight w:val="none"/>
        </w:rPr>
        <w:t>2</w:t>
      </w:r>
      <w:r>
        <w:rPr>
          <w:rFonts w:hint="default" w:ascii="Times New Roman" w:hAnsi="Times New Roman" w:eastAsia="宋体" w:cs="Times New Roman"/>
          <w:b/>
          <w:bCs/>
          <w:color w:val="auto"/>
          <w:highlight w:val="none"/>
        </w:rPr>
        <w:fldChar w:fldCharType="end"/>
      </w:r>
      <w:bookmarkStart w:id="128" w:name="_Toc18333"/>
      <w:r>
        <w:rPr>
          <w:rFonts w:hint="default" w:ascii="Times New Roman" w:hAnsi="Times New Roman" w:eastAsia="宋体" w:cs="Times New Roman"/>
          <w:b/>
          <w:bCs/>
          <w:color w:val="auto"/>
          <w:highlight w:val="none"/>
        </w:rPr>
        <w:t xml:space="preserve"> 受益镇/街办基本情况</w:t>
      </w:r>
      <w:bookmarkEnd w:id="128"/>
    </w:p>
    <w:tbl>
      <w:tblPr>
        <w:tblStyle w:val="43"/>
        <w:tblW w:w="4946" w:type="pct"/>
        <w:tblInd w:w="0" w:type="dxa"/>
        <w:tblLayout w:type="autofit"/>
        <w:tblCellMar>
          <w:top w:w="0" w:type="dxa"/>
          <w:left w:w="108" w:type="dxa"/>
          <w:bottom w:w="0" w:type="dxa"/>
          <w:right w:w="108" w:type="dxa"/>
        </w:tblCellMar>
      </w:tblPr>
      <w:tblGrid>
        <w:gridCol w:w="704"/>
        <w:gridCol w:w="1345"/>
        <w:gridCol w:w="846"/>
        <w:gridCol w:w="898"/>
        <w:gridCol w:w="898"/>
        <w:gridCol w:w="878"/>
        <w:gridCol w:w="878"/>
        <w:gridCol w:w="749"/>
        <w:gridCol w:w="1234"/>
      </w:tblGrid>
      <w:tr w14:paraId="16DA4855">
        <w:trPr>
          <w:trHeight w:val="825" w:hRule="atLeast"/>
        </w:trPr>
        <w:tc>
          <w:tcPr>
            <w:tcW w:w="417" w:type="pct"/>
            <w:vMerge w:val="restart"/>
            <w:tcBorders>
              <w:top w:val="single" w:color="000000" w:sz="8" w:space="0"/>
              <w:left w:val="single" w:color="000000" w:sz="8" w:space="0"/>
              <w:bottom w:val="single" w:color="000000" w:sz="8" w:space="0"/>
              <w:right w:val="single" w:color="000000" w:sz="8" w:space="0"/>
            </w:tcBorders>
            <w:shd w:val="clear" w:color="auto" w:fill="F1F1F1" w:themeFill="background1" w:themeFillShade="F2"/>
            <w:vAlign w:val="center"/>
          </w:tcPr>
          <w:p w14:paraId="4982E0F0">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乡镇</w:t>
            </w:r>
          </w:p>
        </w:tc>
        <w:tc>
          <w:tcPr>
            <w:tcW w:w="797" w:type="pct"/>
            <w:tcBorders>
              <w:top w:val="single" w:color="000000" w:sz="8" w:space="0"/>
              <w:left w:val="single" w:color="000000" w:sz="8" w:space="0"/>
              <w:bottom w:val="single" w:color="000000" w:sz="8" w:space="0"/>
              <w:right w:val="single" w:color="000000" w:sz="8" w:space="0"/>
            </w:tcBorders>
            <w:shd w:val="clear" w:color="auto" w:fill="F1F1F1" w:themeFill="background1" w:themeFillShade="F2"/>
            <w:vAlign w:val="center"/>
          </w:tcPr>
          <w:p w14:paraId="5E90AD64">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社区（村）数量</w:t>
            </w:r>
          </w:p>
        </w:tc>
        <w:tc>
          <w:tcPr>
            <w:tcW w:w="501" w:type="pct"/>
            <w:tcBorders>
              <w:top w:val="single" w:color="000000" w:sz="8" w:space="0"/>
              <w:left w:val="single" w:color="000000" w:sz="8" w:space="0"/>
              <w:bottom w:val="single" w:color="000000" w:sz="8" w:space="0"/>
              <w:right w:val="single" w:color="000000" w:sz="8" w:space="0"/>
            </w:tcBorders>
            <w:shd w:val="clear" w:color="auto" w:fill="F1F1F1" w:themeFill="background1" w:themeFillShade="F2"/>
            <w:vAlign w:val="center"/>
          </w:tcPr>
          <w:p w14:paraId="7D085B8D">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总户数</w:t>
            </w:r>
          </w:p>
        </w:tc>
        <w:tc>
          <w:tcPr>
            <w:tcW w:w="532" w:type="pct"/>
            <w:tcBorders>
              <w:top w:val="single" w:color="000000" w:sz="8" w:space="0"/>
              <w:left w:val="single" w:color="000000" w:sz="8" w:space="0"/>
              <w:bottom w:val="single" w:color="000000" w:sz="8" w:space="0"/>
              <w:right w:val="single" w:color="000000" w:sz="8" w:space="0"/>
            </w:tcBorders>
            <w:shd w:val="clear" w:color="auto" w:fill="F1F1F1" w:themeFill="background1" w:themeFillShade="F2"/>
            <w:vAlign w:val="center"/>
          </w:tcPr>
          <w:p w14:paraId="5E1DB47D">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总人口</w:t>
            </w:r>
          </w:p>
        </w:tc>
        <w:tc>
          <w:tcPr>
            <w:tcW w:w="532" w:type="pct"/>
            <w:tcBorders>
              <w:top w:val="single" w:color="000000" w:sz="8" w:space="0"/>
              <w:left w:val="single" w:color="000000" w:sz="8" w:space="0"/>
              <w:bottom w:val="single" w:color="000000" w:sz="8" w:space="0"/>
              <w:right w:val="single" w:color="000000" w:sz="8" w:space="0"/>
            </w:tcBorders>
            <w:shd w:val="clear" w:color="auto" w:fill="F1F1F1" w:themeFill="background1" w:themeFillShade="F2"/>
            <w:vAlign w:val="center"/>
          </w:tcPr>
          <w:p w14:paraId="28B02482">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女性人口数</w:t>
            </w:r>
          </w:p>
        </w:tc>
        <w:tc>
          <w:tcPr>
            <w:tcW w:w="520" w:type="pct"/>
            <w:tcBorders>
              <w:top w:val="single" w:color="000000" w:sz="8" w:space="0"/>
              <w:left w:val="single" w:color="000000" w:sz="8" w:space="0"/>
              <w:bottom w:val="single" w:color="000000" w:sz="8" w:space="0"/>
              <w:right w:val="single" w:color="000000" w:sz="8" w:space="0"/>
            </w:tcBorders>
            <w:shd w:val="clear" w:color="auto" w:fill="F1F1F1" w:themeFill="background1" w:themeFillShade="F2"/>
            <w:vAlign w:val="center"/>
          </w:tcPr>
          <w:p w14:paraId="7AF6B2C9">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劳动力人数</w:t>
            </w:r>
          </w:p>
        </w:tc>
        <w:tc>
          <w:tcPr>
            <w:tcW w:w="520" w:type="pct"/>
            <w:tcBorders>
              <w:top w:val="single" w:color="000000" w:sz="8" w:space="0"/>
              <w:left w:val="single" w:color="000000" w:sz="8" w:space="0"/>
              <w:bottom w:val="single" w:color="000000" w:sz="8" w:space="0"/>
              <w:right w:val="single" w:color="000000" w:sz="8" w:space="0"/>
            </w:tcBorders>
            <w:shd w:val="clear" w:color="auto" w:fill="F1F1F1" w:themeFill="background1" w:themeFillShade="F2"/>
            <w:vAlign w:val="center"/>
          </w:tcPr>
          <w:p w14:paraId="372148E4">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少数民族人口</w:t>
            </w:r>
          </w:p>
        </w:tc>
        <w:tc>
          <w:tcPr>
            <w:tcW w:w="444" w:type="pct"/>
            <w:tcBorders>
              <w:top w:val="single" w:color="000000" w:sz="8" w:space="0"/>
              <w:left w:val="single" w:color="000000" w:sz="8" w:space="0"/>
              <w:bottom w:val="single" w:color="000000" w:sz="8" w:space="0"/>
              <w:right w:val="single" w:color="000000" w:sz="8" w:space="0"/>
            </w:tcBorders>
            <w:shd w:val="clear" w:color="auto" w:fill="F1F1F1" w:themeFill="background1" w:themeFillShade="F2"/>
            <w:vAlign w:val="center"/>
          </w:tcPr>
          <w:p w14:paraId="24FAF842">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耕地面积</w:t>
            </w:r>
          </w:p>
        </w:tc>
        <w:tc>
          <w:tcPr>
            <w:tcW w:w="731" w:type="pct"/>
            <w:tcBorders>
              <w:top w:val="single" w:color="000000" w:sz="8" w:space="0"/>
              <w:left w:val="single" w:color="000000" w:sz="8" w:space="0"/>
              <w:bottom w:val="single" w:color="000000" w:sz="8" w:space="0"/>
              <w:right w:val="single" w:color="000000" w:sz="8" w:space="0"/>
            </w:tcBorders>
            <w:shd w:val="clear" w:color="auto" w:fill="F1F1F1" w:themeFill="background1" w:themeFillShade="F2"/>
            <w:vAlign w:val="center"/>
          </w:tcPr>
          <w:p w14:paraId="62ABD700">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农村居民人均纯收入</w:t>
            </w:r>
          </w:p>
        </w:tc>
      </w:tr>
      <w:tr w14:paraId="3344B695">
        <w:tblPrEx>
          <w:tblCellMar>
            <w:top w:w="0" w:type="dxa"/>
            <w:left w:w="108" w:type="dxa"/>
            <w:bottom w:w="0" w:type="dxa"/>
            <w:right w:w="108" w:type="dxa"/>
          </w:tblCellMar>
        </w:tblPrEx>
        <w:trPr>
          <w:trHeight w:val="295" w:hRule="atLeast"/>
        </w:trPr>
        <w:tc>
          <w:tcPr>
            <w:tcW w:w="417" w:type="pct"/>
            <w:vMerge w:val="continue"/>
            <w:tcBorders>
              <w:top w:val="single" w:color="000000" w:sz="8" w:space="0"/>
              <w:left w:val="single" w:color="000000" w:sz="8" w:space="0"/>
              <w:bottom w:val="single" w:color="000000" w:sz="8" w:space="0"/>
              <w:right w:val="single" w:color="000000" w:sz="8" w:space="0"/>
            </w:tcBorders>
            <w:shd w:val="clear" w:color="auto" w:fill="F1F1F1" w:themeFill="background1" w:themeFillShade="F2"/>
            <w:vAlign w:val="center"/>
          </w:tcPr>
          <w:p w14:paraId="1AB8407F">
            <w:pPr>
              <w:jc w:val="center"/>
              <w:rPr>
                <w:rFonts w:hint="default" w:ascii="Times New Roman" w:hAnsi="Times New Roman" w:eastAsia="宋体" w:cs="Times New Roman"/>
                <w:b/>
                <w:bCs/>
                <w:color w:val="auto"/>
                <w:sz w:val="21"/>
                <w:szCs w:val="21"/>
                <w:highlight w:val="none"/>
              </w:rPr>
            </w:pPr>
          </w:p>
        </w:tc>
        <w:tc>
          <w:tcPr>
            <w:tcW w:w="797" w:type="pct"/>
            <w:tcBorders>
              <w:top w:val="nil"/>
              <w:left w:val="nil"/>
              <w:bottom w:val="single" w:color="000000" w:sz="8" w:space="0"/>
              <w:right w:val="single" w:color="000000" w:sz="8" w:space="0"/>
            </w:tcBorders>
            <w:shd w:val="clear" w:color="auto" w:fill="F1F1F1" w:themeFill="background1" w:themeFillShade="F2"/>
            <w:vAlign w:val="center"/>
          </w:tcPr>
          <w:p w14:paraId="3723FA80">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个</w:t>
            </w:r>
          </w:p>
        </w:tc>
        <w:tc>
          <w:tcPr>
            <w:tcW w:w="501" w:type="pct"/>
            <w:tcBorders>
              <w:top w:val="nil"/>
              <w:left w:val="single" w:color="000000" w:sz="8" w:space="0"/>
              <w:bottom w:val="single" w:color="000000" w:sz="8" w:space="0"/>
              <w:right w:val="single" w:color="000000" w:sz="8" w:space="0"/>
            </w:tcBorders>
            <w:shd w:val="clear" w:color="auto" w:fill="F1F1F1" w:themeFill="background1" w:themeFillShade="F2"/>
            <w:vAlign w:val="center"/>
          </w:tcPr>
          <w:p w14:paraId="4D6A76D3">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户</w:t>
            </w:r>
          </w:p>
        </w:tc>
        <w:tc>
          <w:tcPr>
            <w:tcW w:w="532" w:type="pct"/>
            <w:tcBorders>
              <w:top w:val="nil"/>
              <w:left w:val="single" w:color="000000" w:sz="8" w:space="0"/>
              <w:bottom w:val="single" w:color="000000" w:sz="8" w:space="0"/>
              <w:right w:val="single" w:color="000000" w:sz="8" w:space="0"/>
            </w:tcBorders>
            <w:shd w:val="clear" w:color="auto" w:fill="F1F1F1" w:themeFill="background1" w:themeFillShade="F2"/>
            <w:vAlign w:val="center"/>
          </w:tcPr>
          <w:p w14:paraId="1163116B">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人</w:t>
            </w:r>
          </w:p>
        </w:tc>
        <w:tc>
          <w:tcPr>
            <w:tcW w:w="532" w:type="pct"/>
            <w:tcBorders>
              <w:top w:val="nil"/>
              <w:left w:val="nil"/>
              <w:bottom w:val="single" w:color="000000" w:sz="8" w:space="0"/>
              <w:right w:val="single" w:color="000000" w:sz="8" w:space="0"/>
            </w:tcBorders>
            <w:shd w:val="clear" w:color="auto" w:fill="F1F1F1" w:themeFill="background1" w:themeFillShade="F2"/>
            <w:vAlign w:val="center"/>
          </w:tcPr>
          <w:p w14:paraId="61B656B3">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人</w:t>
            </w:r>
          </w:p>
        </w:tc>
        <w:tc>
          <w:tcPr>
            <w:tcW w:w="520" w:type="pct"/>
            <w:tcBorders>
              <w:top w:val="nil"/>
              <w:left w:val="nil"/>
              <w:bottom w:val="single" w:color="000000" w:sz="8" w:space="0"/>
              <w:right w:val="single" w:color="000000" w:sz="8" w:space="0"/>
            </w:tcBorders>
            <w:shd w:val="clear" w:color="auto" w:fill="F1F1F1" w:themeFill="background1" w:themeFillShade="F2"/>
            <w:vAlign w:val="center"/>
          </w:tcPr>
          <w:p w14:paraId="147FD6AA">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人</w:t>
            </w:r>
          </w:p>
        </w:tc>
        <w:tc>
          <w:tcPr>
            <w:tcW w:w="520" w:type="pct"/>
            <w:tcBorders>
              <w:top w:val="nil"/>
              <w:left w:val="nil"/>
              <w:bottom w:val="single" w:color="000000" w:sz="8" w:space="0"/>
              <w:right w:val="single" w:color="000000" w:sz="8" w:space="0"/>
            </w:tcBorders>
            <w:shd w:val="clear" w:color="auto" w:fill="F1F1F1" w:themeFill="background1" w:themeFillShade="F2"/>
            <w:vAlign w:val="center"/>
          </w:tcPr>
          <w:p w14:paraId="53123832">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人</w:t>
            </w:r>
          </w:p>
        </w:tc>
        <w:tc>
          <w:tcPr>
            <w:tcW w:w="444" w:type="pct"/>
            <w:tcBorders>
              <w:top w:val="nil"/>
              <w:left w:val="nil"/>
              <w:bottom w:val="single" w:color="000000" w:sz="8" w:space="0"/>
              <w:right w:val="single" w:color="000000" w:sz="8" w:space="0"/>
            </w:tcBorders>
            <w:shd w:val="clear" w:color="auto" w:fill="F1F1F1" w:themeFill="background1" w:themeFillShade="F2"/>
            <w:vAlign w:val="center"/>
          </w:tcPr>
          <w:p w14:paraId="0DE29280">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亩</w:t>
            </w:r>
          </w:p>
        </w:tc>
        <w:tc>
          <w:tcPr>
            <w:tcW w:w="731" w:type="pct"/>
            <w:tcBorders>
              <w:top w:val="nil"/>
              <w:left w:val="nil"/>
              <w:bottom w:val="single" w:color="000000" w:sz="8" w:space="0"/>
              <w:right w:val="single" w:color="000000" w:sz="8" w:space="0"/>
            </w:tcBorders>
            <w:shd w:val="clear" w:color="auto" w:fill="F1F1F1" w:themeFill="background1" w:themeFillShade="F2"/>
            <w:vAlign w:val="center"/>
          </w:tcPr>
          <w:p w14:paraId="6D23AE64">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元/年</w:t>
            </w:r>
          </w:p>
        </w:tc>
      </w:tr>
      <w:tr w14:paraId="60AF8711">
        <w:tblPrEx>
          <w:tblCellMar>
            <w:top w:w="0" w:type="dxa"/>
            <w:left w:w="108" w:type="dxa"/>
            <w:bottom w:w="0" w:type="dxa"/>
            <w:right w:w="108" w:type="dxa"/>
          </w:tblCellMar>
        </w:tblPrEx>
        <w:trPr>
          <w:trHeight w:val="295" w:hRule="atLeast"/>
        </w:trPr>
        <w:tc>
          <w:tcPr>
            <w:tcW w:w="41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AF996A0">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张滩</w:t>
            </w:r>
          </w:p>
        </w:tc>
        <w:tc>
          <w:tcPr>
            <w:tcW w:w="79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CF5BFB1">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15</w:t>
            </w:r>
          </w:p>
        </w:tc>
        <w:tc>
          <w:tcPr>
            <w:tcW w:w="8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742D28">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8320</w:t>
            </w:r>
          </w:p>
        </w:tc>
        <w:tc>
          <w:tcPr>
            <w:tcW w:w="8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190157">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30304</w:t>
            </w:r>
          </w:p>
        </w:tc>
        <w:tc>
          <w:tcPr>
            <w:tcW w:w="8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44470F">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14029</w:t>
            </w:r>
          </w:p>
        </w:tc>
        <w:tc>
          <w:tcPr>
            <w:tcW w:w="87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0C2FAA">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18860</w:t>
            </w:r>
          </w:p>
        </w:tc>
        <w:tc>
          <w:tcPr>
            <w:tcW w:w="87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9378AB">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rPr>
              <w:t>19</w:t>
            </w:r>
          </w:p>
        </w:tc>
        <w:tc>
          <w:tcPr>
            <w:tcW w:w="74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458ADC">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18459</w:t>
            </w:r>
          </w:p>
        </w:tc>
        <w:tc>
          <w:tcPr>
            <w:tcW w:w="12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283712">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15654</w:t>
            </w:r>
          </w:p>
        </w:tc>
      </w:tr>
      <w:tr w14:paraId="46D0697D">
        <w:tblPrEx>
          <w:tblCellMar>
            <w:top w:w="0" w:type="dxa"/>
            <w:left w:w="108" w:type="dxa"/>
            <w:bottom w:w="0" w:type="dxa"/>
            <w:right w:w="108" w:type="dxa"/>
          </w:tblCellMar>
        </w:tblPrEx>
        <w:trPr>
          <w:trHeight w:val="295" w:hRule="atLeast"/>
        </w:trPr>
        <w:tc>
          <w:tcPr>
            <w:tcW w:w="41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70B296E">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石梯</w:t>
            </w:r>
          </w:p>
        </w:tc>
        <w:tc>
          <w:tcPr>
            <w:tcW w:w="79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0C9C43">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12</w:t>
            </w:r>
          </w:p>
        </w:tc>
        <w:tc>
          <w:tcPr>
            <w:tcW w:w="8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DC4139">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5843</w:t>
            </w:r>
          </w:p>
        </w:tc>
        <w:tc>
          <w:tcPr>
            <w:tcW w:w="8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AB98DF">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18188</w:t>
            </w:r>
          </w:p>
        </w:tc>
        <w:tc>
          <w:tcPr>
            <w:tcW w:w="8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A30C17">
            <w:pPr>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bidi="ar"/>
              </w:rPr>
              <w:t>8196</w:t>
            </w:r>
          </w:p>
        </w:tc>
        <w:tc>
          <w:tcPr>
            <w:tcW w:w="87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C50002B">
            <w:pPr>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bidi="ar"/>
              </w:rPr>
              <w:t>9985</w:t>
            </w:r>
          </w:p>
        </w:tc>
        <w:tc>
          <w:tcPr>
            <w:tcW w:w="87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5357DE">
            <w:pPr>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11</w:t>
            </w:r>
          </w:p>
        </w:tc>
        <w:tc>
          <w:tcPr>
            <w:tcW w:w="74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D2843B">
            <w:pPr>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bidi="ar"/>
              </w:rPr>
              <w:t>16667</w:t>
            </w:r>
          </w:p>
        </w:tc>
        <w:tc>
          <w:tcPr>
            <w:tcW w:w="12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5DFAE1">
            <w:pPr>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bidi="ar"/>
              </w:rPr>
              <w:t>13870</w:t>
            </w:r>
          </w:p>
        </w:tc>
      </w:tr>
      <w:tr w14:paraId="50F71A63">
        <w:tblPrEx>
          <w:tblCellMar>
            <w:top w:w="0" w:type="dxa"/>
            <w:left w:w="108" w:type="dxa"/>
            <w:bottom w:w="0" w:type="dxa"/>
            <w:right w:w="108" w:type="dxa"/>
          </w:tblCellMar>
        </w:tblPrEx>
        <w:trPr>
          <w:trHeight w:val="295" w:hRule="atLeast"/>
        </w:trPr>
        <w:tc>
          <w:tcPr>
            <w:tcW w:w="41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D733A64">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新城街办</w:t>
            </w:r>
          </w:p>
        </w:tc>
        <w:tc>
          <w:tcPr>
            <w:tcW w:w="79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E007BAD">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27</w:t>
            </w:r>
          </w:p>
        </w:tc>
        <w:tc>
          <w:tcPr>
            <w:tcW w:w="8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9B605D">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106892</w:t>
            </w:r>
          </w:p>
        </w:tc>
        <w:tc>
          <w:tcPr>
            <w:tcW w:w="8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1C7522">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233368</w:t>
            </w:r>
          </w:p>
        </w:tc>
        <w:tc>
          <w:tcPr>
            <w:tcW w:w="8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A7F079">
            <w:pPr>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bidi="ar"/>
              </w:rPr>
              <w:t>65350</w:t>
            </w:r>
          </w:p>
        </w:tc>
        <w:tc>
          <w:tcPr>
            <w:tcW w:w="87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62B3C9">
            <w:pPr>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bidi="ar"/>
              </w:rPr>
              <w:t>204727</w:t>
            </w:r>
          </w:p>
        </w:tc>
        <w:tc>
          <w:tcPr>
            <w:tcW w:w="87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F42611">
            <w:pPr>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9867</w:t>
            </w:r>
          </w:p>
        </w:tc>
        <w:tc>
          <w:tcPr>
            <w:tcW w:w="74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4FDE98">
            <w:pPr>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bidi="ar"/>
              </w:rPr>
              <w:t>8017</w:t>
            </w:r>
          </w:p>
        </w:tc>
        <w:tc>
          <w:tcPr>
            <w:tcW w:w="12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35F031">
            <w:pPr>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bidi="ar"/>
              </w:rPr>
              <w:t>16255</w:t>
            </w:r>
          </w:p>
        </w:tc>
      </w:tr>
      <w:tr w14:paraId="103DB8E4">
        <w:tblPrEx>
          <w:tblCellMar>
            <w:top w:w="0" w:type="dxa"/>
            <w:left w:w="108" w:type="dxa"/>
            <w:bottom w:w="0" w:type="dxa"/>
            <w:right w:w="108" w:type="dxa"/>
          </w:tblCellMar>
        </w:tblPrEx>
        <w:trPr>
          <w:trHeight w:val="295" w:hRule="atLeast"/>
        </w:trPr>
        <w:tc>
          <w:tcPr>
            <w:tcW w:w="41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FA6A37B">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79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16C1B49">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54</w:t>
            </w:r>
          </w:p>
        </w:tc>
        <w:tc>
          <w:tcPr>
            <w:tcW w:w="8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37D2C2">
            <w:pPr>
              <w:jc w:val="right"/>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121055</w:t>
            </w:r>
          </w:p>
        </w:tc>
        <w:tc>
          <w:tcPr>
            <w:tcW w:w="8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0810BC">
            <w:pPr>
              <w:jc w:val="right"/>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281860</w:t>
            </w:r>
          </w:p>
        </w:tc>
        <w:tc>
          <w:tcPr>
            <w:tcW w:w="8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E849F3">
            <w:pPr>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bidi="ar"/>
              </w:rPr>
              <w:t>87575</w:t>
            </w:r>
          </w:p>
        </w:tc>
        <w:tc>
          <w:tcPr>
            <w:tcW w:w="87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7ED294">
            <w:pPr>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bidi="ar"/>
              </w:rPr>
              <w:t>233572</w:t>
            </w:r>
          </w:p>
        </w:tc>
        <w:tc>
          <w:tcPr>
            <w:tcW w:w="87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6CDD7D">
            <w:pPr>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9897</w:t>
            </w:r>
          </w:p>
        </w:tc>
        <w:tc>
          <w:tcPr>
            <w:tcW w:w="74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42E43C">
            <w:pPr>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bidi="ar"/>
              </w:rPr>
              <w:t>43143</w:t>
            </w:r>
          </w:p>
        </w:tc>
        <w:tc>
          <w:tcPr>
            <w:tcW w:w="12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6A0F68">
            <w:pPr>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bidi="ar"/>
              </w:rPr>
              <w:t>15916</w:t>
            </w:r>
          </w:p>
        </w:tc>
      </w:tr>
    </w:tbl>
    <w:p w14:paraId="5AAF8CEB">
      <w:pPr>
        <w:spacing w:line="276" w:lineRule="auto"/>
        <w:jc w:val="both"/>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数据来源：相关镇/街办提供。</w:t>
      </w:r>
    </w:p>
    <w:p w14:paraId="0318B329">
      <w:pPr>
        <w:pStyle w:val="2"/>
        <w:rPr>
          <w:rFonts w:hint="default" w:ascii="Times New Roman" w:hAnsi="Times New Roman" w:eastAsia="宋体" w:cs="Times New Roman"/>
          <w:color w:val="auto"/>
          <w:highlight w:val="none"/>
        </w:rPr>
      </w:pPr>
    </w:p>
    <w:p w14:paraId="7574D2AF">
      <w:pPr>
        <w:spacing w:line="276"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2"/>
          <w:highlight w:val="none"/>
        </w:rPr>
        <w:t>（2）直接受益村/社区</w:t>
      </w:r>
    </w:p>
    <w:p w14:paraId="7E5D2C2C">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 xml:space="preserve">表 </w:t>
      </w:r>
      <w:r>
        <w:rPr>
          <w:rFonts w:hint="default" w:ascii="Times New Roman" w:hAnsi="Times New Roman" w:eastAsia="宋体" w:cs="Times New Roman"/>
          <w:b/>
          <w:bCs/>
          <w:color w:val="auto"/>
          <w:highlight w:val="none"/>
        </w:rPr>
        <w:fldChar w:fldCharType="begin"/>
      </w:r>
      <w:r>
        <w:rPr>
          <w:rFonts w:hint="default" w:ascii="Times New Roman" w:hAnsi="Times New Roman" w:eastAsia="宋体" w:cs="Times New Roman"/>
          <w:b/>
          <w:bCs/>
          <w:color w:val="auto"/>
          <w:highlight w:val="none"/>
        </w:rPr>
        <w:instrText xml:space="preserve"> STYLEREF 1 \s </w:instrText>
      </w:r>
      <w:r>
        <w:rPr>
          <w:rFonts w:hint="default" w:ascii="Times New Roman" w:hAnsi="Times New Roman" w:eastAsia="宋体" w:cs="Times New Roman"/>
          <w:b/>
          <w:bCs/>
          <w:color w:val="auto"/>
          <w:highlight w:val="none"/>
        </w:rPr>
        <w:fldChar w:fldCharType="separate"/>
      </w:r>
      <w:r>
        <w:rPr>
          <w:rFonts w:hint="default" w:ascii="Times New Roman" w:hAnsi="Times New Roman" w:eastAsia="宋体" w:cs="Times New Roman"/>
          <w:b/>
          <w:bCs/>
          <w:color w:val="auto"/>
          <w:highlight w:val="none"/>
        </w:rPr>
        <w:t>2</w:t>
      </w:r>
      <w:r>
        <w:rPr>
          <w:rFonts w:hint="default" w:ascii="Times New Roman" w:hAnsi="Times New Roman" w:eastAsia="宋体" w:cs="Times New Roman"/>
          <w:b/>
          <w:bCs/>
          <w:color w:val="auto"/>
          <w:highlight w:val="none"/>
        </w:rPr>
        <w:fldChar w:fldCharType="end"/>
      </w:r>
      <w:r>
        <w:rPr>
          <w:rFonts w:hint="default" w:ascii="Times New Roman" w:hAnsi="Times New Roman" w:eastAsia="宋体" w:cs="Times New Roman"/>
          <w:b/>
          <w:bCs/>
          <w:color w:val="auto"/>
          <w:highlight w:val="none"/>
        </w:rPr>
        <w:t>-</w:t>
      </w:r>
      <w:r>
        <w:rPr>
          <w:rFonts w:hint="default" w:ascii="Times New Roman" w:hAnsi="Times New Roman" w:eastAsia="宋体" w:cs="Times New Roman"/>
          <w:b/>
          <w:bCs/>
          <w:color w:val="auto"/>
          <w:highlight w:val="none"/>
        </w:rPr>
        <w:fldChar w:fldCharType="begin"/>
      </w:r>
      <w:r>
        <w:rPr>
          <w:rFonts w:hint="default" w:ascii="Times New Roman" w:hAnsi="Times New Roman" w:eastAsia="宋体" w:cs="Times New Roman"/>
          <w:b/>
          <w:bCs/>
          <w:color w:val="auto"/>
          <w:highlight w:val="none"/>
        </w:rPr>
        <w:instrText xml:space="preserve"> SEQ 表 \* ARABIC \s 1 </w:instrText>
      </w:r>
      <w:r>
        <w:rPr>
          <w:rFonts w:hint="default" w:ascii="Times New Roman" w:hAnsi="Times New Roman" w:eastAsia="宋体" w:cs="Times New Roman"/>
          <w:b/>
          <w:bCs/>
          <w:color w:val="auto"/>
          <w:highlight w:val="none"/>
        </w:rPr>
        <w:fldChar w:fldCharType="separate"/>
      </w:r>
      <w:r>
        <w:rPr>
          <w:rFonts w:hint="default" w:ascii="Times New Roman" w:hAnsi="Times New Roman" w:eastAsia="宋体" w:cs="Times New Roman"/>
          <w:b/>
          <w:bCs/>
          <w:color w:val="auto"/>
          <w:highlight w:val="none"/>
        </w:rPr>
        <w:t>3</w:t>
      </w:r>
      <w:r>
        <w:rPr>
          <w:rFonts w:hint="default" w:ascii="Times New Roman" w:hAnsi="Times New Roman" w:eastAsia="宋体" w:cs="Times New Roman"/>
          <w:b/>
          <w:bCs/>
          <w:color w:val="auto"/>
          <w:highlight w:val="none"/>
        </w:rPr>
        <w:fldChar w:fldCharType="end"/>
      </w:r>
      <w:bookmarkStart w:id="129" w:name="_Toc1531"/>
      <w:r>
        <w:rPr>
          <w:rFonts w:hint="default" w:ascii="Times New Roman" w:hAnsi="Times New Roman" w:eastAsia="宋体" w:cs="Times New Roman"/>
          <w:b/>
          <w:bCs/>
          <w:color w:val="auto"/>
          <w:highlight w:val="none"/>
        </w:rPr>
        <w:t xml:space="preserve"> 直接受益村/社区基本情况</w:t>
      </w:r>
      <w:bookmarkEnd w:id="129"/>
    </w:p>
    <w:tbl>
      <w:tblPr>
        <w:tblStyle w:val="43"/>
        <w:tblW w:w="8345" w:type="dxa"/>
        <w:tblInd w:w="96" w:type="dxa"/>
        <w:tblLayout w:type="fixed"/>
        <w:tblCellMar>
          <w:top w:w="0" w:type="dxa"/>
          <w:left w:w="108" w:type="dxa"/>
          <w:bottom w:w="0" w:type="dxa"/>
          <w:right w:w="108" w:type="dxa"/>
        </w:tblCellMar>
      </w:tblPr>
      <w:tblGrid>
        <w:gridCol w:w="1096"/>
        <w:gridCol w:w="943"/>
        <w:gridCol w:w="950"/>
        <w:gridCol w:w="884"/>
        <w:gridCol w:w="1211"/>
        <w:gridCol w:w="971"/>
        <w:gridCol w:w="1058"/>
        <w:gridCol w:w="1232"/>
      </w:tblGrid>
      <w:tr w14:paraId="0863DA70">
        <w:tblPrEx>
          <w:tblCellMar>
            <w:top w:w="0" w:type="dxa"/>
            <w:left w:w="108" w:type="dxa"/>
            <w:bottom w:w="0" w:type="dxa"/>
            <w:right w:w="108" w:type="dxa"/>
          </w:tblCellMar>
        </w:tblPrEx>
        <w:trPr>
          <w:trHeight w:val="591" w:hRule="atLeast"/>
        </w:trPr>
        <w:tc>
          <w:tcPr>
            <w:tcW w:w="1096" w:type="dxa"/>
            <w:vMerge w:val="restart"/>
            <w:tcBorders>
              <w:top w:val="single" w:color="000000" w:sz="8" w:space="0"/>
              <w:left w:val="single" w:color="000000" w:sz="8" w:space="0"/>
              <w:bottom w:val="single" w:color="000000" w:sz="8" w:space="0"/>
              <w:right w:val="single" w:color="000000" w:sz="8" w:space="0"/>
            </w:tcBorders>
            <w:shd w:val="clear" w:color="auto" w:fill="F1F1F1"/>
            <w:vAlign w:val="center"/>
          </w:tcPr>
          <w:p w14:paraId="3046F462">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影响村/社区</w:t>
            </w:r>
          </w:p>
        </w:tc>
        <w:tc>
          <w:tcPr>
            <w:tcW w:w="943" w:type="dxa"/>
            <w:tcBorders>
              <w:top w:val="single" w:color="000000" w:sz="8" w:space="0"/>
              <w:left w:val="single" w:color="000000" w:sz="8" w:space="0"/>
              <w:bottom w:val="single" w:color="000000" w:sz="8" w:space="0"/>
              <w:right w:val="single" w:color="000000" w:sz="8" w:space="0"/>
            </w:tcBorders>
            <w:shd w:val="clear" w:color="auto" w:fill="F1F1F1"/>
            <w:vAlign w:val="center"/>
          </w:tcPr>
          <w:p w14:paraId="03936F81">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总户数</w:t>
            </w:r>
          </w:p>
        </w:tc>
        <w:tc>
          <w:tcPr>
            <w:tcW w:w="950" w:type="dxa"/>
            <w:tcBorders>
              <w:top w:val="single" w:color="000000" w:sz="8" w:space="0"/>
              <w:left w:val="single" w:color="000000" w:sz="8" w:space="0"/>
              <w:bottom w:val="single" w:color="000000" w:sz="8" w:space="0"/>
              <w:right w:val="single" w:color="000000" w:sz="8" w:space="0"/>
            </w:tcBorders>
            <w:shd w:val="clear" w:color="auto" w:fill="F1F1F1"/>
            <w:vAlign w:val="center"/>
          </w:tcPr>
          <w:p w14:paraId="244A9AF5">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总人口</w:t>
            </w:r>
          </w:p>
        </w:tc>
        <w:tc>
          <w:tcPr>
            <w:tcW w:w="884" w:type="dxa"/>
            <w:tcBorders>
              <w:top w:val="single" w:color="000000" w:sz="8" w:space="0"/>
              <w:left w:val="single" w:color="000000" w:sz="8" w:space="0"/>
              <w:bottom w:val="single" w:color="000000" w:sz="8" w:space="0"/>
              <w:right w:val="single" w:color="000000" w:sz="8" w:space="0"/>
            </w:tcBorders>
            <w:shd w:val="clear" w:color="auto" w:fill="F1F1F1"/>
            <w:vAlign w:val="center"/>
          </w:tcPr>
          <w:p w14:paraId="5593788F">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女性人口数</w:t>
            </w:r>
          </w:p>
        </w:tc>
        <w:tc>
          <w:tcPr>
            <w:tcW w:w="1211" w:type="dxa"/>
            <w:tcBorders>
              <w:top w:val="single" w:color="000000" w:sz="8" w:space="0"/>
              <w:left w:val="single" w:color="000000" w:sz="8" w:space="0"/>
              <w:bottom w:val="single" w:color="000000" w:sz="8" w:space="0"/>
              <w:right w:val="single" w:color="000000" w:sz="8" w:space="0"/>
            </w:tcBorders>
            <w:shd w:val="clear" w:color="auto" w:fill="F1F1F1"/>
            <w:vAlign w:val="center"/>
          </w:tcPr>
          <w:p w14:paraId="038E6CA3">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劳动力人数</w:t>
            </w:r>
          </w:p>
        </w:tc>
        <w:tc>
          <w:tcPr>
            <w:tcW w:w="971" w:type="dxa"/>
            <w:tcBorders>
              <w:top w:val="single" w:color="000000" w:sz="8" w:space="0"/>
              <w:left w:val="single" w:color="000000" w:sz="8" w:space="0"/>
              <w:bottom w:val="single" w:color="000000" w:sz="8" w:space="0"/>
              <w:right w:val="single" w:color="000000" w:sz="8" w:space="0"/>
            </w:tcBorders>
            <w:shd w:val="clear" w:color="auto" w:fill="F1F1F1"/>
            <w:vAlign w:val="center"/>
          </w:tcPr>
          <w:p w14:paraId="4AE6EBF8">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少数民族</w:t>
            </w:r>
          </w:p>
        </w:tc>
        <w:tc>
          <w:tcPr>
            <w:tcW w:w="1058" w:type="dxa"/>
            <w:tcBorders>
              <w:top w:val="single" w:color="000000" w:sz="8" w:space="0"/>
              <w:left w:val="single" w:color="000000" w:sz="8" w:space="0"/>
              <w:bottom w:val="single" w:color="000000" w:sz="8" w:space="0"/>
              <w:right w:val="single" w:color="000000" w:sz="8" w:space="0"/>
            </w:tcBorders>
            <w:shd w:val="clear" w:color="auto" w:fill="F1F1F1"/>
            <w:vAlign w:val="center"/>
          </w:tcPr>
          <w:p w14:paraId="7F61E18F">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耕地面积</w:t>
            </w:r>
          </w:p>
        </w:tc>
        <w:tc>
          <w:tcPr>
            <w:tcW w:w="1232" w:type="dxa"/>
            <w:tcBorders>
              <w:top w:val="single" w:color="000000" w:sz="8" w:space="0"/>
              <w:left w:val="single" w:color="000000" w:sz="8" w:space="0"/>
              <w:bottom w:val="single" w:color="000000" w:sz="8" w:space="0"/>
              <w:right w:val="single" w:color="000000" w:sz="8" w:space="0"/>
            </w:tcBorders>
            <w:shd w:val="clear" w:color="auto" w:fill="F1F1F1"/>
            <w:vAlign w:val="center"/>
          </w:tcPr>
          <w:p w14:paraId="1CB56184">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农村居民人均纯收入</w:t>
            </w:r>
          </w:p>
        </w:tc>
      </w:tr>
      <w:tr w14:paraId="197517AF">
        <w:tblPrEx>
          <w:tblCellMar>
            <w:top w:w="0" w:type="dxa"/>
            <w:left w:w="108" w:type="dxa"/>
            <w:bottom w:w="0" w:type="dxa"/>
            <w:right w:w="108" w:type="dxa"/>
          </w:tblCellMar>
        </w:tblPrEx>
        <w:trPr>
          <w:trHeight w:val="303" w:hRule="atLeast"/>
        </w:trPr>
        <w:tc>
          <w:tcPr>
            <w:tcW w:w="1096" w:type="dxa"/>
            <w:vMerge w:val="continue"/>
            <w:tcBorders>
              <w:top w:val="single" w:color="000000" w:sz="8" w:space="0"/>
              <w:left w:val="single" w:color="000000" w:sz="8" w:space="0"/>
              <w:bottom w:val="single" w:color="000000" w:sz="8" w:space="0"/>
              <w:right w:val="single" w:color="000000" w:sz="8" w:space="0"/>
            </w:tcBorders>
            <w:shd w:val="clear" w:color="auto" w:fill="F1F1F1"/>
            <w:vAlign w:val="center"/>
          </w:tcPr>
          <w:p w14:paraId="2344960E">
            <w:pPr>
              <w:jc w:val="center"/>
              <w:rPr>
                <w:rFonts w:hint="default" w:ascii="Times New Roman" w:hAnsi="Times New Roman" w:eastAsia="宋体" w:cs="Times New Roman"/>
                <w:b/>
                <w:bCs/>
                <w:color w:val="auto"/>
                <w:sz w:val="21"/>
                <w:szCs w:val="21"/>
                <w:highlight w:val="none"/>
              </w:rPr>
            </w:pPr>
          </w:p>
        </w:tc>
        <w:tc>
          <w:tcPr>
            <w:tcW w:w="943" w:type="dxa"/>
            <w:tcBorders>
              <w:top w:val="single" w:color="000000" w:sz="8" w:space="0"/>
              <w:left w:val="single" w:color="000000" w:sz="8" w:space="0"/>
              <w:bottom w:val="single" w:color="000000" w:sz="8" w:space="0"/>
              <w:right w:val="single" w:color="000000" w:sz="8" w:space="0"/>
            </w:tcBorders>
            <w:shd w:val="clear" w:color="auto" w:fill="F1F1F1"/>
            <w:vAlign w:val="center"/>
          </w:tcPr>
          <w:p w14:paraId="7B9818AC">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户</w:t>
            </w:r>
          </w:p>
        </w:tc>
        <w:tc>
          <w:tcPr>
            <w:tcW w:w="950" w:type="dxa"/>
            <w:tcBorders>
              <w:top w:val="single" w:color="000000" w:sz="8" w:space="0"/>
              <w:left w:val="single" w:color="000000" w:sz="8" w:space="0"/>
              <w:bottom w:val="single" w:color="000000" w:sz="8" w:space="0"/>
              <w:right w:val="single" w:color="000000" w:sz="8" w:space="0"/>
            </w:tcBorders>
            <w:shd w:val="clear" w:color="auto" w:fill="F1F1F1"/>
            <w:vAlign w:val="center"/>
          </w:tcPr>
          <w:p w14:paraId="45B3F15B">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人</w:t>
            </w:r>
          </w:p>
        </w:tc>
        <w:tc>
          <w:tcPr>
            <w:tcW w:w="884" w:type="dxa"/>
            <w:tcBorders>
              <w:top w:val="single" w:color="000000" w:sz="8" w:space="0"/>
              <w:left w:val="single" w:color="000000" w:sz="8" w:space="0"/>
              <w:bottom w:val="single" w:color="000000" w:sz="8" w:space="0"/>
              <w:right w:val="single" w:color="000000" w:sz="8" w:space="0"/>
            </w:tcBorders>
            <w:shd w:val="clear" w:color="auto" w:fill="F1F1F1"/>
            <w:vAlign w:val="center"/>
          </w:tcPr>
          <w:p w14:paraId="69BAE678">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人</w:t>
            </w:r>
          </w:p>
        </w:tc>
        <w:tc>
          <w:tcPr>
            <w:tcW w:w="1211" w:type="dxa"/>
            <w:tcBorders>
              <w:top w:val="single" w:color="000000" w:sz="8" w:space="0"/>
              <w:left w:val="single" w:color="000000" w:sz="8" w:space="0"/>
              <w:bottom w:val="single" w:color="000000" w:sz="8" w:space="0"/>
              <w:right w:val="single" w:color="000000" w:sz="8" w:space="0"/>
            </w:tcBorders>
            <w:shd w:val="clear" w:color="auto" w:fill="F1F1F1"/>
            <w:vAlign w:val="center"/>
          </w:tcPr>
          <w:p w14:paraId="719E8201">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人</w:t>
            </w:r>
          </w:p>
        </w:tc>
        <w:tc>
          <w:tcPr>
            <w:tcW w:w="971" w:type="dxa"/>
            <w:tcBorders>
              <w:top w:val="single" w:color="000000" w:sz="8" w:space="0"/>
              <w:left w:val="single" w:color="000000" w:sz="8" w:space="0"/>
              <w:bottom w:val="single" w:color="000000" w:sz="8" w:space="0"/>
              <w:right w:val="single" w:color="000000" w:sz="8" w:space="0"/>
            </w:tcBorders>
            <w:shd w:val="clear" w:color="auto" w:fill="F1F1F1"/>
            <w:vAlign w:val="center"/>
          </w:tcPr>
          <w:p w14:paraId="6CBEB982">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人</w:t>
            </w:r>
          </w:p>
        </w:tc>
        <w:tc>
          <w:tcPr>
            <w:tcW w:w="1058" w:type="dxa"/>
            <w:tcBorders>
              <w:top w:val="single" w:color="000000" w:sz="8" w:space="0"/>
              <w:left w:val="single" w:color="000000" w:sz="8" w:space="0"/>
              <w:bottom w:val="single" w:color="000000" w:sz="8" w:space="0"/>
              <w:right w:val="single" w:color="000000" w:sz="8" w:space="0"/>
            </w:tcBorders>
            <w:shd w:val="clear" w:color="auto" w:fill="F1F1F1"/>
            <w:vAlign w:val="center"/>
          </w:tcPr>
          <w:p w14:paraId="631553D1">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亩</w:t>
            </w:r>
          </w:p>
        </w:tc>
        <w:tc>
          <w:tcPr>
            <w:tcW w:w="1232" w:type="dxa"/>
            <w:tcBorders>
              <w:top w:val="single" w:color="000000" w:sz="8" w:space="0"/>
              <w:left w:val="single" w:color="000000" w:sz="8" w:space="0"/>
              <w:bottom w:val="single" w:color="000000" w:sz="8" w:space="0"/>
              <w:right w:val="single" w:color="000000" w:sz="8" w:space="0"/>
            </w:tcBorders>
            <w:shd w:val="clear" w:color="auto" w:fill="F1F1F1"/>
            <w:vAlign w:val="center"/>
          </w:tcPr>
          <w:p w14:paraId="4E4AE28E">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元/年</w:t>
            </w:r>
          </w:p>
        </w:tc>
      </w:tr>
      <w:tr w14:paraId="03D8013D">
        <w:tblPrEx>
          <w:tblCellMar>
            <w:top w:w="0" w:type="dxa"/>
            <w:left w:w="108" w:type="dxa"/>
            <w:bottom w:w="0" w:type="dxa"/>
            <w:right w:w="108" w:type="dxa"/>
          </w:tblCellMar>
        </w:tblPrEx>
        <w:trPr>
          <w:trHeight w:val="327" w:hRule="atLeast"/>
        </w:trPr>
        <w:tc>
          <w:tcPr>
            <w:tcW w:w="109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690F33">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立石村</w:t>
            </w:r>
          </w:p>
        </w:tc>
        <w:tc>
          <w:tcPr>
            <w:tcW w:w="9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E66DCC7">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436</w:t>
            </w:r>
          </w:p>
        </w:tc>
        <w:tc>
          <w:tcPr>
            <w:tcW w:w="95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19D3055">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1693</w:t>
            </w:r>
          </w:p>
        </w:tc>
        <w:tc>
          <w:tcPr>
            <w:tcW w:w="8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F485717">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685</w:t>
            </w:r>
          </w:p>
        </w:tc>
        <w:tc>
          <w:tcPr>
            <w:tcW w:w="121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F89B594">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960</w:t>
            </w:r>
          </w:p>
        </w:tc>
        <w:tc>
          <w:tcPr>
            <w:tcW w:w="97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86F2DF9">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0</w:t>
            </w:r>
          </w:p>
        </w:tc>
        <w:tc>
          <w:tcPr>
            <w:tcW w:w="105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DFD5137">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850</w:t>
            </w:r>
          </w:p>
        </w:tc>
        <w:tc>
          <w:tcPr>
            <w:tcW w:w="123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B57BCCD">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13350</w:t>
            </w:r>
          </w:p>
        </w:tc>
      </w:tr>
      <w:tr w14:paraId="5D0B2E17">
        <w:tblPrEx>
          <w:tblCellMar>
            <w:top w:w="0" w:type="dxa"/>
            <w:left w:w="108" w:type="dxa"/>
            <w:bottom w:w="0" w:type="dxa"/>
            <w:right w:w="108" w:type="dxa"/>
          </w:tblCellMar>
        </w:tblPrEx>
        <w:trPr>
          <w:trHeight w:val="327" w:hRule="atLeast"/>
        </w:trPr>
        <w:tc>
          <w:tcPr>
            <w:tcW w:w="109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05DA1E4">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双井村</w:t>
            </w:r>
          </w:p>
        </w:tc>
        <w:tc>
          <w:tcPr>
            <w:tcW w:w="9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C9825CA">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440</w:t>
            </w:r>
          </w:p>
        </w:tc>
        <w:tc>
          <w:tcPr>
            <w:tcW w:w="95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DBD033E">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1459</w:t>
            </w:r>
          </w:p>
        </w:tc>
        <w:tc>
          <w:tcPr>
            <w:tcW w:w="8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91653A8">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576</w:t>
            </w:r>
          </w:p>
        </w:tc>
        <w:tc>
          <w:tcPr>
            <w:tcW w:w="121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9624CF">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980</w:t>
            </w:r>
          </w:p>
        </w:tc>
        <w:tc>
          <w:tcPr>
            <w:tcW w:w="97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00B77F">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0</w:t>
            </w:r>
          </w:p>
        </w:tc>
        <w:tc>
          <w:tcPr>
            <w:tcW w:w="105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E3BCED1">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570</w:t>
            </w:r>
          </w:p>
        </w:tc>
        <w:tc>
          <w:tcPr>
            <w:tcW w:w="123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B3FEBF8">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14290</w:t>
            </w:r>
          </w:p>
        </w:tc>
      </w:tr>
      <w:tr w14:paraId="1F78C130">
        <w:tblPrEx>
          <w:tblCellMar>
            <w:top w:w="0" w:type="dxa"/>
            <w:left w:w="108" w:type="dxa"/>
            <w:bottom w:w="0" w:type="dxa"/>
            <w:right w:w="108" w:type="dxa"/>
          </w:tblCellMar>
        </w:tblPrEx>
        <w:trPr>
          <w:trHeight w:val="327" w:hRule="atLeast"/>
        </w:trPr>
        <w:tc>
          <w:tcPr>
            <w:tcW w:w="109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14ED996">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奠安村</w:t>
            </w:r>
          </w:p>
        </w:tc>
        <w:tc>
          <w:tcPr>
            <w:tcW w:w="9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8AB5A05">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432</w:t>
            </w:r>
          </w:p>
        </w:tc>
        <w:tc>
          <w:tcPr>
            <w:tcW w:w="95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27BD9B0">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1588</w:t>
            </w:r>
          </w:p>
        </w:tc>
        <w:tc>
          <w:tcPr>
            <w:tcW w:w="8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C6521B7">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723</w:t>
            </w:r>
          </w:p>
        </w:tc>
        <w:tc>
          <w:tcPr>
            <w:tcW w:w="121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3B6AB35">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894</w:t>
            </w:r>
          </w:p>
        </w:tc>
        <w:tc>
          <w:tcPr>
            <w:tcW w:w="97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B06EEA4">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w:t>
            </w:r>
          </w:p>
        </w:tc>
        <w:tc>
          <w:tcPr>
            <w:tcW w:w="105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03FAD7C">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500</w:t>
            </w:r>
          </w:p>
        </w:tc>
        <w:tc>
          <w:tcPr>
            <w:tcW w:w="123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1093438">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16788</w:t>
            </w:r>
          </w:p>
        </w:tc>
      </w:tr>
      <w:tr w14:paraId="277560B1">
        <w:tblPrEx>
          <w:tblCellMar>
            <w:top w:w="0" w:type="dxa"/>
            <w:left w:w="108" w:type="dxa"/>
            <w:bottom w:w="0" w:type="dxa"/>
            <w:right w:w="108" w:type="dxa"/>
          </w:tblCellMar>
        </w:tblPrEx>
        <w:trPr>
          <w:trHeight w:val="296" w:hRule="atLeast"/>
        </w:trPr>
        <w:tc>
          <w:tcPr>
            <w:tcW w:w="109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DDCE141">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王湾村</w:t>
            </w:r>
          </w:p>
        </w:tc>
        <w:tc>
          <w:tcPr>
            <w:tcW w:w="9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7C7E4FC">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453</w:t>
            </w:r>
          </w:p>
        </w:tc>
        <w:tc>
          <w:tcPr>
            <w:tcW w:w="95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935AA10">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1858</w:t>
            </w:r>
          </w:p>
        </w:tc>
        <w:tc>
          <w:tcPr>
            <w:tcW w:w="8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725EA39">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937</w:t>
            </w:r>
          </w:p>
        </w:tc>
        <w:tc>
          <w:tcPr>
            <w:tcW w:w="121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9FC29F9">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1288</w:t>
            </w:r>
          </w:p>
        </w:tc>
        <w:tc>
          <w:tcPr>
            <w:tcW w:w="97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892CF9C">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0</w:t>
            </w:r>
          </w:p>
        </w:tc>
        <w:tc>
          <w:tcPr>
            <w:tcW w:w="105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9963C0E">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667</w:t>
            </w:r>
          </w:p>
        </w:tc>
        <w:tc>
          <w:tcPr>
            <w:tcW w:w="123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E652A7C">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15763</w:t>
            </w:r>
          </w:p>
        </w:tc>
      </w:tr>
      <w:tr w14:paraId="53F30A49">
        <w:tblPrEx>
          <w:tblCellMar>
            <w:top w:w="0" w:type="dxa"/>
            <w:left w:w="108" w:type="dxa"/>
            <w:bottom w:w="0" w:type="dxa"/>
            <w:right w:w="108" w:type="dxa"/>
          </w:tblCellMar>
        </w:tblPrEx>
        <w:trPr>
          <w:trHeight w:val="327" w:hRule="atLeast"/>
        </w:trPr>
        <w:tc>
          <w:tcPr>
            <w:tcW w:w="109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B3D08D6">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后堰村</w:t>
            </w:r>
          </w:p>
        </w:tc>
        <w:tc>
          <w:tcPr>
            <w:tcW w:w="9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58A8200">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471</w:t>
            </w:r>
          </w:p>
        </w:tc>
        <w:tc>
          <w:tcPr>
            <w:tcW w:w="95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CFED991">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1848</w:t>
            </w:r>
          </w:p>
        </w:tc>
        <w:tc>
          <w:tcPr>
            <w:tcW w:w="8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3BEBBBB">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958</w:t>
            </w:r>
          </w:p>
        </w:tc>
        <w:tc>
          <w:tcPr>
            <w:tcW w:w="121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7B04352">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1042</w:t>
            </w:r>
          </w:p>
        </w:tc>
        <w:tc>
          <w:tcPr>
            <w:tcW w:w="97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B88CA11">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2</w:t>
            </w:r>
          </w:p>
        </w:tc>
        <w:tc>
          <w:tcPr>
            <w:tcW w:w="105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F037EC6">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850</w:t>
            </w:r>
          </w:p>
        </w:tc>
        <w:tc>
          <w:tcPr>
            <w:tcW w:w="123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1846D2A">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16042</w:t>
            </w:r>
          </w:p>
        </w:tc>
      </w:tr>
      <w:tr w14:paraId="2B4C1E90">
        <w:tblPrEx>
          <w:tblCellMar>
            <w:top w:w="0" w:type="dxa"/>
            <w:left w:w="108" w:type="dxa"/>
            <w:bottom w:w="0" w:type="dxa"/>
            <w:right w:w="108" w:type="dxa"/>
          </w:tblCellMar>
        </w:tblPrEx>
        <w:trPr>
          <w:trHeight w:val="327" w:hRule="atLeast"/>
        </w:trPr>
        <w:tc>
          <w:tcPr>
            <w:tcW w:w="109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0D69D45">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兰沟村</w:t>
            </w:r>
          </w:p>
        </w:tc>
        <w:tc>
          <w:tcPr>
            <w:tcW w:w="9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6C1AFF0">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583</w:t>
            </w:r>
          </w:p>
        </w:tc>
        <w:tc>
          <w:tcPr>
            <w:tcW w:w="95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2F5FB45">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1913</w:t>
            </w:r>
          </w:p>
        </w:tc>
        <w:tc>
          <w:tcPr>
            <w:tcW w:w="8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024593">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931</w:t>
            </w:r>
          </w:p>
        </w:tc>
        <w:tc>
          <w:tcPr>
            <w:tcW w:w="121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9E3C858">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956</w:t>
            </w:r>
          </w:p>
        </w:tc>
        <w:tc>
          <w:tcPr>
            <w:tcW w:w="97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5664849">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w:t>
            </w:r>
          </w:p>
        </w:tc>
        <w:tc>
          <w:tcPr>
            <w:tcW w:w="105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D20FB3">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1230</w:t>
            </w:r>
          </w:p>
        </w:tc>
        <w:tc>
          <w:tcPr>
            <w:tcW w:w="123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5733739">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12687</w:t>
            </w:r>
          </w:p>
        </w:tc>
      </w:tr>
      <w:tr w14:paraId="45F5FA5D">
        <w:tblPrEx>
          <w:tblCellMar>
            <w:top w:w="0" w:type="dxa"/>
            <w:left w:w="108" w:type="dxa"/>
            <w:bottom w:w="0" w:type="dxa"/>
            <w:right w:w="108" w:type="dxa"/>
          </w:tblCellMar>
        </w:tblPrEx>
        <w:trPr>
          <w:trHeight w:val="327" w:hRule="atLeast"/>
        </w:trPr>
        <w:tc>
          <w:tcPr>
            <w:tcW w:w="109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0FD3552">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邹坡村</w:t>
            </w:r>
          </w:p>
        </w:tc>
        <w:tc>
          <w:tcPr>
            <w:tcW w:w="943"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6109DE3B">
            <w:pPr>
              <w:jc w:val="right"/>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566</w:t>
            </w:r>
          </w:p>
        </w:tc>
        <w:tc>
          <w:tcPr>
            <w:tcW w:w="950"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4B9D0D56">
            <w:pPr>
              <w:jc w:val="right"/>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2300</w:t>
            </w:r>
          </w:p>
        </w:tc>
        <w:tc>
          <w:tcPr>
            <w:tcW w:w="88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5B584F7C">
            <w:pPr>
              <w:jc w:val="right"/>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1127</w:t>
            </w:r>
          </w:p>
        </w:tc>
        <w:tc>
          <w:tcPr>
            <w:tcW w:w="1211"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1386F14B">
            <w:pPr>
              <w:jc w:val="right"/>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1340</w:t>
            </w:r>
          </w:p>
        </w:tc>
        <w:tc>
          <w:tcPr>
            <w:tcW w:w="971"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1AB4720F">
            <w:pPr>
              <w:jc w:val="right"/>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0</w:t>
            </w:r>
          </w:p>
        </w:tc>
        <w:tc>
          <w:tcPr>
            <w:tcW w:w="1058"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3FE2B4D2">
            <w:pPr>
              <w:jc w:val="right"/>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2192</w:t>
            </w:r>
          </w:p>
        </w:tc>
        <w:tc>
          <w:tcPr>
            <w:tcW w:w="1232"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28F611B6">
            <w:pPr>
              <w:jc w:val="right"/>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12736</w:t>
            </w:r>
          </w:p>
        </w:tc>
      </w:tr>
      <w:tr w14:paraId="6462836C">
        <w:tblPrEx>
          <w:tblCellMar>
            <w:top w:w="0" w:type="dxa"/>
            <w:left w:w="108" w:type="dxa"/>
            <w:bottom w:w="0" w:type="dxa"/>
            <w:right w:w="108" w:type="dxa"/>
          </w:tblCellMar>
        </w:tblPrEx>
        <w:trPr>
          <w:trHeight w:val="327" w:hRule="atLeast"/>
        </w:trPr>
        <w:tc>
          <w:tcPr>
            <w:tcW w:w="109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3CFA0EC">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汪岭社区</w:t>
            </w:r>
          </w:p>
        </w:tc>
        <w:tc>
          <w:tcPr>
            <w:tcW w:w="943"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57D5F43F">
            <w:pPr>
              <w:jc w:val="right"/>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889</w:t>
            </w:r>
          </w:p>
        </w:tc>
        <w:tc>
          <w:tcPr>
            <w:tcW w:w="950"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25289AE7">
            <w:pPr>
              <w:jc w:val="right"/>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3304</w:t>
            </w:r>
          </w:p>
        </w:tc>
        <w:tc>
          <w:tcPr>
            <w:tcW w:w="88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58B63C1F">
            <w:pPr>
              <w:jc w:val="right"/>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1608</w:t>
            </w:r>
          </w:p>
        </w:tc>
        <w:tc>
          <w:tcPr>
            <w:tcW w:w="1211"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21E9B4FA">
            <w:pPr>
              <w:jc w:val="right"/>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2313</w:t>
            </w:r>
          </w:p>
        </w:tc>
        <w:tc>
          <w:tcPr>
            <w:tcW w:w="971"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3E800B4C">
            <w:pPr>
              <w:jc w:val="right"/>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w:t>
            </w:r>
          </w:p>
        </w:tc>
        <w:tc>
          <w:tcPr>
            <w:tcW w:w="1058"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33D514C0">
            <w:pPr>
              <w:jc w:val="right"/>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1917</w:t>
            </w:r>
          </w:p>
        </w:tc>
        <w:tc>
          <w:tcPr>
            <w:tcW w:w="1232"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45DB988B">
            <w:pPr>
              <w:jc w:val="right"/>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15080</w:t>
            </w:r>
          </w:p>
        </w:tc>
      </w:tr>
      <w:tr w14:paraId="7C7F883A">
        <w:tblPrEx>
          <w:tblCellMar>
            <w:top w:w="0" w:type="dxa"/>
            <w:left w:w="108" w:type="dxa"/>
            <w:bottom w:w="0" w:type="dxa"/>
            <w:right w:w="108" w:type="dxa"/>
          </w:tblCellMar>
        </w:tblPrEx>
        <w:trPr>
          <w:trHeight w:val="327" w:hRule="atLeast"/>
        </w:trPr>
        <w:tc>
          <w:tcPr>
            <w:tcW w:w="109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DAA4156">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张滩社区</w:t>
            </w:r>
          </w:p>
        </w:tc>
        <w:tc>
          <w:tcPr>
            <w:tcW w:w="9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BE9DF58">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868</w:t>
            </w:r>
          </w:p>
        </w:tc>
        <w:tc>
          <w:tcPr>
            <w:tcW w:w="95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90381A2">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2990</w:t>
            </w:r>
          </w:p>
        </w:tc>
        <w:tc>
          <w:tcPr>
            <w:tcW w:w="8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5D99100">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1812</w:t>
            </w:r>
          </w:p>
        </w:tc>
        <w:tc>
          <w:tcPr>
            <w:tcW w:w="121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B2BE5B3">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1980</w:t>
            </w:r>
          </w:p>
        </w:tc>
        <w:tc>
          <w:tcPr>
            <w:tcW w:w="97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5A8179C">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12</w:t>
            </w:r>
          </w:p>
        </w:tc>
        <w:tc>
          <w:tcPr>
            <w:tcW w:w="105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D1E8688">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1987</w:t>
            </w:r>
          </w:p>
        </w:tc>
        <w:tc>
          <w:tcPr>
            <w:tcW w:w="1232"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36918526">
            <w:pPr>
              <w:jc w:val="right"/>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15465</w:t>
            </w:r>
          </w:p>
        </w:tc>
      </w:tr>
      <w:tr w14:paraId="52D2573F">
        <w:tblPrEx>
          <w:tblCellMar>
            <w:top w:w="0" w:type="dxa"/>
            <w:left w:w="108" w:type="dxa"/>
            <w:bottom w:w="0" w:type="dxa"/>
            <w:right w:w="108" w:type="dxa"/>
          </w:tblCellMar>
        </w:tblPrEx>
        <w:trPr>
          <w:trHeight w:val="303" w:hRule="atLeast"/>
        </w:trPr>
        <w:tc>
          <w:tcPr>
            <w:tcW w:w="109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FC8F6C0">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杨寇村</w:t>
            </w:r>
          </w:p>
        </w:tc>
        <w:tc>
          <w:tcPr>
            <w:tcW w:w="9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47742AC">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423</w:t>
            </w:r>
          </w:p>
        </w:tc>
        <w:tc>
          <w:tcPr>
            <w:tcW w:w="95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BD6E5C6">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1349</w:t>
            </w:r>
          </w:p>
        </w:tc>
        <w:tc>
          <w:tcPr>
            <w:tcW w:w="8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6A4114E">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740</w:t>
            </w:r>
          </w:p>
        </w:tc>
        <w:tc>
          <w:tcPr>
            <w:tcW w:w="121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970FB5D">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772</w:t>
            </w:r>
          </w:p>
        </w:tc>
        <w:tc>
          <w:tcPr>
            <w:tcW w:w="97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655100A">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0</w:t>
            </w:r>
          </w:p>
        </w:tc>
        <w:tc>
          <w:tcPr>
            <w:tcW w:w="105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BB4FB9E">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6780</w:t>
            </w:r>
          </w:p>
        </w:tc>
        <w:tc>
          <w:tcPr>
            <w:tcW w:w="1232"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5E3FCE89">
            <w:pPr>
              <w:jc w:val="right"/>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10700</w:t>
            </w:r>
          </w:p>
        </w:tc>
      </w:tr>
      <w:tr w14:paraId="691DF86F">
        <w:tblPrEx>
          <w:tblCellMar>
            <w:top w:w="0" w:type="dxa"/>
            <w:left w:w="108" w:type="dxa"/>
            <w:bottom w:w="0" w:type="dxa"/>
            <w:right w:w="108" w:type="dxa"/>
          </w:tblCellMar>
        </w:tblPrEx>
        <w:trPr>
          <w:trHeight w:val="291" w:hRule="atLeast"/>
        </w:trPr>
        <w:tc>
          <w:tcPr>
            <w:tcW w:w="1096"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4A6F69BB">
            <w:pPr>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九条沟村</w:t>
            </w:r>
          </w:p>
        </w:tc>
        <w:tc>
          <w:tcPr>
            <w:tcW w:w="943"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38B08043">
            <w:pPr>
              <w:jc w:val="right"/>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297</w:t>
            </w:r>
          </w:p>
        </w:tc>
        <w:tc>
          <w:tcPr>
            <w:tcW w:w="950"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4A78D984">
            <w:pPr>
              <w:jc w:val="right"/>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972</w:t>
            </w:r>
          </w:p>
        </w:tc>
        <w:tc>
          <w:tcPr>
            <w:tcW w:w="88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11861F66">
            <w:pPr>
              <w:jc w:val="right"/>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459</w:t>
            </w:r>
          </w:p>
        </w:tc>
        <w:tc>
          <w:tcPr>
            <w:tcW w:w="1211"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33576888">
            <w:pPr>
              <w:jc w:val="right"/>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615</w:t>
            </w:r>
          </w:p>
        </w:tc>
        <w:tc>
          <w:tcPr>
            <w:tcW w:w="971"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7236FE25">
            <w:pPr>
              <w:jc w:val="right"/>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w:t>
            </w:r>
          </w:p>
        </w:tc>
        <w:tc>
          <w:tcPr>
            <w:tcW w:w="1058"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7466C657">
            <w:pPr>
              <w:jc w:val="right"/>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1109</w:t>
            </w:r>
          </w:p>
        </w:tc>
        <w:tc>
          <w:tcPr>
            <w:tcW w:w="1232"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760A3F20">
            <w:pPr>
              <w:jc w:val="right"/>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11007</w:t>
            </w:r>
          </w:p>
        </w:tc>
      </w:tr>
      <w:tr w14:paraId="31CDAC18">
        <w:tblPrEx>
          <w:tblCellMar>
            <w:top w:w="0" w:type="dxa"/>
            <w:left w:w="108" w:type="dxa"/>
            <w:bottom w:w="0" w:type="dxa"/>
            <w:right w:w="108" w:type="dxa"/>
          </w:tblCellMar>
        </w:tblPrEx>
        <w:trPr>
          <w:trHeight w:val="291" w:hRule="atLeast"/>
        </w:trPr>
        <w:tc>
          <w:tcPr>
            <w:tcW w:w="1096"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0DFA516C">
            <w:pPr>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大树岭村</w:t>
            </w:r>
          </w:p>
        </w:tc>
        <w:tc>
          <w:tcPr>
            <w:tcW w:w="943"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7B2AA84E">
            <w:pPr>
              <w:jc w:val="right"/>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1147</w:t>
            </w:r>
          </w:p>
        </w:tc>
        <w:tc>
          <w:tcPr>
            <w:tcW w:w="950"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1A96DD03">
            <w:pPr>
              <w:jc w:val="right"/>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4139</w:t>
            </w:r>
          </w:p>
        </w:tc>
        <w:tc>
          <w:tcPr>
            <w:tcW w:w="88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2B1BE600">
            <w:pPr>
              <w:jc w:val="right"/>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1989</w:t>
            </w:r>
          </w:p>
        </w:tc>
        <w:tc>
          <w:tcPr>
            <w:tcW w:w="1211"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3F63D7A5">
            <w:pPr>
              <w:jc w:val="right"/>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2154</w:t>
            </w:r>
          </w:p>
        </w:tc>
        <w:tc>
          <w:tcPr>
            <w:tcW w:w="971"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3BBC0F82">
            <w:pPr>
              <w:jc w:val="right"/>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0</w:t>
            </w:r>
          </w:p>
        </w:tc>
        <w:tc>
          <w:tcPr>
            <w:tcW w:w="1058"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3BBC73A6">
            <w:pPr>
              <w:jc w:val="right"/>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550</w:t>
            </w:r>
          </w:p>
        </w:tc>
        <w:tc>
          <w:tcPr>
            <w:tcW w:w="1232"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0348F9DD">
            <w:pPr>
              <w:jc w:val="right"/>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18800</w:t>
            </w:r>
          </w:p>
        </w:tc>
      </w:tr>
      <w:tr w14:paraId="74D88402">
        <w:tblPrEx>
          <w:tblCellMar>
            <w:top w:w="0" w:type="dxa"/>
            <w:left w:w="108" w:type="dxa"/>
            <w:bottom w:w="0" w:type="dxa"/>
            <w:right w:w="108" w:type="dxa"/>
          </w:tblCellMar>
        </w:tblPrEx>
        <w:trPr>
          <w:trHeight w:val="291" w:hRule="atLeast"/>
        </w:trPr>
        <w:tc>
          <w:tcPr>
            <w:tcW w:w="1096"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1047CDF2">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合计</w:t>
            </w:r>
          </w:p>
        </w:tc>
        <w:tc>
          <w:tcPr>
            <w:tcW w:w="943"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4BF04F1F">
            <w:pPr>
              <w:jc w:val="right"/>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7005</w:t>
            </w:r>
          </w:p>
        </w:tc>
        <w:tc>
          <w:tcPr>
            <w:tcW w:w="950"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51162F3F">
            <w:pPr>
              <w:jc w:val="right"/>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25413</w:t>
            </w:r>
          </w:p>
        </w:tc>
        <w:tc>
          <w:tcPr>
            <w:tcW w:w="88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3DBB525B">
            <w:pPr>
              <w:jc w:val="right"/>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12545</w:t>
            </w:r>
          </w:p>
        </w:tc>
        <w:tc>
          <w:tcPr>
            <w:tcW w:w="1211"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190B160F">
            <w:pPr>
              <w:jc w:val="right"/>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15294</w:t>
            </w:r>
          </w:p>
        </w:tc>
        <w:tc>
          <w:tcPr>
            <w:tcW w:w="971"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144EA043">
            <w:pPr>
              <w:jc w:val="right"/>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color w:val="auto"/>
                <w:sz w:val="22"/>
                <w:szCs w:val="22"/>
                <w:highlight w:val="none"/>
                <w:lang w:bidi="ar"/>
              </w:rPr>
              <w:t>18</w:t>
            </w:r>
          </w:p>
        </w:tc>
        <w:tc>
          <w:tcPr>
            <w:tcW w:w="1058"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33B9CB53">
            <w:pPr>
              <w:jc w:val="right"/>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19202</w:t>
            </w:r>
          </w:p>
        </w:tc>
        <w:tc>
          <w:tcPr>
            <w:tcW w:w="1232"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63314984">
            <w:pPr>
              <w:jc w:val="right"/>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15017</w:t>
            </w:r>
          </w:p>
        </w:tc>
      </w:tr>
    </w:tbl>
    <w:p w14:paraId="77E0314F">
      <w:pP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数据来源：相关村委会提供。</w:t>
      </w:r>
    </w:p>
    <w:p w14:paraId="76E66963">
      <w:pPr>
        <w:spacing w:before="120" w:after="120" w:line="300" w:lineRule="auto"/>
        <w:ind w:firstLine="482" w:firstLineChars="200"/>
        <w:jc w:val="both"/>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（3）少数民族状况</w:t>
      </w:r>
    </w:p>
    <w:p w14:paraId="7D63E769">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社会经济调查及相关部门访谈，本项目直接受益村/社区少数民族人口仅为18人，具体数据表2-3。项目征地拆迁影响不涉及少数民族家庭，所以项目的实施不会对这些少数民族的生产和生活设施产生直接的负面影响。而且在项目建成后，当地的基础设施条件和人居环境得到很大改善，因此项目建设对地方经济发展，提高当地群众包括少数民族的生产、生活条件。这些少数民族和其他人口群体一样，都是项目建设的受益者。</w:t>
      </w:r>
    </w:p>
    <w:p w14:paraId="54245738">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调查显示，这些零星分布在直接受益村或社区的少数民族由于历史原因移居到此生活的，目前主要从事小本经营活动，其生活、生产对土地的依附性很小。虽然他们的宗教和一些饮食习惯还呈现某些民族特点，但总体上讲在长期与汉族聚居的过程中他们的语言、文化、以及一些生活习惯与当地的汉族已没有明显差异。根据亚投行ESS3中的描述，可以看出影响区内的少数民族不属于ESS3定义的土著居民范畴，所以项目不需要制定专门的少数民族计划。</w:t>
      </w:r>
    </w:p>
    <w:p w14:paraId="262316C9">
      <w:pPr>
        <w:pStyle w:val="4"/>
        <w:spacing w:before="120" w:after="240"/>
        <w:rPr>
          <w:rFonts w:hint="default" w:ascii="Times New Roman" w:hAnsi="Times New Roman" w:eastAsia="宋体" w:cs="Times New Roman"/>
          <w:color w:val="auto"/>
          <w:szCs w:val="24"/>
          <w:highlight w:val="none"/>
        </w:rPr>
      </w:pPr>
      <w:bookmarkStart w:id="130" w:name="_Toc114673075"/>
      <w:bookmarkStart w:id="131" w:name="_Toc22898"/>
      <w:r>
        <w:rPr>
          <w:rFonts w:hint="default" w:ascii="Times New Roman" w:hAnsi="Times New Roman" w:eastAsia="宋体" w:cs="Times New Roman"/>
          <w:color w:val="auto"/>
          <w:szCs w:val="24"/>
          <w:highlight w:val="none"/>
        </w:rPr>
        <w:t>问卷调查</w:t>
      </w:r>
      <w:bookmarkEnd w:id="127"/>
      <w:bookmarkEnd w:id="130"/>
      <w:bookmarkEnd w:id="131"/>
    </w:p>
    <w:p w14:paraId="3E1B4683">
      <w:pPr>
        <w:pStyle w:val="5"/>
        <w:spacing w:before="120"/>
        <w:rPr>
          <w:rFonts w:hint="default" w:ascii="Times New Roman" w:hAnsi="Times New Roman" w:eastAsia="宋体" w:cs="Times New Roman"/>
          <w:color w:val="auto"/>
          <w:highlight w:val="none"/>
        </w:rPr>
      </w:pPr>
      <w:bookmarkStart w:id="132" w:name="_Toc624"/>
      <w:r>
        <w:rPr>
          <w:rFonts w:hint="default" w:ascii="Times New Roman" w:hAnsi="Times New Roman" w:eastAsia="宋体" w:cs="Times New Roman"/>
          <w:color w:val="auto"/>
          <w:highlight w:val="none"/>
        </w:rPr>
        <w:t>问卷调查范围</w:t>
      </w:r>
      <w:bookmarkEnd w:id="132"/>
    </w:p>
    <w:p w14:paraId="0CAB8134">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社评咨询专家在项目办的协调支持下，还开展了针对项目影响的汉滨区张滩镇9个村/社区、石梯镇3个村以及新城街办2个村/社区农户的问卷调查，了解受益村镇居民对项目建设内容、潜在的社会风险、征地意愿等的看法和建议。问卷调查见附件1。</w:t>
      </w:r>
    </w:p>
    <w:p w14:paraId="3FAE2095">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社评单位在2023年3月~7月开展了两次随机抽样问卷调查，第一次针对征迁影响户进行，第二次针对非征迁影响户进行。调查对象的选择采取随机调查抽样的方式进行。两次问卷调查共收到760份问卷，其中</w:t>
      </w:r>
      <w:r>
        <w:rPr>
          <w:rFonts w:hint="default" w:ascii="Times New Roman" w:hAnsi="Times New Roman" w:eastAsia="宋体" w:cs="Times New Roman"/>
          <w:color w:val="auto"/>
          <w:highlight w:val="none"/>
          <w:u w:val="single"/>
        </w:rPr>
        <w:t>征地拆迁影响户问卷385份</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u w:val="single"/>
        </w:rPr>
        <w:t>非征地拆迁户375份</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u w:val="single"/>
        </w:rPr>
        <w:t>女性问卷调查318份</w:t>
      </w:r>
      <w:r>
        <w:rPr>
          <w:rFonts w:hint="default" w:ascii="Times New Roman" w:hAnsi="Times New Roman" w:eastAsia="宋体" w:cs="Times New Roman"/>
          <w:color w:val="auto"/>
          <w:highlight w:val="none"/>
        </w:rPr>
        <w:t>。调查对象分布在3个镇/街办的3个社区和11个行政村（见表2-4）。</w:t>
      </w:r>
    </w:p>
    <w:p w14:paraId="3585C785">
      <w:pPr>
        <w:pStyle w:val="13"/>
        <w:spacing w:after="120"/>
        <w:rPr>
          <w:rFonts w:hint="default" w:ascii="Times New Roman" w:hAnsi="Times New Roman" w:eastAsia="宋体" w:cs="Times New Roman"/>
          <w:bCs/>
          <w:color w:val="auto"/>
          <w:highlight w:val="none"/>
        </w:rPr>
      </w:pPr>
      <w:bookmarkStart w:id="133" w:name="_Toc112010228"/>
      <w:bookmarkStart w:id="134" w:name="_Toc113946489"/>
      <w:r>
        <w:rPr>
          <w:rFonts w:hint="default" w:ascii="Times New Roman" w:hAnsi="Times New Roman" w:eastAsia="宋体" w:cs="Times New Roman"/>
          <w:color w:val="auto"/>
          <w:highlight w:val="none"/>
        </w:rPr>
        <w:t xml:space="preserve">表 </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STYLEREF 1 \s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2</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SEQ 表 \* ARABIC \s 1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4</w:t>
      </w:r>
      <w:r>
        <w:rPr>
          <w:rFonts w:hint="default" w:ascii="Times New Roman" w:hAnsi="Times New Roman" w:eastAsia="宋体" w:cs="Times New Roman"/>
          <w:color w:val="auto"/>
          <w:highlight w:val="none"/>
        </w:rPr>
        <w:fldChar w:fldCharType="end"/>
      </w:r>
      <w:bookmarkStart w:id="135" w:name="_Toc32763"/>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bCs/>
          <w:color w:val="auto"/>
          <w:highlight w:val="none"/>
        </w:rPr>
        <w:t>问卷调查区域分布及数量</w:t>
      </w:r>
      <w:bookmarkEnd w:id="133"/>
      <w:bookmarkEnd w:id="134"/>
      <w:bookmarkEnd w:id="135"/>
    </w:p>
    <w:tbl>
      <w:tblPr>
        <w:tblStyle w:val="43"/>
        <w:tblW w:w="5000" w:type="pct"/>
        <w:tblInd w:w="0" w:type="dxa"/>
        <w:tblLayout w:type="autofit"/>
        <w:tblCellMar>
          <w:top w:w="0" w:type="dxa"/>
          <w:left w:w="108" w:type="dxa"/>
          <w:bottom w:w="0" w:type="dxa"/>
          <w:right w:w="108" w:type="dxa"/>
        </w:tblCellMar>
      </w:tblPr>
      <w:tblGrid>
        <w:gridCol w:w="1730"/>
        <w:gridCol w:w="2279"/>
        <w:gridCol w:w="2234"/>
        <w:gridCol w:w="2279"/>
      </w:tblGrid>
      <w:tr w14:paraId="714EEAE3">
        <w:tblPrEx>
          <w:tblCellMar>
            <w:top w:w="0" w:type="dxa"/>
            <w:left w:w="108" w:type="dxa"/>
            <w:bottom w:w="0" w:type="dxa"/>
            <w:right w:w="108" w:type="dxa"/>
          </w:tblCellMar>
        </w:tblPrEx>
        <w:trPr>
          <w:trHeight w:val="241" w:hRule="atLeast"/>
          <w:tblHeader/>
        </w:trPr>
        <w:tc>
          <w:tcPr>
            <w:tcW w:w="1015" w:type="pct"/>
            <w:vMerge w:val="restart"/>
            <w:tcBorders>
              <w:top w:val="single" w:color="000000" w:sz="8" w:space="0"/>
              <w:left w:val="single" w:color="000000" w:sz="8" w:space="0"/>
              <w:bottom w:val="single" w:color="000000" w:sz="8" w:space="0"/>
              <w:right w:val="single" w:color="000000" w:sz="8" w:space="0"/>
            </w:tcBorders>
            <w:shd w:val="clear" w:color="auto" w:fill="C0C0C0"/>
            <w:vAlign w:val="center"/>
          </w:tcPr>
          <w:p w14:paraId="551B6A6D">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序号</w:t>
            </w:r>
          </w:p>
        </w:tc>
        <w:tc>
          <w:tcPr>
            <w:tcW w:w="1337" w:type="pct"/>
            <w:vMerge w:val="restart"/>
            <w:tcBorders>
              <w:top w:val="single" w:color="000000" w:sz="8" w:space="0"/>
              <w:left w:val="nil"/>
              <w:bottom w:val="single" w:color="000000" w:sz="8" w:space="0"/>
              <w:right w:val="single" w:color="000000" w:sz="8" w:space="0"/>
            </w:tcBorders>
            <w:shd w:val="clear" w:color="auto" w:fill="C0C0C0"/>
            <w:vAlign w:val="center"/>
          </w:tcPr>
          <w:p w14:paraId="35EFF1C6">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镇</w:t>
            </w:r>
          </w:p>
        </w:tc>
        <w:tc>
          <w:tcPr>
            <w:tcW w:w="1311" w:type="pct"/>
            <w:vMerge w:val="restart"/>
            <w:tcBorders>
              <w:top w:val="single" w:color="000000" w:sz="8" w:space="0"/>
              <w:left w:val="nil"/>
              <w:bottom w:val="single" w:color="000000" w:sz="8" w:space="0"/>
              <w:right w:val="single" w:color="000000" w:sz="8" w:space="0"/>
            </w:tcBorders>
            <w:shd w:val="clear" w:color="auto" w:fill="C0C0C0"/>
            <w:vAlign w:val="center"/>
          </w:tcPr>
          <w:p w14:paraId="694D5022">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村/社区</w:t>
            </w:r>
          </w:p>
        </w:tc>
        <w:tc>
          <w:tcPr>
            <w:tcW w:w="1337" w:type="pct"/>
            <w:vMerge w:val="restart"/>
            <w:tcBorders>
              <w:top w:val="single" w:color="000000" w:sz="8" w:space="0"/>
              <w:left w:val="nil"/>
              <w:bottom w:val="single" w:color="000000" w:sz="8" w:space="0"/>
              <w:right w:val="single" w:color="000000" w:sz="8" w:space="0"/>
            </w:tcBorders>
            <w:shd w:val="clear" w:color="auto" w:fill="C0C0C0"/>
            <w:vAlign w:val="center"/>
          </w:tcPr>
          <w:p w14:paraId="51E42D5A">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问卷分数</w:t>
            </w:r>
          </w:p>
        </w:tc>
      </w:tr>
      <w:tr w14:paraId="32BBF789">
        <w:tblPrEx>
          <w:tblCellMar>
            <w:top w:w="0" w:type="dxa"/>
            <w:left w:w="108" w:type="dxa"/>
            <w:bottom w:w="0" w:type="dxa"/>
            <w:right w:w="108" w:type="dxa"/>
          </w:tblCellMar>
        </w:tblPrEx>
        <w:trPr>
          <w:trHeight w:val="241" w:hRule="atLeast"/>
          <w:tblHeader/>
        </w:trPr>
        <w:tc>
          <w:tcPr>
            <w:tcW w:w="1015" w:type="pct"/>
            <w:vMerge w:val="continue"/>
            <w:tcBorders>
              <w:top w:val="single" w:color="000000" w:sz="8" w:space="0"/>
              <w:left w:val="single" w:color="000000" w:sz="8" w:space="0"/>
              <w:bottom w:val="single" w:color="000000" w:sz="8" w:space="0"/>
              <w:right w:val="single" w:color="000000" w:sz="8" w:space="0"/>
            </w:tcBorders>
            <w:shd w:val="clear" w:color="auto" w:fill="C0C0C0"/>
            <w:vAlign w:val="center"/>
          </w:tcPr>
          <w:p w14:paraId="7CA07480">
            <w:pPr>
              <w:jc w:val="center"/>
              <w:rPr>
                <w:rFonts w:hint="default" w:ascii="Times New Roman" w:hAnsi="Times New Roman" w:eastAsia="宋体" w:cs="Times New Roman"/>
                <w:b/>
                <w:bCs/>
                <w:color w:val="auto"/>
                <w:sz w:val="21"/>
                <w:szCs w:val="21"/>
                <w:highlight w:val="none"/>
              </w:rPr>
            </w:pPr>
          </w:p>
        </w:tc>
        <w:tc>
          <w:tcPr>
            <w:tcW w:w="1337" w:type="pct"/>
            <w:vMerge w:val="continue"/>
            <w:tcBorders>
              <w:top w:val="single" w:color="000000" w:sz="8" w:space="0"/>
              <w:left w:val="nil"/>
              <w:bottom w:val="single" w:color="000000" w:sz="8" w:space="0"/>
              <w:right w:val="single" w:color="000000" w:sz="8" w:space="0"/>
            </w:tcBorders>
            <w:shd w:val="clear" w:color="auto" w:fill="C0C0C0"/>
            <w:vAlign w:val="center"/>
          </w:tcPr>
          <w:p w14:paraId="447CBEB0">
            <w:pPr>
              <w:jc w:val="center"/>
              <w:rPr>
                <w:rFonts w:hint="default" w:ascii="Times New Roman" w:hAnsi="Times New Roman" w:eastAsia="宋体" w:cs="Times New Roman"/>
                <w:b/>
                <w:bCs/>
                <w:color w:val="auto"/>
                <w:sz w:val="21"/>
                <w:szCs w:val="21"/>
                <w:highlight w:val="none"/>
              </w:rPr>
            </w:pPr>
          </w:p>
        </w:tc>
        <w:tc>
          <w:tcPr>
            <w:tcW w:w="1311" w:type="pct"/>
            <w:vMerge w:val="continue"/>
            <w:tcBorders>
              <w:top w:val="single" w:color="000000" w:sz="8" w:space="0"/>
              <w:left w:val="nil"/>
              <w:bottom w:val="single" w:color="000000" w:sz="8" w:space="0"/>
              <w:right w:val="single" w:color="000000" w:sz="8" w:space="0"/>
            </w:tcBorders>
            <w:shd w:val="clear" w:color="auto" w:fill="C0C0C0"/>
            <w:vAlign w:val="center"/>
          </w:tcPr>
          <w:p w14:paraId="79F1F2D5">
            <w:pPr>
              <w:jc w:val="center"/>
              <w:rPr>
                <w:rFonts w:hint="default" w:ascii="Times New Roman" w:hAnsi="Times New Roman" w:eastAsia="宋体" w:cs="Times New Roman"/>
                <w:b/>
                <w:bCs/>
                <w:color w:val="auto"/>
                <w:sz w:val="21"/>
                <w:szCs w:val="21"/>
                <w:highlight w:val="none"/>
              </w:rPr>
            </w:pPr>
          </w:p>
        </w:tc>
        <w:tc>
          <w:tcPr>
            <w:tcW w:w="1337" w:type="pct"/>
            <w:vMerge w:val="continue"/>
            <w:tcBorders>
              <w:top w:val="single" w:color="000000" w:sz="8" w:space="0"/>
              <w:left w:val="nil"/>
              <w:bottom w:val="single" w:color="000000" w:sz="8" w:space="0"/>
              <w:right w:val="single" w:color="000000" w:sz="8" w:space="0"/>
            </w:tcBorders>
            <w:shd w:val="clear" w:color="auto" w:fill="C0C0C0"/>
            <w:vAlign w:val="center"/>
          </w:tcPr>
          <w:p w14:paraId="57EFE027">
            <w:pPr>
              <w:jc w:val="center"/>
              <w:rPr>
                <w:rFonts w:hint="default" w:ascii="Times New Roman" w:hAnsi="Times New Roman" w:eastAsia="宋体" w:cs="Times New Roman"/>
                <w:b/>
                <w:bCs/>
                <w:color w:val="auto"/>
                <w:sz w:val="21"/>
                <w:szCs w:val="21"/>
                <w:highlight w:val="none"/>
              </w:rPr>
            </w:pPr>
          </w:p>
        </w:tc>
      </w:tr>
      <w:tr w14:paraId="426831D0">
        <w:tblPrEx>
          <w:tblCellMar>
            <w:top w:w="0" w:type="dxa"/>
            <w:left w:w="108" w:type="dxa"/>
            <w:bottom w:w="0" w:type="dxa"/>
            <w:right w:w="108" w:type="dxa"/>
          </w:tblCellMar>
        </w:tblPrEx>
        <w:trPr>
          <w:trHeight w:val="20" w:hRule="atLeast"/>
        </w:trPr>
        <w:tc>
          <w:tcPr>
            <w:tcW w:w="1015" w:type="pct"/>
            <w:tcBorders>
              <w:top w:val="nil"/>
              <w:left w:val="single" w:color="000000" w:sz="8" w:space="0"/>
              <w:bottom w:val="single" w:color="000000" w:sz="8" w:space="0"/>
              <w:right w:val="single" w:color="000000" w:sz="8" w:space="0"/>
            </w:tcBorders>
            <w:shd w:val="clear" w:color="auto" w:fill="auto"/>
            <w:vAlign w:val="center"/>
          </w:tcPr>
          <w:p w14:paraId="06A1E025">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w:t>
            </w:r>
          </w:p>
        </w:tc>
        <w:tc>
          <w:tcPr>
            <w:tcW w:w="1337" w:type="pct"/>
            <w:tcBorders>
              <w:top w:val="nil"/>
              <w:left w:val="nil"/>
              <w:bottom w:val="single" w:color="000000" w:sz="8" w:space="0"/>
              <w:right w:val="single" w:color="000000" w:sz="8" w:space="0"/>
            </w:tcBorders>
            <w:shd w:val="clear" w:color="auto" w:fill="auto"/>
            <w:vAlign w:val="center"/>
          </w:tcPr>
          <w:p w14:paraId="404F2B1D">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张滩</w:t>
            </w:r>
          </w:p>
        </w:tc>
        <w:tc>
          <w:tcPr>
            <w:tcW w:w="1311" w:type="pct"/>
            <w:tcBorders>
              <w:top w:val="nil"/>
              <w:left w:val="nil"/>
              <w:bottom w:val="single" w:color="000000" w:sz="8" w:space="0"/>
              <w:right w:val="single" w:color="000000" w:sz="8" w:space="0"/>
            </w:tcBorders>
            <w:shd w:val="clear" w:color="auto" w:fill="auto"/>
            <w:noWrap/>
            <w:vAlign w:val="center"/>
          </w:tcPr>
          <w:p w14:paraId="6D42EF71">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奠安</w:t>
            </w:r>
          </w:p>
        </w:tc>
        <w:tc>
          <w:tcPr>
            <w:tcW w:w="1337" w:type="pct"/>
            <w:tcBorders>
              <w:top w:val="nil"/>
              <w:left w:val="nil"/>
              <w:bottom w:val="single" w:color="000000" w:sz="8" w:space="0"/>
              <w:right w:val="single" w:color="000000" w:sz="8" w:space="0"/>
            </w:tcBorders>
            <w:shd w:val="clear" w:color="auto" w:fill="auto"/>
            <w:vAlign w:val="center"/>
          </w:tcPr>
          <w:p w14:paraId="175018A1">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64</w:t>
            </w:r>
          </w:p>
        </w:tc>
      </w:tr>
      <w:tr w14:paraId="4A596AB5">
        <w:tblPrEx>
          <w:tblCellMar>
            <w:top w:w="0" w:type="dxa"/>
            <w:left w:w="108" w:type="dxa"/>
            <w:bottom w:w="0" w:type="dxa"/>
            <w:right w:w="108" w:type="dxa"/>
          </w:tblCellMar>
        </w:tblPrEx>
        <w:trPr>
          <w:trHeight w:val="20" w:hRule="atLeast"/>
        </w:trPr>
        <w:tc>
          <w:tcPr>
            <w:tcW w:w="1015" w:type="pct"/>
            <w:tcBorders>
              <w:top w:val="nil"/>
              <w:left w:val="single" w:color="000000" w:sz="8" w:space="0"/>
              <w:bottom w:val="single" w:color="000000" w:sz="8" w:space="0"/>
              <w:right w:val="single" w:color="000000" w:sz="8" w:space="0"/>
            </w:tcBorders>
            <w:shd w:val="clear" w:color="auto" w:fill="auto"/>
            <w:vAlign w:val="center"/>
          </w:tcPr>
          <w:p w14:paraId="79D6DED4">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w:t>
            </w:r>
          </w:p>
        </w:tc>
        <w:tc>
          <w:tcPr>
            <w:tcW w:w="1337" w:type="pct"/>
            <w:tcBorders>
              <w:top w:val="nil"/>
              <w:left w:val="nil"/>
              <w:bottom w:val="single" w:color="000000" w:sz="8" w:space="0"/>
              <w:right w:val="single" w:color="000000" w:sz="8" w:space="0"/>
            </w:tcBorders>
            <w:shd w:val="clear" w:color="auto" w:fill="auto"/>
            <w:vAlign w:val="center"/>
          </w:tcPr>
          <w:p w14:paraId="06DF91AA">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张滩</w:t>
            </w:r>
          </w:p>
        </w:tc>
        <w:tc>
          <w:tcPr>
            <w:tcW w:w="1311" w:type="pct"/>
            <w:tcBorders>
              <w:top w:val="nil"/>
              <w:left w:val="nil"/>
              <w:bottom w:val="single" w:color="000000" w:sz="8" w:space="0"/>
              <w:right w:val="single" w:color="000000" w:sz="8" w:space="0"/>
            </w:tcBorders>
            <w:shd w:val="clear" w:color="auto" w:fill="auto"/>
            <w:noWrap/>
            <w:vAlign w:val="center"/>
          </w:tcPr>
          <w:p w14:paraId="4F4E005C">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后堰</w:t>
            </w:r>
          </w:p>
        </w:tc>
        <w:tc>
          <w:tcPr>
            <w:tcW w:w="1337" w:type="pct"/>
            <w:tcBorders>
              <w:top w:val="nil"/>
              <w:left w:val="nil"/>
              <w:bottom w:val="single" w:color="000000" w:sz="8" w:space="0"/>
              <w:right w:val="single" w:color="000000" w:sz="8" w:space="0"/>
            </w:tcBorders>
            <w:shd w:val="clear" w:color="auto" w:fill="auto"/>
            <w:vAlign w:val="center"/>
          </w:tcPr>
          <w:p w14:paraId="3BEAA22A">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80</w:t>
            </w:r>
          </w:p>
        </w:tc>
      </w:tr>
      <w:tr w14:paraId="2BE76A94">
        <w:tblPrEx>
          <w:tblCellMar>
            <w:top w:w="0" w:type="dxa"/>
            <w:left w:w="108" w:type="dxa"/>
            <w:bottom w:w="0" w:type="dxa"/>
            <w:right w:w="108" w:type="dxa"/>
          </w:tblCellMar>
        </w:tblPrEx>
        <w:trPr>
          <w:trHeight w:val="20" w:hRule="atLeast"/>
        </w:trPr>
        <w:tc>
          <w:tcPr>
            <w:tcW w:w="1015" w:type="pct"/>
            <w:tcBorders>
              <w:top w:val="nil"/>
              <w:left w:val="single" w:color="000000" w:sz="8" w:space="0"/>
              <w:bottom w:val="single" w:color="000000" w:sz="8" w:space="0"/>
              <w:right w:val="single" w:color="000000" w:sz="8" w:space="0"/>
            </w:tcBorders>
            <w:shd w:val="clear" w:color="auto" w:fill="auto"/>
            <w:vAlign w:val="center"/>
          </w:tcPr>
          <w:p w14:paraId="1622462A">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3</w:t>
            </w:r>
          </w:p>
        </w:tc>
        <w:tc>
          <w:tcPr>
            <w:tcW w:w="1337" w:type="pct"/>
            <w:tcBorders>
              <w:top w:val="nil"/>
              <w:left w:val="nil"/>
              <w:bottom w:val="single" w:color="000000" w:sz="8" w:space="0"/>
              <w:right w:val="single" w:color="000000" w:sz="8" w:space="0"/>
            </w:tcBorders>
            <w:shd w:val="clear" w:color="auto" w:fill="auto"/>
            <w:vAlign w:val="center"/>
          </w:tcPr>
          <w:p w14:paraId="15557863">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张滩</w:t>
            </w:r>
          </w:p>
        </w:tc>
        <w:tc>
          <w:tcPr>
            <w:tcW w:w="1311" w:type="pct"/>
            <w:tcBorders>
              <w:top w:val="nil"/>
              <w:left w:val="nil"/>
              <w:bottom w:val="single" w:color="000000" w:sz="8" w:space="0"/>
              <w:right w:val="single" w:color="000000" w:sz="8" w:space="0"/>
            </w:tcBorders>
            <w:shd w:val="clear" w:color="auto" w:fill="auto"/>
            <w:noWrap/>
            <w:vAlign w:val="center"/>
          </w:tcPr>
          <w:p w14:paraId="0C527015">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兰沟</w:t>
            </w:r>
          </w:p>
        </w:tc>
        <w:tc>
          <w:tcPr>
            <w:tcW w:w="1337" w:type="pct"/>
            <w:tcBorders>
              <w:top w:val="nil"/>
              <w:left w:val="nil"/>
              <w:bottom w:val="single" w:color="000000" w:sz="8" w:space="0"/>
              <w:right w:val="single" w:color="000000" w:sz="8" w:space="0"/>
            </w:tcBorders>
            <w:shd w:val="clear" w:color="auto" w:fill="auto"/>
            <w:vAlign w:val="center"/>
          </w:tcPr>
          <w:p w14:paraId="47D33F0D">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46</w:t>
            </w:r>
          </w:p>
        </w:tc>
      </w:tr>
      <w:tr w14:paraId="1314E448">
        <w:tblPrEx>
          <w:tblCellMar>
            <w:top w:w="0" w:type="dxa"/>
            <w:left w:w="108" w:type="dxa"/>
            <w:bottom w:w="0" w:type="dxa"/>
            <w:right w:w="108" w:type="dxa"/>
          </w:tblCellMar>
        </w:tblPrEx>
        <w:trPr>
          <w:trHeight w:val="20" w:hRule="atLeast"/>
        </w:trPr>
        <w:tc>
          <w:tcPr>
            <w:tcW w:w="1015" w:type="pct"/>
            <w:tcBorders>
              <w:top w:val="nil"/>
              <w:left w:val="single" w:color="000000" w:sz="8" w:space="0"/>
              <w:bottom w:val="single" w:color="000000" w:sz="8" w:space="0"/>
              <w:right w:val="single" w:color="000000" w:sz="8" w:space="0"/>
            </w:tcBorders>
            <w:shd w:val="clear" w:color="auto" w:fill="auto"/>
            <w:vAlign w:val="center"/>
          </w:tcPr>
          <w:p w14:paraId="5D8C47EA">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4</w:t>
            </w:r>
          </w:p>
        </w:tc>
        <w:tc>
          <w:tcPr>
            <w:tcW w:w="1337" w:type="pct"/>
            <w:tcBorders>
              <w:top w:val="nil"/>
              <w:left w:val="nil"/>
              <w:bottom w:val="single" w:color="000000" w:sz="8" w:space="0"/>
              <w:right w:val="single" w:color="000000" w:sz="8" w:space="0"/>
            </w:tcBorders>
            <w:shd w:val="clear" w:color="auto" w:fill="auto"/>
            <w:vAlign w:val="center"/>
          </w:tcPr>
          <w:p w14:paraId="55A646D6">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张滩</w:t>
            </w:r>
          </w:p>
        </w:tc>
        <w:tc>
          <w:tcPr>
            <w:tcW w:w="1311" w:type="pct"/>
            <w:tcBorders>
              <w:top w:val="nil"/>
              <w:left w:val="nil"/>
              <w:bottom w:val="single" w:color="000000" w:sz="8" w:space="0"/>
              <w:right w:val="single" w:color="000000" w:sz="8" w:space="0"/>
            </w:tcBorders>
            <w:shd w:val="clear" w:color="auto" w:fill="auto"/>
            <w:noWrap/>
            <w:vAlign w:val="center"/>
          </w:tcPr>
          <w:p w14:paraId="07EB4EDB">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立石</w:t>
            </w:r>
          </w:p>
        </w:tc>
        <w:tc>
          <w:tcPr>
            <w:tcW w:w="1337" w:type="pct"/>
            <w:tcBorders>
              <w:top w:val="nil"/>
              <w:left w:val="nil"/>
              <w:bottom w:val="single" w:color="000000" w:sz="8" w:space="0"/>
              <w:right w:val="single" w:color="000000" w:sz="8" w:space="0"/>
            </w:tcBorders>
            <w:shd w:val="clear" w:color="auto" w:fill="auto"/>
            <w:vAlign w:val="center"/>
          </w:tcPr>
          <w:p w14:paraId="7794C362">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89</w:t>
            </w:r>
          </w:p>
        </w:tc>
      </w:tr>
      <w:tr w14:paraId="1D1CD7BA">
        <w:tblPrEx>
          <w:tblCellMar>
            <w:top w:w="0" w:type="dxa"/>
            <w:left w:w="108" w:type="dxa"/>
            <w:bottom w:w="0" w:type="dxa"/>
            <w:right w:w="108" w:type="dxa"/>
          </w:tblCellMar>
        </w:tblPrEx>
        <w:trPr>
          <w:trHeight w:val="20" w:hRule="atLeast"/>
        </w:trPr>
        <w:tc>
          <w:tcPr>
            <w:tcW w:w="1015" w:type="pct"/>
            <w:tcBorders>
              <w:top w:val="nil"/>
              <w:left w:val="single" w:color="000000" w:sz="8" w:space="0"/>
              <w:bottom w:val="single" w:color="000000" w:sz="8" w:space="0"/>
              <w:right w:val="single" w:color="000000" w:sz="8" w:space="0"/>
            </w:tcBorders>
            <w:shd w:val="clear" w:color="auto" w:fill="auto"/>
            <w:vAlign w:val="center"/>
          </w:tcPr>
          <w:p w14:paraId="44B52706">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5</w:t>
            </w:r>
          </w:p>
        </w:tc>
        <w:tc>
          <w:tcPr>
            <w:tcW w:w="1337" w:type="pct"/>
            <w:tcBorders>
              <w:top w:val="nil"/>
              <w:left w:val="nil"/>
              <w:bottom w:val="single" w:color="000000" w:sz="8" w:space="0"/>
              <w:right w:val="single" w:color="000000" w:sz="8" w:space="0"/>
            </w:tcBorders>
            <w:shd w:val="clear" w:color="auto" w:fill="auto"/>
            <w:vAlign w:val="center"/>
          </w:tcPr>
          <w:p w14:paraId="7F5E1C73">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张滩</w:t>
            </w:r>
          </w:p>
        </w:tc>
        <w:tc>
          <w:tcPr>
            <w:tcW w:w="1311" w:type="pct"/>
            <w:tcBorders>
              <w:top w:val="nil"/>
              <w:left w:val="nil"/>
              <w:bottom w:val="single" w:color="000000" w:sz="8" w:space="0"/>
              <w:right w:val="single" w:color="000000" w:sz="8" w:space="0"/>
            </w:tcBorders>
            <w:shd w:val="clear" w:color="auto" w:fill="auto"/>
            <w:noWrap/>
            <w:vAlign w:val="center"/>
          </w:tcPr>
          <w:p w14:paraId="34D4185C">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双井</w:t>
            </w:r>
          </w:p>
        </w:tc>
        <w:tc>
          <w:tcPr>
            <w:tcW w:w="1337" w:type="pct"/>
            <w:tcBorders>
              <w:top w:val="nil"/>
              <w:left w:val="nil"/>
              <w:bottom w:val="single" w:color="000000" w:sz="8" w:space="0"/>
              <w:right w:val="single" w:color="000000" w:sz="8" w:space="0"/>
            </w:tcBorders>
            <w:shd w:val="clear" w:color="auto" w:fill="auto"/>
            <w:vAlign w:val="center"/>
          </w:tcPr>
          <w:p w14:paraId="30356C08">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78</w:t>
            </w:r>
          </w:p>
        </w:tc>
      </w:tr>
      <w:tr w14:paraId="280415A3">
        <w:tblPrEx>
          <w:tblCellMar>
            <w:top w:w="0" w:type="dxa"/>
            <w:left w:w="108" w:type="dxa"/>
            <w:bottom w:w="0" w:type="dxa"/>
            <w:right w:w="108" w:type="dxa"/>
          </w:tblCellMar>
        </w:tblPrEx>
        <w:trPr>
          <w:trHeight w:val="20" w:hRule="atLeast"/>
        </w:trPr>
        <w:tc>
          <w:tcPr>
            <w:tcW w:w="1015" w:type="pct"/>
            <w:tcBorders>
              <w:top w:val="nil"/>
              <w:left w:val="single" w:color="000000" w:sz="8" w:space="0"/>
              <w:bottom w:val="single" w:color="000000" w:sz="8" w:space="0"/>
              <w:right w:val="single" w:color="000000" w:sz="8" w:space="0"/>
            </w:tcBorders>
            <w:shd w:val="clear" w:color="auto" w:fill="auto"/>
            <w:vAlign w:val="center"/>
          </w:tcPr>
          <w:p w14:paraId="1DBF0E4F">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6</w:t>
            </w:r>
          </w:p>
        </w:tc>
        <w:tc>
          <w:tcPr>
            <w:tcW w:w="1337" w:type="pct"/>
            <w:tcBorders>
              <w:top w:val="nil"/>
              <w:left w:val="nil"/>
              <w:bottom w:val="single" w:color="000000" w:sz="8" w:space="0"/>
              <w:right w:val="single" w:color="000000" w:sz="8" w:space="0"/>
            </w:tcBorders>
            <w:shd w:val="clear" w:color="auto" w:fill="auto"/>
            <w:vAlign w:val="center"/>
          </w:tcPr>
          <w:p w14:paraId="69E4A0F9">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张滩</w:t>
            </w:r>
          </w:p>
        </w:tc>
        <w:tc>
          <w:tcPr>
            <w:tcW w:w="1311" w:type="pct"/>
            <w:tcBorders>
              <w:top w:val="nil"/>
              <w:left w:val="nil"/>
              <w:bottom w:val="single" w:color="000000" w:sz="8" w:space="0"/>
              <w:right w:val="single" w:color="000000" w:sz="8" w:space="0"/>
            </w:tcBorders>
            <w:shd w:val="clear" w:color="auto" w:fill="auto"/>
            <w:noWrap/>
            <w:vAlign w:val="center"/>
          </w:tcPr>
          <w:p w14:paraId="23E0702A">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汪岭社区</w:t>
            </w:r>
          </w:p>
        </w:tc>
        <w:tc>
          <w:tcPr>
            <w:tcW w:w="1337" w:type="pct"/>
            <w:tcBorders>
              <w:top w:val="nil"/>
              <w:left w:val="nil"/>
              <w:bottom w:val="single" w:color="000000" w:sz="8" w:space="0"/>
              <w:right w:val="single" w:color="000000" w:sz="8" w:space="0"/>
            </w:tcBorders>
            <w:shd w:val="clear" w:color="auto" w:fill="auto"/>
            <w:noWrap/>
            <w:vAlign w:val="center"/>
          </w:tcPr>
          <w:p w14:paraId="4358745D">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18</w:t>
            </w:r>
          </w:p>
        </w:tc>
      </w:tr>
      <w:tr w14:paraId="3D1EF29D">
        <w:tblPrEx>
          <w:tblCellMar>
            <w:top w:w="0" w:type="dxa"/>
            <w:left w:w="108" w:type="dxa"/>
            <w:bottom w:w="0" w:type="dxa"/>
            <w:right w:w="108" w:type="dxa"/>
          </w:tblCellMar>
        </w:tblPrEx>
        <w:trPr>
          <w:trHeight w:val="20" w:hRule="atLeast"/>
        </w:trPr>
        <w:tc>
          <w:tcPr>
            <w:tcW w:w="1015" w:type="pct"/>
            <w:tcBorders>
              <w:top w:val="nil"/>
              <w:left w:val="single" w:color="000000" w:sz="8" w:space="0"/>
              <w:bottom w:val="single" w:color="000000" w:sz="8" w:space="0"/>
              <w:right w:val="single" w:color="000000" w:sz="8" w:space="0"/>
            </w:tcBorders>
            <w:shd w:val="clear" w:color="auto" w:fill="auto"/>
            <w:vAlign w:val="center"/>
          </w:tcPr>
          <w:p w14:paraId="4A24A4EC">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7</w:t>
            </w:r>
          </w:p>
        </w:tc>
        <w:tc>
          <w:tcPr>
            <w:tcW w:w="1337" w:type="pct"/>
            <w:tcBorders>
              <w:top w:val="nil"/>
              <w:left w:val="nil"/>
              <w:bottom w:val="single" w:color="000000" w:sz="8" w:space="0"/>
              <w:right w:val="single" w:color="000000" w:sz="8" w:space="0"/>
            </w:tcBorders>
            <w:shd w:val="clear" w:color="auto" w:fill="auto"/>
            <w:vAlign w:val="center"/>
          </w:tcPr>
          <w:p w14:paraId="013151F1">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张滩</w:t>
            </w:r>
          </w:p>
        </w:tc>
        <w:tc>
          <w:tcPr>
            <w:tcW w:w="1311" w:type="pct"/>
            <w:tcBorders>
              <w:top w:val="nil"/>
              <w:left w:val="nil"/>
              <w:bottom w:val="single" w:color="000000" w:sz="8" w:space="0"/>
              <w:right w:val="single" w:color="000000" w:sz="8" w:space="0"/>
            </w:tcBorders>
            <w:shd w:val="clear" w:color="auto" w:fill="auto"/>
            <w:noWrap/>
            <w:vAlign w:val="center"/>
          </w:tcPr>
          <w:p w14:paraId="124E0E56">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王湾</w:t>
            </w:r>
          </w:p>
        </w:tc>
        <w:tc>
          <w:tcPr>
            <w:tcW w:w="1337" w:type="pct"/>
            <w:tcBorders>
              <w:top w:val="nil"/>
              <w:left w:val="nil"/>
              <w:bottom w:val="single" w:color="000000" w:sz="8" w:space="0"/>
              <w:right w:val="single" w:color="000000" w:sz="8" w:space="0"/>
            </w:tcBorders>
            <w:shd w:val="clear" w:color="auto" w:fill="auto"/>
            <w:noWrap/>
            <w:vAlign w:val="center"/>
          </w:tcPr>
          <w:p w14:paraId="141EBB0A">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76</w:t>
            </w:r>
          </w:p>
        </w:tc>
      </w:tr>
      <w:tr w14:paraId="6C7DD8A2">
        <w:tblPrEx>
          <w:tblCellMar>
            <w:top w:w="0" w:type="dxa"/>
            <w:left w:w="108" w:type="dxa"/>
            <w:bottom w:w="0" w:type="dxa"/>
            <w:right w:w="108" w:type="dxa"/>
          </w:tblCellMar>
        </w:tblPrEx>
        <w:trPr>
          <w:trHeight w:val="20" w:hRule="atLeast"/>
        </w:trPr>
        <w:tc>
          <w:tcPr>
            <w:tcW w:w="1015" w:type="pct"/>
            <w:tcBorders>
              <w:top w:val="nil"/>
              <w:left w:val="single" w:color="000000" w:sz="8" w:space="0"/>
              <w:bottom w:val="single" w:color="000000" w:sz="8" w:space="0"/>
              <w:right w:val="single" w:color="000000" w:sz="8" w:space="0"/>
            </w:tcBorders>
            <w:shd w:val="clear" w:color="auto" w:fill="auto"/>
            <w:vAlign w:val="center"/>
          </w:tcPr>
          <w:p w14:paraId="3864360A">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8</w:t>
            </w:r>
          </w:p>
        </w:tc>
        <w:tc>
          <w:tcPr>
            <w:tcW w:w="1337" w:type="pct"/>
            <w:tcBorders>
              <w:top w:val="nil"/>
              <w:left w:val="nil"/>
              <w:bottom w:val="single" w:color="000000" w:sz="8" w:space="0"/>
              <w:right w:val="single" w:color="000000" w:sz="8" w:space="0"/>
            </w:tcBorders>
            <w:shd w:val="clear" w:color="auto" w:fill="auto"/>
            <w:vAlign w:val="center"/>
          </w:tcPr>
          <w:p w14:paraId="06382C4E">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张滩</w:t>
            </w:r>
          </w:p>
        </w:tc>
        <w:tc>
          <w:tcPr>
            <w:tcW w:w="1311" w:type="pct"/>
            <w:tcBorders>
              <w:top w:val="nil"/>
              <w:left w:val="nil"/>
              <w:bottom w:val="single" w:color="000000" w:sz="8" w:space="0"/>
              <w:right w:val="single" w:color="000000" w:sz="8" w:space="0"/>
            </w:tcBorders>
            <w:shd w:val="clear" w:color="auto" w:fill="auto"/>
            <w:noWrap/>
            <w:vAlign w:val="center"/>
          </w:tcPr>
          <w:p w14:paraId="759D2060">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张滩社区</w:t>
            </w:r>
          </w:p>
        </w:tc>
        <w:tc>
          <w:tcPr>
            <w:tcW w:w="1337" w:type="pct"/>
            <w:tcBorders>
              <w:top w:val="nil"/>
              <w:left w:val="nil"/>
              <w:bottom w:val="single" w:color="000000" w:sz="8" w:space="0"/>
              <w:right w:val="single" w:color="000000" w:sz="8" w:space="0"/>
            </w:tcBorders>
            <w:shd w:val="clear" w:color="auto" w:fill="auto"/>
            <w:noWrap/>
            <w:vAlign w:val="center"/>
          </w:tcPr>
          <w:p w14:paraId="28455B11">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71</w:t>
            </w:r>
          </w:p>
        </w:tc>
      </w:tr>
      <w:tr w14:paraId="64E79938">
        <w:tblPrEx>
          <w:tblCellMar>
            <w:top w:w="0" w:type="dxa"/>
            <w:left w:w="108" w:type="dxa"/>
            <w:bottom w:w="0" w:type="dxa"/>
            <w:right w:w="108" w:type="dxa"/>
          </w:tblCellMar>
        </w:tblPrEx>
        <w:trPr>
          <w:trHeight w:val="20" w:hRule="atLeast"/>
        </w:trPr>
        <w:tc>
          <w:tcPr>
            <w:tcW w:w="1015" w:type="pct"/>
            <w:tcBorders>
              <w:top w:val="nil"/>
              <w:left w:val="single" w:color="000000" w:sz="8" w:space="0"/>
              <w:bottom w:val="single" w:color="000000" w:sz="8" w:space="0"/>
              <w:right w:val="single" w:color="000000" w:sz="8" w:space="0"/>
            </w:tcBorders>
            <w:shd w:val="clear" w:color="auto" w:fill="auto"/>
            <w:vAlign w:val="center"/>
          </w:tcPr>
          <w:p w14:paraId="572D1520">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w:t>
            </w:r>
          </w:p>
        </w:tc>
        <w:tc>
          <w:tcPr>
            <w:tcW w:w="1337" w:type="pct"/>
            <w:tcBorders>
              <w:top w:val="nil"/>
              <w:left w:val="nil"/>
              <w:bottom w:val="single" w:color="000000" w:sz="8" w:space="0"/>
              <w:right w:val="single" w:color="000000" w:sz="8" w:space="0"/>
            </w:tcBorders>
            <w:shd w:val="clear" w:color="auto" w:fill="auto"/>
            <w:vAlign w:val="center"/>
          </w:tcPr>
          <w:p w14:paraId="085C7551">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张滩</w:t>
            </w:r>
          </w:p>
        </w:tc>
        <w:tc>
          <w:tcPr>
            <w:tcW w:w="1311" w:type="pct"/>
            <w:tcBorders>
              <w:top w:val="nil"/>
              <w:left w:val="nil"/>
              <w:bottom w:val="single" w:color="000000" w:sz="8" w:space="0"/>
              <w:right w:val="single" w:color="000000" w:sz="8" w:space="0"/>
            </w:tcBorders>
            <w:shd w:val="clear" w:color="auto" w:fill="auto"/>
            <w:noWrap/>
            <w:vAlign w:val="center"/>
          </w:tcPr>
          <w:p w14:paraId="0CD0994C">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邹坡</w:t>
            </w:r>
          </w:p>
        </w:tc>
        <w:tc>
          <w:tcPr>
            <w:tcW w:w="1337" w:type="pct"/>
            <w:tcBorders>
              <w:top w:val="nil"/>
              <w:left w:val="nil"/>
              <w:bottom w:val="single" w:color="000000" w:sz="8" w:space="0"/>
              <w:right w:val="single" w:color="000000" w:sz="8" w:space="0"/>
            </w:tcBorders>
            <w:shd w:val="clear" w:color="auto" w:fill="auto"/>
            <w:noWrap/>
            <w:vAlign w:val="center"/>
          </w:tcPr>
          <w:p w14:paraId="1E6DE397">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75</w:t>
            </w:r>
          </w:p>
        </w:tc>
      </w:tr>
      <w:tr w14:paraId="3EBB667E">
        <w:tblPrEx>
          <w:tblCellMar>
            <w:top w:w="0" w:type="dxa"/>
            <w:left w:w="108" w:type="dxa"/>
            <w:bottom w:w="0" w:type="dxa"/>
            <w:right w:w="108" w:type="dxa"/>
          </w:tblCellMar>
        </w:tblPrEx>
        <w:trPr>
          <w:trHeight w:val="20" w:hRule="atLeast"/>
        </w:trPr>
        <w:tc>
          <w:tcPr>
            <w:tcW w:w="1015" w:type="pct"/>
            <w:tcBorders>
              <w:top w:val="nil"/>
              <w:left w:val="single" w:color="000000" w:sz="8" w:space="0"/>
              <w:bottom w:val="single" w:color="000000" w:sz="8" w:space="0"/>
              <w:right w:val="single" w:color="000000" w:sz="8" w:space="0"/>
            </w:tcBorders>
            <w:shd w:val="clear" w:color="auto" w:fill="auto"/>
            <w:vAlign w:val="center"/>
          </w:tcPr>
          <w:p w14:paraId="1257CCB6">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10</w:t>
            </w:r>
          </w:p>
        </w:tc>
        <w:tc>
          <w:tcPr>
            <w:tcW w:w="1337" w:type="pct"/>
            <w:tcBorders>
              <w:top w:val="nil"/>
              <w:left w:val="nil"/>
              <w:bottom w:val="single" w:color="000000" w:sz="8" w:space="0"/>
              <w:right w:val="single" w:color="000000" w:sz="8" w:space="0"/>
            </w:tcBorders>
            <w:shd w:val="clear" w:color="auto" w:fill="auto"/>
            <w:vAlign w:val="center"/>
          </w:tcPr>
          <w:p w14:paraId="619583DE">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石梯</w:t>
            </w:r>
          </w:p>
        </w:tc>
        <w:tc>
          <w:tcPr>
            <w:tcW w:w="1311" w:type="pct"/>
            <w:tcBorders>
              <w:top w:val="nil"/>
              <w:left w:val="nil"/>
              <w:bottom w:val="single" w:color="000000" w:sz="8" w:space="0"/>
              <w:right w:val="single" w:color="000000" w:sz="8" w:space="0"/>
            </w:tcBorders>
            <w:shd w:val="clear" w:color="auto" w:fill="auto"/>
            <w:noWrap/>
            <w:vAlign w:val="center"/>
          </w:tcPr>
          <w:p w14:paraId="2A6C459B">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双村村</w:t>
            </w:r>
          </w:p>
        </w:tc>
        <w:tc>
          <w:tcPr>
            <w:tcW w:w="1337" w:type="pct"/>
            <w:tcBorders>
              <w:top w:val="nil"/>
              <w:left w:val="nil"/>
              <w:bottom w:val="single" w:color="000000" w:sz="8" w:space="0"/>
              <w:right w:val="single" w:color="000000" w:sz="8" w:space="0"/>
            </w:tcBorders>
            <w:shd w:val="clear" w:color="auto" w:fill="auto"/>
            <w:vAlign w:val="center"/>
          </w:tcPr>
          <w:p w14:paraId="7D2CF913">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42</w:t>
            </w:r>
          </w:p>
        </w:tc>
      </w:tr>
      <w:tr w14:paraId="065FEC93">
        <w:tblPrEx>
          <w:tblCellMar>
            <w:top w:w="0" w:type="dxa"/>
            <w:left w:w="108" w:type="dxa"/>
            <w:bottom w:w="0" w:type="dxa"/>
            <w:right w:w="108" w:type="dxa"/>
          </w:tblCellMar>
        </w:tblPrEx>
        <w:trPr>
          <w:trHeight w:val="20" w:hRule="atLeast"/>
        </w:trPr>
        <w:tc>
          <w:tcPr>
            <w:tcW w:w="1015" w:type="pct"/>
            <w:tcBorders>
              <w:top w:val="nil"/>
              <w:left w:val="single" w:color="000000" w:sz="8" w:space="0"/>
              <w:bottom w:val="single" w:color="000000" w:sz="8" w:space="0"/>
              <w:right w:val="single" w:color="000000" w:sz="8" w:space="0"/>
            </w:tcBorders>
            <w:shd w:val="clear" w:color="auto" w:fill="auto"/>
            <w:vAlign w:val="center"/>
          </w:tcPr>
          <w:p w14:paraId="4F245663">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11</w:t>
            </w:r>
          </w:p>
        </w:tc>
        <w:tc>
          <w:tcPr>
            <w:tcW w:w="1337" w:type="pct"/>
            <w:tcBorders>
              <w:top w:val="nil"/>
              <w:left w:val="nil"/>
              <w:bottom w:val="single" w:color="000000" w:sz="8" w:space="0"/>
              <w:right w:val="single" w:color="000000" w:sz="8" w:space="0"/>
            </w:tcBorders>
            <w:shd w:val="clear" w:color="auto" w:fill="auto"/>
            <w:vAlign w:val="center"/>
          </w:tcPr>
          <w:p w14:paraId="10A2C158">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石梯</w:t>
            </w:r>
          </w:p>
        </w:tc>
        <w:tc>
          <w:tcPr>
            <w:tcW w:w="1311" w:type="pct"/>
            <w:tcBorders>
              <w:top w:val="nil"/>
              <w:left w:val="nil"/>
              <w:bottom w:val="single" w:color="000000" w:sz="8" w:space="0"/>
              <w:right w:val="single" w:color="000000" w:sz="8" w:space="0"/>
            </w:tcBorders>
            <w:shd w:val="clear" w:color="auto" w:fill="auto"/>
            <w:noWrap/>
            <w:vAlign w:val="center"/>
          </w:tcPr>
          <w:p w14:paraId="1EFA44C8">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九条沟</w:t>
            </w:r>
          </w:p>
        </w:tc>
        <w:tc>
          <w:tcPr>
            <w:tcW w:w="1337" w:type="pct"/>
            <w:tcBorders>
              <w:top w:val="nil"/>
              <w:left w:val="nil"/>
              <w:bottom w:val="single" w:color="000000" w:sz="8" w:space="0"/>
              <w:right w:val="single" w:color="000000" w:sz="8" w:space="0"/>
            </w:tcBorders>
            <w:shd w:val="clear" w:color="auto" w:fill="auto"/>
            <w:vAlign w:val="center"/>
          </w:tcPr>
          <w:p w14:paraId="58023E81">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38</w:t>
            </w:r>
          </w:p>
        </w:tc>
      </w:tr>
      <w:tr w14:paraId="56575D82">
        <w:tblPrEx>
          <w:tblCellMar>
            <w:top w:w="0" w:type="dxa"/>
            <w:left w:w="108" w:type="dxa"/>
            <w:bottom w:w="0" w:type="dxa"/>
            <w:right w:w="108" w:type="dxa"/>
          </w:tblCellMar>
        </w:tblPrEx>
        <w:trPr>
          <w:trHeight w:val="20" w:hRule="atLeast"/>
        </w:trPr>
        <w:tc>
          <w:tcPr>
            <w:tcW w:w="1015" w:type="pct"/>
            <w:tcBorders>
              <w:top w:val="nil"/>
              <w:left w:val="single" w:color="000000" w:sz="8" w:space="0"/>
              <w:bottom w:val="single" w:color="000000" w:sz="8" w:space="0"/>
              <w:right w:val="single" w:color="000000" w:sz="8" w:space="0"/>
            </w:tcBorders>
            <w:shd w:val="clear" w:color="auto" w:fill="auto"/>
            <w:vAlign w:val="center"/>
          </w:tcPr>
          <w:p w14:paraId="08F854F8">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12</w:t>
            </w:r>
          </w:p>
        </w:tc>
        <w:tc>
          <w:tcPr>
            <w:tcW w:w="1337" w:type="pct"/>
            <w:tcBorders>
              <w:top w:val="nil"/>
              <w:left w:val="nil"/>
              <w:bottom w:val="single" w:color="000000" w:sz="8" w:space="0"/>
              <w:right w:val="single" w:color="000000" w:sz="8" w:space="0"/>
            </w:tcBorders>
            <w:shd w:val="clear" w:color="auto" w:fill="auto"/>
            <w:vAlign w:val="center"/>
          </w:tcPr>
          <w:p w14:paraId="5AB430FC">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石梯</w:t>
            </w:r>
          </w:p>
        </w:tc>
        <w:tc>
          <w:tcPr>
            <w:tcW w:w="1311" w:type="pct"/>
            <w:tcBorders>
              <w:top w:val="nil"/>
              <w:left w:val="nil"/>
              <w:bottom w:val="single" w:color="000000" w:sz="8" w:space="0"/>
              <w:right w:val="single" w:color="000000" w:sz="8" w:space="0"/>
            </w:tcBorders>
            <w:shd w:val="clear" w:color="auto" w:fill="auto"/>
            <w:noWrap/>
            <w:vAlign w:val="center"/>
          </w:tcPr>
          <w:p w14:paraId="223DAEBF">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杨寇</w:t>
            </w:r>
          </w:p>
        </w:tc>
        <w:tc>
          <w:tcPr>
            <w:tcW w:w="1337" w:type="pct"/>
            <w:tcBorders>
              <w:top w:val="nil"/>
              <w:left w:val="nil"/>
              <w:bottom w:val="single" w:color="000000" w:sz="8" w:space="0"/>
              <w:right w:val="single" w:color="000000" w:sz="8" w:space="0"/>
            </w:tcBorders>
            <w:shd w:val="clear" w:color="auto" w:fill="auto"/>
            <w:vAlign w:val="center"/>
          </w:tcPr>
          <w:p w14:paraId="58DCF4A7">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35</w:t>
            </w:r>
          </w:p>
        </w:tc>
      </w:tr>
      <w:tr w14:paraId="3ABBC74B">
        <w:tblPrEx>
          <w:tblCellMar>
            <w:top w:w="0" w:type="dxa"/>
            <w:left w:w="108" w:type="dxa"/>
            <w:bottom w:w="0" w:type="dxa"/>
            <w:right w:w="108" w:type="dxa"/>
          </w:tblCellMar>
        </w:tblPrEx>
        <w:trPr>
          <w:trHeight w:val="20" w:hRule="atLeast"/>
        </w:trPr>
        <w:tc>
          <w:tcPr>
            <w:tcW w:w="1015" w:type="pct"/>
            <w:tcBorders>
              <w:top w:val="nil"/>
              <w:left w:val="single" w:color="000000" w:sz="8" w:space="0"/>
              <w:bottom w:val="single" w:color="000000" w:sz="8" w:space="0"/>
              <w:right w:val="single" w:color="000000" w:sz="8" w:space="0"/>
            </w:tcBorders>
            <w:shd w:val="clear" w:color="auto" w:fill="auto"/>
            <w:vAlign w:val="center"/>
          </w:tcPr>
          <w:p w14:paraId="0DAAB5E4">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13</w:t>
            </w:r>
          </w:p>
        </w:tc>
        <w:tc>
          <w:tcPr>
            <w:tcW w:w="1337" w:type="pct"/>
            <w:tcBorders>
              <w:top w:val="nil"/>
              <w:left w:val="nil"/>
              <w:bottom w:val="single" w:color="000000" w:sz="8" w:space="0"/>
              <w:right w:val="single" w:color="000000" w:sz="8" w:space="0"/>
            </w:tcBorders>
            <w:shd w:val="clear" w:color="auto" w:fill="auto"/>
            <w:vAlign w:val="center"/>
          </w:tcPr>
          <w:p w14:paraId="4C18B46C">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新城街办</w:t>
            </w:r>
          </w:p>
        </w:tc>
        <w:tc>
          <w:tcPr>
            <w:tcW w:w="1311" w:type="pct"/>
            <w:tcBorders>
              <w:top w:val="nil"/>
              <w:left w:val="nil"/>
              <w:bottom w:val="single" w:color="000000" w:sz="8" w:space="0"/>
              <w:right w:val="single" w:color="000000" w:sz="8" w:space="0"/>
            </w:tcBorders>
            <w:shd w:val="clear" w:color="auto" w:fill="auto"/>
            <w:noWrap/>
            <w:vAlign w:val="center"/>
          </w:tcPr>
          <w:p w14:paraId="21468CE8">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大树岭</w:t>
            </w:r>
          </w:p>
        </w:tc>
        <w:tc>
          <w:tcPr>
            <w:tcW w:w="1337" w:type="pct"/>
            <w:tcBorders>
              <w:top w:val="nil"/>
              <w:left w:val="nil"/>
              <w:bottom w:val="single" w:color="000000" w:sz="8" w:space="0"/>
              <w:right w:val="single" w:color="000000" w:sz="8" w:space="0"/>
            </w:tcBorders>
            <w:shd w:val="clear" w:color="auto" w:fill="auto"/>
            <w:vAlign w:val="center"/>
          </w:tcPr>
          <w:p w14:paraId="277B8FC9">
            <w:pPr>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28</w:t>
            </w:r>
          </w:p>
        </w:tc>
      </w:tr>
      <w:tr w14:paraId="18E0D29D">
        <w:tblPrEx>
          <w:tblCellMar>
            <w:top w:w="0" w:type="dxa"/>
            <w:left w:w="108" w:type="dxa"/>
            <w:bottom w:w="0" w:type="dxa"/>
            <w:right w:w="108" w:type="dxa"/>
          </w:tblCellMar>
        </w:tblPrEx>
        <w:trPr>
          <w:trHeight w:val="20" w:hRule="atLeast"/>
        </w:trPr>
        <w:tc>
          <w:tcPr>
            <w:tcW w:w="1015" w:type="pct"/>
            <w:tcBorders>
              <w:top w:val="nil"/>
              <w:left w:val="single" w:color="000000" w:sz="8" w:space="0"/>
              <w:bottom w:val="single" w:color="000000" w:sz="8" w:space="0"/>
              <w:right w:val="single" w:color="000000" w:sz="8" w:space="0"/>
            </w:tcBorders>
            <w:shd w:val="clear" w:color="auto" w:fill="auto"/>
            <w:vAlign w:val="center"/>
          </w:tcPr>
          <w:p w14:paraId="5B7D1C74">
            <w:pPr>
              <w:jc w:val="center"/>
              <w:textAlignment w:val="bottom"/>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14</w:t>
            </w:r>
          </w:p>
        </w:tc>
        <w:tc>
          <w:tcPr>
            <w:tcW w:w="1337" w:type="pct"/>
            <w:tcBorders>
              <w:top w:val="nil"/>
              <w:left w:val="nil"/>
              <w:bottom w:val="single" w:color="000000" w:sz="8" w:space="0"/>
              <w:right w:val="single" w:color="000000" w:sz="8" w:space="0"/>
            </w:tcBorders>
            <w:shd w:val="clear" w:color="auto" w:fill="auto"/>
            <w:vAlign w:val="center"/>
          </w:tcPr>
          <w:p w14:paraId="0074468A">
            <w:pPr>
              <w:jc w:val="center"/>
              <w:textAlignment w:val="bottom"/>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新城街办</w:t>
            </w:r>
          </w:p>
        </w:tc>
        <w:tc>
          <w:tcPr>
            <w:tcW w:w="1311" w:type="pct"/>
            <w:tcBorders>
              <w:top w:val="nil"/>
              <w:left w:val="nil"/>
              <w:bottom w:val="single" w:color="000000" w:sz="8" w:space="0"/>
              <w:right w:val="single" w:color="000000" w:sz="8" w:space="0"/>
            </w:tcBorders>
            <w:shd w:val="clear" w:color="auto" w:fill="auto"/>
            <w:noWrap/>
            <w:vAlign w:val="center"/>
          </w:tcPr>
          <w:p w14:paraId="646A76B6">
            <w:pPr>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枣园社区</w:t>
            </w:r>
          </w:p>
        </w:tc>
        <w:tc>
          <w:tcPr>
            <w:tcW w:w="1337" w:type="pct"/>
            <w:tcBorders>
              <w:top w:val="nil"/>
              <w:left w:val="nil"/>
              <w:bottom w:val="single" w:color="000000" w:sz="8" w:space="0"/>
              <w:right w:val="single" w:color="000000" w:sz="8" w:space="0"/>
            </w:tcBorders>
            <w:shd w:val="clear" w:color="auto" w:fill="auto"/>
            <w:vAlign w:val="center"/>
          </w:tcPr>
          <w:p w14:paraId="32444B87">
            <w:pPr>
              <w:jc w:val="center"/>
              <w:textAlignment w:val="bottom"/>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20</w:t>
            </w:r>
          </w:p>
        </w:tc>
      </w:tr>
      <w:tr w14:paraId="0DDA7D61">
        <w:tblPrEx>
          <w:tblCellMar>
            <w:top w:w="0" w:type="dxa"/>
            <w:left w:w="108" w:type="dxa"/>
            <w:bottom w:w="0" w:type="dxa"/>
            <w:right w:w="108" w:type="dxa"/>
          </w:tblCellMar>
        </w:tblPrEx>
        <w:trPr>
          <w:trHeight w:val="20" w:hRule="atLeast"/>
        </w:trPr>
        <w:tc>
          <w:tcPr>
            <w:tcW w:w="3663" w:type="pct"/>
            <w:gridSpan w:val="3"/>
            <w:tcBorders>
              <w:top w:val="nil"/>
              <w:left w:val="single" w:color="000000" w:sz="8" w:space="0"/>
              <w:bottom w:val="single" w:color="000000" w:sz="8" w:space="0"/>
              <w:right w:val="single" w:color="000000" w:sz="8" w:space="0"/>
            </w:tcBorders>
            <w:shd w:val="clear" w:color="auto" w:fill="auto"/>
            <w:noWrap/>
            <w:vAlign w:val="center"/>
          </w:tcPr>
          <w:p w14:paraId="65341ACC">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合计</w:t>
            </w:r>
          </w:p>
        </w:tc>
        <w:tc>
          <w:tcPr>
            <w:tcW w:w="1337" w:type="pct"/>
            <w:tcBorders>
              <w:top w:val="nil"/>
              <w:left w:val="nil"/>
              <w:bottom w:val="single" w:color="000000" w:sz="8" w:space="0"/>
              <w:right w:val="single" w:color="000000" w:sz="8" w:space="0"/>
            </w:tcBorders>
            <w:shd w:val="clear" w:color="auto" w:fill="auto"/>
            <w:noWrap/>
            <w:vAlign w:val="center"/>
          </w:tcPr>
          <w:p w14:paraId="649BCA6D">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760</w:t>
            </w:r>
          </w:p>
        </w:tc>
      </w:tr>
    </w:tbl>
    <w:p w14:paraId="621BC6A3">
      <w:pPr>
        <w:spacing w:before="120" w:beforeLines="50" w:after="120" w:afterLines="50" w:line="276" w:lineRule="auto"/>
        <w:jc w:val="center"/>
        <w:rPr>
          <w:rFonts w:hint="default" w:ascii="Times New Roman" w:hAnsi="Times New Roman" w:eastAsia="宋体" w:cs="Times New Roman"/>
          <w:color w:val="auto"/>
          <w:sz w:val="21"/>
          <w:szCs w:val="21"/>
          <w:highlight w:val="none"/>
        </w:rPr>
      </w:pPr>
    </w:p>
    <w:p w14:paraId="2A80E76A">
      <w:pPr>
        <w:pStyle w:val="5"/>
        <w:spacing w:before="120"/>
        <w:rPr>
          <w:rFonts w:hint="default" w:ascii="Times New Roman" w:hAnsi="Times New Roman" w:eastAsia="宋体" w:cs="Times New Roman"/>
          <w:color w:val="auto"/>
          <w:highlight w:val="none"/>
        </w:rPr>
      </w:pPr>
      <w:bookmarkStart w:id="136" w:name="_Toc114673076"/>
      <w:bookmarkStart w:id="137" w:name="_Toc22165"/>
      <w:r>
        <w:rPr>
          <w:rFonts w:hint="default" w:ascii="Times New Roman" w:hAnsi="Times New Roman" w:eastAsia="宋体" w:cs="Times New Roman"/>
          <w:color w:val="auto"/>
          <w:highlight w:val="none"/>
        </w:rPr>
        <w:t>问卷调查</w:t>
      </w:r>
      <w:bookmarkEnd w:id="136"/>
      <w:r>
        <w:rPr>
          <w:rFonts w:hint="default" w:ascii="Times New Roman" w:hAnsi="Times New Roman" w:eastAsia="宋体" w:cs="Times New Roman"/>
          <w:color w:val="auto"/>
          <w:highlight w:val="none"/>
        </w:rPr>
        <w:t>结果分析</w:t>
      </w:r>
      <w:bookmarkEnd w:id="137"/>
    </w:p>
    <w:p w14:paraId="4C44CB62">
      <w:pPr>
        <w:spacing w:before="120" w:after="120" w:line="300" w:lineRule="auto"/>
        <w:ind w:firstLine="480"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问卷调查对象主要是拟征地影响户、已征地户、村干部及受益村民等，其中征地影响户占比52.2%，已征地户占比4.1%，受益村民占比29.9%，其他相关人员占比13.8%；女性调查问卷占比41.8%。760个问卷调查者家庭中共有2663人，户均人口3.5人。</w:t>
      </w:r>
    </w:p>
    <w:p w14:paraId="15D68EDA">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u w:val="single"/>
        </w:rPr>
        <w:t>问卷调查者年龄结构：</w:t>
      </w:r>
      <w:r>
        <w:rPr>
          <w:rFonts w:hint="default" w:ascii="Times New Roman" w:hAnsi="Times New Roman" w:eastAsia="宋体" w:cs="Times New Roman"/>
          <w:color w:val="auto"/>
          <w:highlight w:val="none"/>
        </w:rPr>
        <w:t>760位问卷调查者中，21岁~44岁问卷调查者363人占比47.8%，45~59岁问卷调查者208人占比27.4%，60岁及以上问卷调查者189人占比23.4%。问卷调查者中年龄最小的21岁，年龄最大的81岁。</w:t>
      </w:r>
    </w:p>
    <w:p w14:paraId="4345DD3A">
      <w:pPr>
        <w:pStyle w:val="2"/>
        <w:spacing w:after="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4826000" cy="2743200"/>
            <wp:effectExtent l="4445" t="4445" r="15875" b="10795"/>
            <wp:docPr id="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922778B">
      <w:pPr>
        <w:pStyle w:val="13"/>
        <w:spacing w:after="120"/>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szCs w:val="24"/>
          <w:highlight w:val="none"/>
        </w:rPr>
        <w:t xml:space="preserve">图 </w:t>
      </w:r>
      <w:r>
        <w:rPr>
          <w:rFonts w:hint="default" w:ascii="Times New Roman" w:hAnsi="Times New Roman" w:eastAsia="宋体" w:cs="Times New Roman"/>
          <w:bCs/>
          <w:color w:val="auto"/>
          <w:szCs w:val="24"/>
          <w:highlight w:val="none"/>
        </w:rPr>
        <w:fldChar w:fldCharType="begin"/>
      </w:r>
      <w:r>
        <w:rPr>
          <w:rFonts w:hint="default" w:ascii="Times New Roman" w:hAnsi="Times New Roman" w:eastAsia="宋体" w:cs="Times New Roman"/>
          <w:bCs/>
          <w:color w:val="auto"/>
          <w:szCs w:val="24"/>
          <w:highlight w:val="none"/>
        </w:rPr>
        <w:instrText xml:space="preserve"> STYLEREF 1 \s </w:instrText>
      </w:r>
      <w:r>
        <w:rPr>
          <w:rFonts w:hint="default" w:ascii="Times New Roman" w:hAnsi="Times New Roman" w:eastAsia="宋体" w:cs="Times New Roman"/>
          <w:bCs/>
          <w:color w:val="auto"/>
          <w:szCs w:val="24"/>
          <w:highlight w:val="none"/>
        </w:rPr>
        <w:fldChar w:fldCharType="separate"/>
      </w:r>
      <w:r>
        <w:rPr>
          <w:rFonts w:hint="default" w:ascii="Times New Roman" w:hAnsi="Times New Roman" w:eastAsia="宋体" w:cs="Times New Roman"/>
          <w:bCs/>
          <w:color w:val="auto"/>
          <w:szCs w:val="24"/>
          <w:highlight w:val="none"/>
        </w:rPr>
        <w:t>2</w:t>
      </w:r>
      <w:r>
        <w:rPr>
          <w:rFonts w:hint="default" w:ascii="Times New Roman" w:hAnsi="Times New Roman" w:eastAsia="宋体" w:cs="Times New Roman"/>
          <w:bCs/>
          <w:color w:val="auto"/>
          <w:szCs w:val="24"/>
          <w:highlight w:val="none"/>
        </w:rPr>
        <w:fldChar w:fldCharType="end"/>
      </w:r>
      <w:r>
        <w:rPr>
          <w:rFonts w:hint="default" w:ascii="Times New Roman" w:hAnsi="Times New Roman" w:eastAsia="宋体" w:cs="Times New Roman"/>
          <w:bCs/>
          <w:color w:val="auto"/>
          <w:szCs w:val="24"/>
          <w:highlight w:val="none"/>
        </w:rPr>
        <w:t>-</w:t>
      </w:r>
      <w:r>
        <w:rPr>
          <w:rFonts w:hint="default" w:ascii="Times New Roman" w:hAnsi="Times New Roman" w:eastAsia="宋体" w:cs="Times New Roman"/>
          <w:bCs/>
          <w:color w:val="auto"/>
          <w:szCs w:val="24"/>
          <w:highlight w:val="none"/>
        </w:rPr>
        <w:fldChar w:fldCharType="begin"/>
      </w:r>
      <w:r>
        <w:rPr>
          <w:rFonts w:hint="default" w:ascii="Times New Roman" w:hAnsi="Times New Roman" w:eastAsia="宋体" w:cs="Times New Roman"/>
          <w:bCs/>
          <w:color w:val="auto"/>
          <w:szCs w:val="24"/>
          <w:highlight w:val="none"/>
        </w:rPr>
        <w:instrText xml:space="preserve"> SEQ 图 \* ARABIC \s 1 </w:instrText>
      </w:r>
      <w:r>
        <w:rPr>
          <w:rFonts w:hint="default" w:ascii="Times New Roman" w:hAnsi="Times New Roman" w:eastAsia="宋体" w:cs="Times New Roman"/>
          <w:bCs/>
          <w:color w:val="auto"/>
          <w:szCs w:val="24"/>
          <w:highlight w:val="none"/>
        </w:rPr>
        <w:fldChar w:fldCharType="separate"/>
      </w:r>
      <w:r>
        <w:rPr>
          <w:rFonts w:hint="default" w:ascii="Times New Roman" w:hAnsi="Times New Roman" w:eastAsia="宋体" w:cs="Times New Roman"/>
          <w:bCs/>
          <w:color w:val="auto"/>
          <w:szCs w:val="24"/>
          <w:highlight w:val="none"/>
        </w:rPr>
        <w:t>2</w:t>
      </w:r>
      <w:r>
        <w:rPr>
          <w:rFonts w:hint="default" w:ascii="Times New Roman" w:hAnsi="Times New Roman" w:eastAsia="宋体" w:cs="Times New Roman"/>
          <w:bCs/>
          <w:color w:val="auto"/>
          <w:szCs w:val="24"/>
          <w:highlight w:val="none"/>
        </w:rPr>
        <w:fldChar w:fldCharType="end"/>
      </w:r>
      <w:bookmarkStart w:id="138" w:name="_Toc28124"/>
      <w:r>
        <w:rPr>
          <w:rFonts w:hint="default" w:ascii="Times New Roman" w:hAnsi="Times New Roman" w:eastAsia="宋体" w:cs="Times New Roman"/>
          <w:bCs/>
          <w:color w:val="auto"/>
          <w:szCs w:val="24"/>
          <w:highlight w:val="none"/>
        </w:rPr>
        <w:t xml:space="preserve"> 问卷调查者年龄分布</w:t>
      </w:r>
      <w:bookmarkEnd w:id="138"/>
    </w:p>
    <w:p w14:paraId="3E6FBA28">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u w:val="single"/>
        </w:rPr>
        <w:t>问卷调查者教育程度分布：</w:t>
      </w:r>
      <w:r>
        <w:rPr>
          <w:rFonts w:hint="default" w:ascii="Times New Roman" w:hAnsi="Times New Roman" w:eastAsia="宋体" w:cs="Times New Roman"/>
          <w:color w:val="auto"/>
          <w:highlight w:val="none"/>
        </w:rPr>
        <w:t>760位问卷调查者中，仅有小学及以下教育经历的问卷调查者112人占比14.7%，初中文化程度216人占比28.4%，高中文化程度248人占比32.6%，本科/大专及以上184人占比24.2%。</w:t>
      </w:r>
    </w:p>
    <w:p w14:paraId="718E8E8E">
      <w:pPr>
        <w:pStyle w:val="2"/>
        <w:rPr>
          <w:rFonts w:hint="default" w:ascii="Times New Roman" w:hAnsi="Times New Roman" w:eastAsia="宋体" w:cs="Times New Roman"/>
          <w:color w:val="auto"/>
          <w:highlight w:val="none"/>
        </w:rPr>
      </w:pPr>
    </w:p>
    <w:p w14:paraId="304BCA17">
      <w:pPr>
        <w:pStyle w:val="2"/>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4826000" cy="2743200"/>
            <wp:effectExtent l="4445" t="4445" r="15875" b="10795"/>
            <wp:docPr id="2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1B4B4C1">
      <w:pPr>
        <w:pStyle w:val="13"/>
        <w:spacing w:after="12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图 </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STYLEREF 1 \s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2</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SEQ 图 \* ARABIC \s 1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3</w:t>
      </w:r>
      <w:r>
        <w:rPr>
          <w:rFonts w:hint="default" w:ascii="Times New Roman" w:hAnsi="Times New Roman" w:eastAsia="宋体" w:cs="Times New Roman"/>
          <w:color w:val="auto"/>
          <w:highlight w:val="none"/>
        </w:rPr>
        <w:fldChar w:fldCharType="end"/>
      </w:r>
      <w:bookmarkStart w:id="139" w:name="_Toc10371"/>
      <w:r>
        <w:rPr>
          <w:rFonts w:hint="default" w:ascii="Times New Roman" w:hAnsi="Times New Roman" w:eastAsia="宋体" w:cs="Times New Roman"/>
          <w:color w:val="auto"/>
          <w:highlight w:val="none"/>
        </w:rPr>
        <w:t>家庭年龄结构</w:t>
      </w:r>
      <w:bookmarkEnd w:id="139"/>
    </w:p>
    <w:p w14:paraId="5784D800">
      <w:pPr>
        <w:numPr>
          <w:ilvl w:val="0"/>
          <w:numId w:val="11"/>
        </w:numPr>
        <w:spacing w:before="120" w:after="120" w:line="300" w:lineRule="auto"/>
        <w:ind w:firstLine="480" w:firstLineChars="200"/>
        <w:jc w:val="both"/>
        <w:rPr>
          <w:rFonts w:hint="default" w:ascii="Times New Roman" w:hAnsi="Times New Roman" w:eastAsia="宋体" w:cs="Times New Roman"/>
          <w:bCs/>
          <w:color w:val="auto"/>
          <w:highlight w:val="none"/>
          <w:u w:val="single"/>
        </w:rPr>
      </w:pPr>
      <w:r>
        <w:rPr>
          <w:rFonts w:hint="default" w:ascii="Times New Roman" w:hAnsi="Times New Roman" w:eastAsia="宋体" w:cs="Times New Roman"/>
          <w:bCs/>
          <w:color w:val="auto"/>
          <w:highlight w:val="none"/>
          <w:u w:val="single"/>
        </w:rPr>
        <w:t>总体问卷调查结果分析</w:t>
      </w:r>
    </w:p>
    <w:p w14:paraId="282D4806">
      <w:pPr>
        <w:spacing w:before="120" w:after="120" w:line="300" w:lineRule="auto"/>
        <w:ind w:firstLine="480"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根据问卷调查统计结果，受访者中</w:t>
      </w:r>
      <w:r>
        <w:rPr>
          <w:rFonts w:hint="default" w:ascii="Times New Roman" w:hAnsi="Times New Roman" w:eastAsia="宋体" w:cs="Times New Roman"/>
          <w:bCs/>
          <w:color w:val="auto"/>
          <w:highlight w:val="none"/>
          <w:u w:val="single"/>
        </w:rPr>
        <w:t>97.8%的被调查者赞成本项目实施</w:t>
      </w:r>
      <w:r>
        <w:rPr>
          <w:rFonts w:hint="default" w:ascii="Times New Roman" w:hAnsi="Times New Roman" w:eastAsia="宋体" w:cs="Times New Roman"/>
          <w:bCs/>
          <w:color w:val="auto"/>
          <w:highlight w:val="none"/>
        </w:rPr>
        <w:t>，同时，有96.6%的被调查者愿意以征收、流转或其他合作形式将土地交给项目使用。</w:t>
      </w:r>
    </w:p>
    <w:p w14:paraId="72C66210">
      <w:pPr>
        <w:spacing w:before="120" w:after="120" w:line="300" w:lineRule="auto"/>
        <w:ind w:firstLine="482"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
          <w:color w:val="auto"/>
          <w:highlight w:val="none"/>
          <w:u w:val="single"/>
        </w:rPr>
        <w:t>关于城东新区征地拆迁补偿政策，</w:t>
      </w:r>
      <w:r>
        <w:rPr>
          <w:rFonts w:hint="default" w:ascii="Times New Roman" w:hAnsi="Times New Roman" w:eastAsia="宋体" w:cs="Times New Roman"/>
          <w:bCs/>
          <w:color w:val="auto"/>
          <w:highlight w:val="none"/>
        </w:rPr>
        <w:t>93.2%的被调查者知道或知道一些补偿政策，</w:t>
      </w:r>
      <w:r>
        <w:rPr>
          <w:rFonts w:hint="default" w:ascii="Times New Roman" w:hAnsi="Times New Roman" w:eastAsia="宋体" w:cs="Times New Roman"/>
          <w:b/>
          <w:color w:val="auto"/>
          <w:highlight w:val="none"/>
        </w:rPr>
        <w:t>只有</w:t>
      </w:r>
      <w:r>
        <w:rPr>
          <w:rFonts w:hint="default" w:ascii="Times New Roman" w:hAnsi="Times New Roman" w:eastAsia="宋体" w:cs="Times New Roman"/>
          <w:bCs/>
          <w:color w:val="auto"/>
          <w:highlight w:val="none"/>
        </w:rPr>
        <w:t>6.8%的被调查者不了解。</w:t>
      </w:r>
    </w:p>
    <w:p w14:paraId="5537ACF7">
      <w:pPr>
        <w:spacing w:before="120" w:after="120" w:line="300" w:lineRule="auto"/>
        <w:ind w:firstLine="482"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
          <w:color w:val="auto"/>
          <w:highlight w:val="none"/>
          <w:u w:val="single"/>
        </w:rPr>
        <w:t>关于对项目实施后潜在的社会风险因素的选择</w:t>
      </w:r>
      <w:r>
        <w:rPr>
          <w:rFonts w:hint="default" w:ascii="Times New Roman" w:hAnsi="Times New Roman" w:eastAsia="宋体" w:cs="Times New Roman"/>
          <w:bCs/>
          <w:color w:val="auto"/>
          <w:highlight w:val="none"/>
        </w:rPr>
        <w:t xml:space="preserve">，被调查者认为噪声，扬尘污染（90.7%）与环境污染（92.4%）是最主要风险因素。 </w:t>
      </w:r>
    </w:p>
    <w:p w14:paraId="69B48D14">
      <w:pPr>
        <w:spacing w:before="120" w:after="120" w:line="300" w:lineRule="auto"/>
        <w:ind w:firstLine="482"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
          <w:color w:val="auto"/>
          <w:highlight w:val="none"/>
          <w:u w:val="single"/>
        </w:rPr>
        <w:t>关于房屋拆迁安置方式的选择</w:t>
      </w:r>
      <w:r>
        <w:rPr>
          <w:rFonts w:hint="default" w:ascii="Times New Roman" w:hAnsi="Times New Roman" w:eastAsia="宋体" w:cs="Times New Roman"/>
          <w:bCs/>
          <w:color w:val="auto"/>
          <w:highlight w:val="none"/>
        </w:rPr>
        <w:t>，88.2%被调查者选择集中安置楼安置，11.8%被调查者选择货币补偿。</w:t>
      </w:r>
    </w:p>
    <w:p w14:paraId="62E69D86">
      <w:pPr>
        <w:spacing w:before="120" w:after="120" w:line="300" w:lineRule="auto"/>
        <w:ind w:firstLine="482"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
          <w:color w:val="auto"/>
          <w:highlight w:val="none"/>
          <w:u w:val="single"/>
        </w:rPr>
        <w:t>关于培训意愿的选择，</w:t>
      </w:r>
      <w:r>
        <w:rPr>
          <w:rFonts w:hint="default" w:ascii="Times New Roman" w:hAnsi="Times New Roman" w:eastAsia="宋体" w:cs="Times New Roman"/>
          <w:bCs/>
          <w:color w:val="auto"/>
          <w:highlight w:val="none"/>
        </w:rPr>
        <w:t>95.3%被调查者愿意参加政府提供的免费培训，其中家政服务（73.2%）和手工艺制作（71.2%）的参与意愿较高。</w:t>
      </w:r>
    </w:p>
    <w:p w14:paraId="087C643A">
      <w:pPr>
        <w:spacing w:before="120" w:after="120" w:line="300" w:lineRule="auto"/>
        <w:ind w:firstLine="482"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
          <w:color w:val="auto"/>
          <w:highlight w:val="none"/>
          <w:u w:val="single"/>
        </w:rPr>
        <w:t>关于参与项目建设意愿的选择，</w:t>
      </w:r>
      <w:r>
        <w:rPr>
          <w:rFonts w:hint="default" w:ascii="Times New Roman" w:hAnsi="Times New Roman" w:eastAsia="宋体" w:cs="Times New Roman"/>
          <w:bCs/>
          <w:color w:val="auto"/>
          <w:highlight w:val="none"/>
        </w:rPr>
        <w:t>仅有0.5%的被调查者明确表示不愿意参加项目建设活动，93.2%的被访者愿意参加长期劳务或临时劳务，还有6.3%的被访者持观望态度。</w:t>
      </w:r>
    </w:p>
    <w:p w14:paraId="4C4B51F7">
      <w:pPr>
        <w:spacing w:before="120" w:after="120" w:line="300" w:lineRule="auto"/>
        <w:ind w:firstLine="482"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
          <w:color w:val="auto"/>
          <w:highlight w:val="none"/>
          <w:u w:val="single"/>
        </w:rPr>
        <w:t>关于申诉渠道，</w:t>
      </w:r>
      <w:r>
        <w:rPr>
          <w:rFonts w:hint="default" w:ascii="Times New Roman" w:hAnsi="Times New Roman" w:eastAsia="宋体" w:cs="Times New Roman"/>
          <w:bCs/>
          <w:color w:val="auto"/>
          <w:highlight w:val="none"/>
        </w:rPr>
        <w:t>87%的被调查者了解申诉渠道。</w:t>
      </w:r>
    </w:p>
    <w:p w14:paraId="4492760C">
      <w:pPr>
        <w:spacing w:before="120" w:after="120" w:line="300" w:lineRule="auto"/>
        <w:ind w:firstLine="482"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
          <w:color w:val="auto"/>
          <w:highlight w:val="none"/>
          <w:u w:val="single"/>
        </w:rPr>
        <w:t>关于家庭男女决策及女性收入情况的选择，</w:t>
      </w:r>
      <w:r>
        <w:rPr>
          <w:rFonts w:hint="default" w:ascii="Times New Roman" w:hAnsi="Times New Roman" w:eastAsia="宋体" w:cs="Times New Roman"/>
          <w:bCs/>
          <w:color w:val="auto"/>
          <w:highlight w:val="none"/>
        </w:rPr>
        <w:t>86.8%的家庭由男性掌柜（户主），家里的事务决定以共同商量居多（84.1%），</w:t>
      </w:r>
      <w:r>
        <w:rPr>
          <w:rFonts w:hint="default" w:ascii="Times New Roman" w:hAnsi="Times New Roman" w:eastAsia="宋体" w:cs="Times New Roman"/>
          <w:color w:val="auto"/>
          <w:highlight w:val="none"/>
        </w:rPr>
        <w:t>95.9%家庭的女性都能参与到村级活动中，</w:t>
      </w:r>
      <w:r>
        <w:rPr>
          <w:rFonts w:hint="default" w:ascii="Times New Roman" w:hAnsi="Times New Roman" w:eastAsia="宋体" w:cs="Times New Roman"/>
          <w:bCs/>
          <w:color w:val="auto"/>
          <w:highlight w:val="none"/>
        </w:rPr>
        <w:t>71.5%的女性拥有在外务工收入，另有14.5%的女性无收入。</w:t>
      </w:r>
    </w:p>
    <w:p w14:paraId="34F3C893">
      <w:pPr>
        <w:spacing w:before="120" w:after="120" w:line="300" w:lineRule="auto"/>
        <w:ind w:firstLine="482"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
          <w:color w:val="auto"/>
          <w:highlight w:val="none"/>
          <w:u w:val="single"/>
        </w:rPr>
        <w:t>关于对广场、公园建设的意见，</w:t>
      </w:r>
      <w:r>
        <w:rPr>
          <w:rFonts w:hint="default" w:ascii="Times New Roman" w:hAnsi="Times New Roman" w:eastAsia="宋体" w:cs="Times New Roman"/>
          <w:bCs/>
          <w:color w:val="auto"/>
          <w:highlight w:val="none"/>
        </w:rPr>
        <w:t>93.7%的被调查者希望绿植多样化。88.3%被调查者认为广场和公园夜晚的灯光需要加强。</w:t>
      </w:r>
    </w:p>
    <w:p w14:paraId="7BE1D93E">
      <w:pPr>
        <w:spacing w:before="120" w:after="120" w:line="300" w:lineRule="auto"/>
        <w:ind w:firstLine="480" w:firstLineChars="200"/>
        <w:jc w:val="both"/>
        <w:rPr>
          <w:rFonts w:hint="default" w:ascii="Times New Roman" w:hAnsi="Times New Roman" w:eastAsia="宋体" w:cs="Times New Roman"/>
          <w:bCs/>
          <w:color w:val="auto"/>
          <w:highlight w:val="none"/>
        </w:rPr>
        <w:sectPr>
          <w:pgSz w:w="11906" w:h="16838"/>
          <w:pgMar w:top="1440" w:right="1800" w:bottom="1440" w:left="1800" w:header="851" w:footer="992" w:gutter="0"/>
          <w:cols w:space="720" w:num="1"/>
          <w:docGrid w:linePitch="326" w:charSpace="0"/>
        </w:sectPr>
      </w:pPr>
    </w:p>
    <w:p w14:paraId="10365BD7">
      <w:pPr>
        <w:spacing w:before="120" w:after="120" w:line="300" w:lineRule="auto"/>
        <w:ind w:firstLine="480"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调查结果反映了项目实施的宣传工作还需要加强，特别是项目的各项实施政策和办法应在和项目区域社会公众和受影响人进一步沟通和协商后完善和充实。项目实施区域绝大多数被调查公众支持本工程的建设，极少数持保留意见者多是出于一些个人原因，如对用地政策不能满足自己条件的担忧等。被调查者还提出了一些宝贵意见或建议，如下：</w:t>
      </w:r>
    </w:p>
    <w:p w14:paraId="249BE12B">
      <w:pPr>
        <w:spacing w:before="120" w:after="120" w:line="300" w:lineRule="auto"/>
        <w:ind w:firstLine="480"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(1) 尽快开发建成城东新区，让群众尽早享受便利。</w:t>
      </w:r>
    </w:p>
    <w:p w14:paraId="47EFF3CD">
      <w:pPr>
        <w:spacing w:before="120" w:after="120" w:line="300" w:lineRule="auto"/>
        <w:ind w:firstLine="480"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(2) 希望项目增加劳务机会，或提供就业信息。</w:t>
      </w:r>
    </w:p>
    <w:p w14:paraId="4A22F2FE">
      <w:pPr>
        <w:spacing w:before="120" w:line="300" w:lineRule="auto"/>
        <w:ind w:firstLine="480"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(3) 开展实用技能的培训，提高应聘成功的几率。</w:t>
      </w:r>
    </w:p>
    <w:p w14:paraId="363381E2">
      <w:pPr>
        <w:spacing w:before="120" w:line="300" w:lineRule="auto"/>
        <w:ind w:firstLine="480"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(4) 希望在公共场所增加适老化设施，如公共厕所内增加辅助老人的设施。</w:t>
      </w:r>
    </w:p>
    <w:p w14:paraId="2F6C356B">
      <w:pPr>
        <w:spacing w:before="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 希望在公园内增加绿地面积或开放式活动场所。</w:t>
      </w:r>
    </w:p>
    <w:p w14:paraId="453E7379">
      <w:pPr>
        <w:spacing w:before="120" w:after="120" w:line="300" w:lineRule="auto"/>
        <w:ind w:firstLine="480"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基于上述调查结果，社会影响评价团队建议在项目实施过程中，有关管理机构和执行机构应建立健全项目的信息披露、公共参与、申诉机制，以确保项目对项目区群众的负面影响降至最低限度。</w:t>
      </w:r>
    </w:p>
    <w:p w14:paraId="6C25A8C0">
      <w:pPr>
        <w:spacing w:before="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highlight w:val="none"/>
        </w:rPr>
        <w:t>同时，基于项目区群众长久生活在项目区，对项目区地理情况和自然条件更为熟悉，有关机构应多聆听他们的“地方性知识”，以确保项目的顺利实施和运行。</w:t>
      </w:r>
    </w:p>
    <w:p w14:paraId="28D73F3B">
      <w:pPr>
        <w:spacing w:before="120" w:after="120" w:line="300" w:lineRule="auto"/>
        <w:ind w:firstLine="480" w:firstLineChars="200"/>
        <w:jc w:val="both"/>
        <w:rPr>
          <w:rFonts w:hint="default" w:ascii="Times New Roman" w:hAnsi="Times New Roman" w:eastAsia="宋体" w:cs="Times New Roman"/>
          <w:bCs/>
          <w:color w:val="auto"/>
          <w:highlight w:val="none"/>
          <w:u w:val="single"/>
        </w:rPr>
      </w:pPr>
      <w:r>
        <w:rPr>
          <w:rFonts w:hint="default" w:ascii="Times New Roman" w:hAnsi="Times New Roman" w:eastAsia="宋体" w:cs="Times New Roman"/>
          <w:bCs/>
          <w:color w:val="auto"/>
          <w:highlight w:val="none"/>
          <w:u w:val="single"/>
        </w:rPr>
        <w:t>2.女性问卷调查结果分析</w:t>
      </w:r>
    </w:p>
    <w:p w14:paraId="053D677E">
      <w:pPr>
        <w:spacing w:before="120" w:line="300" w:lineRule="auto"/>
        <w:ind w:firstLine="480"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color w:val="auto"/>
          <w:highlight w:val="none"/>
        </w:rPr>
        <w:t>本次问卷调查收集到女性问卷318份。其中，98.4%的女性问卷调查者支持本项目实施，略高于男性支持率，其中有5位女性认为与自己关系不大，持保留意见选择“无所谓”。同时，96.5%女性</w:t>
      </w:r>
      <w:r>
        <w:rPr>
          <w:rFonts w:hint="default" w:ascii="Times New Roman" w:hAnsi="Times New Roman" w:eastAsia="宋体" w:cs="Times New Roman"/>
          <w:bCs/>
          <w:color w:val="auto"/>
          <w:highlight w:val="none"/>
        </w:rPr>
        <w:t>愿意以征收、流转或其他合作形式将土地交给项目使用，与男性被调查者意愿基本一致。</w:t>
      </w:r>
    </w:p>
    <w:p w14:paraId="1B0617E5">
      <w:pPr>
        <w:pStyle w:val="2"/>
        <w:rPr>
          <w:rFonts w:hint="default" w:ascii="Times New Roman" w:hAnsi="Times New Roman" w:eastAsia="宋体" w:cs="Times New Roman"/>
          <w:bCs/>
          <w:color w:val="auto"/>
          <w:highlight w:val="none"/>
        </w:rPr>
        <w:sectPr>
          <w:pgSz w:w="11906" w:h="16838"/>
          <w:pgMar w:top="1440" w:right="1800" w:bottom="1440" w:left="1800" w:header="851" w:footer="992" w:gutter="0"/>
          <w:cols w:space="720" w:num="1"/>
          <w:docGrid w:linePitch="326" w:charSpace="0"/>
        </w:sectPr>
      </w:pPr>
    </w:p>
    <w:p w14:paraId="2BE983D0">
      <w:pPr>
        <w:rPr>
          <w:rFonts w:hint="default" w:ascii="Times New Roman" w:hAnsi="Times New Roman" w:eastAsia="宋体" w:cs="Times New Roman"/>
          <w:color w:val="auto"/>
          <w:highlight w:val="none"/>
        </w:rPr>
      </w:pPr>
    </w:p>
    <w:p w14:paraId="1217E0A8">
      <w:pPr>
        <w:pStyle w:val="13"/>
        <w:spacing w:after="12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表 </w:t>
      </w:r>
      <w:r>
        <w:rPr>
          <w:rFonts w:hint="default" w:ascii="Times New Roman" w:hAnsi="Times New Roman" w:eastAsia="宋体" w:cs="Times New Roman"/>
          <w:b w:val="0"/>
          <w:color w:val="auto"/>
          <w:highlight w:val="none"/>
        </w:rPr>
        <w:fldChar w:fldCharType="begin"/>
      </w:r>
      <w:r>
        <w:rPr>
          <w:rFonts w:hint="default" w:ascii="Times New Roman" w:hAnsi="Times New Roman" w:eastAsia="宋体" w:cs="Times New Roman"/>
          <w:color w:val="auto"/>
          <w:highlight w:val="none"/>
        </w:rPr>
        <w:instrText xml:space="preserve"> STYLEREF 1 \s </w:instrText>
      </w:r>
      <w:r>
        <w:rPr>
          <w:rFonts w:hint="default" w:ascii="Times New Roman" w:hAnsi="Times New Roman" w:eastAsia="宋体" w:cs="Times New Roman"/>
          <w:b w:val="0"/>
          <w:color w:val="auto"/>
          <w:highlight w:val="none"/>
        </w:rPr>
        <w:fldChar w:fldCharType="separate"/>
      </w:r>
      <w:r>
        <w:rPr>
          <w:rFonts w:hint="default" w:ascii="Times New Roman" w:hAnsi="Times New Roman" w:eastAsia="宋体" w:cs="Times New Roman"/>
          <w:color w:val="auto"/>
          <w:highlight w:val="none"/>
        </w:rPr>
        <w:t>2</w:t>
      </w:r>
      <w:r>
        <w:rPr>
          <w:rFonts w:hint="default" w:ascii="Times New Roman" w:hAnsi="Times New Roman" w:eastAsia="宋体" w:cs="Times New Roman"/>
          <w:b w:val="0"/>
          <w:color w:val="auto"/>
          <w:highlight w:val="none"/>
        </w:rPr>
        <w:fldChar w:fldCharType="end"/>
      </w:r>
      <w:r>
        <w:rPr>
          <w:rFonts w:hint="default" w:ascii="Times New Roman" w:hAnsi="Times New Roman" w:eastAsia="宋体" w:cs="Times New Roman"/>
          <w:color w:val="auto"/>
          <w:highlight w:val="none"/>
        </w:rPr>
        <w:t>-</w:t>
      </w:r>
      <w:r>
        <w:rPr>
          <w:rFonts w:hint="default" w:ascii="Times New Roman" w:hAnsi="Times New Roman" w:eastAsia="宋体" w:cs="Times New Roman"/>
          <w:b w:val="0"/>
          <w:color w:val="auto"/>
          <w:highlight w:val="none"/>
        </w:rPr>
        <w:fldChar w:fldCharType="begin"/>
      </w:r>
      <w:r>
        <w:rPr>
          <w:rFonts w:hint="default" w:ascii="Times New Roman" w:hAnsi="Times New Roman" w:eastAsia="宋体" w:cs="Times New Roman"/>
          <w:color w:val="auto"/>
          <w:highlight w:val="none"/>
        </w:rPr>
        <w:instrText xml:space="preserve"> SEQ 表 \* ARABIC \s 1 </w:instrText>
      </w:r>
      <w:r>
        <w:rPr>
          <w:rFonts w:hint="default" w:ascii="Times New Roman" w:hAnsi="Times New Roman" w:eastAsia="宋体" w:cs="Times New Roman"/>
          <w:b w:val="0"/>
          <w:color w:val="auto"/>
          <w:highlight w:val="none"/>
        </w:rPr>
        <w:fldChar w:fldCharType="separate"/>
      </w:r>
      <w:r>
        <w:rPr>
          <w:rFonts w:hint="default" w:ascii="Times New Roman" w:hAnsi="Times New Roman" w:eastAsia="宋体" w:cs="Times New Roman"/>
          <w:color w:val="auto"/>
          <w:highlight w:val="none"/>
        </w:rPr>
        <w:t>5</w:t>
      </w:r>
      <w:r>
        <w:rPr>
          <w:rFonts w:hint="default" w:ascii="Times New Roman" w:hAnsi="Times New Roman" w:eastAsia="宋体" w:cs="Times New Roman"/>
          <w:b w:val="0"/>
          <w:color w:val="auto"/>
          <w:highlight w:val="none"/>
        </w:rPr>
        <w:fldChar w:fldCharType="end"/>
      </w:r>
      <w:bookmarkStart w:id="140" w:name="_Toc3814"/>
      <w:r>
        <w:rPr>
          <w:rFonts w:hint="default" w:ascii="Times New Roman" w:hAnsi="Times New Roman" w:eastAsia="宋体" w:cs="Times New Roman"/>
          <w:color w:val="auto"/>
          <w:highlight w:val="none"/>
        </w:rPr>
        <w:t xml:space="preserve"> 调查问卷分性别统计结果</w:t>
      </w:r>
      <w:bookmarkEnd w:id="140"/>
    </w:p>
    <w:tbl>
      <w:tblPr>
        <w:tblStyle w:val="43"/>
        <w:tblW w:w="4997" w:type="pct"/>
        <w:tblInd w:w="0" w:type="dxa"/>
        <w:tblLayout w:type="autofit"/>
        <w:tblCellMar>
          <w:top w:w="0" w:type="dxa"/>
          <w:left w:w="108" w:type="dxa"/>
          <w:bottom w:w="0" w:type="dxa"/>
          <w:right w:w="108" w:type="dxa"/>
        </w:tblCellMar>
      </w:tblPr>
      <w:tblGrid>
        <w:gridCol w:w="781"/>
        <w:gridCol w:w="4691"/>
        <w:gridCol w:w="912"/>
        <w:gridCol w:w="986"/>
        <w:gridCol w:w="987"/>
        <w:gridCol w:w="987"/>
        <w:gridCol w:w="987"/>
        <w:gridCol w:w="987"/>
        <w:gridCol w:w="987"/>
        <w:gridCol w:w="987"/>
        <w:gridCol w:w="873"/>
      </w:tblGrid>
      <w:tr w14:paraId="5BE63411">
        <w:tblPrEx>
          <w:tblCellMar>
            <w:top w:w="0" w:type="dxa"/>
            <w:left w:w="108" w:type="dxa"/>
            <w:bottom w:w="0" w:type="dxa"/>
            <w:right w:w="108" w:type="dxa"/>
          </w:tblCellMar>
        </w:tblPrEx>
        <w:trPr>
          <w:trHeight w:val="400" w:hRule="atLeast"/>
          <w:tblHeader/>
        </w:trPr>
        <w:tc>
          <w:tcPr>
            <w:tcW w:w="276" w:type="pct"/>
            <w:vMerge w:val="restart"/>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ign w:val="center"/>
          </w:tcPr>
          <w:p w14:paraId="75002984">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序号</w:t>
            </w:r>
          </w:p>
        </w:tc>
        <w:tc>
          <w:tcPr>
            <w:tcW w:w="1655" w:type="pct"/>
            <w:vMerge w:val="restart"/>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ign w:val="center"/>
          </w:tcPr>
          <w:p w14:paraId="73B42DC2">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问题</w:t>
            </w:r>
          </w:p>
        </w:tc>
        <w:tc>
          <w:tcPr>
            <w:tcW w:w="322" w:type="pct"/>
            <w:vMerge w:val="restart"/>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3A7686EC">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调查者性别</w:t>
            </w:r>
          </w:p>
        </w:tc>
        <w:tc>
          <w:tcPr>
            <w:tcW w:w="2744" w:type="pct"/>
            <w:gridSpan w:val="8"/>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ign w:val="center"/>
          </w:tcPr>
          <w:p w14:paraId="69FC9395">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选项</w:t>
            </w:r>
          </w:p>
        </w:tc>
      </w:tr>
      <w:tr w14:paraId="131B3F72">
        <w:tblPrEx>
          <w:tblCellMar>
            <w:top w:w="0" w:type="dxa"/>
            <w:left w:w="108" w:type="dxa"/>
            <w:bottom w:w="0" w:type="dxa"/>
            <w:right w:w="108" w:type="dxa"/>
          </w:tblCellMar>
        </w:tblPrEx>
        <w:trPr>
          <w:trHeight w:val="380" w:hRule="atLeast"/>
          <w:tblHeader/>
        </w:trPr>
        <w:tc>
          <w:tcPr>
            <w:tcW w:w="276" w:type="pct"/>
            <w:vMerge w:val="continue"/>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ign w:val="center"/>
          </w:tcPr>
          <w:p w14:paraId="3201C1B8">
            <w:pPr>
              <w:jc w:val="center"/>
              <w:rPr>
                <w:rFonts w:hint="default" w:ascii="Times New Roman" w:hAnsi="Times New Roman" w:eastAsia="宋体" w:cs="Times New Roman"/>
                <w:b/>
                <w:bCs/>
                <w:color w:val="auto"/>
                <w:sz w:val="21"/>
                <w:szCs w:val="21"/>
                <w:highlight w:val="none"/>
              </w:rPr>
            </w:pPr>
          </w:p>
        </w:tc>
        <w:tc>
          <w:tcPr>
            <w:tcW w:w="1655" w:type="pct"/>
            <w:vMerge w:val="continue"/>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ign w:val="center"/>
          </w:tcPr>
          <w:p w14:paraId="3B53D946">
            <w:pPr>
              <w:jc w:val="center"/>
              <w:rPr>
                <w:rFonts w:hint="default" w:ascii="Times New Roman" w:hAnsi="Times New Roman" w:eastAsia="宋体" w:cs="Times New Roman"/>
                <w:b/>
                <w:bCs/>
                <w:color w:val="auto"/>
                <w:sz w:val="21"/>
                <w:szCs w:val="21"/>
                <w:highlight w:val="none"/>
              </w:rPr>
            </w:pPr>
          </w:p>
        </w:tc>
        <w:tc>
          <w:tcPr>
            <w:tcW w:w="322" w:type="pct"/>
            <w:vMerge w:val="continue"/>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70EF7557">
            <w:pPr>
              <w:jc w:val="center"/>
              <w:rPr>
                <w:rFonts w:hint="default" w:ascii="Times New Roman" w:hAnsi="Times New Roman" w:eastAsia="宋体" w:cs="Times New Roman"/>
                <w:b/>
                <w:bCs/>
                <w:color w:val="auto"/>
                <w:sz w:val="21"/>
                <w:szCs w:val="21"/>
                <w:highlight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ign w:val="center"/>
          </w:tcPr>
          <w:p w14:paraId="4264CC4B">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1</w:t>
            </w:r>
          </w:p>
        </w:tc>
        <w:tc>
          <w:tcPr>
            <w:tcW w:w="348"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ign w:val="center"/>
          </w:tcPr>
          <w:p w14:paraId="430DB716">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2</w:t>
            </w:r>
          </w:p>
        </w:tc>
        <w:tc>
          <w:tcPr>
            <w:tcW w:w="348"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ign w:val="center"/>
          </w:tcPr>
          <w:p w14:paraId="5E20C022">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3</w:t>
            </w:r>
          </w:p>
        </w:tc>
        <w:tc>
          <w:tcPr>
            <w:tcW w:w="348"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ign w:val="center"/>
          </w:tcPr>
          <w:p w14:paraId="3D82691B">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4</w:t>
            </w:r>
          </w:p>
        </w:tc>
        <w:tc>
          <w:tcPr>
            <w:tcW w:w="348"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ign w:val="center"/>
          </w:tcPr>
          <w:p w14:paraId="7C445BA4">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5</w:t>
            </w:r>
          </w:p>
        </w:tc>
        <w:tc>
          <w:tcPr>
            <w:tcW w:w="348"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ign w:val="center"/>
          </w:tcPr>
          <w:p w14:paraId="1BE66EA3">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6</w:t>
            </w:r>
          </w:p>
        </w:tc>
        <w:tc>
          <w:tcPr>
            <w:tcW w:w="348"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ign w:val="center"/>
          </w:tcPr>
          <w:p w14:paraId="3B2ADF7F">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7</w:t>
            </w:r>
          </w:p>
        </w:tc>
        <w:tc>
          <w:tcPr>
            <w:tcW w:w="306"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ign w:val="center"/>
          </w:tcPr>
          <w:p w14:paraId="27476F73">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8</w:t>
            </w:r>
          </w:p>
        </w:tc>
      </w:tr>
      <w:tr w14:paraId="2340F860">
        <w:tblPrEx>
          <w:tblCellMar>
            <w:top w:w="0" w:type="dxa"/>
            <w:left w:w="108" w:type="dxa"/>
            <w:bottom w:w="0" w:type="dxa"/>
            <w:right w:w="108" w:type="dxa"/>
          </w:tblCellMar>
        </w:tblPrEx>
        <w:trPr>
          <w:trHeight w:val="410" w:hRule="atLeast"/>
        </w:trPr>
        <w:tc>
          <w:tcPr>
            <w:tcW w:w="2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A2426">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w:t>
            </w:r>
          </w:p>
        </w:tc>
        <w:tc>
          <w:tcPr>
            <w:tcW w:w="16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3B11D3">
            <w:pP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您是否支持或赞成本项目的实施？</w:t>
            </w:r>
          </w:p>
          <w:p w14:paraId="2CB67E9C">
            <w:pPr>
              <w:pStyle w:val="2"/>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 xml:space="preserve">1=是 2=否  3=无所谓  </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242B1">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女性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FC37C">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98.4%</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C5D00">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0.0%</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37E42">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1.6%</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EA114">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574AA">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991D8">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3DC4E">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9A467">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6E1488A8">
        <w:tblPrEx>
          <w:tblCellMar>
            <w:top w:w="0" w:type="dxa"/>
            <w:left w:w="108" w:type="dxa"/>
            <w:bottom w:w="0" w:type="dxa"/>
            <w:right w:w="108" w:type="dxa"/>
          </w:tblCellMar>
        </w:tblPrEx>
        <w:trPr>
          <w:trHeight w:val="288" w:hRule="atLeast"/>
        </w:trPr>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697D9">
            <w:pPr>
              <w:rPr>
                <w:rFonts w:hint="default" w:ascii="Times New Roman" w:hAnsi="Times New Roman" w:eastAsia="宋体" w:cs="Times New Roman"/>
                <w:color w:val="auto"/>
                <w:sz w:val="21"/>
                <w:szCs w:val="21"/>
                <w:highlight w:val="none"/>
              </w:rPr>
            </w:pPr>
          </w:p>
        </w:tc>
        <w:tc>
          <w:tcPr>
            <w:tcW w:w="16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1657F">
            <w:pPr>
              <w:rPr>
                <w:rFonts w:hint="default" w:ascii="Times New Roman" w:hAnsi="Times New Roman" w:eastAsia="宋体" w:cs="Times New Roman"/>
                <w:color w:val="auto"/>
                <w:sz w:val="21"/>
                <w:szCs w:val="21"/>
                <w:highlight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B14F6">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男性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2972C">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97.3%</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2BC86">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0.0%</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9D04A">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2.7%</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9E184">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92B74">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78F88">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D12FC">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996B5">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44A526E7">
        <w:tblPrEx>
          <w:tblCellMar>
            <w:top w:w="0" w:type="dxa"/>
            <w:left w:w="108" w:type="dxa"/>
            <w:bottom w:w="0" w:type="dxa"/>
            <w:right w:w="108" w:type="dxa"/>
          </w:tblCellMar>
        </w:tblPrEx>
        <w:trPr>
          <w:trHeight w:val="698" w:hRule="atLeast"/>
        </w:trPr>
        <w:tc>
          <w:tcPr>
            <w:tcW w:w="2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34447">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w:t>
            </w:r>
          </w:p>
        </w:tc>
        <w:tc>
          <w:tcPr>
            <w:tcW w:w="16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DBAA7C">
            <w:pP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如果项目建设需要占用您的土地（占用土地和房屋拆迁按政策补偿），您是否愿意为项目提供土地或拆迁房屋？</w:t>
            </w:r>
          </w:p>
          <w:p w14:paraId="29F1BC6E">
            <w:pPr>
              <w:pStyle w:val="2"/>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1=是  2=否</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930F9">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女性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FA2DC">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96.5%</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DB3D5">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3.5%</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80020">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3AD99">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C9CF3">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63DF9">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0A16E">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EE778">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0EC57B07">
        <w:tblPrEx>
          <w:tblCellMar>
            <w:top w:w="0" w:type="dxa"/>
            <w:left w:w="108" w:type="dxa"/>
            <w:bottom w:w="0" w:type="dxa"/>
            <w:right w:w="108" w:type="dxa"/>
          </w:tblCellMar>
        </w:tblPrEx>
        <w:trPr>
          <w:trHeight w:val="288" w:hRule="atLeast"/>
        </w:trPr>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B0A7E">
            <w:pPr>
              <w:rPr>
                <w:rFonts w:hint="default" w:ascii="Times New Roman" w:hAnsi="Times New Roman" w:eastAsia="宋体" w:cs="Times New Roman"/>
                <w:color w:val="auto"/>
                <w:sz w:val="21"/>
                <w:szCs w:val="21"/>
                <w:highlight w:val="none"/>
              </w:rPr>
            </w:pPr>
          </w:p>
        </w:tc>
        <w:tc>
          <w:tcPr>
            <w:tcW w:w="16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C48F9">
            <w:pPr>
              <w:rPr>
                <w:rFonts w:hint="default" w:ascii="Times New Roman" w:hAnsi="Times New Roman" w:eastAsia="宋体" w:cs="Times New Roman"/>
                <w:color w:val="auto"/>
                <w:sz w:val="21"/>
                <w:szCs w:val="21"/>
                <w:highlight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909BA">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男性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C487F">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96.6%</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2889A">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3.4%</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FCCB7">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02C0F">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CD8BE">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3882D">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56451">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8C74E">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7A3E32F3">
        <w:tblPrEx>
          <w:tblCellMar>
            <w:top w:w="0" w:type="dxa"/>
            <w:left w:w="108" w:type="dxa"/>
            <w:bottom w:w="0" w:type="dxa"/>
            <w:right w:w="108" w:type="dxa"/>
          </w:tblCellMar>
        </w:tblPrEx>
        <w:trPr>
          <w:trHeight w:val="578" w:hRule="atLeast"/>
        </w:trPr>
        <w:tc>
          <w:tcPr>
            <w:tcW w:w="2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6E7D9">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3</w:t>
            </w:r>
          </w:p>
        </w:tc>
        <w:tc>
          <w:tcPr>
            <w:tcW w:w="16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376DF3">
            <w:pP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如果您的房屋需要拆迁，那么您将选择以下那种安置方式？</w:t>
            </w:r>
          </w:p>
          <w:p w14:paraId="3FF05976">
            <w:pPr>
              <w:pStyle w:val="2"/>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 xml:space="preserve">1=集中安置楼安置 2=货币补偿后自行购房  </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55839">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女性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8DEAF">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89.0%</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D5219">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11.0%</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94E03">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4F578">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1C4AF">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8A645">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08B0F">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14425">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307D2C14">
        <w:tblPrEx>
          <w:tblCellMar>
            <w:top w:w="0" w:type="dxa"/>
            <w:left w:w="108" w:type="dxa"/>
            <w:bottom w:w="0" w:type="dxa"/>
            <w:right w:w="108" w:type="dxa"/>
          </w:tblCellMar>
        </w:tblPrEx>
        <w:trPr>
          <w:trHeight w:val="288" w:hRule="atLeast"/>
        </w:trPr>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3B906">
            <w:pPr>
              <w:rPr>
                <w:rFonts w:hint="default" w:ascii="Times New Roman" w:hAnsi="Times New Roman" w:eastAsia="宋体" w:cs="Times New Roman"/>
                <w:color w:val="auto"/>
                <w:sz w:val="21"/>
                <w:szCs w:val="21"/>
                <w:highlight w:val="none"/>
              </w:rPr>
            </w:pPr>
          </w:p>
        </w:tc>
        <w:tc>
          <w:tcPr>
            <w:tcW w:w="16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6EDE8">
            <w:pPr>
              <w:rPr>
                <w:rFonts w:hint="default" w:ascii="Times New Roman" w:hAnsi="Times New Roman" w:eastAsia="宋体" w:cs="Times New Roman"/>
                <w:color w:val="auto"/>
                <w:sz w:val="21"/>
                <w:szCs w:val="21"/>
                <w:highlight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3D7E1">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男性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69F4F">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87.6%</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976B8">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12.4%</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9B78E">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0EC5E">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06448">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DCA58">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BF5BA">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E99AE">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55D694A4">
        <w:tblPrEx>
          <w:tblCellMar>
            <w:top w:w="0" w:type="dxa"/>
            <w:left w:w="108" w:type="dxa"/>
            <w:bottom w:w="0" w:type="dxa"/>
            <w:right w:w="108" w:type="dxa"/>
          </w:tblCellMar>
        </w:tblPrEx>
        <w:trPr>
          <w:trHeight w:val="446" w:hRule="atLeast"/>
        </w:trPr>
        <w:tc>
          <w:tcPr>
            <w:tcW w:w="2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74C7C">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4</w:t>
            </w:r>
          </w:p>
        </w:tc>
        <w:tc>
          <w:tcPr>
            <w:tcW w:w="16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D3A216">
            <w:pP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您了解城东新区的征地拆迁补偿政策吗？</w:t>
            </w:r>
          </w:p>
          <w:p w14:paraId="45DA26A0">
            <w:pPr>
              <w:pStyle w:val="2"/>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1=了解  2=不了解</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F62A1">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女性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E39E8">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93.4%</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0E24B">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6.6%</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033D2">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53DA4">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883BF">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1838A">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FB740">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5FAF7">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05AD86FE">
        <w:tblPrEx>
          <w:tblCellMar>
            <w:top w:w="0" w:type="dxa"/>
            <w:left w:w="108" w:type="dxa"/>
            <w:bottom w:w="0" w:type="dxa"/>
            <w:right w:w="108" w:type="dxa"/>
          </w:tblCellMar>
        </w:tblPrEx>
        <w:trPr>
          <w:trHeight w:val="288" w:hRule="atLeast"/>
        </w:trPr>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CE56F">
            <w:pPr>
              <w:rPr>
                <w:rFonts w:hint="default" w:ascii="Times New Roman" w:hAnsi="Times New Roman" w:eastAsia="宋体" w:cs="Times New Roman"/>
                <w:color w:val="auto"/>
                <w:sz w:val="21"/>
                <w:szCs w:val="21"/>
                <w:highlight w:val="none"/>
              </w:rPr>
            </w:pPr>
          </w:p>
        </w:tc>
        <w:tc>
          <w:tcPr>
            <w:tcW w:w="16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FCFDE">
            <w:pPr>
              <w:rPr>
                <w:rFonts w:hint="default" w:ascii="Times New Roman" w:hAnsi="Times New Roman" w:eastAsia="宋体" w:cs="Times New Roman"/>
                <w:color w:val="auto"/>
                <w:sz w:val="21"/>
                <w:szCs w:val="21"/>
                <w:highlight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558BF">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男性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659E2">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93.0%</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F1EC8">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7.0%</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9D50C">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73CF7">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913F8">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609D3">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5C69E">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4C713">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3FFE2AB7">
        <w:tblPrEx>
          <w:tblCellMar>
            <w:top w:w="0" w:type="dxa"/>
            <w:left w:w="108" w:type="dxa"/>
            <w:bottom w:w="0" w:type="dxa"/>
            <w:right w:w="108" w:type="dxa"/>
          </w:tblCellMar>
        </w:tblPrEx>
        <w:trPr>
          <w:trHeight w:val="707" w:hRule="atLeast"/>
        </w:trPr>
        <w:tc>
          <w:tcPr>
            <w:tcW w:w="2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A1018">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5</w:t>
            </w:r>
          </w:p>
        </w:tc>
        <w:tc>
          <w:tcPr>
            <w:tcW w:w="16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73B696">
            <w:pP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如果您的房屋涉及拆迁，您家庭的拆迁安置方案选择方式是：</w:t>
            </w:r>
          </w:p>
          <w:p w14:paraId="08EFF559">
            <w:pPr>
              <w:pStyle w:val="2"/>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1=男主人直接决定  2=女主人直接决定  3=男性、女性家庭成员共同商议决定</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3EDA6">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女性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9B14C">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13.5%</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2F8F0">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9.7%</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5CD16">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76.7%</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57B58">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51A2D">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B69A6">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7C72B">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B4709">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6E6C0A56">
        <w:tblPrEx>
          <w:tblCellMar>
            <w:top w:w="0" w:type="dxa"/>
            <w:left w:w="108" w:type="dxa"/>
            <w:bottom w:w="0" w:type="dxa"/>
            <w:right w:w="108" w:type="dxa"/>
          </w:tblCellMar>
        </w:tblPrEx>
        <w:trPr>
          <w:trHeight w:val="288" w:hRule="atLeast"/>
        </w:trPr>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54379">
            <w:pPr>
              <w:rPr>
                <w:rFonts w:hint="default" w:ascii="Times New Roman" w:hAnsi="Times New Roman" w:eastAsia="宋体" w:cs="Times New Roman"/>
                <w:color w:val="auto"/>
                <w:sz w:val="21"/>
                <w:szCs w:val="21"/>
                <w:highlight w:val="none"/>
              </w:rPr>
            </w:pPr>
          </w:p>
        </w:tc>
        <w:tc>
          <w:tcPr>
            <w:tcW w:w="16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BF94F">
            <w:pPr>
              <w:rPr>
                <w:rFonts w:hint="default" w:ascii="Times New Roman" w:hAnsi="Times New Roman" w:eastAsia="宋体" w:cs="Times New Roman"/>
                <w:color w:val="auto"/>
                <w:sz w:val="21"/>
                <w:szCs w:val="21"/>
                <w:highlight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FACDA">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男性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10E69">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9.5%</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286B7">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14.0%</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EC158">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76.5%</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21666">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0600A">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8C77A">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F627F">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48113">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4E203B4A">
        <w:tblPrEx>
          <w:tblCellMar>
            <w:top w:w="0" w:type="dxa"/>
            <w:left w:w="108" w:type="dxa"/>
            <w:bottom w:w="0" w:type="dxa"/>
            <w:right w:w="108" w:type="dxa"/>
          </w:tblCellMar>
        </w:tblPrEx>
        <w:trPr>
          <w:trHeight w:val="288" w:hRule="atLeast"/>
        </w:trPr>
        <w:tc>
          <w:tcPr>
            <w:tcW w:w="2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5BF8C">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6</w:t>
            </w:r>
          </w:p>
        </w:tc>
        <w:tc>
          <w:tcPr>
            <w:tcW w:w="16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2FBF9A">
            <w:pP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如果您的房屋涉及拆迁，拆迁补偿协议签署人是</w:t>
            </w:r>
          </w:p>
          <w:p w14:paraId="195FF7A9">
            <w:pPr>
              <w:pStyle w:val="2"/>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1=男户主  2=女户主  3=谁在家谁签署 4=男性、女性成员共同决定谁去签署协议</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0AD20">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女性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4425E">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9.7%</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ACC10">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10.4%</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37E7A">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18.6%</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B6E3A">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61.3%</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C4FED">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9FA4B">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F9940">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4213B">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43D94F8C">
        <w:tblPrEx>
          <w:tblCellMar>
            <w:top w:w="0" w:type="dxa"/>
            <w:left w:w="108" w:type="dxa"/>
            <w:bottom w:w="0" w:type="dxa"/>
            <w:right w:w="108" w:type="dxa"/>
          </w:tblCellMar>
        </w:tblPrEx>
        <w:trPr>
          <w:trHeight w:val="288" w:hRule="atLeast"/>
        </w:trPr>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75180">
            <w:pPr>
              <w:rPr>
                <w:rFonts w:hint="default" w:ascii="Times New Roman" w:hAnsi="Times New Roman" w:eastAsia="宋体" w:cs="Times New Roman"/>
                <w:color w:val="auto"/>
                <w:sz w:val="21"/>
                <w:szCs w:val="21"/>
                <w:highlight w:val="none"/>
              </w:rPr>
            </w:pPr>
          </w:p>
        </w:tc>
        <w:tc>
          <w:tcPr>
            <w:tcW w:w="16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2156C0">
            <w:pPr>
              <w:rPr>
                <w:rFonts w:hint="default" w:ascii="Times New Roman" w:hAnsi="Times New Roman" w:eastAsia="宋体" w:cs="Times New Roman"/>
                <w:color w:val="auto"/>
                <w:sz w:val="21"/>
                <w:szCs w:val="21"/>
                <w:highlight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6E677">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男性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87A12">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5.2%</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08B02">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8.1%</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A5936">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23.3%</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8AAA9">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63.3%</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E143D">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F7034">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DAAEC">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EB638">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6AD6B52B">
        <w:tblPrEx>
          <w:tblCellMar>
            <w:top w:w="0" w:type="dxa"/>
            <w:left w:w="108" w:type="dxa"/>
            <w:bottom w:w="0" w:type="dxa"/>
            <w:right w:w="108" w:type="dxa"/>
          </w:tblCellMar>
        </w:tblPrEx>
        <w:trPr>
          <w:trHeight w:val="940" w:hRule="atLeast"/>
        </w:trPr>
        <w:tc>
          <w:tcPr>
            <w:tcW w:w="2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982FA">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7</w:t>
            </w:r>
          </w:p>
        </w:tc>
        <w:tc>
          <w:tcPr>
            <w:tcW w:w="16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5BB0C9">
            <w:pP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如果您将安置在安置小区或自行购房，安置房选购（如楼层、地点、面积等等）的家庭决策情况是</w:t>
            </w:r>
          </w:p>
          <w:p w14:paraId="779041C6">
            <w:pPr>
              <w:pStyle w:val="2"/>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1=男主人直接决定  2=女主人直接决定  3=男性、女性家庭成员共同商议决定</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3DD78">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女性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3486A">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10.1%</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1452B">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16.4%</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FA194">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73.6%</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D4667">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3132E">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F7D4F">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D39A9">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49422">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157AC7C7">
        <w:tblPrEx>
          <w:tblCellMar>
            <w:top w:w="0" w:type="dxa"/>
            <w:left w:w="108" w:type="dxa"/>
            <w:bottom w:w="0" w:type="dxa"/>
            <w:right w:w="108" w:type="dxa"/>
          </w:tblCellMar>
        </w:tblPrEx>
        <w:trPr>
          <w:trHeight w:val="288" w:hRule="atLeast"/>
        </w:trPr>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9460D">
            <w:pPr>
              <w:rPr>
                <w:rFonts w:hint="default" w:ascii="Times New Roman" w:hAnsi="Times New Roman" w:eastAsia="宋体" w:cs="Times New Roman"/>
                <w:color w:val="auto"/>
                <w:sz w:val="21"/>
                <w:szCs w:val="21"/>
                <w:highlight w:val="none"/>
              </w:rPr>
            </w:pPr>
          </w:p>
        </w:tc>
        <w:tc>
          <w:tcPr>
            <w:tcW w:w="16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6AB33">
            <w:pPr>
              <w:rPr>
                <w:rFonts w:hint="default" w:ascii="Times New Roman" w:hAnsi="Times New Roman" w:eastAsia="宋体" w:cs="Times New Roman"/>
                <w:color w:val="auto"/>
                <w:sz w:val="21"/>
                <w:szCs w:val="21"/>
                <w:highlight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D8352">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男性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42C49">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5.2%</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A6956">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26.0%</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55F41">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68.8%</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B44E9">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3536A">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75D11">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49F9E">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F8574">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37434ECF">
        <w:tblPrEx>
          <w:tblCellMar>
            <w:top w:w="0" w:type="dxa"/>
            <w:left w:w="108" w:type="dxa"/>
            <w:bottom w:w="0" w:type="dxa"/>
            <w:right w:w="108" w:type="dxa"/>
          </w:tblCellMar>
        </w:tblPrEx>
        <w:trPr>
          <w:trHeight w:val="1382" w:hRule="atLeast"/>
        </w:trPr>
        <w:tc>
          <w:tcPr>
            <w:tcW w:w="2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B459D">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8</w:t>
            </w:r>
          </w:p>
        </w:tc>
        <w:tc>
          <w:tcPr>
            <w:tcW w:w="16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CD2A8C">
            <w:pP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您认为项目实施和运行期间潜在的社会影响和风险有哪些？</w:t>
            </w:r>
          </w:p>
          <w:p w14:paraId="68837A19">
            <w:pPr>
              <w:pStyle w:val="2"/>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 xml:space="preserve">1=交通安全影响  2=工程事故  3=环境污染 4=噪声、扬尘影响 5=外来施工建设人员和当地居民矛盾 6=家庭收入可能降低 7=征地拆迁引起的矛盾 8=其他（请注明）  </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BA3A7">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女性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F95F9">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25.5%</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B1AE2">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35.2%</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3A314">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93.1%</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29D6F">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91.5%</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537FD">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8.8%</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0296A">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7.9%</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27C7E">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72.6%</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510D3">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5.7%</w:t>
            </w:r>
          </w:p>
        </w:tc>
      </w:tr>
      <w:tr w14:paraId="60AB3E53">
        <w:tblPrEx>
          <w:tblCellMar>
            <w:top w:w="0" w:type="dxa"/>
            <w:left w:w="108" w:type="dxa"/>
            <w:bottom w:w="0" w:type="dxa"/>
            <w:right w:w="108" w:type="dxa"/>
          </w:tblCellMar>
        </w:tblPrEx>
        <w:trPr>
          <w:trHeight w:val="288" w:hRule="atLeast"/>
        </w:trPr>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6353F">
            <w:pPr>
              <w:rPr>
                <w:rFonts w:hint="default" w:ascii="Times New Roman" w:hAnsi="Times New Roman" w:eastAsia="宋体" w:cs="Times New Roman"/>
                <w:color w:val="auto"/>
                <w:sz w:val="21"/>
                <w:szCs w:val="21"/>
                <w:highlight w:val="none"/>
              </w:rPr>
            </w:pPr>
          </w:p>
        </w:tc>
        <w:tc>
          <w:tcPr>
            <w:tcW w:w="16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F3B4F">
            <w:pPr>
              <w:rPr>
                <w:rFonts w:hint="default" w:ascii="Times New Roman" w:hAnsi="Times New Roman" w:eastAsia="宋体" w:cs="Times New Roman"/>
                <w:color w:val="auto"/>
                <w:sz w:val="21"/>
                <w:szCs w:val="21"/>
                <w:highlight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E910B">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男性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714D1">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29.6%</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D5B06">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31.9%</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22995">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91.9%</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0B40B">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90.0%</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0E3AE">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7.7%</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4F669">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5.2%</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69C54">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73.5%</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B73FD">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4.8%</w:t>
            </w:r>
          </w:p>
        </w:tc>
      </w:tr>
      <w:tr w14:paraId="36D7A333">
        <w:tblPrEx>
          <w:tblCellMar>
            <w:top w:w="0" w:type="dxa"/>
            <w:left w:w="108" w:type="dxa"/>
            <w:bottom w:w="0" w:type="dxa"/>
            <w:right w:w="108" w:type="dxa"/>
          </w:tblCellMar>
        </w:tblPrEx>
        <w:trPr>
          <w:trHeight w:val="531" w:hRule="atLeast"/>
        </w:trPr>
        <w:tc>
          <w:tcPr>
            <w:tcW w:w="2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470C8">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w:t>
            </w:r>
          </w:p>
        </w:tc>
        <w:tc>
          <w:tcPr>
            <w:tcW w:w="16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3C97B0">
            <w:pP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您或您的家庭成员是否愿意参加政府相关部门提供的免费培训</w:t>
            </w:r>
          </w:p>
          <w:p w14:paraId="2E939133">
            <w:pPr>
              <w:pStyle w:val="2"/>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1=是  2=否 3=看情况</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67865">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女性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1C7FC">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95.9%</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CADDB">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4.1%</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3B773">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C7296">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1DFA7">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D5A78">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7D8BF">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18554">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0E4A78D4">
        <w:tblPrEx>
          <w:tblCellMar>
            <w:top w:w="0" w:type="dxa"/>
            <w:left w:w="108" w:type="dxa"/>
            <w:bottom w:w="0" w:type="dxa"/>
            <w:right w:w="108" w:type="dxa"/>
          </w:tblCellMar>
        </w:tblPrEx>
        <w:trPr>
          <w:trHeight w:val="288" w:hRule="atLeast"/>
        </w:trPr>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F09BD">
            <w:pPr>
              <w:rPr>
                <w:rFonts w:hint="default" w:ascii="Times New Roman" w:hAnsi="Times New Roman" w:eastAsia="宋体" w:cs="Times New Roman"/>
                <w:color w:val="auto"/>
                <w:sz w:val="21"/>
                <w:szCs w:val="21"/>
                <w:highlight w:val="none"/>
              </w:rPr>
            </w:pPr>
          </w:p>
        </w:tc>
        <w:tc>
          <w:tcPr>
            <w:tcW w:w="16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691B4">
            <w:pPr>
              <w:rPr>
                <w:rFonts w:hint="default" w:ascii="Times New Roman" w:hAnsi="Times New Roman" w:eastAsia="宋体" w:cs="Times New Roman"/>
                <w:color w:val="auto"/>
                <w:sz w:val="21"/>
                <w:szCs w:val="21"/>
                <w:highlight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4FC1A">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男性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D8091">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94.8%</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E75B1">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5.2%</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F0EC0">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59652">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F0BFB">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910F9">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28E79">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E5CB3">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1C08125E">
        <w:tblPrEx>
          <w:tblCellMar>
            <w:top w:w="0" w:type="dxa"/>
            <w:left w:w="108" w:type="dxa"/>
            <w:bottom w:w="0" w:type="dxa"/>
            <w:right w:w="108" w:type="dxa"/>
          </w:tblCellMar>
        </w:tblPrEx>
        <w:trPr>
          <w:trHeight w:val="288" w:hRule="atLeast"/>
        </w:trPr>
        <w:tc>
          <w:tcPr>
            <w:tcW w:w="2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3FF35">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10</w:t>
            </w:r>
          </w:p>
        </w:tc>
        <w:tc>
          <w:tcPr>
            <w:tcW w:w="16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FDA0A4">
            <w:pP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如果项目提供免费培训的机会，您希望是哪类培训？</w:t>
            </w:r>
          </w:p>
          <w:p w14:paraId="6E2CF595">
            <w:pPr>
              <w:pStyle w:val="2"/>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1=种植技术  2=养殖技术  3=车辆维修 4=家政服务 5=手工艺品制作 6=厨师 7=其他（请注明）</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98EB5">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女性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157B6">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10.1%</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AE5B5">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9.4%</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4588C">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0.0%</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1234D">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83.0%</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E7DAB">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84.0%</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00959">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24.5%</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5E4B5">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34.0%</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C6767">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343BF005">
        <w:tblPrEx>
          <w:tblCellMar>
            <w:top w:w="0" w:type="dxa"/>
            <w:left w:w="108" w:type="dxa"/>
            <w:bottom w:w="0" w:type="dxa"/>
            <w:right w:w="108" w:type="dxa"/>
          </w:tblCellMar>
        </w:tblPrEx>
        <w:trPr>
          <w:trHeight w:val="288" w:hRule="atLeast"/>
        </w:trPr>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6E24F">
            <w:pPr>
              <w:rPr>
                <w:rFonts w:hint="default" w:ascii="Times New Roman" w:hAnsi="Times New Roman" w:eastAsia="宋体" w:cs="Times New Roman"/>
                <w:color w:val="auto"/>
                <w:sz w:val="21"/>
                <w:szCs w:val="21"/>
                <w:highlight w:val="none"/>
              </w:rPr>
            </w:pPr>
          </w:p>
        </w:tc>
        <w:tc>
          <w:tcPr>
            <w:tcW w:w="16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277E8">
            <w:pPr>
              <w:rPr>
                <w:rFonts w:hint="default" w:ascii="Times New Roman" w:hAnsi="Times New Roman" w:eastAsia="宋体" w:cs="Times New Roman"/>
                <w:color w:val="auto"/>
                <w:sz w:val="21"/>
                <w:szCs w:val="21"/>
                <w:highlight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9B3BC">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男性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7CF4F">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10.4%</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DA271">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12.7%</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69BB6">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23.5%</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0C0A0">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66.1%</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D82C3">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62.0%</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7934B">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14.9%</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3297C">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45.5%</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E5C91">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23DF90CC">
        <w:tblPrEx>
          <w:tblCellMar>
            <w:top w:w="0" w:type="dxa"/>
            <w:left w:w="108" w:type="dxa"/>
            <w:bottom w:w="0" w:type="dxa"/>
            <w:right w:w="108" w:type="dxa"/>
          </w:tblCellMar>
        </w:tblPrEx>
        <w:trPr>
          <w:trHeight w:val="398" w:hRule="atLeast"/>
        </w:trPr>
        <w:tc>
          <w:tcPr>
            <w:tcW w:w="2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812C1">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11</w:t>
            </w:r>
          </w:p>
        </w:tc>
        <w:tc>
          <w:tcPr>
            <w:tcW w:w="16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C02EBD">
            <w:pP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您和家人是否愿意参与本项目建设和运营</w:t>
            </w:r>
          </w:p>
          <w:p w14:paraId="7B2BF1E0">
            <w:pPr>
              <w:pStyle w:val="2"/>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 xml:space="preserve">1=是  2=否  3=看情况  </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428DC">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女性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50472">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92.5%</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635EF">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1.3%</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D00D8">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6.3%</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7B22A">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2D997">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B744E">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2F54C">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7D75E">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20DD9155">
        <w:tblPrEx>
          <w:tblCellMar>
            <w:top w:w="0" w:type="dxa"/>
            <w:left w:w="108" w:type="dxa"/>
            <w:bottom w:w="0" w:type="dxa"/>
            <w:right w:w="108" w:type="dxa"/>
          </w:tblCellMar>
        </w:tblPrEx>
        <w:trPr>
          <w:trHeight w:val="288" w:hRule="atLeast"/>
        </w:trPr>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4DE0B">
            <w:pPr>
              <w:rPr>
                <w:rFonts w:hint="default" w:ascii="Times New Roman" w:hAnsi="Times New Roman" w:eastAsia="宋体" w:cs="Times New Roman"/>
                <w:color w:val="auto"/>
                <w:sz w:val="21"/>
                <w:szCs w:val="21"/>
                <w:highlight w:val="none"/>
              </w:rPr>
            </w:pPr>
          </w:p>
        </w:tc>
        <w:tc>
          <w:tcPr>
            <w:tcW w:w="16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1FB1F">
            <w:pPr>
              <w:rPr>
                <w:rFonts w:hint="default" w:ascii="Times New Roman" w:hAnsi="Times New Roman" w:eastAsia="宋体" w:cs="Times New Roman"/>
                <w:color w:val="auto"/>
                <w:sz w:val="21"/>
                <w:szCs w:val="21"/>
                <w:highlight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53E80">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男性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DE24F">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93.7%</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9DC3B">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0.7%</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CCC89">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5.7%</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D0573">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578ED">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590CD">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D0EF5">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5D0F4">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23B098AE">
        <w:tblPrEx>
          <w:tblCellMar>
            <w:top w:w="0" w:type="dxa"/>
            <w:left w:w="108" w:type="dxa"/>
            <w:bottom w:w="0" w:type="dxa"/>
            <w:right w:w="108" w:type="dxa"/>
          </w:tblCellMar>
        </w:tblPrEx>
        <w:trPr>
          <w:trHeight w:val="446" w:hRule="atLeast"/>
        </w:trPr>
        <w:tc>
          <w:tcPr>
            <w:tcW w:w="2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32A3A">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12</w:t>
            </w:r>
          </w:p>
        </w:tc>
        <w:tc>
          <w:tcPr>
            <w:tcW w:w="16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C4B41E">
            <w:pP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您家里掌柜的是男性还是女性？</w:t>
            </w:r>
          </w:p>
          <w:p w14:paraId="33A32816">
            <w:pPr>
              <w:pStyle w:val="2"/>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1=男性  2=女性</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0E577">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女性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B5C96">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86.5%</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AF0C5">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13.5%</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B4B35">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D110D">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6055F">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5F4F6">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954FF">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83D67">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3970AE1B">
        <w:tblPrEx>
          <w:tblCellMar>
            <w:top w:w="0" w:type="dxa"/>
            <w:left w:w="108" w:type="dxa"/>
            <w:bottom w:w="0" w:type="dxa"/>
            <w:right w:w="108" w:type="dxa"/>
          </w:tblCellMar>
        </w:tblPrEx>
        <w:trPr>
          <w:trHeight w:val="288" w:hRule="atLeast"/>
        </w:trPr>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AA5A5">
            <w:pPr>
              <w:rPr>
                <w:rFonts w:hint="default" w:ascii="Times New Roman" w:hAnsi="Times New Roman" w:eastAsia="宋体" w:cs="Times New Roman"/>
                <w:color w:val="auto"/>
                <w:sz w:val="21"/>
                <w:szCs w:val="21"/>
                <w:highlight w:val="none"/>
              </w:rPr>
            </w:pPr>
          </w:p>
        </w:tc>
        <w:tc>
          <w:tcPr>
            <w:tcW w:w="16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51C1AC">
            <w:pPr>
              <w:rPr>
                <w:rFonts w:hint="default" w:ascii="Times New Roman" w:hAnsi="Times New Roman" w:eastAsia="宋体" w:cs="Times New Roman"/>
                <w:color w:val="auto"/>
                <w:sz w:val="21"/>
                <w:szCs w:val="21"/>
                <w:highlight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FE1D0">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男性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10BFC">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85.3%</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8EC4C">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14.7%</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298C0">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A1F28">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64516">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85894">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FE20F">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47C95">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1C107023">
        <w:tblPrEx>
          <w:tblCellMar>
            <w:top w:w="0" w:type="dxa"/>
            <w:left w:w="108" w:type="dxa"/>
            <w:bottom w:w="0" w:type="dxa"/>
            <w:right w:w="108" w:type="dxa"/>
          </w:tblCellMar>
        </w:tblPrEx>
        <w:trPr>
          <w:trHeight w:val="842" w:hRule="atLeast"/>
        </w:trPr>
        <w:tc>
          <w:tcPr>
            <w:tcW w:w="2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9428F">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13</w:t>
            </w:r>
          </w:p>
        </w:tc>
        <w:tc>
          <w:tcPr>
            <w:tcW w:w="16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1F9228">
            <w:pP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您家里大、小事谁来决定？</w:t>
            </w:r>
          </w:p>
          <w:p w14:paraId="58604BA0">
            <w:pPr>
              <w:pStyle w:val="2"/>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1=掌柜的决定  2=共同商量  3=大事商量、小事听掌柜的 4=大事掌柜定、小事自己定</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58122">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女性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ED0FC">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1.9%</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05B0B">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84.6%</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A39E6">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12.9%</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10082">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0.6%</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1D6DF">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97598">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291F7">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44FA2">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6BE18847">
        <w:tblPrEx>
          <w:tblCellMar>
            <w:top w:w="0" w:type="dxa"/>
            <w:left w:w="108" w:type="dxa"/>
            <w:bottom w:w="0" w:type="dxa"/>
            <w:right w:w="108" w:type="dxa"/>
          </w:tblCellMar>
        </w:tblPrEx>
        <w:trPr>
          <w:trHeight w:val="288" w:hRule="atLeast"/>
        </w:trPr>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78DF1">
            <w:pPr>
              <w:rPr>
                <w:rFonts w:hint="default" w:ascii="Times New Roman" w:hAnsi="Times New Roman" w:eastAsia="宋体" w:cs="Times New Roman"/>
                <w:color w:val="auto"/>
                <w:sz w:val="21"/>
                <w:szCs w:val="21"/>
                <w:highlight w:val="none"/>
              </w:rPr>
            </w:pPr>
          </w:p>
        </w:tc>
        <w:tc>
          <w:tcPr>
            <w:tcW w:w="16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37F7EC">
            <w:pPr>
              <w:rPr>
                <w:rFonts w:hint="default" w:ascii="Times New Roman" w:hAnsi="Times New Roman" w:eastAsia="宋体" w:cs="Times New Roman"/>
                <w:color w:val="auto"/>
                <w:sz w:val="21"/>
                <w:szCs w:val="21"/>
                <w:highlight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69266">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男性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2B69E">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2.3%</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EB751">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83.9%</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D63A8">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13.1%</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EB1DA">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0.7%</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FEBCD">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B2CA1">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8428A">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2C802">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5CD58668">
        <w:tblPrEx>
          <w:tblCellMar>
            <w:top w:w="0" w:type="dxa"/>
            <w:left w:w="108" w:type="dxa"/>
            <w:bottom w:w="0" w:type="dxa"/>
            <w:right w:w="108" w:type="dxa"/>
          </w:tblCellMar>
        </w:tblPrEx>
        <w:trPr>
          <w:trHeight w:val="422" w:hRule="atLeast"/>
        </w:trPr>
        <w:tc>
          <w:tcPr>
            <w:tcW w:w="2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3F986">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14</w:t>
            </w:r>
          </w:p>
        </w:tc>
        <w:tc>
          <w:tcPr>
            <w:tcW w:w="16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049FA4">
            <w:pP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您家里女性是否参与村级活动？</w:t>
            </w:r>
          </w:p>
          <w:p w14:paraId="178A4134">
            <w:pPr>
              <w:pStyle w:val="2"/>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1=是  2=否</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1FAB6">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女性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F16FA">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96.2%</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24FB0">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3.8%</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5AA0D">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BA427">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24C91">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8BA21">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AA1BF">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B3CF3">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487E173E">
        <w:tblPrEx>
          <w:tblCellMar>
            <w:top w:w="0" w:type="dxa"/>
            <w:left w:w="108" w:type="dxa"/>
            <w:bottom w:w="0" w:type="dxa"/>
            <w:right w:w="108" w:type="dxa"/>
          </w:tblCellMar>
        </w:tblPrEx>
        <w:trPr>
          <w:trHeight w:val="288" w:hRule="atLeast"/>
        </w:trPr>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84739">
            <w:pPr>
              <w:rPr>
                <w:rFonts w:hint="default" w:ascii="Times New Roman" w:hAnsi="Times New Roman" w:eastAsia="宋体" w:cs="Times New Roman"/>
                <w:color w:val="auto"/>
                <w:sz w:val="21"/>
                <w:szCs w:val="21"/>
                <w:highlight w:val="none"/>
              </w:rPr>
            </w:pPr>
          </w:p>
        </w:tc>
        <w:tc>
          <w:tcPr>
            <w:tcW w:w="16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F4AB49">
            <w:pPr>
              <w:rPr>
                <w:rFonts w:hint="default" w:ascii="Times New Roman" w:hAnsi="Times New Roman" w:eastAsia="宋体" w:cs="Times New Roman"/>
                <w:color w:val="auto"/>
                <w:sz w:val="21"/>
                <w:szCs w:val="21"/>
                <w:highlight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3BFCB">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男性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6F97B">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95.7%</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B21F8">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4.3%</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858B1">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CBC4F">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E32CC">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21260">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64C22">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3789B">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32F51E52">
        <w:tblPrEx>
          <w:tblCellMar>
            <w:top w:w="0" w:type="dxa"/>
            <w:left w:w="108" w:type="dxa"/>
            <w:bottom w:w="0" w:type="dxa"/>
            <w:right w:w="108" w:type="dxa"/>
          </w:tblCellMar>
        </w:tblPrEx>
        <w:trPr>
          <w:trHeight w:val="515" w:hRule="atLeast"/>
        </w:trPr>
        <w:tc>
          <w:tcPr>
            <w:tcW w:w="2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4906C">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15</w:t>
            </w:r>
          </w:p>
        </w:tc>
        <w:tc>
          <w:tcPr>
            <w:tcW w:w="16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94498B">
            <w:pP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您家女性成员是否有工资性收入？</w:t>
            </w:r>
          </w:p>
          <w:p w14:paraId="6412A8D9">
            <w:pPr>
              <w:pStyle w:val="2"/>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1=社区工厂/合作社打工收入  2=外出务工收入  3=市内固定工作收入 4=无打工收入</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7FCB5">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女性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EB383">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22.0%</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E33E7">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50.9%</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522A5">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15.1%</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54A95">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11.9%</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D8C5C">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A2601">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35C9D">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FA1D9">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4A9B0A59">
        <w:tblPrEx>
          <w:tblCellMar>
            <w:top w:w="0" w:type="dxa"/>
            <w:left w:w="108" w:type="dxa"/>
            <w:bottom w:w="0" w:type="dxa"/>
            <w:right w:w="108" w:type="dxa"/>
          </w:tblCellMar>
        </w:tblPrEx>
        <w:trPr>
          <w:trHeight w:val="288" w:hRule="atLeast"/>
        </w:trPr>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B2411">
            <w:pPr>
              <w:rPr>
                <w:rFonts w:hint="default" w:ascii="Times New Roman" w:hAnsi="Times New Roman" w:eastAsia="宋体" w:cs="Times New Roman"/>
                <w:color w:val="auto"/>
                <w:sz w:val="21"/>
                <w:szCs w:val="21"/>
                <w:highlight w:val="none"/>
              </w:rPr>
            </w:pPr>
          </w:p>
        </w:tc>
        <w:tc>
          <w:tcPr>
            <w:tcW w:w="16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0A5000">
            <w:pPr>
              <w:rPr>
                <w:rFonts w:hint="default" w:ascii="Times New Roman" w:hAnsi="Times New Roman" w:eastAsia="宋体" w:cs="Times New Roman"/>
                <w:color w:val="auto"/>
                <w:sz w:val="21"/>
                <w:szCs w:val="21"/>
                <w:highlight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CD0A5">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男性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500A2">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8.4%</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6E506">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59.5%</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F4532">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15.8%</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79C47">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16.3%</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9BAA4">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FC1DC">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E7D64">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E4C6A">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2AE87711">
        <w:tblPrEx>
          <w:tblCellMar>
            <w:top w:w="0" w:type="dxa"/>
            <w:left w:w="108" w:type="dxa"/>
            <w:bottom w:w="0" w:type="dxa"/>
            <w:right w:w="108" w:type="dxa"/>
          </w:tblCellMar>
        </w:tblPrEx>
        <w:trPr>
          <w:trHeight w:val="482" w:hRule="atLeast"/>
        </w:trPr>
        <w:tc>
          <w:tcPr>
            <w:tcW w:w="2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43F5E">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16</w:t>
            </w:r>
          </w:p>
        </w:tc>
        <w:tc>
          <w:tcPr>
            <w:tcW w:w="16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64D0E0">
            <w:pP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您认为家庭成员中，谁在广场、公园活动或锻炼的时间更多？</w:t>
            </w:r>
          </w:p>
          <w:p w14:paraId="1835C54F">
            <w:pPr>
              <w:pStyle w:val="2"/>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1=男性成员  2=女性成员  3=一样多</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D6C3E">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女性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7E5CD">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1.6%</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0D0B9">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3.8%</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E52A5">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94.7%</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0BF2E">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913CD">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E1F7C">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941A0">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DA0C6">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49DD71EF">
        <w:tblPrEx>
          <w:tblCellMar>
            <w:top w:w="0" w:type="dxa"/>
            <w:left w:w="108" w:type="dxa"/>
            <w:bottom w:w="0" w:type="dxa"/>
            <w:right w:w="108" w:type="dxa"/>
          </w:tblCellMar>
        </w:tblPrEx>
        <w:trPr>
          <w:trHeight w:val="288" w:hRule="atLeast"/>
        </w:trPr>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2C247">
            <w:pPr>
              <w:rPr>
                <w:rFonts w:hint="default" w:ascii="Times New Roman" w:hAnsi="Times New Roman" w:eastAsia="宋体" w:cs="Times New Roman"/>
                <w:color w:val="auto"/>
                <w:sz w:val="21"/>
                <w:szCs w:val="21"/>
                <w:highlight w:val="none"/>
              </w:rPr>
            </w:pPr>
          </w:p>
        </w:tc>
        <w:tc>
          <w:tcPr>
            <w:tcW w:w="16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ED4B4">
            <w:pPr>
              <w:rPr>
                <w:rFonts w:hint="default" w:ascii="Times New Roman" w:hAnsi="Times New Roman" w:eastAsia="宋体" w:cs="Times New Roman"/>
                <w:color w:val="auto"/>
                <w:sz w:val="21"/>
                <w:szCs w:val="21"/>
                <w:highlight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8F37E">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男性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DBD9A">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1.6%</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3E093">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1.4%</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CF556">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97.1%</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11FD4">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C00C5">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E80CC">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A2831">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71D28">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6AED8FA0">
        <w:tblPrEx>
          <w:tblCellMar>
            <w:top w:w="0" w:type="dxa"/>
            <w:left w:w="108" w:type="dxa"/>
            <w:bottom w:w="0" w:type="dxa"/>
            <w:right w:w="108" w:type="dxa"/>
          </w:tblCellMar>
        </w:tblPrEx>
        <w:trPr>
          <w:trHeight w:val="986" w:hRule="atLeast"/>
        </w:trPr>
        <w:tc>
          <w:tcPr>
            <w:tcW w:w="2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955E6">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17</w:t>
            </w:r>
          </w:p>
        </w:tc>
        <w:tc>
          <w:tcPr>
            <w:tcW w:w="16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214F6B">
            <w:pP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对于广场、公园等，您认为在那些方面应得到加强？</w:t>
            </w:r>
          </w:p>
          <w:p w14:paraId="32CD6F25">
            <w:pPr>
              <w:pStyle w:val="2"/>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1=绿植多样化  2=避灾设施的设置  3=灯光 4=母婴室及残疾人卫生间的设置 5=残疾人通道的设置 6=其他（请注明）</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71681">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女性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DDFDF">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94.7%</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72F58">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15.4%</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A0058">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91.5%</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D8352">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52.2%</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E8124">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20.4%</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BB7AE">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9.1%</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AC732">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BA881">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2C49FE2B">
        <w:tblPrEx>
          <w:tblCellMar>
            <w:top w:w="0" w:type="dxa"/>
            <w:left w:w="108" w:type="dxa"/>
            <w:bottom w:w="0" w:type="dxa"/>
            <w:right w:w="108" w:type="dxa"/>
          </w:tblCellMar>
        </w:tblPrEx>
        <w:trPr>
          <w:trHeight w:val="288" w:hRule="atLeast"/>
        </w:trPr>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EA532">
            <w:pPr>
              <w:rPr>
                <w:rFonts w:hint="default" w:ascii="Times New Roman" w:hAnsi="Times New Roman" w:eastAsia="宋体" w:cs="Times New Roman"/>
                <w:color w:val="auto"/>
                <w:sz w:val="21"/>
                <w:szCs w:val="21"/>
                <w:highlight w:val="none"/>
              </w:rPr>
            </w:pPr>
          </w:p>
        </w:tc>
        <w:tc>
          <w:tcPr>
            <w:tcW w:w="16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30BA0D">
            <w:pPr>
              <w:rPr>
                <w:rFonts w:hint="default" w:ascii="Times New Roman" w:hAnsi="Times New Roman" w:eastAsia="宋体" w:cs="Times New Roman"/>
                <w:color w:val="auto"/>
                <w:sz w:val="21"/>
                <w:szCs w:val="21"/>
                <w:highlight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3B903">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男性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5B02A">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93.0%</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A369D">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14.3%</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DC225">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86.0%</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8CF3F">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45.2%</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5D830">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24.9%</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C04AB">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12.0%</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1291A">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5047E">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73609882">
        <w:tblPrEx>
          <w:tblCellMar>
            <w:top w:w="0" w:type="dxa"/>
            <w:left w:w="108" w:type="dxa"/>
            <w:bottom w:w="0" w:type="dxa"/>
            <w:right w:w="108" w:type="dxa"/>
          </w:tblCellMar>
        </w:tblPrEx>
        <w:trPr>
          <w:trHeight w:val="602" w:hRule="atLeast"/>
        </w:trPr>
        <w:tc>
          <w:tcPr>
            <w:tcW w:w="2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37E04">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18</w:t>
            </w:r>
          </w:p>
        </w:tc>
        <w:tc>
          <w:tcPr>
            <w:tcW w:w="16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639CAA">
            <w:pP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如果您的合法权益遭到侵犯，您是否清楚申诉渠道？</w:t>
            </w:r>
          </w:p>
          <w:p w14:paraId="5C36B505">
            <w:pPr>
              <w:pStyle w:val="2"/>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1=清楚  2=不清楚</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14FBB">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女性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7D9BF">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86.8%</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A1D5D">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13.2%</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59860">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AECFC">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CA23C">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AC7BF">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99A87">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FCDA9">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67E7E5A9">
        <w:tblPrEx>
          <w:tblCellMar>
            <w:top w:w="0" w:type="dxa"/>
            <w:left w:w="108" w:type="dxa"/>
            <w:bottom w:w="0" w:type="dxa"/>
            <w:right w:w="108" w:type="dxa"/>
          </w:tblCellMar>
        </w:tblPrEx>
        <w:trPr>
          <w:trHeight w:val="288" w:hRule="atLeast"/>
        </w:trPr>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E083F">
            <w:pPr>
              <w:rPr>
                <w:rFonts w:hint="default" w:ascii="Times New Roman" w:hAnsi="Times New Roman" w:eastAsia="宋体" w:cs="Times New Roman"/>
                <w:color w:val="auto"/>
                <w:sz w:val="21"/>
                <w:szCs w:val="21"/>
                <w:highlight w:val="none"/>
              </w:rPr>
            </w:pPr>
          </w:p>
        </w:tc>
        <w:tc>
          <w:tcPr>
            <w:tcW w:w="16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B619EF">
            <w:pPr>
              <w:rPr>
                <w:rFonts w:hint="default" w:ascii="Times New Roman" w:hAnsi="Times New Roman" w:eastAsia="宋体" w:cs="Times New Roman"/>
                <w:color w:val="auto"/>
                <w:sz w:val="21"/>
                <w:szCs w:val="21"/>
                <w:highlight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1BAAA">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男性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71CA6">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87.1%</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F83B6">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12.9%</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1649B">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17B63">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D9E1C">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899F6">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F6A84">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60BEF">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508F4994">
        <w:tblPrEx>
          <w:tblCellMar>
            <w:top w:w="0" w:type="dxa"/>
            <w:left w:w="108" w:type="dxa"/>
            <w:bottom w:w="0" w:type="dxa"/>
            <w:right w:w="108" w:type="dxa"/>
          </w:tblCellMar>
        </w:tblPrEx>
        <w:trPr>
          <w:trHeight w:val="530" w:hRule="atLeast"/>
        </w:trPr>
        <w:tc>
          <w:tcPr>
            <w:tcW w:w="2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36520">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19</w:t>
            </w:r>
          </w:p>
        </w:tc>
        <w:tc>
          <w:tcPr>
            <w:tcW w:w="16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DF0FF0">
            <w:pP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如果您的土地被征收，您愿意参加失地农民养老保险吗？</w:t>
            </w:r>
          </w:p>
          <w:p w14:paraId="3847F733">
            <w:pPr>
              <w:pStyle w:val="2"/>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1=不愿意  2=愿意</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E8906">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女性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6816A">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0.6%</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BCA84">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99.4%</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CCEF8">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26A49">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CC446">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EA36C">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53417">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FAF4E">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r w14:paraId="1C52ECB1">
        <w:tblPrEx>
          <w:tblCellMar>
            <w:top w:w="0" w:type="dxa"/>
            <w:left w:w="108" w:type="dxa"/>
            <w:bottom w:w="0" w:type="dxa"/>
            <w:right w:w="108" w:type="dxa"/>
          </w:tblCellMar>
        </w:tblPrEx>
        <w:trPr>
          <w:trHeight w:val="288" w:hRule="atLeast"/>
        </w:trPr>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AF13F">
            <w:pPr>
              <w:jc w:val="center"/>
              <w:rPr>
                <w:rFonts w:hint="default" w:ascii="Times New Roman" w:hAnsi="Times New Roman" w:eastAsia="宋体" w:cs="Times New Roman"/>
                <w:color w:val="auto"/>
                <w:sz w:val="21"/>
                <w:szCs w:val="21"/>
                <w:highlight w:val="none"/>
              </w:rPr>
            </w:pPr>
          </w:p>
        </w:tc>
        <w:tc>
          <w:tcPr>
            <w:tcW w:w="16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21BB0E">
            <w:pPr>
              <w:jc w:val="center"/>
              <w:rPr>
                <w:rFonts w:hint="default" w:ascii="Times New Roman" w:hAnsi="Times New Roman" w:eastAsia="宋体" w:cs="Times New Roman"/>
                <w:color w:val="auto"/>
                <w:sz w:val="21"/>
                <w:szCs w:val="21"/>
                <w:highlight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32F7D">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男性</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28B45">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0.9%</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A70DD">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99.1%</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82294">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0BED9">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6C580">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27516">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44601">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D45AE">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r>
    </w:tbl>
    <w:p w14:paraId="4DF6792E">
      <w:pPr>
        <w:rPr>
          <w:rFonts w:hint="default" w:ascii="Times New Roman" w:hAnsi="Times New Roman" w:eastAsia="宋体" w:cs="Times New Roman"/>
          <w:color w:val="auto"/>
          <w:highlight w:val="none"/>
        </w:rPr>
      </w:pPr>
    </w:p>
    <w:p w14:paraId="536369AD">
      <w:pPr>
        <w:spacing w:before="120" w:after="120" w:line="300" w:lineRule="auto"/>
        <w:ind w:firstLine="482" w:firstLineChars="200"/>
        <w:jc w:val="both"/>
        <w:rPr>
          <w:rFonts w:hint="default" w:ascii="Times New Roman" w:hAnsi="Times New Roman" w:eastAsia="宋体" w:cs="Times New Roman"/>
          <w:b/>
          <w:color w:val="auto"/>
          <w:highlight w:val="none"/>
          <w:u w:val="single"/>
        </w:rPr>
        <w:sectPr>
          <w:pgSz w:w="16838" w:h="11906" w:orient="landscape"/>
          <w:pgMar w:top="1800" w:right="1440" w:bottom="1800" w:left="1440" w:header="851" w:footer="992" w:gutter="0"/>
          <w:cols w:space="720" w:num="1"/>
          <w:docGrid w:linePitch="326" w:charSpace="0"/>
        </w:sectPr>
      </w:pPr>
    </w:p>
    <w:p w14:paraId="3E366801">
      <w:pPr>
        <w:spacing w:before="120" w:after="120" w:line="300" w:lineRule="auto"/>
        <w:ind w:firstLine="482"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
          <w:color w:val="auto"/>
          <w:highlight w:val="none"/>
          <w:u w:val="single"/>
        </w:rPr>
        <w:t>关于城东新区征地拆迁补偿政策，</w:t>
      </w:r>
      <w:r>
        <w:rPr>
          <w:rFonts w:hint="default" w:ascii="Times New Roman" w:hAnsi="Times New Roman" w:eastAsia="宋体" w:cs="Times New Roman"/>
          <w:bCs/>
          <w:color w:val="auto"/>
          <w:highlight w:val="none"/>
        </w:rPr>
        <w:t>93.4%的女性知道或知道一些补偿政策，略高于男性被访者知晓政策的比例。其中有21位女性表示不了解补偿政策。</w:t>
      </w:r>
    </w:p>
    <w:p w14:paraId="01ED0CB1">
      <w:pPr>
        <w:spacing w:before="120" w:after="120" w:line="300" w:lineRule="auto"/>
        <w:ind w:firstLine="482"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
          <w:color w:val="auto"/>
          <w:highlight w:val="none"/>
          <w:u w:val="single"/>
        </w:rPr>
        <w:t>关于对项目实施后潜在的社会稳定风险因素的选择</w:t>
      </w:r>
      <w:r>
        <w:rPr>
          <w:rFonts w:hint="default" w:ascii="Times New Roman" w:hAnsi="Times New Roman" w:eastAsia="宋体" w:cs="Times New Roman"/>
          <w:bCs/>
          <w:color w:val="auto"/>
          <w:highlight w:val="none"/>
        </w:rPr>
        <w:t xml:space="preserve">，女性被调查者认为噪声，扬尘污染（91.5%）与环境污染（93.1%）是最主要风险因素。 </w:t>
      </w:r>
    </w:p>
    <w:p w14:paraId="75B1CA43">
      <w:pPr>
        <w:spacing w:before="120" w:after="120" w:line="300" w:lineRule="auto"/>
        <w:ind w:firstLine="482"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
          <w:color w:val="auto"/>
          <w:highlight w:val="none"/>
          <w:u w:val="single"/>
        </w:rPr>
        <w:t>关于房屋拆迁安置方式的选择</w:t>
      </w:r>
      <w:r>
        <w:rPr>
          <w:rFonts w:hint="default" w:ascii="Times New Roman" w:hAnsi="Times New Roman" w:eastAsia="宋体" w:cs="Times New Roman"/>
          <w:bCs/>
          <w:color w:val="auto"/>
          <w:highlight w:val="none"/>
        </w:rPr>
        <w:t>，89.0%的女性选择集中安置楼安置，11.0%被调查者选择货币补偿。集中安置楼的选择，女性略高于男性。</w:t>
      </w:r>
    </w:p>
    <w:p w14:paraId="3347D896">
      <w:pPr>
        <w:spacing w:before="120" w:after="120" w:line="300" w:lineRule="auto"/>
        <w:ind w:firstLine="482"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
          <w:color w:val="auto"/>
          <w:highlight w:val="none"/>
          <w:u w:val="single"/>
        </w:rPr>
        <w:t>关于培训意愿的选择，</w:t>
      </w:r>
      <w:r>
        <w:rPr>
          <w:rFonts w:hint="default" w:ascii="Times New Roman" w:hAnsi="Times New Roman" w:eastAsia="宋体" w:cs="Times New Roman"/>
          <w:bCs/>
          <w:color w:val="auto"/>
          <w:highlight w:val="none"/>
        </w:rPr>
        <w:t>95.9%被调查者愿意参加政府提供的免费培训，其中有4位女性因年龄偏大明确表示不愿参加培训，另有9位女性表示自己有相对稳定的工作，根据自己时间参加或不参加培训。而家政服务（83.0%）和手工艺制作（84.0%）的参与意愿较高，这两项培训的女性选择意愿高于男性被调查者，女性受访者认为此类工作更适合自己。</w:t>
      </w:r>
    </w:p>
    <w:p w14:paraId="3B219781">
      <w:pPr>
        <w:spacing w:before="120" w:after="120" w:line="300" w:lineRule="auto"/>
        <w:ind w:firstLine="482"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
          <w:color w:val="auto"/>
          <w:highlight w:val="none"/>
          <w:u w:val="single"/>
        </w:rPr>
        <w:t>关于参与项目建设意愿的选择，</w:t>
      </w:r>
      <w:r>
        <w:rPr>
          <w:rFonts w:hint="default" w:ascii="Times New Roman" w:hAnsi="Times New Roman" w:eastAsia="宋体" w:cs="Times New Roman"/>
          <w:bCs/>
          <w:color w:val="auto"/>
          <w:highlight w:val="none"/>
        </w:rPr>
        <w:t>92.5%的女性被访者愿意参加长期劳务或临时劳务，仅有4位女性因年龄偏大明确表示无法参加项目建设活动，还有20位女性认为工程建设活动的工作岗位不一定适合自己而持观望态度。女性与男性对于参与项目建设意愿基本一致。</w:t>
      </w:r>
    </w:p>
    <w:p w14:paraId="37276DEA">
      <w:pPr>
        <w:spacing w:before="120" w:after="120" w:line="300" w:lineRule="auto"/>
        <w:ind w:firstLine="482"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
          <w:color w:val="auto"/>
          <w:highlight w:val="none"/>
          <w:u w:val="single"/>
        </w:rPr>
        <w:t>关于申诉渠道，</w:t>
      </w:r>
      <w:r>
        <w:rPr>
          <w:rFonts w:hint="default" w:ascii="Times New Roman" w:hAnsi="Times New Roman" w:eastAsia="宋体" w:cs="Times New Roman"/>
          <w:bCs/>
          <w:color w:val="auto"/>
          <w:highlight w:val="none"/>
        </w:rPr>
        <w:t>86.8%的女性了解申诉渠道，13.2%的女性并不是很清楚申诉渠道，认为一般到村委会就可以解决。女性对申诉渠道的了解与男性基本一致。</w:t>
      </w:r>
    </w:p>
    <w:p w14:paraId="17A0F538">
      <w:pPr>
        <w:spacing w:before="120" w:after="120" w:line="300" w:lineRule="auto"/>
        <w:ind w:firstLine="482"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
          <w:color w:val="auto"/>
          <w:highlight w:val="none"/>
          <w:u w:val="single"/>
        </w:rPr>
        <w:t>关于家庭男女决策及女性收入情况的选择，</w:t>
      </w:r>
      <w:r>
        <w:rPr>
          <w:rFonts w:hint="default" w:ascii="Times New Roman" w:hAnsi="Times New Roman" w:eastAsia="宋体" w:cs="Times New Roman"/>
          <w:bCs/>
          <w:color w:val="auto"/>
          <w:highlight w:val="none"/>
        </w:rPr>
        <w:t>86.5%的家庭由男性掌柜（户主），家里的事务决定以共同商量居多（84.6%），选择大事共同商量占比，</w:t>
      </w:r>
      <w:r>
        <w:rPr>
          <w:rFonts w:hint="default" w:ascii="Times New Roman" w:hAnsi="Times New Roman" w:eastAsia="宋体" w:cs="Times New Roman"/>
          <w:color w:val="auto"/>
          <w:highlight w:val="none"/>
        </w:rPr>
        <w:t>96.2%家庭的女性都能参与到村级活动中</w:t>
      </w:r>
      <w:r>
        <w:rPr>
          <w:rFonts w:hint="default" w:ascii="Times New Roman" w:hAnsi="Times New Roman" w:eastAsia="宋体" w:cs="Times New Roman"/>
          <w:bCs/>
          <w:color w:val="auto"/>
          <w:highlight w:val="none"/>
        </w:rPr>
        <w:t>。</w:t>
      </w:r>
    </w:p>
    <w:p w14:paraId="460C3947">
      <w:pPr>
        <w:spacing w:before="120" w:after="120" w:line="300" w:lineRule="auto"/>
        <w:ind w:firstLine="482" w:firstLineChars="200"/>
        <w:jc w:val="both"/>
        <w:rPr>
          <w:rFonts w:hint="default" w:ascii="Times New Roman" w:hAnsi="Times New Roman" w:eastAsia="宋体" w:cs="Times New Roman"/>
          <w:bCs/>
          <w:color w:val="auto"/>
          <w:highlight w:val="none"/>
        </w:rPr>
      </w:pPr>
      <w:r>
        <w:rPr>
          <w:rFonts w:hint="default" w:ascii="Times New Roman" w:hAnsi="Times New Roman" w:eastAsia="宋体" w:cs="Times New Roman"/>
          <w:b/>
          <w:color w:val="auto"/>
          <w:highlight w:val="none"/>
          <w:u w:val="single"/>
        </w:rPr>
        <w:t>关于对广场、公园建设的意见，</w:t>
      </w:r>
      <w:r>
        <w:rPr>
          <w:rFonts w:hint="default" w:ascii="Times New Roman" w:hAnsi="Times New Roman" w:eastAsia="宋体" w:cs="Times New Roman"/>
          <w:bCs/>
          <w:color w:val="auto"/>
          <w:highlight w:val="none"/>
        </w:rPr>
        <w:t>94.7%的女性被调查者希望绿植多样化。91.5%女性认为广场和公园夜晚的灯光需要加强。与男性被调查者选择基本一致。</w:t>
      </w:r>
    </w:p>
    <w:p w14:paraId="0C33EFE0">
      <w:pPr>
        <w:spacing w:before="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总体上，女性与男性对于项目的态度、安置意愿、培训意愿等没有较大的差别。对于家庭决策方面，男性与女性共同商量占绝大多数，但是，也存在个别家庭由男性或女性单独决策。女性的建议方面主要集中在：“希望项目增加劳务机会，或提供就业信息”、“</w:t>
      </w:r>
      <w:r>
        <w:rPr>
          <w:rFonts w:hint="default" w:ascii="Times New Roman" w:hAnsi="Times New Roman" w:eastAsia="宋体" w:cs="Times New Roman"/>
          <w:bCs/>
          <w:color w:val="auto"/>
          <w:highlight w:val="none"/>
        </w:rPr>
        <w:t>在公共场所增加适老化设施”、</w:t>
      </w:r>
      <w:r>
        <w:rPr>
          <w:rFonts w:hint="default" w:ascii="Times New Roman" w:hAnsi="Times New Roman" w:eastAsia="宋体" w:cs="Times New Roman"/>
          <w:color w:val="auto"/>
          <w:highlight w:val="none"/>
        </w:rPr>
        <w:t>“在公园内增加绿地面积或开放式活动场所”等方面。</w:t>
      </w:r>
    </w:p>
    <w:p w14:paraId="69C11C40">
      <w:pPr>
        <w:pStyle w:val="2"/>
        <w:rPr>
          <w:rFonts w:hint="default" w:ascii="Times New Roman" w:hAnsi="Times New Roman" w:eastAsia="宋体" w:cs="Times New Roman"/>
          <w:color w:val="auto"/>
          <w:highlight w:val="none"/>
        </w:rPr>
      </w:pPr>
    </w:p>
    <w:p w14:paraId="295EBA2B">
      <w:pPr>
        <w:pStyle w:val="2"/>
        <w:rPr>
          <w:rFonts w:hint="default" w:ascii="Times New Roman" w:hAnsi="Times New Roman" w:eastAsia="宋体" w:cs="Times New Roman"/>
          <w:color w:val="auto"/>
          <w:highlight w:val="none"/>
        </w:rPr>
      </w:pPr>
    </w:p>
    <w:p w14:paraId="2BCC119D">
      <w:pPr>
        <w:pStyle w:val="3"/>
        <w:pageBreakBefore/>
        <w:numPr>
          <w:ilvl w:val="0"/>
          <w:numId w:val="4"/>
        </w:numPr>
        <w:spacing w:line="276" w:lineRule="auto"/>
        <w:ind w:left="431" w:hanging="431"/>
        <w:jc w:val="center"/>
        <w:rPr>
          <w:rFonts w:hint="default" w:ascii="Times New Roman" w:hAnsi="Times New Roman" w:eastAsia="宋体" w:cs="Times New Roman"/>
          <w:color w:val="auto"/>
          <w:sz w:val="28"/>
          <w:szCs w:val="28"/>
          <w:highlight w:val="none"/>
        </w:rPr>
      </w:pPr>
      <w:bookmarkStart w:id="141" w:name="_Toc58328372"/>
      <w:bookmarkStart w:id="142" w:name="_Toc27190"/>
      <w:bookmarkStart w:id="143" w:name="_Toc83326393"/>
      <w:bookmarkStart w:id="144" w:name="_Toc57756359"/>
      <w:bookmarkStart w:id="145" w:name="_Toc114673080"/>
      <w:bookmarkStart w:id="146" w:name="_Toc110846288"/>
      <w:r>
        <w:rPr>
          <w:rFonts w:hint="default" w:ascii="Times New Roman" w:hAnsi="Times New Roman" w:eastAsia="宋体" w:cs="Times New Roman"/>
          <w:color w:val="auto"/>
          <w:sz w:val="28"/>
          <w:szCs w:val="28"/>
          <w:highlight w:val="none"/>
        </w:rPr>
        <w:t>社会管理政策框架</w:t>
      </w:r>
      <w:bookmarkEnd w:id="141"/>
      <w:bookmarkEnd w:id="142"/>
      <w:bookmarkEnd w:id="143"/>
      <w:bookmarkEnd w:id="144"/>
      <w:bookmarkEnd w:id="145"/>
      <w:bookmarkEnd w:id="146"/>
    </w:p>
    <w:p w14:paraId="2D6D9670">
      <w:pPr>
        <w:pStyle w:val="4"/>
        <w:spacing w:before="120" w:after="240"/>
        <w:rPr>
          <w:rFonts w:hint="default" w:ascii="Times New Roman" w:hAnsi="Times New Roman" w:eastAsia="宋体" w:cs="Times New Roman"/>
          <w:color w:val="auto"/>
          <w:szCs w:val="24"/>
          <w:highlight w:val="none"/>
        </w:rPr>
      </w:pPr>
      <w:bookmarkStart w:id="147" w:name="_Toc18137"/>
      <w:bookmarkStart w:id="148" w:name="_Toc114673081"/>
      <w:bookmarkStart w:id="149" w:name="_Toc110846289"/>
      <w:r>
        <w:rPr>
          <w:rFonts w:hint="default" w:ascii="Times New Roman" w:hAnsi="Times New Roman" w:eastAsia="宋体" w:cs="Times New Roman"/>
          <w:color w:val="auto"/>
          <w:szCs w:val="24"/>
          <w:highlight w:val="none"/>
        </w:rPr>
        <w:t>综述</w:t>
      </w:r>
      <w:bookmarkEnd w:id="147"/>
      <w:bookmarkEnd w:id="148"/>
      <w:bookmarkEnd w:id="149"/>
    </w:p>
    <w:p w14:paraId="002A1378">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的实施需要符合亚洲基础设施投资银行环境和社会框架（ESF）的要求，同时也需要遵守中国在社会风险管理领域的有关法律法规的要求。本章总结了亚洲基础设施投资银行环境和社会标准（ESSs）在本项目中的适用要求，同时也梳理了中国现有的与项目最为相关的社会管理法律法规、技术规范、适用标准等，并亚洲基础设施投资银行环境和社会标准进行的对比分析，并对存在的差异提出了弥补措施。</w:t>
      </w:r>
    </w:p>
    <w:p w14:paraId="37E5BB87">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根据项目的性质、规模和建设内容，社会影响评价小组对项目社会影响和风险与亚洲基础设施投资银行环境和社会标准（ESSs）的相关性进行了初步审查，发现：</w:t>
      </w:r>
    </w:p>
    <w:p w14:paraId="5CDA64D7">
      <w:pPr>
        <w:pStyle w:val="25"/>
        <w:numPr>
          <w:ilvl w:val="0"/>
          <w:numId w:val="12"/>
        </w:numPr>
        <w:spacing w:before="120" w:after="120" w:line="300" w:lineRule="auto"/>
        <w:ind w:left="900" w:hanging="42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根据社会经济基线调查，项目区不涉及少数民族社区（村），ESS3不适用。</w:t>
      </w:r>
    </w:p>
    <w:p w14:paraId="7104BD45">
      <w:pPr>
        <w:pStyle w:val="25"/>
        <w:numPr>
          <w:ilvl w:val="0"/>
          <w:numId w:val="12"/>
        </w:numPr>
        <w:spacing w:before="120" w:after="120" w:line="300" w:lineRule="auto"/>
        <w:ind w:left="900" w:hanging="42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建设与运营涉及土地征收或占用、劳动与工作条件、社区健康与安全、弱势群体及性别发展等，需要得到周围社区以及居民广泛的支持和参与，并建立通畅的信息沟通/申诉机制，因此，与亚投行ESSs相关的标准有：</w:t>
      </w:r>
    </w:p>
    <w:p w14:paraId="449C0D8B">
      <w:pPr>
        <w:pStyle w:val="25"/>
        <w:numPr>
          <w:ilvl w:val="0"/>
          <w:numId w:val="13"/>
        </w:numPr>
        <w:spacing w:before="120" w:after="120" w:line="30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环境与社会评估于管理（ESS1）：包括社会包容性、利益相关方参与和信息公开、健康与安全、劳动和工作条件等方面；</w:t>
      </w:r>
    </w:p>
    <w:p w14:paraId="3D6E07AC">
      <w:pPr>
        <w:pStyle w:val="25"/>
        <w:numPr>
          <w:ilvl w:val="0"/>
          <w:numId w:val="13"/>
        </w:numPr>
        <w:spacing w:before="120" w:after="120" w:line="30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土地征收与非自愿移民（ESS2）。</w:t>
      </w:r>
    </w:p>
    <w:p w14:paraId="2C6FF9AC">
      <w:pPr>
        <w:jc w:val="center"/>
        <w:rPr>
          <w:rFonts w:hint="default" w:ascii="Times New Roman" w:hAnsi="Times New Roman" w:eastAsia="宋体" w:cs="Times New Roman"/>
          <w:b/>
          <w:bCs/>
          <w:color w:val="auto"/>
          <w:highlight w:val="none"/>
        </w:rPr>
      </w:pPr>
      <w:bookmarkStart w:id="150" w:name="_Toc97228883"/>
      <w:bookmarkStart w:id="151" w:name="_Toc97221514"/>
      <w:bookmarkStart w:id="152" w:name="_Toc113946490"/>
      <w:bookmarkStart w:id="153" w:name="_Toc86390430"/>
      <w:r>
        <w:rPr>
          <w:rFonts w:hint="default" w:ascii="Times New Roman" w:hAnsi="Times New Roman" w:eastAsia="宋体" w:cs="Times New Roman"/>
          <w:b/>
          <w:bCs/>
          <w:color w:val="auto"/>
          <w:highlight w:val="none"/>
        </w:rPr>
        <w:t xml:space="preserve">表 </w:t>
      </w:r>
      <w:r>
        <w:rPr>
          <w:rFonts w:hint="default" w:ascii="Times New Roman" w:hAnsi="Times New Roman" w:eastAsia="宋体" w:cs="Times New Roman"/>
          <w:b/>
          <w:bCs/>
          <w:color w:val="auto"/>
          <w:highlight w:val="none"/>
        </w:rPr>
        <w:fldChar w:fldCharType="begin"/>
      </w:r>
      <w:r>
        <w:rPr>
          <w:rFonts w:hint="default" w:ascii="Times New Roman" w:hAnsi="Times New Roman" w:eastAsia="宋体" w:cs="Times New Roman"/>
          <w:b/>
          <w:bCs/>
          <w:color w:val="auto"/>
          <w:highlight w:val="none"/>
        </w:rPr>
        <w:instrText xml:space="preserve"> STYLEREF 1 \s </w:instrText>
      </w:r>
      <w:r>
        <w:rPr>
          <w:rFonts w:hint="default" w:ascii="Times New Roman" w:hAnsi="Times New Roman" w:eastAsia="宋体" w:cs="Times New Roman"/>
          <w:b/>
          <w:bCs/>
          <w:color w:val="auto"/>
          <w:highlight w:val="none"/>
        </w:rPr>
        <w:fldChar w:fldCharType="separate"/>
      </w:r>
      <w:r>
        <w:rPr>
          <w:rFonts w:hint="default" w:ascii="Times New Roman" w:hAnsi="Times New Roman" w:eastAsia="宋体" w:cs="Times New Roman"/>
          <w:b/>
          <w:bCs/>
          <w:color w:val="auto"/>
          <w:highlight w:val="none"/>
        </w:rPr>
        <w:t>3</w:t>
      </w:r>
      <w:r>
        <w:rPr>
          <w:rFonts w:hint="default" w:ascii="Times New Roman" w:hAnsi="Times New Roman" w:eastAsia="宋体" w:cs="Times New Roman"/>
          <w:b/>
          <w:bCs/>
          <w:color w:val="auto"/>
          <w:highlight w:val="none"/>
        </w:rPr>
        <w:fldChar w:fldCharType="end"/>
      </w:r>
      <w:r>
        <w:rPr>
          <w:rFonts w:hint="default" w:ascii="Times New Roman" w:hAnsi="Times New Roman" w:eastAsia="宋体" w:cs="Times New Roman"/>
          <w:b/>
          <w:bCs/>
          <w:color w:val="auto"/>
          <w:highlight w:val="none"/>
        </w:rPr>
        <w:noBreakHyphen/>
      </w:r>
      <w:r>
        <w:rPr>
          <w:rFonts w:hint="default" w:ascii="Times New Roman" w:hAnsi="Times New Roman" w:eastAsia="宋体" w:cs="Times New Roman"/>
          <w:b/>
          <w:bCs/>
          <w:color w:val="auto"/>
          <w:highlight w:val="none"/>
        </w:rPr>
        <w:fldChar w:fldCharType="begin"/>
      </w:r>
      <w:r>
        <w:rPr>
          <w:rFonts w:hint="default" w:ascii="Times New Roman" w:hAnsi="Times New Roman" w:eastAsia="宋体" w:cs="Times New Roman"/>
          <w:b/>
          <w:bCs/>
          <w:color w:val="auto"/>
          <w:highlight w:val="none"/>
        </w:rPr>
        <w:instrText xml:space="preserve"> SEQ 表 \* ARABIC \s 1 </w:instrText>
      </w:r>
      <w:r>
        <w:rPr>
          <w:rFonts w:hint="default" w:ascii="Times New Roman" w:hAnsi="Times New Roman" w:eastAsia="宋体" w:cs="Times New Roman"/>
          <w:b/>
          <w:bCs/>
          <w:color w:val="auto"/>
          <w:highlight w:val="none"/>
        </w:rPr>
        <w:fldChar w:fldCharType="separate"/>
      </w:r>
      <w:r>
        <w:rPr>
          <w:rFonts w:hint="default" w:ascii="Times New Roman" w:hAnsi="Times New Roman" w:eastAsia="宋体" w:cs="Times New Roman"/>
          <w:b/>
          <w:bCs/>
          <w:color w:val="auto"/>
          <w:highlight w:val="none"/>
        </w:rPr>
        <w:t>1</w:t>
      </w:r>
      <w:r>
        <w:rPr>
          <w:rFonts w:hint="default" w:ascii="Times New Roman" w:hAnsi="Times New Roman" w:eastAsia="宋体" w:cs="Times New Roman"/>
          <w:b/>
          <w:bCs/>
          <w:color w:val="auto"/>
          <w:highlight w:val="none"/>
        </w:rPr>
        <w:fldChar w:fldCharType="end"/>
      </w:r>
      <w:bookmarkStart w:id="154" w:name="_Toc27581"/>
      <w:r>
        <w:rPr>
          <w:rFonts w:hint="default" w:ascii="Times New Roman" w:hAnsi="Times New Roman" w:eastAsia="宋体" w:cs="Times New Roman"/>
          <w:b/>
          <w:bCs/>
          <w:color w:val="auto"/>
          <w:highlight w:val="none"/>
        </w:rPr>
        <w:t xml:space="preserve"> 项目社会标准相关性分析</w:t>
      </w:r>
      <w:bookmarkEnd w:id="150"/>
      <w:bookmarkEnd w:id="151"/>
      <w:bookmarkEnd w:id="152"/>
      <w:bookmarkEnd w:id="153"/>
      <w:bookmarkEnd w:id="154"/>
    </w:p>
    <w:tbl>
      <w:tblPr>
        <w:tblStyle w:val="43"/>
        <w:tblW w:w="4997" w:type="pct"/>
        <w:tblInd w:w="0" w:type="dxa"/>
        <w:tblLayout w:type="autofit"/>
        <w:tblCellMar>
          <w:top w:w="0" w:type="dxa"/>
          <w:left w:w="108" w:type="dxa"/>
          <w:bottom w:w="0" w:type="dxa"/>
          <w:right w:w="108" w:type="dxa"/>
        </w:tblCellMar>
      </w:tblPr>
      <w:tblGrid>
        <w:gridCol w:w="738"/>
        <w:gridCol w:w="3926"/>
        <w:gridCol w:w="1151"/>
        <w:gridCol w:w="1346"/>
        <w:gridCol w:w="1356"/>
      </w:tblGrid>
      <w:tr w14:paraId="103A3C89">
        <w:tblPrEx>
          <w:tblCellMar>
            <w:top w:w="0" w:type="dxa"/>
            <w:left w:w="108" w:type="dxa"/>
            <w:bottom w:w="0" w:type="dxa"/>
            <w:right w:w="108" w:type="dxa"/>
          </w:tblCellMar>
        </w:tblPrEx>
        <w:trPr>
          <w:trHeight w:val="295" w:hRule="atLeast"/>
          <w:tblHeader/>
        </w:trPr>
        <w:tc>
          <w:tcPr>
            <w:tcW w:w="433" w:type="pct"/>
            <w:tcBorders>
              <w:top w:val="single" w:color="000000" w:sz="8" w:space="0"/>
              <w:left w:val="single" w:color="000000" w:sz="8" w:space="0"/>
              <w:bottom w:val="single" w:color="000000" w:sz="8" w:space="0"/>
              <w:right w:val="single" w:color="000000" w:sz="8" w:space="0"/>
            </w:tcBorders>
            <w:shd w:val="clear" w:color="auto" w:fill="F1F1F1"/>
            <w:noWrap/>
            <w:vAlign w:val="bottom"/>
          </w:tcPr>
          <w:p w14:paraId="619AC898">
            <w:pPr>
              <w:jc w:val="center"/>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序号</w:t>
            </w:r>
          </w:p>
        </w:tc>
        <w:tc>
          <w:tcPr>
            <w:tcW w:w="2305" w:type="pct"/>
            <w:tcBorders>
              <w:top w:val="single" w:color="000000" w:sz="8" w:space="0"/>
              <w:left w:val="nil"/>
              <w:bottom w:val="single" w:color="000000" w:sz="8" w:space="0"/>
              <w:right w:val="single" w:color="000000" w:sz="8" w:space="0"/>
            </w:tcBorders>
            <w:shd w:val="clear" w:color="auto" w:fill="F1F1F1"/>
            <w:noWrap/>
            <w:vAlign w:val="bottom"/>
          </w:tcPr>
          <w:p w14:paraId="5BF621D7">
            <w:pPr>
              <w:jc w:val="center"/>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子项目</w:t>
            </w:r>
          </w:p>
        </w:tc>
        <w:tc>
          <w:tcPr>
            <w:tcW w:w="676" w:type="pct"/>
            <w:tcBorders>
              <w:top w:val="single" w:color="000000" w:sz="8" w:space="0"/>
              <w:left w:val="nil"/>
              <w:bottom w:val="single" w:color="000000" w:sz="8" w:space="0"/>
              <w:right w:val="single" w:color="000000" w:sz="8" w:space="0"/>
            </w:tcBorders>
            <w:shd w:val="clear" w:color="auto" w:fill="F1F1F1"/>
            <w:noWrap/>
            <w:vAlign w:val="bottom"/>
          </w:tcPr>
          <w:p w14:paraId="67F8FCEB">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ESS1</w:t>
            </w:r>
          </w:p>
        </w:tc>
        <w:tc>
          <w:tcPr>
            <w:tcW w:w="790" w:type="pct"/>
            <w:tcBorders>
              <w:top w:val="single" w:color="000000" w:sz="8" w:space="0"/>
              <w:left w:val="nil"/>
              <w:bottom w:val="single" w:color="000000" w:sz="8" w:space="0"/>
              <w:right w:val="single" w:color="000000" w:sz="8" w:space="0"/>
            </w:tcBorders>
            <w:shd w:val="clear" w:color="auto" w:fill="F1F1F1"/>
            <w:noWrap/>
            <w:vAlign w:val="bottom"/>
          </w:tcPr>
          <w:p w14:paraId="3B702133">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ESS2</w:t>
            </w:r>
          </w:p>
        </w:tc>
        <w:tc>
          <w:tcPr>
            <w:tcW w:w="793" w:type="pct"/>
            <w:tcBorders>
              <w:top w:val="single" w:color="000000" w:sz="8" w:space="0"/>
              <w:left w:val="nil"/>
              <w:bottom w:val="single" w:color="000000" w:sz="8" w:space="0"/>
              <w:right w:val="single" w:color="000000" w:sz="8" w:space="0"/>
            </w:tcBorders>
            <w:shd w:val="clear" w:color="auto" w:fill="F1F1F1"/>
            <w:noWrap/>
            <w:vAlign w:val="bottom"/>
          </w:tcPr>
          <w:p w14:paraId="45FA3A2D">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ESS3</w:t>
            </w:r>
          </w:p>
        </w:tc>
      </w:tr>
      <w:tr w14:paraId="6A6D1C60">
        <w:tblPrEx>
          <w:tblCellMar>
            <w:top w:w="0" w:type="dxa"/>
            <w:left w:w="108" w:type="dxa"/>
            <w:bottom w:w="0" w:type="dxa"/>
            <w:right w:w="108" w:type="dxa"/>
          </w:tblCellMar>
        </w:tblPrEx>
        <w:trPr>
          <w:trHeight w:val="397" w:hRule="atLeast"/>
        </w:trPr>
        <w:tc>
          <w:tcPr>
            <w:tcW w:w="433" w:type="pct"/>
            <w:tcBorders>
              <w:top w:val="nil"/>
              <w:left w:val="single" w:color="000000" w:sz="8" w:space="0"/>
              <w:bottom w:val="single" w:color="000000" w:sz="8" w:space="0"/>
              <w:right w:val="single" w:color="000000" w:sz="8" w:space="0"/>
            </w:tcBorders>
            <w:shd w:val="clear" w:color="auto" w:fill="auto"/>
            <w:vAlign w:val="center"/>
          </w:tcPr>
          <w:p w14:paraId="426DE766">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w:t>
            </w:r>
          </w:p>
        </w:tc>
        <w:tc>
          <w:tcPr>
            <w:tcW w:w="2305" w:type="pct"/>
            <w:tcBorders>
              <w:top w:val="nil"/>
              <w:left w:val="nil"/>
              <w:bottom w:val="single" w:color="000000" w:sz="8" w:space="0"/>
              <w:right w:val="single" w:color="000000" w:sz="8" w:space="0"/>
            </w:tcBorders>
            <w:shd w:val="clear" w:color="auto" w:fill="auto"/>
            <w:vAlign w:val="center"/>
          </w:tcPr>
          <w:p w14:paraId="448C4A8A">
            <w:pPr>
              <w:jc w:val="both"/>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安康城东产城融合示范区振兴路</w:t>
            </w:r>
          </w:p>
        </w:tc>
        <w:tc>
          <w:tcPr>
            <w:tcW w:w="676" w:type="pct"/>
            <w:tcBorders>
              <w:top w:val="nil"/>
              <w:left w:val="nil"/>
              <w:bottom w:val="single" w:color="000000" w:sz="8" w:space="0"/>
              <w:right w:val="single" w:color="000000" w:sz="8" w:space="0"/>
            </w:tcBorders>
            <w:shd w:val="clear" w:color="auto" w:fill="auto"/>
            <w:noWrap/>
            <w:vAlign w:val="bottom"/>
          </w:tcPr>
          <w:p w14:paraId="40831587">
            <w:pPr>
              <w:jc w:val="center"/>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w:t>
            </w:r>
          </w:p>
        </w:tc>
        <w:tc>
          <w:tcPr>
            <w:tcW w:w="790" w:type="pct"/>
            <w:tcBorders>
              <w:top w:val="nil"/>
              <w:left w:val="nil"/>
              <w:bottom w:val="single" w:color="000000" w:sz="8" w:space="0"/>
              <w:right w:val="single" w:color="000000" w:sz="8" w:space="0"/>
            </w:tcBorders>
            <w:shd w:val="clear" w:color="auto" w:fill="auto"/>
            <w:noWrap/>
            <w:vAlign w:val="bottom"/>
          </w:tcPr>
          <w:p w14:paraId="1705C8B3">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w:t>
            </w:r>
          </w:p>
        </w:tc>
        <w:tc>
          <w:tcPr>
            <w:tcW w:w="793" w:type="pct"/>
            <w:tcBorders>
              <w:top w:val="nil"/>
              <w:left w:val="nil"/>
              <w:bottom w:val="single" w:color="000000" w:sz="8" w:space="0"/>
              <w:right w:val="single" w:color="000000" w:sz="8" w:space="0"/>
            </w:tcBorders>
            <w:shd w:val="clear" w:color="auto" w:fill="auto"/>
            <w:noWrap/>
            <w:vAlign w:val="bottom"/>
          </w:tcPr>
          <w:p w14:paraId="2D34FC53">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X</w:t>
            </w:r>
          </w:p>
        </w:tc>
      </w:tr>
      <w:tr w14:paraId="781C0511">
        <w:tblPrEx>
          <w:tblCellMar>
            <w:top w:w="0" w:type="dxa"/>
            <w:left w:w="108" w:type="dxa"/>
            <w:bottom w:w="0" w:type="dxa"/>
            <w:right w:w="108" w:type="dxa"/>
          </w:tblCellMar>
        </w:tblPrEx>
        <w:trPr>
          <w:trHeight w:val="397" w:hRule="atLeast"/>
        </w:trPr>
        <w:tc>
          <w:tcPr>
            <w:tcW w:w="433" w:type="pct"/>
            <w:tcBorders>
              <w:top w:val="nil"/>
              <w:left w:val="single" w:color="000000" w:sz="8" w:space="0"/>
              <w:bottom w:val="single" w:color="000000" w:sz="8" w:space="0"/>
              <w:right w:val="single" w:color="000000" w:sz="8" w:space="0"/>
            </w:tcBorders>
            <w:shd w:val="clear" w:color="auto" w:fill="auto"/>
            <w:vAlign w:val="center"/>
          </w:tcPr>
          <w:p w14:paraId="51CBAD8F">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2</w:t>
            </w:r>
          </w:p>
        </w:tc>
        <w:tc>
          <w:tcPr>
            <w:tcW w:w="2305" w:type="pct"/>
            <w:tcBorders>
              <w:top w:val="nil"/>
              <w:left w:val="nil"/>
              <w:bottom w:val="single" w:color="000000" w:sz="8" w:space="0"/>
              <w:right w:val="single" w:color="000000" w:sz="8" w:space="0"/>
            </w:tcBorders>
            <w:shd w:val="clear" w:color="auto" w:fill="auto"/>
            <w:vAlign w:val="center"/>
          </w:tcPr>
          <w:p w14:paraId="58059D67">
            <w:pPr>
              <w:jc w:val="both"/>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安康城东产城融合示范区环塔路</w:t>
            </w:r>
          </w:p>
        </w:tc>
        <w:tc>
          <w:tcPr>
            <w:tcW w:w="676" w:type="pct"/>
            <w:tcBorders>
              <w:top w:val="nil"/>
              <w:left w:val="nil"/>
              <w:bottom w:val="single" w:color="000000" w:sz="8" w:space="0"/>
              <w:right w:val="single" w:color="000000" w:sz="8" w:space="0"/>
            </w:tcBorders>
            <w:shd w:val="clear" w:color="auto" w:fill="auto"/>
            <w:noWrap/>
            <w:vAlign w:val="bottom"/>
          </w:tcPr>
          <w:p w14:paraId="33628B4F">
            <w:pPr>
              <w:jc w:val="center"/>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w:t>
            </w:r>
          </w:p>
        </w:tc>
        <w:tc>
          <w:tcPr>
            <w:tcW w:w="790" w:type="pct"/>
            <w:tcBorders>
              <w:top w:val="nil"/>
              <w:left w:val="nil"/>
              <w:bottom w:val="single" w:color="000000" w:sz="8" w:space="0"/>
              <w:right w:val="single" w:color="000000" w:sz="8" w:space="0"/>
            </w:tcBorders>
            <w:shd w:val="clear" w:color="auto" w:fill="auto"/>
            <w:noWrap/>
            <w:vAlign w:val="bottom"/>
          </w:tcPr>
          <w:p w14:paraId="1B21B17B">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w:t>
            </w:r>
          </w:p>
        </w:tc>
        <w:tc>
          <w:tcPr>
            <w:tcW w:w="793" w:type="pct"/>
            <w:tcBorders>
              <w:top w:val="nil"/>
              <w:left w:val="nil"/>
              <w:bottom w:val="single" w:color="000000" w:sz="8" w:space="0"/>
              <w:right w:val="single" w:color="000000" w:sz="8" w:space="0"/>
            </w:tcBorders>
            <w:shd w:val="clear" w:color="auto" w:fill="auto"/>
            <w:noWrap/>
            <w:vAlign w:val="bottom"/>
          </w:tcPr>
          <w:p w14:paraId="52DDC524">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X</w:t>
            </w:r>
          </w:p>
        </w:tc>
      </w:tr>
      <w:tr w14:paraId="1C382337">
        <w:tblPrEx>
          <w:tblCellMar>
            <w:top w:w="0" w:type="dxa"/>
            <w:left w:w="108" w:type="dxa"/>
            <w:bottom w:w="0" w:type="dxa"/>
            <w:right w:w="108" w:type="dxa"/>
          </w:tblCellMar>
        </w:tblPrEx>
        <w:trPr>
          <w:trHeight w:val="397" w:hRule="atLeast"/>
        </w:trPr>
        <w:tc>
          <w:tcPr>
            <w:tcW w:w="433" w:type="pct"/>
            <w:tcBorders>
              <w:top w:val="nil"/>
              <w:left w:val="single" w:color="000000" w:sz="8" w:space="0"/>
              <w:bottom w:val="single" w:color="000000" w:sz="8" w:space="0"/>
              <w:right w:val="single" w:color="000000" w:sz="8" w:space="0"/>
            </w:tcBorders>
            <w:shd w:val="clear" w:color="auto" w:fill="auto"/>
            <w:vAlign w:val="center"/>
          </w:tcPr>
          <w:p w14:paraId="2AB5A7A0">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3</w:t>
            </w:r>
          </w:p>
        </w:tc>
        <w:tc>
          <w:tcPr>
            <w:tcW w:w="2305" w:type="pct"/>
            <w:tcBorders>
              <w:top w:val="nil"/>
              <w:left w:val="nil"/>
              <w:bottom w:val="single" w:color="000000" w:sz="8" w:space="0"/>
              <w:right w:val="single" w:color="000000" w:sz="8" w:space="0"/>
            </w:tcBorders>
            <w:shd w:val="clear" w:color="auto" w:fill="auto"/>
            <w:vAlign w:val="center"/>
          </w:tcPr>
          <w:p w14:paraId="45423557">
            <w:pPr>
              <w:jc w:val="both"/>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安康城东产城融合示范区绿苑路</w:t>
            </w:r>
          </w:p>
        </w:tc>
        <w:tc>
          <w:tcPr>
            <w:tcW w:w="676" w:type="pct"/>
            <w:tcBorders>
              <w:top w:val="nil"/>
              <w:left w:val="nil"/>
              <w:bottom w:val="single" w:color="000000" w:sz="8" w:space="0"/>
              <w:right w:val="single" w:color="000000" w:sz="8" w:space="0"/>
            </w:tcBorders>
            <w:shd w:val="clear" w:color="auto" w:fill="auto"/>
            <w:noWrap/>
            <w:vAlign w:val="bottom"/>
          </w:tcPr>
          <w:p w14:paraId="5FEA90D6">
            <w:pPr>
              <w:jc w:val="center"/>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w:t>
            </w:r>
          </w:p>
        </w:tc>
        <w:tc>
          <w:tcPr>
            <w:tcW w:w="790" w:type="pct"/>
            <w:tcBorders>
              <w:top w:val="nil"/>
              <w:left w:val="nil"/>
              <w:bottom w:val="single" w:color="000000" w:sz="8" w:space="0"/>
              <w:right w:val="single" w:color="000000" w:sz="8" w:space="0"/>
            </w:tcBorders>
            <w:shd w:val="clear" w:color="auto" w:fill="auto"/>
            <w:noWrap/>
            <w:vAlign w:val="bottom"/>
          </w:tcPr>
          <w:p w14:paraId="327EEE8C">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w:t>
            </w:r>
          </w:p>
        </w:tc>
        <w:tc>
          <w:tcPr>
            <w:tcW w:w="793" w:type="pct"/>
            <w:tcBorders>
              <w:top w:val="nil"/>
              <w:left w:val="nil"/>
              <w:bottom w:val="single" w:color="000000" w:sz="8" w:space="0"/>
              <w:right w:val="single" w:color="000000" w:sz="8" w:space="0"/>
            </w:tcBorders>
            <w:shd w:val="clear" w:color="auto" w:fill="auto"/>
            <w:noWrap/>
            <w:vAlign w:val="bottom"/>
          </w:tcPr>
          <w:p w14:paraId="7D1F5209">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X</w:t>
            </w:r>
          </w:p>
        </w:tc>
      </w:tr>
      <w:tr w14:paraId="3986D41B">
        <w:tblPrEx>
          <w:tblCellMar>
            <w:top w:w="0" w:type="dxa"/>
            <w:left w:w="108" w:type="dxa"/>
            <w:bottom w:w="0" w:type="dxa"/>
            <w:right w:w="108" w:type="dxa"/>
          </w:tblCellMar>
        </w:tblPrEx>
        <w:trPr>
          <w:trHeight w:val="397" w:hRule="atLeast"/>
        </w:trPr>
        <w:tc>
          <w:tcPr>
            <w:tcW w:w="433" w:type="pct"/>
            <w:tcBorders>
              <w:top w:val="nil"/>
              <w:left w:val="single" w:color="000000" w:sz="8" w:space="0"/>
              <w:bottom w:val="single" w:color="000000" w:sz="8" w:space="0"/>
              <w:right w:val="single" w:color="000000" w:sz="8" w:space="0"/>
            </w:tcBorders>
            <w:shd w:val="clear" w:color="auto" w:fill="auto"/>
            <w:vAlign w:val="center"/>
          </w:tcPr>
          <w:p w14:paraId="6B3CA1AC">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4</w:t>
            </w:r>
          </w:p>
        </w:tc>
        <w:tc>
          <w:tcPr>
            <w:tcW w:w="2305" w:type="pct"/>
            <w:tcBorders>
              <w:top w:val="nil"/>
              <w:left w:val="nil"/>
              <w:bottom w:val="single" w:color="000000" w:sz="8" w:space="0"/>
              <w:right w:val="single" w:color="000000" w:sz="8" w:space="0"/>
            </w:tcBorders>
            <w:shd w:val="clear" w:color="auto" w:fill="auto"/>
            <w:vAlign w:val="center"/>
          </w:tcPr>
          <w:p w14:paraId="433778FC">
            <w:pPr>
              <w:jc w:val="both"/>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安康城东产城融合示范区春林路</w:t>
            </w:r>
          </w:p>
        </w:tc>
        <w:tc>
          <w:tcPr>
            <w:tcW w:w="676" w:type="pct"/>
            <w:tcBorders>
              <w:top w:val="nil"/>
              <w:left w:val="nil"/>
              <w:bottom w:val="single" w:color="000000" w:sz="8" w:space="0"/>
              <w:right w:val="single" w:color="000000" w:sz="8" w:space="0"/>
            </w:tcBorders>
            <w:shd w:val="clear" w:color="auto" w:fill="auto"/>
            <w:noWrap/>
            <w:vAlign w:val="bottom"/>
          </w:tcPr>
          <w:p w14:paraId="6489B6F3">
            <w:pPr>
              <w:jc w:val="center"/>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w:t>
            </w:r>
          </w:p>
        </w:tc>
        <w:tc>
          <w:tcPr>
            <w:tcW w:w="790" w:type="pct"/>
            <w:tcBorders>
              <w:top w:val="nil"/>
              <w:left w:val="nil"/>
              <w:bottom w:val="single" w:color="000000" w:sz="8" w:space="0"/>
              <w:right w:val="single" w:color="000000" w:sz="8" w:space="0"/>
            </w:tcBorders>
            <w:shd w:val="clear" w:color="auto" w:fill="auto"/>
            <w:noWrap/>
            <w:vAlign w:val="bottom"/>
          </w:tcPr>
          <w:p w14:paraId="2CF4C6CB">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w:t>
            </w:r>
          </w:p>
        </w:tc>
        <w:tc>
          <w:tcPr>
            <w:tcW w:w="793" w:type="pct"/>
            <w:tcBorders>
              <w:top w:val="nil"/>
              <w:left w:val="nil"/>
              <w:bottom w:val="single" w:color="000000" w:sz="8" w:space="0"/>
              <w:right w:val="single" w:color="000000" w:sz="8" w:space="0"/>
            </w:tcBorders>
            <w:shd w:val="clear" w:color="auto" w:fill="auto"/>
            <w:noWrap/>
            <w:vAlign w:val="bottom"/>
          </w:tcPr>
          <w:p w14:paraId="58648572">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X</w:t>
            </w:r>
          </w:p>
        </w:tc>
      </w:tr>
      <w:tr w14:paraId="042E3476">
        <w:tblPrEx>
          <w:tblCellMar>
            <w:top w:w="0" w:type="dxa"/>
            <w:left w:w="108" w:type="dxa"/>
            <w:bottom w:w="0" w:type="dxa"/>
            <w:right w:w="108" w:type="dxa"/>
          </w:tblCellMar>
        </w:tblPrEx>
        <w:trPr>
          <w:trHeight w:val="397" w:hRule="atLeast"/>
        </w:trPr>
        <w:tc>
          <w:tcPr>
            <w:tcW w:w="433" w:type="pct"/>
            <w:tcBorders>
              <w:top w:val="nil"/>
              <w:left w:val="single" w:color="000000" w:sz="8" w:space="0"/>
              <w:bottom w:val="single" w:color="000000" w:sz="8" w:space="0"/>
              <w:right w:val="single" w:color="000000" w:sz="8" w:space="0"/>
            </w:tcBorders>
            <w:shd w:val="clear" w:color="auto" w:fill="auto"/>
            <w:vAlign w:val="center"/>
          </w:tcPr>
          <w:p w14:paraId="4312B079">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5</w:t>
            </w:r>
          </w:p>
        </w:tc>
        <w:tc>
          <w:tcPr>
            <w:tcW w:w="2305" w:type="pct"/>
            <w:tcBorders>
              <w:top w:val="nil"/>
              <w:left w:val="nil"/>
              <w:bottom w:val="single" w:color="000000" w:sz="8" w:space="0"/>
              <w:right w:val="single" w:color="000000" w:sz="8" w:space="0"/>
            </w:tcBorders>
            <w:shd w:val="clear" w:color="auto" w:fill="auto"/>
            <w:vAlign w:val="center"/>
          </w:tcPr>
          <w:p w14:paraId="1650E08B">
            <w:pPr>
              <w:jc w:val="both"/>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安康城东产城融合示范区永安路北段</w:t>
            </w:r>
          </w:p>
        </w:tc>
        <w:tc>
          <w:tcPr>
            <w:tcW w:w="676" w:type="pct"/>
            <w:tcBorders>
              <w:top w:val="nil"/>
              <w:left w:val="nil"/>
              <w:bottom w:val="single" w:color="000000" w:sz="8" w:space="0"/>
              <w:right w:val="single" w:color="000000" w:sz="8" w:space="0"/>
            </w:tcBorders>
            <w:shd w:val="clear" w:color="auto" w:fill="auto"/>
            <w:noWrap/>
            <w:vAlign w:val="bottom"/>
          </w:tcPr>
          <w:p w14:paraId="74720C79">
            <w:pPr>
              <w:jc w:val="center"/>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w:t>
            </w:r>
          </w:p>
        </w:tc>
        <w:tc>
          <w:tcPr>
            <w:tcW w:w="790" w:type="pct"/>
            <w:tcBorders>
              <w:top w:val="nil"/>
              <w:left w:val="nil"/>
              <w:bottom w:val="single" w:color="000000" w:sz="8" w:space="0"/>
              <w:right w:val="single" w:color="000000" w:sz="8" w:space="0"/>
            </w:tcBorders>
            <w:shd w:val="clear" w:color="auto" w:fill="auto"/>
            <w:noWrap/>
            <w:vAlign w:val="bottom"/>
          </w:tcPr>
          <w:p w14:paraId="4B6CF2A9">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w:t>
            </w:r>
          </w:p>
        </w:tc>
        <w:tc>
          <w:tcPr>
            <w:tcW w:w="793" w:type="pct"/>
            <w:tcBorders>
              <w:top w:val="nil"/>
              <w:left w:val="nil"/>
              <w:bottom w:val="single" w:color="000000" w:sz="8" w:space="0"/>
              <w:right w:val="single" w:color="000000" w:sz="8" w:space="0"/>
            </w:tcBorders>
            <w:shd w:val="clear" w:color="auto" w:fill="auto"/>
            <w:noWrap/>
            <w:vAlign w:val="bottom"/>
          </w:tcPr>
          <w:p w14:paraId="4323D880">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X</w:t>
            </w:r>
          </w:p>
        </w:tc>
      </w:tr>
      <w:tr w14:paraId="24985962">
        <w:tblPrEx>
          <w:tblCellMar>
            <w:top w:w="0" w:type="dxa"/>
            <w:left w:w="108" w:type="dxa"/>
            <w:bottom w:w="0" w:type="dxa"/>
            <w:right w:w="108" w:type="dxa"/>
          </w:tblCellMar>
        </w:tblPrEx>
        <w:trPr>
          <w:trHeight w:val="397" w:hRule="atLeast"/>
        </w:trPr>
        <w:tc>
          <w:tcPr>
            <w:tcW w:w="433" w:type="pct"/>
            <w:tcBorders>
              <w:top w:val="nil"/>
              <w:left w:val="single" w:color="000000" w:sz="8" w:space="0"/>
              <w:bottom w:val="single" w:color="000000" w:sz="8" w:space="0"/>
              <w:right w:val="single" w:color="000000" w:sz="8" w:space="0"/>
            </w:tcBorders>
            <w:shd w:val="clear" w:color="auto" w:fill="auto"/>
            <w:vAlign w:val="center"/>
          </w:tcPr>
          <w:p w14:paraId="28B35A2C">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6</w:t>
            </w:r>
          </w:p>
        </w:tc>
        <w:tc>
          <w:tcPr>
            <w:tcW w:w="2305" w:type="pct"/>
            <w:tcBorders>
              <w:top w:val="nil"/>
              <w:left w:val="nil"/>
              <w:bottom w:val="single" w:color="000000" w:sz="8" w:space="0"/>
              <w:right w:val="single" w:color="000000" w:sz="8" w:space="0"/>
            </w:tcBorders>
            <w:shd w:val="clear" w:color="auto" w:fill="auto"/>
            <w:vAlign w:val="center"/>
          </w:tcPr>
          <w:p w14:paraId="5B867C85">
            <w:pPr>
              <w:jc w:val="both"/>
              <w:textAlignment w:val="center"/>
              <w:rPr>
                <w:rFonts w:hint="eastAsia" w:ascii="Times New Roman" w:hAnsi="Times New Roman" w:eastAsia="宋体" w:cs="Times New Roman"/>
                <w:color w:val="auto"/>
                <w:sz w:val="22"/>
                <w:szCs w:val="22"/>
                <w:highlight w:val="none"/>
                <w:lang w:eastAsia="zh-CN"/>
              </w:rPr>
            </w:pPr>
            <w:r>
              <w:rPr>
                <w:rFonts w:hint="eastAsia" w:ascii="Times New Roman" w:hAnsi="Times New Roman" w:cs="Times New Roman"/>
                <w:color w:val="auto"/>
                <w:sz w:val="22"/>
                <w:szCs w:val="22"/>
                <w:highlight w:val="none"/>
                <w:lang w:eastAsia="zh-CN" w:bidi="ar"/>
              </w:rPr>
              <w:t>安康关庙至黄洋河（环城干道东段）改建工程</w:t>
            </w:r>
          </w:p>
        </w:tc>
        <w:tc>
          <w:tcPr>
            <w:tcW w:w="676" w:type="pct"/>
            <w:tcBorders>
              <w:top w:val="nil"/>
              <w:left w:val="nil"/>
              <w:bottom w:val="single" w:color="000000" w:sz="8" w:space="0"/>
              <w:right w:val="single" w:color="000000" w:sz="8" w:space="0"/>
            </w:tcBorders>
            <w:shd w:val="clear" w:color="auto" w:fill="auto"/>
            <w:noWrap/>
            <w:vAlign w:val="bottom"/>
          </w:tcPr>
          <w:p w14:paraId="5AF3C80E">
            <w:pPr>
              <w:jc w:val="center"/>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w:t>
            </w:r>
          </w:p>
        </w:tc>
        <w:tc>
          <w:tcPr>
            <w:tcW w:w="790" w:type="pct"/>
            <w:tcBorders>
              <w:top w:val="nil"/>
              <w:left w:val="nil"/>
              <w:bottom w:val="single" w:color="000000" w:sz="8" w:space="0"/>
              <w:right w:val="single" w:color="000000" w:sz="8" w:space="0"/>
            </w:tcBorders>
            <w:shd w:val="clear" w:color="auto" w:fill="auto"/>
            <w:noWrap/>
            <w:vAlign w:val="bottom"/>
          </w:tcPr>
          <w:p w14:paraId="1F29B0EA">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w:t>
            </w:r>
          </w:p>
        </w:tc>
        <w:tc>
          <w:tcPr>
            <w:tcW w:w="793" w:type="pct"/>
            <w:tcBorders>
              <w:top w:val="nil"/>
              <w:left w:val="nil"/>
              <w:bottom w:val="single" w:color="000000" w:sz="8" w:space="0"/>
              <w:right w:val="single" w:color="000000" w:sz="8" w:space="0"/>
            </w:tcBorders>
            <w:shd w:val="clear" w:color="auto" w:fill="auto"/>
            <w:noWrap/>
            <w:vAlign w:val="bottom"/>
          </w:tcPr>
          <w:p w14:paraId="471E497D">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X</w:t>
            </w:r>
          </w:p>
        </w:tc>
      </w:tr>
      <w:tr w14:paraId="771C7C19">
        <w:tblPrEx>
          <w:tblCellMar>
            <w:top w:w="0" w:type="dxa"/>
            <w:left w:w="108" w:type="dxa"/>
            <w:bottom w:w="0" w:type="dxa"/>
            <w:right w:w="108" w:type="dxa"/>
          </w:tblCellMar>
        </w:tblPrEx>
        <w:trPr>
          <w:trHeight w:val="397" w:hRule="atLeast"/>
        </w:trPr>
        <w:tc>
          <w:tcPr>
            <w:tcW w:w="433" w:type="pct"/>
            <w:tcBorders>
              <w:top w:val="nil"/>
              <w:left w:val="single" w:color="000000" w:sz="8" w:space="0"/>
              <w:bottom w:val="single" w:color="000000" w:sz="8" w:space="0"/>
              <w:right w:val="single" w:color="000000" w:sz="8" w:space="0"/>
            </w:tcBorders>
            <w:shd w:val="clear" w:color="auto" w:fill="auto"/>
            <w:vAlign w:val="center"/>
          </w:tcPr>
          <w:p w14:paraId="5237E4D1">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7</w:t>
            </w:r>
          </w:p>
        </w:tc>
        <w:tc>
          <w:tcPr>
            <w:tcW w:w="2305" w:type="pct"/>
            <w:tcBorders>
              <w:top w:val="nil"/>
              <w:left w:val="nil"/>
              <w:bottom w:val="single" w:color="000000" w:sz="8" w:space="0"/>
              <w:right w:val="single" w:color="000000" w:sz="8" w:space="0"/>
            </w:tcBorders>
            <w:shd w:val="clear" w:color="auto" w:fill="auto"/>
            <w:vAlign w:val="center"/>
          </w:tcPr>
          <w:p w14:paraId="7A1FB771">
            <w:pPr>
              <w:jc w:val="both"/>
              <w:textAlignment w:val="center"/>
              <w:rPr>
                <w:rFonts w:hint="eastAsia" w:ascii="Times New Roman" w:hAnsi="Times New Roman" w:eastAsia="宋体" w:cs="Times New Roman"/>
                <w:color w:val="auto"/>
                <w:sz w:val="22"/>
                <w:szCs w:val="22"/>
                <w:highlight w:val="none"/>
                <w:lang w:eastAsia="zh-CN"/>
              </w:rPr>
            </w:pPr>
            <w:r>
              <w:rPr>
                <w:rFonts w:hint="eastAsia" w:ascii="Times New Roman" w:hAnsi="Times New Roman" w:cs="Times New Roman"/>
                <w:color w:val="auto"/>
                <w:sz w:val="22"/>
                <w:szCs w:val="22"/>
                <w:highlight w:val="none"/>
                <w:lang w:eastAsia="zh-CN" w:bidi="ar"/>
              </w:rPr>
              <w:t>城东新区张滩北片区污水干管工程</w:t>
            </w:r>
          </w:p>
        </w:tc>
        <w:tc>
          <w:tcPr>
            <w:tcW w:w="676" w:type="pct"/>
            <w:tcBorders>
              <w:top w:val="nil"/>
              <w:left w:val="nil"/>
              <w:bottom w:val="single" w:color="000000" w:sz="8" w:space="0"/>
              <w:right w:val="single" w:color="000000" w:sz="8" w:space="0"/>
            </w:tcBorders>
            <w:shd w:val="clear" w:color="auto" w:fill="auto"/>
            <w:noWrap/>
            <w:vAlign w:val="bottom"/>
          </w:tcPr>
          <w:p w14:paraId="05505B7C">
            <w:pPr>
              <w:jc w:val="center"/>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w:t>
            </w:r>
          </w:p>
        </w:tc>
        <w:tc>
          <w:tcPr>
            <w:tcW w:w="790" w:type="pct"/>
            <w:tcBorders>
              <w:top w:val="nil"/>
              <w:left w:val="nil"/>
              <w:bottom w:val="single" w:color="000000" w:sz="8" w:space="0"/>
              <w:right w:val="single" w:color="000000" w:sz="8" w:space="0"/>
            </w:tcBorders>
            <w:shd w:val="clear" w:color="auto" w:fill="auto"/>
            <w:noWrap/>
            <w:vAlign w:val="bottom"/>
          </w:tcPr>
          <w:p w14:paraId="3713488F">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X</w:t>
            </w:r>
          </w:p>
        </w:tc>
        <w:tc>
          <w:tcPr>
            <w:tcW w:w="793" w:type="pct"/>
            <w:tcBorders>
              <w:top w:val="nil"/>
              <w:left w:val="nil"/>
              <w:bottom w:val="single" w:color="000000" w:sz="8" w:space="0"/>
              <w:right w:val="single" w:color="000000" w:sz="8" w:space="0"/>
            </w:tcBorders>
            <w:shd w:val="clear" w:color="auto" w:fill="auto"/>
            <w:noWrap/>
            <w:vAlign w:val="bottom"/>
          </w:tcPr>
          <w:p w14:paraId="0C44EBC9">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X</w:t>
            </w:r>
          </w:p>
        </w:tc>
      </w:tr>
      <w:tr w14:paraId="309D0EDB">
        <w:tblPrEx>
          <w:tblCellMar>
            <w:top w:w="0" w:type="dxa"/>
            <w:left w:w="108" w:type="dxa"/>
            <w:bottom w:w="0" w:type="dxa"/>
            <w:right w:w="108" w:type="dxa"/>
          </w:tblCellMar>
        </w:tblPrEx>
        <w:trPr>
          <w:trHeight w:val="397" w:hRule="atLeast"/>
        </w:trPr>
        <w:tc>
          <w:tcPr>
            <w:tcW w:w="433" w:type="pct"/>
            <w:tcBorders>
              <w:top w:val="nil"/>
              <w:left w:val="single" w:color="000000" w:sz="8" w:space="0"/>
              <w:bottom w:val="single" w:color="000000" w:sz="8" w:space="0"/>
              <w:right w:val="single" w:color="000000" w:sz="8" w:space="0"/>
            </w:tcBorders>
            <w:shd w:val="clear" w:color="auto" w:fill="auto"/>
            <w:vAlign w:val="center"/>
          </w:tcPr>
          <w:p w14:paraId="0B85556E">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8</w:t>
            </w:r>
          </w:p>
        </w:tc>
        <w:tc>
          <w:tcPr>
            <w:tcW w:w="2305" w:type="pct"/>
            <w:tcBorders>
              <w:top w:val="nil"/>
              <w:left w:val="nil"/>
              <w:bottom w:val="single" w:color="000000" w:sz="8" w:space="0"/>
              <w:right w:val="single" w:color="000000" w:sz="8" w:space="0"/>
            </w:tcBorders>
            <w:shd w:val="clear" w:color="auto" w:fill="auto"/>
            <w:vAlign w:val="center"/>
          </w:tcPr>
          <w:p w14:paraId="1C541167">
            <w:pPr>
              <w:jc w:val="both"/>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安康城东新区核心片区绿色公共停车场项目</w:t>
            </w:r>
          </w:p>
        </w:tc>
        <w:tc>
          <w:tcPr>
            <w:tcW w:w="676" w:type="pct"/>
            <w:tcBorders>
              <w:top w:val="nil"/>
              <w:left w:val="nil"/>
              <w:bottom w:val="single" w:color="000000" w:sz="8" w:space="0"/>
              <w:right w:val="single" w:color="000000" w:sz="8" w:space="0"/>
            </w:tcBorders>
            <w:shd w:val="clear" w:color="auto" w:fill="auto"/>
            <w:noWrap/>
            <w:vAlign w:val="bottom"/>
          </w:tcPr>
          <w:p w14:paraId="6945EB95">
            <w:pPr>
              <w:jc w:val="center"/>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w:t>
            </w:r>
          </w:p>
        </w:tc>
        <w:tc>
          <w:tcPr>
            <w:tcW w:w="790" w:type="pct"/>
            <w:tcBorders>
              <w:top w:val="nil"/>
              <w:left w:val="nil"/>
              <w:bottom w:val="single" w:color="000000" w:sz="8" w:space="0"/>
              <w:right w:val="single" w:color="000000" w:sz="8" w:space="0"/>
            </w:tcBorders>
            <w:shd w:val="clear" w:color="auto" w:fill="auto"/>
            <w:noWrap/>
            <w:vAlign w:val="bottom"/>
          </w:tcPr>
          <w:p w14:paraId="12477704">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w:t>
            </w:r>
          </w:p>
        </w:tc>
        <w:tc>
          <w:tcPr>
            <w:tcW w:w="793" w:type="pct"/>
            <w:tcBorders>
              <w:top w:val="nil"/>
              <w:left w:val="nil"/>
              <w:bottom w:val="single" w:color="000000" w:sz="8" w:space="0"/>
              <w:right w:val="single" w:color="000000" w:sz="8" w:space="0"/>
            </w:tcBorders>
            <w:shd w:val="clear" w:color="auto" w:fill="auto"/>
            <w:noWrap/>
            <w:vAlign w:val="bottom"/>
          </w:tcPr>
          <w:p w14:paraId="4184A769">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X</w:t>
            </w:r>
          </w:p>
        </w:tc>
      </w:tr>
      <w:tr w14:paraId="423B7A72">
        <w:tblPrEx>
          <w:tblCellMar>
            <w:top w:w="0" w:type="dxa"/>
            <w:left w:w="108" w:type="dxa"/>
            <w:bottom w:w="0" w:type="dxa"/>
            <w:right w:w="108" w:type="dxa"/>
          </w:tblCellMar>
        </w:tblPrEx>
        <w:trPr>
          <w:trHeight w:val="397" w:hRule="atLeast"/>
        </w:trPr>
        <w:tc>
          <w:tcPr>
            <w:tcW w:w="433" w:type="pct"/>
            <w:tcBorders>
              <w:top w:val="nil"/>
              <w:left w:val="single" w:color="000000" w:sz="8" w:space="0"/>
              <w:bottom w:val="single" w:color="000000" w:sz="8" w:space="0"/>
              <w:right w:val="single" w:color="000000" w:sz="8" w:space="0"/>
            </w:tcBorders>
            <w:shd w:val="clear" w:color="auto" w:fill="auto"/>
            <w:vAlign w:val="center"/>
          </w:tcPr>
          <w:p w14:paraId="655A1510">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9</w:t>
            </w:r>
          </w:p>
        </w:tc>
        <w:tc>
          <w:tcPr>
            <w:tcW w:w="2305" w:type="pct"/>
            <w:tcBorders>
              <w:top w:val="nil"/>
              <w:left w:val="nil"/>
              <w:bottom w:val="single" w:color="000000" w:sz="8" w:space="0"/>
              <w:right w:val="single" w:color="000000" w:sz="8" w:space="0"/>
            </w:tcBorders>
            <w:shd w:val="clear" w:color="auto" w:fill="auto"/>
            <w:vAlign w:val="center"/>
          </w:tcPr>
          <w:p w14:paraId="1DC7072A">
            <w:pPr>
              <w:jc w:val="both"/>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新能源路灯建设项目</w:t>
            </w:r>
          </w:p>
        </w:tc>
        <w:tc>
          <w:tcPr>
            <w:tcW w:w="676" w:type="pct"/>
            <w:tcBorders>
              <w:top w:val="nil"/>
              <w:left w:val="nil"/>
              <w:bottom w:val="single" w:color="000000" w:sz="8" w:space="0"/>
              <w:right w:val="single" w:color="000000" w:sz="8" w:space="0"/>
            </w:tcBorders>
            <w:shd w:val="clear" w:color="auto" w:fill="auto"/>
            <w:noWrap/>
            <w:vAlign w:val="bottom"/>
          </w:tcPr>
          <w:p w14:paraId="6428A91A">
            <w:pPr>
              <w:jc w:val="center"/>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w:t>
            </w:r>
          </w:p>
        </w:tc>
        <w:tc>
          <w:tcPr>
            <w:tcW w:w="790" w:type="pct"/>
            <w:tcBorders>
              <w:top w:val="nil"/>
              <w:left w:val="nil"/>
              <w:bottom w:val="single" w:color="000000" w:sz="8" w:space="0"/>
              <w:right w:val="single" w:color="000000" w:sz="8" w:space="0"/>
            </w:tcBorders>
            <w:shd w:val="clear" w:color="auto" w:fill="auto"/>
            <w:noWrap/>
            <w:vAlign w:val="bottom"/>
          </w:tcPr>
          <w:p w14:paraId="7A1D5A10">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X</w:t>
            </w:r>
          </w:p>
        </w:tc>
        <w:tc>
          <w:tcPr>
            <w:tcW w:w="793" w:type="pct"/>
            <w:tcBorders>
              <w:top w:val="nil"/>
              <w:left w:val="nil"/>
              <w:bottom w:val="single" w:color="000000" w:sz="8" w:space="0"/>
              <w:right w:val="single" w:color="000000" w:sz="8" w:space="0"/>
            </w:tcBorders>
            <w:shd w:val="clear" w:color="auto" w:fill="auto"/>
            <w:noWrap/>
            <w:vAlign w:val="bottom"/>
          </w:tcPr>
          <w:p w14:paraId="185F750B">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X</w:t>
            </w:r>
          </w:p>
        </w:tc>
      </w:tr>
      <w:tr w14:paraId="46A1310F">
        <w:tblPrEx>
          <w:tblCellMar>
            <w:top w:w="0" w:type="dxa"/>
            <w:left w:w="108" w:type="dxa"/>
            <w:bottom w:w="0" w:type="dxa"/>
            <w:right w:w="108" w:type="dxa"/>
          </w:tblCellMar>
        </w:tblPrEx>
        <w:trPr>
          <w:trHeight w:val="397" w:hRule="atLeast"/>
        </w:trPr>
        <w:tc>
          <w:tcPr>
            <w:tcW w:w="433" w:type="pct"/>
            <w:tcBorders>
              <w:top w:val="nil"/>
              <w:left w:val="single" w:color="000000" w:sz="8" w:space="0"/>
              <w:bottom w:val="single" w:color="000000" w:sz="8" w:space="0"/>
              <w:right w:val="single" w:color="000000" w:sz="8" w:space="0"/>
            </w:tcBorders>
            <w:shd w:val="clear" w:color="auto" w:fill="auto"/>
            <w:vAlign w:val="center"/>
          </w:tcPr>
          <w:p w14:paraId="72C7D39A">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10</w:t>
            </w:r>
          </w:p>
        </w:tc>
        <w:tc>
          <w:tcPr>
            <w:tcW w:w="2305" w:type="pct"/>
            <w:tcBorders>
              <w:top w:val="nil"/>
              <w:left w:val="nil"/>
              <w:bottom w:val="single" w:color="000000" w:sz="8" w:space="0"/>
              <w:right w:val="single" w:color="000000" w:sz="8" w:space="0"/>
            </w:tcBorders>
            <w:shd w:val="clear" w:color="auto" w:fill="auto"/>
            <w:vAlign w:val="center"/>
          </w:tcPr>
          <w:p w14:paraId="5DF7B616">
            <w:pPr>
              <w:jc w:val="both"/>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汉江修复和沿岸绿廊项目（一期）</w:t>
            </w:r>
          </w:p>
        </w:tc>
        <w:tc>
          <w:tcPr>
            <w:tcW w:w="676" w:type="pct"/>
            <w:tcBorders>
              <w:top w:val="nil"/>
              <w:left w:val="nil"/>
              <w:bottom w:val="single" w:color="000000" w:sz="8" w:space="0"/>
              <w:right w:val="single" w:color="000000" w:sz="8" w:space="0"/>
            </w:tcBorders>
            <w:shd w:val="clear" w:color="auto" w:fill="auto"/>
            <w:noWrap/>
            <w:vAlign w:val="bottom"/>
          </w:tcPr>
          <w:p w14:paraId="0B3757E6">
            <w:pPr>
              <w:jc w:val="center"/>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w:t>
            </w:r>
          </w:p>
        </w:tc>
        <w:tc>
          <w:tcPr>
            <w:tcW w:w="790" w:type="pct"/>
            <w:tcBorders>
              <w:top w:val="nil"/>
              <w:left w:val="nil"/>
              <w:bottom w:val="single" w:color="000000" w:sz="8" w:space="0"/>
              <w:right w:val="single" w:color="000000" w:sz="8" w:space="0"/>
            </w:tcBorders>
            <w:shd w:val="clear" w:color="auto" w:fill="auto"/>
            <w:noWrap/>
            <w:vAlign w:val="bottom"/>
          </w:tcPr>
          <w:p w14:paraId="5ADB15B3">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w:t>
            </w:r>
          </w:p>
        </w:tc>
        <w:tc>
          <w:tcPr>
            <w:tcW w:w="793" w:type="pct"/>
            <w:tcBorders>
              <w:top w:val="nil"/>
              <w:left w:val="nil"/>
              <w:bottom w:val="single" w:color="000000" w:sz="8" w:space="0"/>
              <w:right w:val="single" w:color="000000" w:sz="8" w:space="0"/>
            </w:tcBorders>
            <w:shd w:val="clear" w:color="auto" w:fill="auto"/>
            <w:noWrap/>
            <w:vAlign w:val="bottom"/>
          </w:tcPr>
          <w:p w14:paraId="0B065725">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X</w:t>
            </w:r>
          </w:p>
        </w:tc>
      </w:tr>
      <w:tr w14:paraId="3BC2D4B1">
        <w:tblPrEx>
          <w:tblCellMar>
            <w:top w:w="0" w:type="dxa"/>
            <w:left w:w="108" w:type="dxa"/>
            <w:bottom w:w="0" w:type="dxa"/>
            <w:right w:w="108" w:type="dxa"/>
          </w:tblCellMar>
        </w:tblPrEx>
        <w:trPr>
          <w:trHeight w:val="397" w:hRule="atLeast"/>
        </w:trPr>
        <w:tc>
          <w:tcPr>
            <w:tcW w:w="433" w:type="pct"/>
            <w:tcBorders>
              <w:top w:val="nil"/>
              <w:left w:val="single" w:color="000000" w:sz="8" w:space="0"/>
              <w:bottom w:val="single" w:color="000000" w:sz="8" w:space="0"/>
              <w:right w:val="single" w:color="000000" w:sz="8" w:space="0"/>
            </w:tcBorders>
            <w:shd w:val="clear" w:color="auto" w:fill="auto"/>
            <w:vAlign w:val="center"/>
          </w:tcPr>
          <w:p w14:paraId="1303EF8A">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11</w:t>
            </w:r>
          </w:p>
        </w:tc>
        <w:tc>
          <w:tcPr>
            <w:tcW w:w="2305" w:type="pct"/>
            <w:tcBorders>
              <w:top w:val="nil"/>
              <w:left w:val="nil"/>
              <w:bottom w:val="single" w:color="000000" w:sz="8" w:space="0"/>
              <w:right w:val="single" w:color="000000" w:sz="8" w:space="0"/>
            </w:tcBorders>
            <w:shd w:val="clear" w:color="auto" w:fill="auto"/>
            <w:vAlign w:val="center"/>
          </w:tcPr>
          <w:p w14:paraId="56793151">
            <w:pPr>
              <w:jc w:val="both"/>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黄洋河水环境治理和生态公园项目</w:t>
            </w:r>
          </w:p>
        </w:tc>
        <w:tc>
          <w:tcPr>
            <w:tcW w:w="676" w:type="pct"/>
            <w:tcBorders>
              <w:top w:val="nil"/>
              <w:left w:val="nil"/>
              <w:bottom w:val="single" w:color="000000" w:sz="8" w:space="0"/>
              <w:right w:val="single" w:color="000000" w:sz="8" w:space="0"/>
            </w:tcBorders>
            <w:shd w:val="clear" w:color="auto" w:fill="auto"/>
            <w:noWrap/>
            <w:vAlign w:val="bottom"/>
          </w:tcPr>
          <w:p w14:paraId="2FD10097">
            <w:pPr>
              <w:jc w:val="center"/>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w:t>
            </w:r>
          </w:p>
        </w:tc>
        <w:tc>
          <w:tcPr>
            <w:tcW w:w="790" w:type="pct"/>
            <w:tcBorders>
              <w:top w:val="nil"/>
              <w:left w:val="nil"/>
              <w:bottom w:val="single" w:color="000000" w:sz="8" w:space="0"/>
              <w:right w:val="single" w:color="000000" w:sz="8" w:space="0"/>
            </w:tcBorders>
            <w:shd w:val="clear" w:color="auto" w:fill="auto"/>
            <w:noWrap/>
            <w:vAlign w:val="bottom"/>
          </w:tcPr>
          <w:p w14:paraId="039EF676">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w:t>
            </w:r>
          </w:p>
        </w:tc>
        <w:tc>
          <w:tcPr>
            <w:tcW w:w="793" w:type="pct"/>
            <w:tcBorders>
              <w:top w:val="nil"/>
              <w:left w:val="nil"/>
              <w:bottom w:val="single" w:color="000000" w:sz="8" w:space="0"/>
              <w:right w:val="single" w:color="000000" w:sz="8" w:space="0"/>
            </w:tcBorders>
            <w:shd w:val="clear" w:color="auto" w:fill="auto"/>
            <w:noWrap/>
            <w:vAlign w:val="bottom"/>
          </w:tcPr>
          <w:p w14:paraId="622C5A0D">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X</w:t>
            </w:r>
          </w:p>
        </w:tc>
      </w:tr>
      <w:tr w14:paraId="3218D612">
        <w:tblPrEx>
          <w:tblCellMar>
            <w:top w:w="0" w:type="dxa"/>
            <w:left w:w="108" w:type="dxa"/>
            <w:bottom w:w="0" w:type="dxa"/>
            <w:right w:w="108" w:type="dxa"/>
          </w:tblCellMar>
        </w:tblPrEx>
        <w:trPr>
          <w:trHeight w:val="397" w:hRule="atLeast"/>
        </w:trPr>
        <w:tc>
          <w:tcPr>
            <w:tcW w:w="433" w:type="pct"/>
            <w:tcBorders>
              <w:top w:val="nil"/>
              <w:left w:val="single" w:color="000000" w:sz="8" w:space="0"/>
              <w:bottom w:val="single" w:color="000000" w:sz="8" w:space="0"/>
              <w:right w:val="single" w:color="000000" w:sz="8" w:space="0"/>
            </w:tcBorders>
            <w:shd w:val="clear" w:color="auto" w:fill="auto"/>
            <w:vAlign w:val="center"/>
          </w:tcPr>
          <w:p w14:paraId="5621CC30">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12</w:t>
            </w:r>
          </w:p>
        </w:tc>
        <w:tc>
          <w:tcPr>
            <w:tcW w:w="2305" w:type="pct"/>
            <w:tcBorders>
              <w:top w:val="nil"/>
              <w:left w:val="nil"/>
              <w:bottom w:val="single" w:color="000000" w:sz="8" w:space="0"/>
              <w:right w:val="single" w:color="000000" w:sz="8" w:space="0"/>
            </w:tcBorders>
            <w:shd w:val="clear" w:color="auto" w:fill="auto"/>
            <w:vAlign w:val="center"/>
          </w:tcPr>
          <w:p w14:paraId="07B74257">
            <w:pPr>
              <w:jc w:val="both"/>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汉江综合整治项目张滩集镇段防护工程防护一区</w:t>
            </w:r>
          </w:p>
        </w:tc>
        <w:tc>
          <w:tcPr>
            <w:tcW w:w="676" w:type="pct"/>
            <w:tcBorders>
              <w:top w:val="nil"/>
              <w:left w:val="nil"/>
              <w:bottom w:val="single" w:color="000000" w:sz="8" w:space="0"/>
              <w:right w:val="single" w:color="000000" w:sz="8" w:space="0"/>
            </w:tcBorders>
            <w:shd w:val="clear" w:color="auto" w:fill="auto"/>
            <w:noWrap/>
            <w:vAlign w:val="bottom"/>
          </w:tcPr>
          <w:p w14:paraId="28BB9061">
            <w:pPr>
              <w:jc w:val="center"/>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w:t>
            </w:r>
          </w:p>
        </w:tc>
        <w:tc>
          <w:tcPr>
            <w:tcW w:w="790" w:type="pct"/>
            <w:tcBorders>
              <w:top w:val="nil"/>
              <w:left w:val="nil"/>
              <w:bottom w:val="single" w:color="000000" w:sz="8" w:space="0"/>
              <w:right w:val="single" w:color="000000" w:sz="8" w:space="0"/>
            </w:tcBorders>
            <w:shd w:val="clear" w:color="auto" w:fill="auto"/>
            <w:noWrap/>
            <w:vAlign w:val="bottom"/>
          </w:tcPr>
          <w:p w14:paraId="2C525A6D">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w:t>
            </w:r>
          </w:p>
        </w:tc>
        <w:tc>
          <w:tcPr>
            <w:tcW w:w="793" w:type="pct"/>
            <w:tcBorders>
              <w:top w:val="nil"/>
              <w:left w:val="nil"/>
              <w:bottom w:val="single" w:color="000000" w:sz="8" w:space="0"/>
              <w:right w:val="single" w:color="000000" w:sz="8" w:space="0"/>
            </w:tcBorders>
            <w:shd w:val="clear" w:color="auto" w:fill="auto"/>
            <w:noWrap/>
            <w:vAlign w:val="bottom"/>
          </w:tcPr>
          <w:p w14:paraId="31F72D91">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X</w:t>
            </w:r>
          </w:p>
        </w:tc>
      </w:tr>
      <w:tr w14:paraId="102A4445">
        <w:tblPrEx>
          <w:tblCellMar>
            <w:top w:w="0" w:type="dxa"/>
            <w:left w:w="108" w:type="dxa"/>
            <w:bottom w:w="0" w:type="dxa"/>
            <w:right w:w="108" w:type="dxa"/>
          </w:tblCellMar>
        </w:tblPrEx>
        <w:trPr>
          <w:trHeight w:val="397" w:hRule="atLeast"/>
        </w:trPr>
        <w:tc>
          <w:tcPr>
            <w:tcW w:w="433" w:type="pct"/>
            <w:tcBorders>
              <w:top w:val="nil"/>
              <w:left w:val="single" w:color="000000" w:sz="8" w:space="0"/>
              <w:bottom w:val="single" w:color="000000" w:sz="8" w:space="0"/>
              <w:right w:val="single" w:color="000000" w:sz="8" w:space="0"/>
            </w:tcBorders>
            <w:shd w:val="clear" w:color="auto" w:fill="auto"/>
            <w:vAlign w:val="center"/>
          </w:tcPr>
          <w:p w14:paraId="3DA54ABB">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13</w:t>
            </w:r>
          </w:p>
        </w:tc>
        <w:tc>
          <w:tcPr>
            <w:tcW w:w="2305" w:type="pct"/>
            <w:tcBorders>
              <w:top w:val="nil"/>
              <w:left w:val="nil"/>
              <w:bottom w:val="single" w:color="000000" w:sz="8" w:space="0"/>
              <w:right w:val="single" w:color="000000" w:sz="8" w:space="0"/>
            </w:tcBorders>
            <w:shd w:val="clear" w:color="auto" w:fill="auto"/>
            <w:vAlign w:val="center"/>
          </w:tcPr>
          <w:p w14:paraId="5A545762">
            <w:pPr>
              <w:jc w:val="both"/>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安康城东体育公园</w:t>
            </w:r>
          </w:p>
        </w:tc>
        <w:tc>
          <w:tcPr>
            <w:tcW w:w="676" w:type="pct"/>
            <w:tcBorders>
              <w:top w:val="nil"/>
              <w:left w:val="nil"/>
              <w:bottom w:val="single" w:color="000000" w:sz="8" w:space="0"/>
              <w:right w:val="single" w:color="000000" w:sz="8" w:space="0"/>
            </w:tcBorders>
            <w:shd w:val="clear" w:color="auto" w:fill="auto"/>
            <w:noWrap/>
            <w:vAlign w:val="bottom"/>
          </w:tcPr>
          <w:p w14:paraId="2E408AAD">
            <w:pPr>
              <w:jc w:val="center"/>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w:t>
            </w:r>
          </w:p>
        </w:tc>
        <w:tc>
          <w:tcPr>
            <w:tcW w:w="790" w:type="pct"/>
            <w:tcBorders>
              <w:top w:val="nil"/>
              <w:left w:val="nil"/>
              <w:bottom w:val="single" w:color="000000" w:sz="8" w:space="0"/>
              <w:right w:val="single" w:color="000000" w:sz="8" w:space="0"/>
            </w:tcBorders>
            <w:shd w:val="clear" w:color="auto" w:fill="auto"/>
            <w:noWrap/>
            <w:vAlign w:val="bottom"/>
          </w:tcPr>
          <w:p w14:paraId="59D8A91B">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w:t>
            </w:r>
          </w:p>
        </w:tc>
        <w:tc>
          <w:tcPr>
            <w:tcW w:w="793" w:type="pct"/>
            <w:tcBorders>
              <w:top w:val="nil"/>
              <w:left w:val="nil"/>
              <w:bottom w:val="single" w:color="000000" w:sz="8" w:space="0"/>
              <w:right w:val="single" w:color="000000" w:sz="8" w:space="0"/>
            </w:tcBorders>
            <w:shd w:val="clear" w:color="auto" w:fill="auto"/>
            <w:noWrap/>
            <w:vAlign w:val="bottom"/>
          </w:tcPr>
          <w:p w14:paraId="1D9096E9">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X</w:t>
            </w:r>
          </w:p>
        </w:tc>
      </w:tr>
      <w:tr w14:paraId="064DB327">
        <w:tblPrEx>
          <w:tblCellMar>
            <w:top w:w="0" w:type="dxa"/>
            <w:left w:w="108" w:type="dxa"/>
            <w:bottom w:w="0" w:type="dxa"/>
            <w:right w:w="108" w:type="dxa"/>
          </w:tblCellMar>
        </w:tblPrEx>
        <w:trPr>
          <w:trHeight w:val="397" w:hRule="atLeast"/>
        </w:trPr>
        <w:tc>
          <w:tcPr>
            <w:tcW w:w="433" w:type="pct"/>
            <w:tcBorders>
              <w:top w:val="nil"/>
              <w:left w:val="single" w:color="000000" w:sz="8" w:space="0"/>
              <w:bottom w:val="single" w:color="000000" w:sz="8" w:space="0"/>
              <w:right w:val="single" w:color="000000" w:sz="8" w:space="0"/>
            </w:tcBorders>
            <w:shd w:val="clear" w:color="auto" w:fill="auto"/>
            <w:vAlign w:val="center"/>
          </w:tcPr>
          <w:p w14:paraId="632692DD">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14</w:t>
            </w:r>
          </w:p>
        </w:tc>
        <w:tc>
          <w:tcPr>
            <w:tcW w:w="2305" w:type="pct"/>
            <w:tcBorders>
              <w:top w:val="nil"/>
              <w:left w:val="nil"/>
              <w:bottom w:val="single" w:color="000000" w:sz="8" w:space="0"/>
              <w:right w:val="single" w:color="000000" w:sz="8" w:space="0"/>
            </w:tcBorders>
            <w:shd w:val="clear" w:color="auto" w:fill="auto"/>
            <w:vAlign w:val="center"/>
          </w:tcPr>
          <w:p w14:paraId="11000D72">
            <w:pPr>
              <w:jc w:val="both"/>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社区生态公园项目</w:t>
            </w:r>
          </w:p>
        </w:tc>
        <w:tc>
          <w:tcPr>
            <w:tcW w:w="676" w:type="pct"/>
            <w:tcBorders>
              <w:top w:val="nil"/>
              <w:left w:val="nil"/>
              <w:bottom w:val="single" w:color="000000" w:sz="8" w:space="0"/>
              <w:right w:val="single" w:color="000000" w:sz="8" w:space="0"/>
            </w:tcBorders>
            <w:shd w:val="clear" w:color="auto" w:fill="auto"/>
            <w:noWrap/>
            <w:vAlign w:val="bottom"/>
          </w:tcPr>
          <w:p w14:paraId="72364332">
            <w:pPr>
              <w:jc w:val="center"/>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w:t>
            </w:r>
          </w:p>
        </w:tc>
        <w:tc>
          <w:tcPr>
            <w:tcW w:w="790" w:type="pct"/>
            <w:tcBorders>
              <w:top w:val="nil"/>
              <w:left w:val="nil"/>
              <w:bottom w:val="single" w:color="000000" w:sz="8" w:space="0"/>
              <w:right w:val="single" w:color="000000" w:sz="8" w:space="0"/>
            </w:tcBorders>
            <w:shd w:val="clear" w:color="auto" w:fill="auto"/>
            <w:noWrap/>
            <w:vAlign w:val="bottom"/>
          </w:tcPr>
          <w:p w14:paraId="28820D61">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w:t>
            </w:r>
          </w:p>
        </w:tc>
        <w:tc>
          <w:tcPr>
            <w:tcW w:w="793" w:type="pct"/>
            <w:tcBorders>
              <w:top w:val="nil"/>
              <w:left w:val="nil"/>
              <w:bottom w:val="single" w:color="000000" w:sz="8" w:space="0"/>
              <w:right w:val="single" w:color="000000" w:sz="8" w:space="0"/>
            </w:tcBorders>
            <w:shd w:val="clear" w:color="auto" w:fill="auto"/>
            <w:noWrap/>
            <w:vAlign w:val="bottom"/>
          </w:tcPr>
          <w:p w14:paraId="2F3A4EEE">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X</w:t>
            </w:r>
          </w:p>
        </w:tc>
      </w:tr>
      <w:tr w14:paraId="4B5FCDA9">
        <w:tblPrEx>
          <w:tblCellMar>
            <w:top w:w="0" w:type="dxa"/>
            <w:left w:w="108" w:type="dxa"/>
            <w:bottom w:w="0" w:type="dxa"/>
            <w:right w:w="108" w:type="dxa"/>
          </w:tblCellMar>
        </w:tblPrEx>
        <w:trPr>
          <w:trHeight w:val="397" w:hRule="atLeast"/>
        </w:trPr>
        <w:tc>
          <w:tcPr>
            <w:tcW w:w="433" w:type="pct"/>
            <w:tcBorders>
              <w:top w:val="nil"/>
              <w:left w:val="single" w:color="000000" w:sz="8" w:space="0"/>
              <w:bottom w:val="single" w:color="000000" w:sz="8" w:space="0"/>
              <w:right w:val="single" w:color="000000" w:sz="8" w:space="0"/>
            </w:tcBorders>
            <w:shd w:val="clear" w:color="auto" w:fill="auto"/>
            <w:vAlign w:val="center"/>
          </w:tcPr>
          <w:p w14:paraId="1EA5098A">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15</w:t>
            </w:r>
          </w:p>
        </w:tc>
        <w:tc>
          <w:tcPr>
            <w:tcW w:w="2305" w:type="pct"/>
            <w:tcBorders>
              <w:top w:val="nil"/>
              <w:left w:val="nil"/>
              <w:bottom w:val="single" w:color="000000" w:sz="8" w:space="0"/>
              <w:right w:val="single" w:color="000000" w:sz="8" w:space="0"/>
            </w:tcBorders>
            <w:shd w:val="clear" w:color="auto" w:fill="auto"/>
            <w:vAlign w:val="center"/>
          </w:tcPr>
          <w:p w14:paraId="287C24A1">
            <w:pPr>
              <w:jc w:val="both"/>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绿色低碳城市运营管理和数据中心</w:t>
            </w:r>
          </w:p>
        </w:tc>
        <w:tc>
          <w:tcPr>
            <w:tcW w:w="676" w:type="pct"/>
            <w:tcBorders>
              <w:top w:val="nil"/>
              <w:left w:val="nil"/>
              <w:bottom w:val="single" w:color="000000" w:sz="8" w:space="0"/>
              <w:right w:val="single" w:color="000000" w:sz="8" w:space="0"/>
            </w:tcBorders>
            <w:shd w:val="clear" w:color="auto" w:fill="auto"/>
            <w:noWrap/>
            <w:vAlign w:val="bottom"/>
          </w:tcPr>
          <w:p w14:paraId="40E5B472">
            <w:pPr>
              <w:jc w:val="center"/>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w:t>
            </w:r>
          </w:p>
        </w:tc>
        <w:tc>
          <w:tcPr>
            <w:tcW w:w="790" w:type="pct"/>
            <w:tcBorders>
              <w:top w:val="nil"/>
              <w:left w:val="nil"/>
              <w:bottom w:val="single" w:color="000000" w:sz="8" w:space="0"/>
              <w:right w:val="single" w:color="000000" w:sz="8" w:space="0"/>
            </w:tcBorders>
            <w:shd w:val="clear" w:color="auto" w:fill="auto"/>
            <w:noWrap/>
            <w:vAlign w:val="bottom"/>
          </w:tcPr>
          <w:p w14:paraId="083B3031">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w:t>
            </w:r>
          </w:p>
        </w:tc>
        <w:tc>
          <w:tcPr>
            <w:tcW w:w="793" w:type="pct"/>
            <w:tcBorders>
              <w:top w:val="nil"/>
              <w:left w:val="nil"/>
              <w:bottom w:val="single" w:color="000000" w:sz="8" w:space="0"/>
              <w:right w:val="single" w:color="000000" w:sz="8" w:space="0"/>
            </w:tcBorders>
            <w:shd w:val="clear" w:color="auto" w:fill="auto"/>
            <w:noWrap/>
            <w:vAlign w:val="bottom"/>
          </w:tcPr>
          <w:p w14:paraId="5E4B7CDA">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X</w:t>
            </w:r>
          </w:p>
        </w:tc>
      </w:tr>
      <w:tr w14:paraId="79B8888A">
        <w:tblPrEx>
          <w:tblCellMar>
            <w:top w:w="0" w:type="dxa"/>
            <w:left w:w="108" w:type="dxa"/>
            <w:bottom w:w="0" w:type="dxa"/>
            <w:right w:w="108" w:type="dxa"/>
          </w:tblCellMar>
        </w:tblPrEx>
        <w:trPr>
          <w:trHeight w:val="397" w:hRule="atLeast"/>
        </w:trPr>
        <w:tc>
          <w:tcPr>
            <w:tcW w:w="433" w:type="pct"/>
            <w:tcBorders>
              <w:top w:val="nil"/>
              <w:left w:val="single" w:color="000000" w:sz="8" w:space="0"/>
              <w:bottom w:val="single" w:color="000000" w:sz="8" w:space="0"/>
              <w:right w:val="single" w:color="000000" w:sz="8" w:space="0"/>
            </w:tcBorders>
            <w:shd w:val="clear" w:color="auto" w:fill="auto"/>
            <w:vAlign w:val="center"/>
          </w:tcPr>
          <w:p w14:paraId="60125E9C">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16</w:t>
            </w:r>
          </w:p>
        </w:tc>
        <w:tc>
          <w:tcPr>
            <w:tcW w:w="2305" w:type="pct"/>
            <w:tcBorders>
              <w:top w:val="nil"/>
              <w:left w:val="nil"/>
              <w:bottom w:val="single" w:color="000000" w:sz="8" w:space="0"/>
              <w:right w:val="single" w:color="000000" w:sz="8" w:space="0"/>
            </w:tcBorders>
            <w:shd w:val="clear" w:color="auto" w:fill="auto"/>
            <w:vAlign w:val="center"/>
          </w:tcPr>
          <w:p w14:paraId="06E83683">
            <w:pPr>
              <w:jc w:val="both"/>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信息化系统和数据库</w:t>
            </w:r>
          </w:p>
        </w:tc>
        <w:tc>
          <w:tcPr>
            <w:tcW w:w="676" w:type="pct"/>
            <w:tcBorders>
              <w:top w:val="nil"/>
              <w:left w:val="nil"/>
              <w:bottom w:val="single" w:color="000000" w:sz="8" w:space="0"/>
              <w:right w:val="single" w:color="000000" w:sz="8" w:space="0"/>
            </w:tcBorders>
            <w:shd w:val="clear" w:color="auto" w:fill="auto"/>
            <w:noWrap/>
            <w:vAlign w:val="bottom"/>
          </w:tcPr>
          <w:p w14:paraId="03E88706">
            <w:pPr>
              <w:jc w:val="center"/>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w:t>
            </w:r>
          </w:p>
        </w:tc>
        <w:tc>
          <w:tcPr>
            <w:tcW w:w="790" w:type="pct"/>
            <w:tcBorders>
              <w:top w:val="nil"/>
              <w:left w:val="nil"/>
              <w:bottom w:val="single" w:color="000000" w:sz="8" w:space="0"/>
              <w:right w:val="single" w:color="000000" w:sz="8" w:space="0"/>
            </w:tcBorders>
            <w:shd w:val="clear" w:color="auto" w:fill="auto"/>
            <w:noWrap/>
            <w:vAlign w:val="bottom"/>
          </w:tcPr>
          <w:p w14:paraId="1C2681A8">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X</w:t>
            </w:r>
          </w:p>
        </w:tc>
        <w:tc>
          <w:tcPr>
            <w:tcW w:w="793" w:type="pct"/>
            <w:tcBorders>
              <w:top w:val="nil"/>
              <w:left w:val="nil"/>
              <w:bottom w:val="single" w:color="000000" w:sz="8" w:space="0"/>
              <w:right w:val="single" w:color="000000" w:sz="8" w:space="0"/>
            </w:tcBorders>
            <w:shd w:val="clear" w:color="auto" w:fill="auto"/>
            <w:noWrap/>
            <w:vAlign w:val="bottom"/>
          </w:tcPr>
          <w:p w14:paraId="607C6A72">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X</w:t>
            </w:r>
          </w:p>
        </w:tc>
      </w:tr>
      <w:tr w14:paraId="39DB3933">
        <w:tblPrEx>
          <w:tblCellMar>
            <w:top w:w="0" w:type="dxa"/>
            <w:left w:w="108" w:type="dxa"/>
            <w:bottom w:w="0" w:type="dxa"/>
            <w:right w:w="108" w:type="dxa"/>
          </w:tblCellMar>
        </w:tblPrEx>
        <w:trPr>
          <w:trHeight w:val="397" w:hRule="atLeast"/>
        </w:trPr>
        <w:tc>
          <w:tcPr>
            <w:tcW w:w="433" w:type="pct"/>
            <w:tcBorders>
              <w:top w:val="nil"/>
              <w:left w:val="single" w:color="000000" w:sz="8" w:space="0"/>
              <w:bottom w:val="single" w:color="000000" w:sz="8" w:space="0"/>
              <w:right w:val="single" w:color="000000" w:sz="8" w:space="0"/>
            </w:tcBorders>
            <w:shd w:val="clear" w:color="auto" w:fill="auto"/>
            <w:vAlign w:val="center"/>
          </w:tcPr>
          <w:p w14:paraId="15F5E89A">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17</w:t>
            </w:r>
          </w:p>
        </w:tc>
        <w:tc>
          <w:tcPr>
            <w:tcW w:w="2305" w:type="pct"/>
            <w:tcBorders>
              <w:top w:val="nil"/>
              <w:left w:val="nil"/>
              <w:bottom w:val="single" w:color="000000" w:sz="8" w:space="0"/>
              <w:right w:val="single" w:color="000000" w:sz="8" w:space="0"/>
            </w:tcBorders>
            <w:shd w:val="clear" w:color="auto" w:fill="auto"/>
            <w:vAlign w:val="center"/>
          </w:tcPr>
          <w:p w14:paraId="2716DD5B">
            <w:pPr>
              <w:jc w:val="both"/>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机构能力提升和项目管理支持</w:t>
            </w:r>
          </w:p>
        </w:tc>
        <w:tc>
          <w:tcPr>
            <w:tcW w:w="676" w:type="pct"/>
            <w:tcBorders>
              <w:top w:val="nil"/>
              <w:left w:val="nil"/>
              <w:bottom w:val="single" w:color="000000" w:sz="8" w:space="0"/>
              <w:right w:val="single" w:color="000000" w:sz="8" w:space="0"/>
            </w:tcBorders>
            <w:shd w:val="clear" w:color="auto" w:fill="auto"/>
            <w:noWrap/>
            <w:vAlign w:val="bottom"/>
          </w:tcPr>
          <w:p w14:paraId="7EB2158E">
            <w:pPr>
              <w:jc w:val="center"/>
              <w:textAlignment w:val="bottom"/>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w:t>
            </w:r>
          </w:p>
        </w:tc>
        <w:tc>
          <w:tcPr>
            <w:tcW w:w="790" w:type="pct"/>
            <w:tcBorders>
              <w:top w:val="nil"/>
              <w:left w:val="nil"/>
              <w:bottom w:val="single" w:color="000000" w:sz="8" w:space="0"/>
              <w:right w:val="single" w:color="000000" w:sz="8" w:space="0"/>
            </w:tcBorders>
            <w:shd w:val="clear" w:color="auto" w:fill="auto"/>
            <w:noWrap/>
            <w:vAlign w:val="bottom"/>
          </w:tcPr>
          <w:p w14:paraId="2CCEBF77">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X</w:t>
            </w:r>
          </w:p>
        </w:tc>
        <w:tc>
          <w:tcPr>
            <w:tcW w:w="793" w:type="pct"/>
            <w:tcBorders>
              <w:top w:val="nil"/>
              <w:left w:val="nil"/>
              <w:bottom w:val="single" w:color="000000" w:sz="8" w:space="0"/>
              <w:right w:val="single" w:color="000000" w:sz="8" w:space="0"/>
            </w:tcBorders>
            <w:shd w:val="clear" w:color="auto" w:fill="auto"/>
            <w:noWrap/>
            <w:vAlign w:val="bottom"/>
          </w:tcPr>
          <w:p w14:paraId="6641D92F">
            <w:pPr>
              <w:jc w:val="cente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X</w:t>
            </w:r>
          </w:p>
        </w:tc>
      </w:tr>
      <w:tr w14:paraId="23EC132D">
        <w:tblPrEx>
          <w:tblCellMar>
            <w:top w:w="0" w:type="dxa"/>
            <w:left w:w="108" w:type="dxa"/>
            <w:bottom w:w="0" w:type="dxa"/>
            <w:right w:w="108" w:type="dxa"/>
          </w:tblCellMar>
        </w:tblPrEx>
        <w:trPr>
          <w:trHeight w:val="295" w:hRule="atLeast"/>
        </w:trPr>
        <w:tc>
          <w:tcPr>
            <w:tcW w:w="5000" w:type="pct"/>
            <w:gridSpan w:val="5"/>
            <w:tcBorders>
              <w:top w:val="nil"/>
              <w:left w:val="single" w:color="000000" w:sz="8" w:space="0"/>
              <w:bottom w:val="single" w:color="000000" w:sz="8" w:space="0"/>
              <w:right w:val="single" w:color="000000" w:sz="8" w:space="0"/>
            </w:tcBorders>
            <w:shd w:val="clear" w:color="auto" w:fill="auto"/>
            <w:vAlign w:val="bottom"/>
          </w:tcPr>
          <w:p w14:paraId="6D6AD8D9">
            <w:pPr>
              <w:textAlignment w:val="bottom"/>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X-不相关，✓—相关</w:t>
            </w:r>
          </w:p>
        </w:tc>
      </w:tr>
    </w:tbl>
    <w:p w14:paraId="01C407B9">
      <w:pPr>
        <w:pStyle w:val="2"/>
        <w:rPr>
          <w:rFonts w:hint="default" w:ascii="Times New Roman" w:hAnsi="Times New Roman" w:eastAsia="宋体" w:cs="Times New Roman"/>
          <w:b/>
          <w:bCs/>
          <w:color w:val="auto"/>
          <w:highlight w:val="none"/>
        </w:rPr>
      </w:pPr>
    </w:p>
    <w:p w14:paraId="04444625">
      <w:pPr>
        <w:pStyle w:val="4"/>
        <w:spacing w:before="120"/>
        <w:rPr>
          <w:rFonts w:hint="default" w:ascii="Times New Roman" w:hAnsi="Times New Roman" w:eastAsia="宋体" w:cs="Times New Roman"/>
          <w:color w:val="auto"/>
          <w:szCs w:val="24"/>
          <w:highlight w:val="none"/>
        </w:rPr>
      </w:pPr>
      <w:bookmarkStart w:id="155" w:name="_Toc21327"/>
      <w:bookmarkStart w:id="156" w:name="_Toc114673082"/>
      <w:bookmarkStart w:id="157" w:name="_Toc110846290"/>
      <w:bookmarkStart w:id="158" w:name="_Toc83326394"/>
      <w:bookmarkStart w:id="159" w:name="_Toc58328373"/>
      <w:r>
        <w:rPr>
          <w:rFonts w:hint="default" w:ascii="Times New Roman" w:hAnsi="Times New Roman" w:eastAsia="宋体" w:cs="Times New Roman"/>
          <w:color w:val="auto"/>
          <w:szCs w:val="24"/>
          <w:highlight w:val="none"/>
        </w:rPr>
        <w:t>政策框架</w:t>
      </w:r>
      <w:bookmarkEnd w:id="155"/>
      <w:bookmarkEnd w:id="156"/>
      <w:bookmarkEnd w:id="157"/>
      <w:bookmarkEnd w:id="158"/>
      <w:bookmarkEnd w:id="159"/>
    </w:p>
    <w:p w14:paraId="4F14DE7A">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与亚投行环境和社会标准比较，中国已经建立较为分散的针对项目社会风险识别及管理的体系，并由不同的政府职能负责监督和管理。这些体系包括重大项目社会稳定风险评估、项目征地拆迁的社会管理体系、少数民族的管理体系以及劳动者的管理体系。项目社会风险管理体系要求，项目建设必须符合大多数群众的根本利益诉求，对重大决策、重大固定资产投资项目等进行社会稳定风险评估。</w:t>
      </w:r>
    </w:p>
    <w:p w14:paraId="4A9C8F5E">
      <w:pPr>
        <w:pStyle w:val="5"/>
        <w:spacing w:before="120"/>
        <w:ind w:left="737" w:hanging="294"/>
        <w:rPr>
          <w:rFonts w:hint="default" w:ascii="Times New Roman" w:hAnsi="Times New Roman" w:eastAsia="宋体" w:cs="Times New Roman"/>
          <w:color w:val="auto"/>
          <w:highlight w:val="none"/>
        </w:rPr>
      </w:pPr>
      <w:bookmarkStart w:id="160" w:name="_Toc19454"/>
      <w:bookmarkStart w:id="161" w:name="_Toc114673083"/>
      <w:r>
        <w:rPr>
          <w:rFonts w:hint="default" w:ascii="Times New Roman" w:hAnsi="Times New Roman" w:eastAsia="宋体" w:cs="Times New Roman"/>
          <w:color w:val="auto"/>
          <w:highlight w:val="none"/>
        </w:rPr>
        <w:t>社会稳定风险评估</w:t>
      </w:r>
      <w:bookmarkEnd w:id="160"/>
      <w:bookmarkEnd w:id="161"/>
    </w:p>
    <w:p w14:paraId="768A6CF7">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国政府针对重大投资项目有相关的社会风险管理规定。国家发改委关于《重大固定资产投资项目社会稳定风险评估暂行办法》要求重大投资项目单位在组织开展重大项目前期工作时，应当对社会稳定风险进行调查分析。随后，项目所在地人民政府或其有关部门指定的评估主体组织对项目单位做出的社会稳定风险分析开展评估论证，采取多种方式听取各方面意见，分析判断并确定风险等级，评估项目建设实施的合法性、合理性、可行性、可控性，可能引发的社会稳定风险，各方面意见及其采纳情况，并提出风险防范和化解措施以及应急处置预案等；详见表2-2。</w:t>
      </w:r>
    </w:p>
    <w:p w14:paraId="5FA926CB">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国社会稳定风险评估与ESS1中社会影响评价的要求部分一致。中国社会稳定风险评估更加关注项目建设与决策带来的社会稳定风险，但对社会的包容性，可持续性等关注较少。为了加强对本项目社会管理，实现项目的社会目标，通过项目的建设，促进社会公平、社会包容以及社会可持续发展，汉滨区人民政府将对项目社会风险进行识别和筛查，</w:t>
      </w:r>
      <w:r>
        <w:rPr>
          <w:rFonts w:hint="default" w:ascii="Times New Roman" w:hAnsi="Times New Roman" w:eastAsia="宋体" w:cs="Times New Roman"/>
          <w:color w:val="auto"/>
          <w:highlight w:val="none"/>
          <w:u w:val="single"/>
        </w:rPr>
        <w:t>特别关注以下方面，包括土地征收与限制土地利用、土地利用方式转变、劳动和工作条件、健康与安全、利益相关方参与不足风险、性别发展、少数民族影响等。本项目将按照ESS1的要求在相关子项目评估前进行社会影响评价。</w:t>
      </w:r>
    </w:p>
    <w:p w14:paraId="39A5FEED">
      <w:pPr>
        <w:pStyle w:val="13"/>
        <w:spacing w:after="120" w:line="276" w:lineRule="auto"/>
        <w:ind w:firstLine="482" w:firstLineChars="200"/>
        <w:rPr>
          <w:rFonts w:hint="default" w:ascii="Times New Roman" w:hAnsi="Times New Roman" w:eastAsia="宋体" w:cs="Times New Roman"/>
          <w:bCs/>
          <w:color w:val="auto"/>
          <w:highlight w:val="none"/>
        </w:rPr>
      </w:pPr>
      <w:bookmarkStart w:id="162" w:name="_Toc97228884"/>
      <w:bookmarkStart w:id="163" w:name="_Toc97221515"/>
      <w:bookmarkStart w:id="164" w:name="_Toc113946491"/>
      <w:bookmarkStart w:id="165" w:name="_Toc86390431"/>
      <w:r>
        <w:rPr>
          <w:rFonts w:hint="default" w:ascii="Times New Roman" w:hAnsi="Times New Roman" w:eastAsia="宋体" w:cs="Times New Roman"/>
          <w:color w:val="auto"/>
          <w:highlight w:val="none"/>
        </w:rPr>
        <w:t xml:space="preserve">表 </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STYLEREF 1 \s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3</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SEQ 表 \* ARABIC \s 1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2</w:t>
      </w:r>
      <w:r>
        <w:rPr>
          <w:rFonts w:hint="default" w:ascii="Times New Roman" w:hAnsi="Times New Roman" w:eastAsia="宋体" w:cs="Times New Roman"/>
          <w:color w:val="auto"/>
          <w:highlight w:val="none"/>
        </w:rPr>
        <w:fldChar w:fldCharType="end"/>
      </w:r>
      <w:bookmarkStart w:id="166" w:name="_Toc31048"/>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bCs/>
          <w:color w:val="auto"/>
          <w:highlight w:val="none"/>
        </w:rPr>
        <w:t>社会风险管理法律框架</w:t>
      </w:r>
      <w:bookmarkEnd w:id="162"/>
      <w:bookmarkEnd w:id="163"/>
      <w:bookmarkEnd w:id="164"/>
      <w:bookmarkEnd w:id="165"/>
      <w:bookmarkEnd w:id="166"/>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4232"/>
        <w:gridCol w:w="2381"/>
      </w:tblGrid>
      <w:tr w14:paraId="2D27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trPr>
        <w:tc>
          <w:tcPr>
            <w:tcW w:w="1120" w:type="pct"/>
            <w:shd w:val="clear" w:color="auto" w:fill="D9D9D9"/>
            <w:vAlign w:val="center"/>
          </w:tcPr>
          <w:p w14:paraId="280FDDD1">
            <w:pPr>
              <w:spacing w:line="24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2483" w:type="pct"/>
            <w:shd w:val="clear" w:color="auto" w:fill="D9D9D9"/>
            <w:vAlign w:val="center"/>
          </w:tcPr>
          <w:p w14:paraId="14F6536A">
            <w:pPr>
              <w:spacing w:line="24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国内法律法规</w:t>
            </w:r>
          </w:p>
        </w:tc>
        <w:tc>
          <w:tcPr>
            <w:tcW w:w="1397" w:type="pct"/>
            <w:shd w:val="clear" w:color="auto" w:fill="D9D9D9"/>
            <w:vAlign w:val="center"/>
          </w:tcPr>
          <w:p w14:paraId="68F04166">
            <w:pPr>
              <w:spacing w:line="24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生效年份</w:t>
            </w:r>
          </w:p>
        </w:tc>
      </w:tr>
      <w:tr w14:paraId="248BF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0" w:type="pct"/>
            <w:vAlign w:val="center"/>
          </w:tcPr>
          <w:p w14:paraId="114F5F41">
            <w:pPr>
              <w:widowControl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483" w:type="pct"/>
            <w:vAlign w:val="center"/>
          </w:tcPr>
          <w:p w14:paraId="62B1DBC1">
            <w:pPr>
              <w:spacing w:line="24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《重大行政决策程序暂行条例（713号）》</w:t>
            </w:r>
          </w:p>
        </w:tc>
        <w:tc>
          <w:tcPr>
            <w:tcW w:w="1397" w:type="pct"/>
            <w:vAlign w:val="center"/>
          </w:tcPr>
          <w:p w14:paraId="05E6646C">
            <w:pPr>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2019</w:t>
            </w:r>
          </w:p>
        </w:tc>
      </w:tr>
      <w:tr w14:paraId="4A4DF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120" w:type="pct"/>
            <w:vAlign w:val="center"/>
          </w:tcPr>
          <w:p w14:paraId="4F735E53">
            <w:pPr>
              <w:widowControl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483" w:type="pct"/>
            <w:vAlign w:val="center"/>
          </w:tcPr>
          <w:p w14:paraId="08DC1190">
            <w:pPr>
              <w:spacing w:line="24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关于印发《国家发展改革委重大固定资产投资项目社会稳定风险评估暂行办法》的通知</w:t>
            </w:r>
          </w:p>
        </w:tc>
        <w:tc>
          <w:tcPr>
            <w:tcW w:w="1397" w:type="pct"/>
            <w:vAlign w:val="center"/>
          </w:tcPr>
          <w:p w14:paraId="12A97460">
            <w:pPr>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2012</w:t>
            </w:r>
          </w:p>
        </w:tc>
      </w:tr>
    </w:tbl>
    <w:p w14:paraId="1BF7CEE5">
      <w:pPr>
        <w:pStyle w:val="5"/>
        <w:spacing w:before="120"/>
        <w:rPr>
          <w:rFonts w:hint="default" w:ascii="Times New Roman" w:hAnsi="Times New Roman" w:eastAsia="宋体" w:cs="Times New Roman"/>
          <w:color w:val="auto"/>
          <w:highlight w:val="none"/>
        </w:rPr>
      </w:pPr>
      <w:bookmarkStart w:id="167" w:name="_Toc110846293"/>
      <w:bookmarkStart w:id="168" w:name="_Toc114673084"/>
      <w:bookmarkStart w:id="169" w:name="_Toc14382"/>
      <w:bookmarkStart w:id="170" w:name="_Toc110846292"/>
      <w:bookmarkStart w:id="171" w:name="_Toc58328375"/>
      <w:bookmarkStart w:id="172" w:name="_Toc57756361"/>
      <w:r>
        <w:rPr>
          <w:rFonts w:hint="default" w:ascii="Times New Roman" w:hAnsi="Times New Roman" w:eastAsia="宋体" w:cs="Times New Roman"/>
          <w:color w:val="auto"/>
          <w:highlight w:val="none"/>
        </w:rPr>
        <w:t>劳动者管理</w:t>
      </w:r>
      <w:bookmarkEnd w:id="167"/>
      <w:bookmarkEnd w:id="168"/>
      <w:bookmarkEnd w:id="169"/>
    </w:p>
    <w:p w14:paraId="1DBD0530">
      <w:pPr>
        <w:spacing w:before="120" w:after="120" w:line="300" w:lineRule="auto"/>
        <w:ind w:firstLine="480" w:firstLineChars="200"/>
        <w:jc w:val="both"/>
        <w:rPr>
          <w:rFonts w:hint="default" w:ascii="Times New Roman" w:hAnsi="Times New Roman" w:eastAsia="宋体" w:cs="Times New Roman"/>
          <w:color w:val="auto"/>
          <w:highlight w:val="none"/>
        </w:rPr>
      </w:pPr>
      <w:bookmarkStart w:id="173" w:name="_Toc56439038"/>
      <w:r>
        <w:rPr>
          <w:rFonts w:hint="default" w:ascii="Times New Roman" w:hAnsi="Times New Roman" w:eastAsia="宋体" w:cs="Times New Roman"/>
          <w:color w:val="auto"/>
          <w:highlight w:val="none"/>
        </w:rPr>
        <w:t>中国建立了完善的有关劳动管理的法律及法规体系。作为国际劳动者组织（ILO）的成员，中国批准了28项公约（包括20项已生效，见表7），涉及同工同酬、歧视、最低年龄、童工、职业健康安全、强制劳动、就业政策、咨询、结社权等。中国和陕西省的法律法规对工资标准、工作时间、劳动保护和劳资纠纷进行了规定，禁止强制劳动和/或童工，对女职工和未成年工实行特殊劳动保护。这与亚投行ESF的相关要求是一致的。</w:t>
      </w:r>
    </w:p>
    <w:p w14:paraId="7D6B01A6">
      <w:pPr>
        <w:spacing w:line="276" w:lineRule="auto"/>
        <w:ind w:firstLine="482" w:firstLineChars="200"/>
        <w:jc w:val="center"/>
        <w:rPr>
          <w:rFonts w:hint="default" w:ascii="Times New Roman" w:hAnsi="Times New Roman" w:eastAsia="宋体" w:cs="Times New Roman"/>
          <w:b/>
          <w:bCs/>
          <w:color w:val="auto"/>
          <w:highlight w:val="none"/>
          <w:vertAlign w:val="superscript"/>
        </w:rPr>
      </w:pPr>
      <w:bookmarkStart w:id="174" w:name="_Toc7706"/>
      <w:r>
        <w:rPr>
          <w:rFonts w:hint="default" w:ascii="Times New Roman" w:hAnsi="Times New Roman" w:eastAsia="宋体" w:cs="Times New Roman"/>
          <w:b/>
          <w:bCs/>
          <w:color w:val="auto"/>
          <w:highlight w:val="none"/>
        </w:rPr>
        <w:t xml:space="preserve">表 </w:t>
      </w:r>
      <w:r>
        <w:rPr>
          <w:rFonts w:hint="default" w:ascii="Times New Roman" w:hAnsi="Times New Roman" w:eastAsia="宋体" w:cs="Times New Roman"/>
          <w:b/>
          <w:bCs/>
          <w:color w:val="auto"/>
          <w:highlight w:val="none"/>
        </w:rPr>
        <w:fldChar w:fldCharType="begin"/>
      </w:r>
      <w:r>
        <w:rPr>
          <w:rFonts w:hint="default" w:ascii="Times New Roman" w:hAnsi="Times New Roman" w:eastAsia="宋体" w:cs="Times New Roman"/>
          <w:b/>
          <w:bCs/>
          <w:color w:val="auto"/>
          <w:highlight w:val="none"/>
        </w:rPr>
        <w:instrText xml:space="preserve"> STYLEREF 1 \s </w:instrText>
      </w:r>
      <w:r>
        <w:rPr>
          <w:rFonts w:hint="default" w:ascii="Times New Roman" w:hAnsi="Times New Roman" w:eastAsia="宋体" w:cs="Times New Roman"/>
          <w:b/>
          <w:bCs/>
          <w:color w:val="auto"/>
          <w:highlight w:val="none"/>
        </w:rPr>
        <w:fldChar w:fldCharType="separate"/>
      </w:r>
      <w:r>
        <w:rPr>
          <w:rFonts w:hint="default" w:ascii="Times New Roman" w:hAnsi="Times New Roman" w:eastAsia="宋体" w:cs="Times New Roman"/>
          <w:b/>
          <w:bCs/>
          <w:color w:val="auto"/>
          <w:highlight w:val="none"/>
        </w:rPr>
        <w:t>3</w:t>
      </w:r>
      <w:r>
        <w:rPr>
          <w:rFonts w:hint="default" w:ascii="Times New Roman" w:hAnsi="Times New Roman" w:eastAsia="宋体" w:cs="Times New Roman"/>
          <w:b/>
          <w:bCs/>
          <w:color w:val="auto"/>
          <w:highlight w:val="none"/>
        </w:rPr>
        <w:fldChar w:fldCharType="end"/>
      </w:r>
      <w:r>
        <w:rPr>
          <w:rFonts w:hint="default" w:ascii="Times New Roman" w:hAnsi="Times New Roman" w:eastAsia="宋体" w:cs="Times New Roman"/>
          <w:b/>
          <w:bCs/>
          <w:color w:val="auto"/>
          <w:highlight w:val="none"/>
        </w:rPr>
        <w:t>-</w:t>
      </w:r>
      <w:r>
        <w:rPr>
          <w:rFonts w:hint="default" w:ascii="Times New Roman" w:hAnsi="Times New Roman" w:eastAsia="宋体" w:cs="Times New Roman"/>
          <w:b/>
          <w:bCs/>
          <w:color w:val="auto"/>
          <w:highlight w:val="none"/>
        </w:rPr>
        <w:fldChar w:fldCharType="begin"/>
      </w:r>
      <w:r>
        <w:rPr>
          <w:rFonts w:hint="default" w:ascii="Times New Roman" w:hAnsi="Times New Roman" w:eastAsia="宋体" w:cs="Times New Roman"/>
          <w:b/>
          <w:bCs/>
          <w:color w:val="auto"/>
          <w:highlight w:val="none"/>
        </w:rPr>
        <w:instrText xml:space="preserve"> SEQ 表 \* ARABIC \s 1 </w:instrText>
      </w:r>
      <w:r>
        <w:rPr>
          <w:rFonts w:hint="default" w:ascii="Times New Roman" w:hAnsi="Times New Roman" w:eastAsia="宋体" w:cs="Times New Roman"/>
          <w:b/>
          <w:bCs/>
          <w:color w:val="auto"/>
          <w:highlight w:val="none"/>
        </w:rPr>
        <w:fldChar w:fldCharType="separate"/>
      </w:r>
      <w:r>
        <w:rPr>
          <w:rFonts w:hint="default" w:ascii="Times New Roman" w:hAnsi="Times New Roman" w:eastAsia="宋体" w:cs="Times New Roman"/>
          <w:b/>
          <w:bCs/>
          <w:color w:val="auto"/>
          <w:highlight w:val="none"/>
        </w:rPr>
        <w:t>3</w:t>
      </w:r>
      <w:r>
        <w:rPr>
          <w:rFonts w:hint="default" w:ascii="Times New Roman" w:hAnsi="Times New Roman" w:eastAsia="宋体" w:cs="Times New Roman"/>
          <w:b/>
          <w:bCs/>
          <w:color w:val="auto"/>
          <w:highlight w:val="none"/>
        </w:rPr>
        <w:fldChar w:fldCharType="end"/>
      </w:r>
      <w:bookmarkStart w:id="175" w:name="_Toc16180"/>
      <w:r>
        <w:rPr>
          <w:rFonts w:hint="default" w:ascii="Times New Roman" w:hAnsi="Times New Roman" w:eastAsia="宋体" w:cs="Times New Roman"/>
          <w:b/>
          <w:bCs/>
          <w:color w:val="auto"/>
          <w:highlight w:val="none"/>
        </w:rPr>
        <w:t>中国批准的国际劳动组织公约（生效）清单</w:t>
      </w:r>
      <w:r>
        <w:rPr>
          <w:rFonts w:hint="default" w:ascii="Times New Roman" w:hAnsi="Times New Roman" w:eastAsia="宋体" w:cs="Times New Roman"/>
          <w:b/>
          <w:bCs/>
          <w:color w:val="auto"/>
          <w:highlight w:val="none"/>
          <w:vertAlign w:val="superscript"/>
        </w:rPr>
        <w:footnoteReference w:id="4"/>
      </w:r>
      <w:bookmarkEnd w:id="174"/>
      <w:bookmarkEnd w:id="175"/>
    </w:p>
    <w:tbl>
      <w:tblPr>
        <w:tblStyle w:val="8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5"/>
        <w:gridCol w:w="1725"/>
      </w:tblGrid>
      <w:tr w14:paraId="216CC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565" w:type="dxa"/>
            <w:shd w:val="clear" w:color="auto" w:fill="DEEAF6" w:themeFill="accent5" w:themeFillTint="33"/>
            <w:vAlign w:val="center"/>
          </w:tcPr>
          <w:p w14:paraId="7D771628">
            <w:pPr>
              <w:widowControl w:val="0"/>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
                <w:bCs/>
                <w:color w:val="auto"/>
                <w:sz w:val="20"/>
                <w:szCs w:val="20"/>
                <w:highlight w:val="none"/>
              </w:rPr>
              <w:t>公约</w:t>
            </w:r>
          </w:p>
        </w:tc>
        <w:tc>
          <w:tcPr>
            <w:tcW w:w="1725" w:type="dxa"/>
            <w:shd w:val="clear" w:color="auto" w:fill="DEEAF6" w:themeFill="accent5" w:themeFillTint="33"/>
            <w:vAlign w:val="center"/>
          </w:tcPr>
          <w:p w14:paraId="3F1388C3">
            <w:pPr>
              <w:widowControl w:val="0"/>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
                <w:bCs/>
                <w:color w:val="auto"/>
                <w:sz w:val="20"/>
                <w:szCs w:val="20"/>
                <w:highlight w:val="none"/>
              </w:rPr>
              <w:t>日期</w:t>
            </w:r>
          </w:p>
        </w:tc>
      </w:tr>
      <w:tr w14:paraId="2F7E2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shd w:val="clear" w:color="auto" w:fill="auto"/>
          </w:tcPr>
          <w:p w14:paraId="21D92DD5">
            <w:pPr>
              <w:widowControl w:val="0"/>
              <w:snapToGrid w:val="0"/>
              <w:spacing w:before="12" w:after="12" w:line="300" w:lineRule="auto"/>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sz w:val="20"/>
                <w:szCs w:val="20"/>
                <w:highlight w:val="none"/>
              </w:rPr>
              <w:t>基本约定(5)</w:t>
            </w:r>
          </w:p>
        </w:tc>
      </w:tr>
      <w:tr w14:paraId="13BB1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178E8E30">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C100-1951年《同酬公约》（第100号）</w:t>
            </w:r>
          </w:p>
        </w:tc>
        <w:tc>
          <w:tcPr>
            <w:tcW w:w="1725" w:type="dxa"/>
            <w:shd w:val="clear" w:color="auto" w:fill="auto"/>
          </w:tcPr>
          <w:p w14:paraId="3B6B744B">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1990.12.02</w:t>
            </w:r>
          </w:p>
        </w:tc>
      </w:tr>
      <w:tr w14:paraId="708AF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4097B3E7">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C111-1958年《（就业和职业）歧视公约》（第111号）</w:t>
            </w:r>
          </w:p>
        </w:tc>
        <w:tc>
          <w:tcPr>
            <w:tcW w:w="1725" w:type="dxa"/>
            <w:shd w:val="clear" w:color="auto" w:fill="auto"/>
          </w:tcPr>
          <w:p w14:paraId="408C865B">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2006.01.12</w:t>
            </w:r>
          </w:p>
        </w:tc>
      </w:tr>
      <w:tr w14:paraId="0A7F4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6565" w:type="dxa"/>
            <w:shd w:val="clear" w:color="auto" w:fill="auto"/>
          </w:tcPr>
          <w:p w14:paraId="3C512802">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C138-1973年《最低年龄公约》（第138号）规定最低年龄：16岁</w:t>
            </w:r>
          </w:p>
        </w:tc>
        <w:tc>
          <w:tcPr>
            <w:tcW w:w="1725" w:type="dxa"/>
            <w:shd w:val="clear" w:color="auto" w:fill="auto"/>
          </w:tcPr>
          <w:p w14:paraId="739C7E63">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1999.04.28</w:t>
            </w:r>
          </w:p>
        </w:tc>
      </w:tr>
      <w:tr w14:paraId="4C859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6565" w:type="dxa"/>
            <w:shd w:val="clear" w:color="auto" w:fill="auto"/>
          </w:tcPr>
          <w:p w14:paraId="42FD0C23">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"https://www.ilo.org/dyn/normlex/en/f?p=NORMLEXPUB:12100:0::NO:12100:P12100_INSTRUMENT_ID:312300:NO"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sz w:val="20"/>
                <w:szCs w:val="20"/>
                <w:highlight w:val="none"/>
              </w:rPr>
              <w:t>C155-1981年《职业安全与卫生公约》（第155号）</w:t>
            </w:r>
            <w:r>
              <w:rPr>
                <w:rFonts w:hint="default" w:ascii="Times New Roman" w:hAnsi="Times New Roman" w:eastAsia="宋体" w:cs="Times New Roman"/>
                <w:color w:val="auto"/>
                <w:sz w:val="20"/>
                <w:szCs w:val="20"/>
                <w:highlight w:val="none"/>
              </w:rPr>
              <w:fldChar w:fldCharType="end"/>
            </w:r>
          </w:p>
        </w:tc>
        <w:tc>
          <w:tcPr>
            <w:tcW w:w="1725" w:type="dxa"/>
            <w:shd w:val="clear" w:color="auto" w:fill="auto"/>
          </w:tcPr>
          <w:p w14:paraId="23702011">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2007.01.25</w:t>
            </w:r>
          </w:p>
        </w:tc>
      </w:tr>
      <w:tr w14:paraId="0892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02D8AB3A">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C182-1999年《最恶劣形式的童工劳动公约》（第182号）</w:t>
            </w:r>
          </w:p>
        </w:tc>
        <w:tc>
          <w:tcPr>
            <w:tcW w:w="1725" w:type="dxa"/>
            <w:shd w:val="clear" w:color="auto" w:fill="auto"/>
          </w:tcPr>
          <w:p w14:paraId="5F7CB350">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2002.08.08</w:t>
            </w:r>
          </w:p>
        </w:tc>
      </w:tr>
      <w:tr w14:paraId="7D6CB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shd w:val="clear" w:color="auto" w:fill="auto"/>
          </w:tcPr>
          <w:p w14:paraId="65A273A1">
            <w:pPr>
              <w:widowControl w:val="0"/>
              <w:snapToGrid w:val="0"/>
              <w:spacing w:before="12" w:after="12" w:line="300" w:lineRule="auto"/>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sz w:val="20"/>
                <w:szCs w:val="20"/>
                <w:highlight w:val="none"/>
              </w:rPr>
              <w:t>治理（优先）公约(2)</w:t>
            </w:r>
          </w:p>
        </w:tc>
      </w:tr>
      <w:tr w14:paraId="310FC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096BEA88">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C122-1964年《就业政策公约》（第122号）</w:t>
            </w:r>
          </w:p>
        </w:tc>
        <w:tc>
          <w:tcPr>
            <w:tcW w:w="1725" w:type="dxa"/>
            <w:shd w:val="clear" w:color="auto" w:fill="auto"/>
          </w:tcPr>
          <w:p w14:paraId="0ECB5ECF">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1997.12.17</w:t>
            </w:r>
          </w:p>
        </w:tc>
      </w:tr>
      <w:tr w14:paraId="181C7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5036F2DB">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C144-</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"http://www.ilo.org/dyn/normlex/en/f?p=NORMLEXPUB:12100:::NO:12100:P12100_ILO_CODE:C144:NO" \t "https://www.ilo.org/global/standards/introduction-to-international-labour-standards/conventions-and-recommendations/lang--en/_top"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sz w:val="20"/>
                <w:szCs w:val="20"/>
                <w:highlight w:val="none"/>
              </w:rPr>
              <w:t>1976年《</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color w:val="auto"/>
                <w:sz w:val="20"/>
                <w:szCs w:val="20"/>
                <w:highlight w:val="none"/>
              </w:rPr>
              <w:t>三方协商（国际劳动者标准）公约》（第144号）</w:t>
            </w:r>
          </w:p>
        </w:tc>
        <w:tc>
          <w:tcPr>
            <w:tcW w:w="1725" w:type="dxa"/>
            <w:shd w:val="clear" w:color="auto" w:fill="auto"/>
          </w:tcPr>
          <w:p w14:paraId="6D5D98AD">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1990.11.02</w:t>
            </w:r>
          </w:p>
        </w:tc>
      </w:tr>
      <w:tr w14:paraId="31A01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shd w:val="clear" w:color="auto" w:fill="auto"/>
          </w:tcPr>
          <w:p w14:paraId="1E4CACB7">
            <w:pPr>
              <w:widowControl w:val="0"/>
              <w:snapToGrid w:val="0"/>
              <w:spacing w:before="12" w:after="12" w:line="300" w:lineRule="auto"/>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sz w:val="20"/>
                <w:szCs w:val="20"/>
                <w:highlight w:val="none"/>
              </w:rPr>
              <w:t>技术(13)</w:t>
            </w:r>
          </w:p>
        </w:tc>
      </w:tr>
      <w:tr w14:paraId="52F72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565" w:type="dxa"/>
            <w:shd w:val="clear" w:color="auto" w:fill="auto"/>
          </w:tcPr>
          <w:p w14:paraId="000D559B">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C011-1921年（农业）结社权公约（第11号）</w:t>
            </w:r>
          </w:p>
        </w:tc>
        <w:tc>
          <w:tcPr>
            <w:tcW w:w="1725" w:type="dxa"/>
            <w:shd w:val="clear" w:color="auto" w:fill="auto"/>
          </w:tcPr>
          <w:p w14:paraId="0849AE31">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1934.04.27</w:t>
            </w:r>
          </w:p>
        </w:tc>
      </w:tr>
      <w:tr w14:paraId="1461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31CB8B96">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C014-1921年《每周（工业）休息公约》（第14号）</w:t>
            </w:r>
          </w:p>
        </w:tc>
        <w:tc>
          <w:tcPr>
            <w:tcW w:w="1725" w:type="dxa"/>
            <w:shd w:val="clear" w:color="auto" w:fill="auto"/>
          </w:tcPr>
          <w:p w14:paraId="6F38C758">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1934.05.17</w:t>
            </w:r>
          </w:p>
        </w:tc>
      </w:tr>
      <w:tr w14:paraId="77D28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615670DD">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C019-1925年《平等待遇（事故赔偿）公约》（第19号）</w:t>
            </w:r>
          </w:p>
        </w:tc>
        <w:tc>
          <w:tcPr>
            <w:tcW w:w="1725" w:type="dxa"/>
            <w:shd w:val="clear" w:color="auto" w:fill="auto"/>
          </w:tcPr>
          <w:p w14:paraId="2D3E2F7E">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1934.04.27</w:t>
            </w:r>
          </w:p>
        </w:tc>
      </w:tr>
      <w:tr w14:paraId="73408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31B4B2B2">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C026-1928年 《制定最低工资确定办法公约》（第26号）</w:t>
            </w:r>
          </w:p>
        </w:tc>
        <w:tc>
          <w:tcPr>
            <w:tcW w:w="1725" w:type="dxa"/>
            <w:shd w:val="clear" w:color="auto" w:fill="auto"/>
          </w:tcPr>
          <w:p w14:paraId="29ABB0A8">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1930.05.05</w:t>
            </w:r>
          </w:p>
        </w:tc>
      </w:tr>
      <w:tr w14:paraId="0DC32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3C8617F8">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C027-1929年 《航运的重大包裹标明重量公约》（第27号）</w:t>
            </w:r>
          </w:p>
        </w:tc>
        <w:tc>
          <w:tcPr>
            <w:tcW w:w="1725" w:type="dxa"/>
            <w:shd w:val="clear" w:color="auto" w:fill="auto"/>
          </w:tcPr>
          <w:p w14:paraId="3296800C">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1931.06.24</w:t>
            </w:r>
          </w:p>
        </w:tc>
      </w:tr>
      <w:tr w14:paraId="68F08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6649B273">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C032-1932 《（码头工人）防止事故公约》（修订），1932年（第32号）</w:t>
            </w:r>
          </w:p>
        </w:tc>
        <w:tc>
          <w:tcPr>
            <w:tcW w:w="1725" w:type="dxa"/>
            <w:shd w:val="clear" w:color="auto" w:fill="auto"/>
          </w:tcPr>
          <w:p w14:paraId="58C460D5">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1935.11.30</w:t>
            </w:r>
          </w:p>
        </w:tc>
      </w:tr>
      <w:tr w14:paraId="40FD1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379F48E4">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C045-1935年《（妇女）井下作业公约》（第45号）</w:t>
            </w:r>
          </w:p>
        </w:tc>
        <w:tc>
          <w:tcPr>
            <w:tcW w:w="1725" w:type="dxa"/>
            <w:shd w:val="clear" w:color="auto" w:fill="auto"/>
          </w:tcPr>
          <w:p w14:paraId="337DE0FF">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1936.12.02</w:t>
            </w:r>
          </w:p>
        </w:tc>
      </w:tr>
      <w:tr w14:paraId="740B3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390D8673">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C080-1946年 最后条款修订公约（第80号）</w:t>
            </w:r>
          </w:p>
        </w:tc>
        <w:tc>
          <w:tcPr>
            <w:tcW w:w="1725" w:type="dxa"/>
            <w:shd w:val="clear" w:color="auto" w:fill="auto"/>
          </w:tcPr>
          <w:p w14:paraId="66109AC9">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1947.08.04</w:t>
            </w:r>
          </w:p>
        </w:tc>
      </w:tr>
      <w:tr w14:paraId="70A50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69149797">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C150-1978年劳动行政管理公约（第150号）</w:t>
            </w:r>
          </w:p>
        </w:tc>
        <w:tc>
          <w:tcPr>
            <w:tcW w:w="1725" w:type="dxa"/>
            <w:shd w:val="clear" w:color="auto" w:fill="auto"/>
          </w:tcPr>
          <w:p w14:paraId="45E3F185">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2002.03.07</w:t>
            </w:r>
          </w:p>
        </w:tc>
      </w:tr>
      <w:tr w14:paraId="19499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0DA0A6BE">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C159-1983年《残疾人职业康复和就业公约》（第159号）</w:t>
            </w:r>
          </w:p>
        </w:tc>
        <w:tc>
          <w:tcPr>
            <w:tcW w:w="1725" w:type="dxa"/>
            <w:shd w:val="clear" w:color="auto" w:fill="auto"/>
          </w:tcPr>
          <w:p w14:paraId="194462D7">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1988.02.02</w:t>
            </w:r>
          </w:p>
        </w:tc>
      </w:tr>
      <w:tr w14:paraId="76A0E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2D6E48A1">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C167-1988年《建筑安全与健康公约》（第167号）</w:t>
            </w:r>
          </w:p>
        </w:tc>
        <w:tc>
          <w:tcPr>
            <w:tcW w:w="1725" w:type="dxa"/>
            <w:shd w:val="clear" w:color="auto" w:fill="auto"/>
          </w:tcPr>
          <w:p w14:paraId="07D2B338">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2002.03.07</w:t>
            </w:r>
          </w:p>
        </w:tc>
      </w:tr>
      <w:tr w14:paraId="7A6B2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0698FC4F">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C170-1990年《化学品公约》（第170号）</w:t>
            </w:r>
          </w:p>
        </w:tc>
        <w:tc>
          <w:tcPr>
            <w:tcW w:w="1725" w:type="dxa"/>
            <w:shd w:val="clear" w:color="auto" w:fill="auto"/>
          </w:tcPr>
          <w:p w14:paraId="587FEB5C">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1995.01.11</w:t>
            </w:r>
          </w:p>
        </w:tc>
      </w:tr>
      <w:tr w14:paraId="4007F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00ACECEC">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"https://www.ilo.org/dyn/normlex/en/f?p=NORMLEXPUB:91:0::NO:91:P91_INSTRUMENT_ID:312331:NO"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sz w:val="20"/>
                <w:szCs w:val="20"/>
                <w:highlight w:val="none"/>
              </w:rPr>
              <w:t>2006年海事劳动者公约-2006年海事劳动者公约（MLC，2006）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color w:val="auto"/>
                <w:sz w:val="20"/>
                <w:szCs w:val="20"/>
                <w:highlight w:val="none"/>
              </w:rPr>
              <w:t>根据标准A4.5（2）和（10），政府指定了以下社会保障部门：医疗；失业补助；养老金；工伤津贴和生育津贴。</w:t>
            </w:r>
          </w:p>
        </w:tc>
        <w:tc>
          <w:tcPr>
            <w:tcW w:w="1725" w:type="dxa"/>
            <w:shd w:val="clear" w:color="auto" w:fill="auto"/>
          </w:tcPr>
          <w:p w14:paraId="6164EB67">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2015.12.12, 2016年和2018年修订</w:t>
            </w:r>
          </w:p>
        </w:tc>
      </w:tr>
    </w:tbl>
    <w:p w14:paraId="429CA1F0">
      <w:pPr>
        <w:widowControl w:val="0"/>
        <w:snapToGrid w:val="0"/>
        <w:spacing w:before="12" w:after="12" w:line="300" w:lineRule="auto"/>
        <w:jc w:val="both"/>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bCs/>
          <w:color w:val="auto"/>
          <w:sz w:val="18"/>
          <w:szCs w:val="18"/>
          <w:highlight w:val="none"/>
        </w:rPr>
        <w:t>数据来源:</w:t>
      </w:r>
      <w:r>
        <w:rPr>
          <w:rFonts w:hint="default" w:ascii="Times New Roman" w:hAnsi="Times New Roman" w:eastAsia="宋体" w:cs="Times New Roman"/>
          <w:color w:val="auto"/>
          <w:sz w:val="18"/>
          <w:szCs w:val="18"/>
          <w:highlight w:val="none"/>
        </w:rPr>
        <w:t xml:space="preserve"> 国际劳工组织官方网站</w:t>
      </w:r>
    </w:p>
    <w:p w14:paraId="599DF2AA">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国的法律法规政策针对童工、歧视、强迫劳动、工作时间、最低工资、劳动安全卫生等都有全面的规定。比如，禁止用人单位招用未满16周岁的未成年人；对女职工和未成年工（16-18岁）实行特殊保护；劳动者就业不因民族、种族、性别、宗教信仰不同而受歧视；妇女享有与男子平等的就业权利；禁止强迫劳动；用人单位必须建立、健全劳动安全卫生制度，减少职业危害等。陕西省及项目涉及的相关市、区、县均按照国家相关法规措施制定和落实相关的制度和措施来实施。</w:t>
      </w:r>
    </w:p>
    <w:p w14:paraId="61F3C0BC">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国政府也形成了一系列的保护劳动者职业健康与安全的法律法规和行业标准体系，包括国家层面的法律和行政法规、地方性法规和规章以及各行业的安全及卫生标准等，目前已经建立起多层次保障职业健康的法律制度。</w:t>
      </w:r>
    </w:p>
    <w:p w14:paraId="627C631D">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针对女性方面也有专门的法律保障妇女的劳动权益，包括禁止性骚扰等。特别地，安康市和汉滨区也制定了特别行动方案推进健康企业示范建设，预防控制职业病危害。具体措施有：全方位宣传《职业病防治法》，提高用人单位依法提供劳动者职业卫生保护自觉性；加强监督检查，督促用人单位落实职业病防治主体责任；强化建设项目职业病防护设施“三同时”</w:t>
      </w:r>
      <w:r>
        <w:rPr>
          <w:rFonts w:hint="default" w:ascii="Times New Roman" w:hAnsi="Times New Roman" w:eastAsia="宋体" w:cs="Times New Roman"/>
          <w:color w:val="auto"/>
          <w:highlight w:val="none"/>
          <w:vertAlign w:val="superscript"/>
        </w:rPr>
        <w:footnoteReference w:id="5"/>
      </w:r>
      <w:r>
        <w:rPr>
          <w:rFonts w:hint="default" w:ascii="Times New Roman" w:hAnsi="Times New Roman" w:eastAsia="宋体" w:cs="Times New Roman"/>
          <w:color w:val="auto"/>
          <w:highlight w:val="none"/>
        </w:rPr>
        <w:t>管理，加强劳动者职业病健康监护，加强职业病危害项目申报，加强职业病危害因素检测、监测与评价；规范用工管理，扩大工伤保险覆盖面。</w:t>
      </w:r>
    </w:p>
    <w:bookmarkEnd w:id="173"/>
    <w:p w14:paraId="706FE327">
      <w:pPr>
        <w:spacing w:line="276" w:lineRule="auto"/>
        <w:ind w:firstLine="482" w:firstLineChars="200"/>
        <w:jc w:val="center"/>
        <w:rPr>
          <w:rFonts w:hint="default" w:ascii="Times New Roman" w:hAnsi="Times New Roman" w:eastAsia="宋体" w:cs="Times New Roman"/>
          <w:b/>
          <w:bCs/>
          <w:color w:val="auto"/>
          <w:highlight w:val="none"/>
        </w:rPr>
      </w:pPr>
      <w:bookmarkStart w:id="176" w:name="_Toc97228886"/>
      <w:bookmarkStart w:id="177" w:name="_Toc86390433"/>
      <w:bookmarkStart w:id="178" w:name="_Toc97221517"/>
      <w:bookmarkStart w:id="179" w:name="_Toc113946492"/>
      <w:r>
        <w:rPr>
          <w:rFonts w:hint="default" w:ascii="Times New Roman" w:hAnsi="Times New Roman" w:eastAsia="宋体" w:cs="Times New Roman"/>
          <w:b/>
          <w:bCs/>
          <w:color w:val="auto"/>
          <w:highlight w:val="none"/>
        </w:rPr>
        <w:t xml:space="preserve">表 </w:t>
      </w:r>
      <w:r>
        <w:rPr>
          <w:rFonts w:hint="default" w:ascii="Times New Roman" w:hAnsi="Times New Roman" w:eastAsia="宋体" w:cs="Times New Roman"/>
          <w:b/>
          <w:bCs/>
          <w:color w:val="auto"/>
          <w:highlight w:val="none"/>
        </w:rPr>
        <w:fldChar w:fldCharType="begin"/>
      </w:r>
      <w:r>
        <w:rPr>
          <w:rFonts w:hint="default" w:ascii="Times New Roman" w:hAnsi="Times New Roman" w:eastAsia="宋体" w:cs="Times New Roman"/>
          <w:b/>
          <w:bCs/>
          <w:color w:val="auto"/>
          <w:highlight w:val="none"/>
        </w:rPr>
        <w:instrText xml:space="preserve"> STYLEREF 1 \s </w:instrText>
      </w:r>
      <w:r>
        <w:rPr>
          <w:rFonts w:hint="default" w:ascii="Times New Roman" w:hAnsi="Times New Roman" w:eastAsia="宋体" w:cs="Times New Roman"/>
          <w:b/>
          <w:bCs/>
          <w:color w:val="auto"/>
          <w:highlight w:val="none"/>
        </w:rPr>
        <w:fldChar w:fldCharType="separate"/>
      </w:r>
      <w:r>
        <w:rPr>
          <w:rFonts w:hint="default" w:ascii="Times New Roman" w:hAnsi="Times New Roman" w:eastAsia="宋体" w:cs="Times New Roman"/>
          <w:b/>
          <w:bCs/>
          <w:color w:val="auto"/>
          <w:highlight w:val="none"/>
        </w:rPr>
        <w:t>3</w:t>
      </w:r>
      <w:r>
        <w:rPr>
          <w:rFonts w:hint="default" w:ascii="Times New Roman" w:hAnsi="Times New Roman" w:eastAsia="宋体" w:cs="Times New Roman"/>
          <w:b/>
          <w:bCs/>
          <w:color w:val="auto"/>
          <w:highlight w:val="none"/>
        </w:rPr>
        <w:fldChar w:fldCharType="end"/>
      </w:r>
      <w:r>
        <w:rPr>
          <w:rFonts w:hint="default" w:ascii="Times New Roman" w:hAnsi="Times New Roman" w:eastAsia="宋体" w:cs="Times New Roman"/>
          <w:b/>
          <w:bCs/>
          <w:color w:val="auto"/>
          <w:highlight w:val="none"/>
        </w:rPr>
        <w:noBreakHyphen/>
      </w:r>
      <w:r>
        <w:rPr>
          <w:rFonts w:hint="default" w:ascii="Times New Roman" w:hAnsi="Times New Roman" w:eastAsia="宋体" w:cs="Times New Roman"/>
          <w:b/>
          <w:bCs/>
          <w:color w:val="auto"/>
          <w:highlight w:val="none"/>
        </w:rPr>
        <w:fldChar w:fldCharType="begin"/>
      </w:r>
      <w:r>
        <w:rPr>
          <w:rFonts w:hint="default" w:ascii="Times New Roman" w:hAnsi="Times New Roman" w:eastAsia="宋体" w:cs="Times New Roman"/>
          <w:b/>
          <w:bCs/>
          <w:color w:val="auto"/>
          <w:highlight w:val="none"/>
        </w:rPr>
        <w:instrText xml:space="preserve"> SEQ 表 \* ARABIC \s 1 </w:instrText>
      </w:r>
      <w:r>
        <w:rPr>
          <w:rFonts w:hint="default" w:ascii="Times New Roman" w:hAnsi="Times New Roman" w:eastAsia="宋体" w:cs="Times New Roman"/>
          <w:b/>
          <w:bCs/>
          <w:color w:val="auto"/>
          <w:highlight w:val="none"/>
        </w:rPr>
        <w:fldChar w:fldCharType="separate"/>
      </w:r>
      <w:r>
        <w:rPr>
          <w:rFonts w:hint="default" w:ascii="Times New Roman" w:hAnsi="Times New Roman" w:eastAsia="宋体" w:cs="Times New Roman"/>
          <w:b/>
          <w:bCs/>
          <w:color w:val="auto"/>
          <w:highlight w:val="none"/>
        </w:rPr>
        <w:t>4</w:t>
      </w:r>
      <w:r>
        <w:rPr>
          <w:rFonts w:hint="default" w:ascii="Times New Roman" w:hAnsi="Times New Roman" w:eastAsia="宋体" w:cs="Times New Roman"/>
          <w:b/>
          <w:bCs/>
          <w:color w:val="auto"/>
          <w:highlight w:val="none"/>
        </w:rPr>
        <w:fldChar w:fldCharType="end"/>
      </w:r>
      <w:bookmarkEnd w:id="176"/>
      <w:bookmarkEnd w:id="177"/>
      <w:bookmarkEnd w:id="178"/>
      <w:bookmarkStart w:id="180" w:name="_Toc10132"/>
      <w:r>
        <w:rPr>
          <w:rFonts w:hint="default" w:ascii="Times New Roman" w:hAnsi="Times New Roman" w:eastAsia="宋体" w:cs="Times New Roman"/>
          <w:b/>
          <w:bCs/>
          <w:color w:val="auto"/>
          <w:sz w:val="22"/>
          <w:szCs w:val="18"/>
          <w:highlight w:val="none"/>
        </w:rPr>
        <w:t>中国和陕西省有关劳动和工作条件的法律法规</w:t>
      </w:r>
      <w:bookmarkEnd w:id="179"/>
      <w:bookmarkEnd w:id="180"/>
    </w:p>
    <w:tbl>
      <w:tblPr>
        <w:tblStyle w:val="43"/>
        <w:tblW w:w="5054"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111"/>
        <w:gridCol w:w="5657"/>
        <w:gridCol w:w="1644"/>
      </w:tblGrid>
      <w:tr w14:paraId="0B59CB6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blHeader/>
        </w:trPr>
        <w:tc>
          <w:tcPr>
            <w:tcW w:w="660" w:type="pct"/>
            <w:tcBorders>
              <w:top w:val="single" w:color="auto" w:sz="6" w:space="0"/>
              <w:left w:val="single" w:color="auto" w:sz="6" w:space="0"/>
              <w:bottom w:val="single" w:color="auto" w:sz="6" w:space="0"/>
              <w:right w:val="single" w:color="auto" w:sz="6" w:space="0"/>
            </w:tcBorders>
            <w:shd w:val="clear" w:color="auto" w:fill="F2F2F2"/>
            <w:vAlign w:val="center"/>
          </w:tcPr>
          <w:p w14:paraId="1F42316E">
            <w:pPr>
              <w:ind w:left="45"/>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20"/>
                <w:szCs w:val="20"/>
                <w:highlight w:val="none"/>
              </w:rPr>
              <w:t>政策层级</w:t>
            </w:r>
          </w:p>
        </w:tc>
        <w:tc>
          <w:tcPr>
            <w:tcW w:w="3361" w:type="pct"/>
            <w:tcBorders>
              <w:top w:val="single" w:color="auto" w:sz="6" w:space="0"/>
              <w:left w:val="single" w:color="auto" w:sz="6" w:space="0"/>
              <w:bottom w:val="single" w:color="auto" w:sz="6" w:space="0"/>
              <w:right w:val="single" w:color="auto" w:sz="6" w:space="0"/>
            </w:tcBorders>
            <w:shd w:val="clear" w:color="auto" w:fill="F2F2F2"/>
            <w:vAlign w:val="center"/>
          </w:tcPr>
          <w:p w14:paraId="2078DE0D">
            <w:pPr>
              <w:ind w:right="45"/>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bCs/>
                <w:color w:val="auto"/>
                <w:sz w:val="20"/>
                <w:szCs w:val="20"/>
                <w:highlight w:val="none"/>
              </w:rPr>
              <w:t>法规</w:t>
            </w:r>
            <w:r>
              <w:rPr>
                <w:rFonts w:hint="default" w:ascii="Times New Roman" w:hAnsi="Times New Roman" w:eastAsia="宋体" w:cs="Times New Roman"/>
                <w:color w:val="auto"/>
                <w:sz w:val="20"/>
                <w:szCs w:val="20"/>
                <w:highlight w:val="none"/>
              </w:rPr>
              <w:t> </w:t>
            </w:r>
          </w:p>
        </w:tc>
        <w:tc>
          <w:tcPr>
            <w:tcW w:w="977" w:type="pct"/>
            <w:tcBorders>
              <w:top w:val="single" w:color="auto" w:sz="6" w:space="0"/>
              <w:left w:val="single" w:color="auto" w:sz="6" w:space="0"/>
              <w:bottom w:val="single" w:color="auto" w:sz="6" w:space="0"/>
              <w:right w:val="single" w:color="auto" w:sz="6" w:space="0"/>
            </w:tcBorders>
            <w:shd w:val="clear" w:color="auto" w:fill="F2F2F2"/>
            <w:vAlign w:val="center"/>
          </w:tcPr>
          <w:p w14:paraId="6F78D23B">
            <w:pPr>
              <w:ind w:right="45"/>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bCs/>
                <w:color w:val="auto"/>
                <w:sz w:val="20"/>
                <w:szCs w:val="20"/>
                <w:highlight w:val="none"/>
              </w:rPr>
              <w:t>生效年份</w:t>
            </w:r>
          </w:p>
        </w:tc>
      </w:tr>
      <w:tr w14:paraId="26E6DE5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pct"/>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74813AFE">
            <w:pPr>
              <w:ind w:left="45"/>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20"/>
                <w:szCs w:val="20"/>
                <w:highlight w:val="none"/>
              </w:rPr>
              <w:t>中国</w:t>
            </w:r>
          </w:p>
        </w:tc>
        <w:tc>
          <w:tcPr>
            <w:tcW w:w="3361" w:type="pct"/>
            <w:tcBorders>
              <w:top w:val="single" w:color="auto" w:sz="6" w:space="0"/>
              <w:left w:val="single" w:color="auto" w:sz="6" w:space="0"/>
              <w:bottom w:val="single" w:color="auto" w:sz="6" w:space="0"/>
              <w:right w:val="single" w:color="auto" w:sz="6" w:space="0"/>
            </w:tcBorders>
            <w:shd w:val="clear" w:color="auto" w:fill="auto"/>
            <w:vAlign w:val="center"/>
          </w:tcPr>
          <w:p w14:paraId="3F3434CE">
            <w:pPr>
              <w:ind w:left="105"/>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中华人民共和国劳动法</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0111BE65">
            <w:pPr>
              <w:jc w:val="center"/>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2018修订</w:t>
            </w:r>
          </w:p>
        </w:tc>
      </w:tr>
      <w:tr w14:paraId="23B16B2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27038E84">
            <w:pPr>
              <w:rPr>
                <w:rFonts w:hint="default" w:ascii="Times New Roman" w:hAnsi="Times New Roman" w:eastAsia="宋体" w:cs="Times New Roman"/>
                <w:color w:val="auto"/>
                <w:sz w:val="18"/>
                <w:szCs w:val="18"/>
                <w:highlight w:val="none"/>
              </w:rPr>
            </w:pPr>
          </w:p>
        </w:tc>
        <w:tc>
          <w:tcPr>
            <w:tcW w:w="3361" w:type="pct"/>
            <w:tcBorders>
              <w:top w:val="single" w:color="auto" w:sz="6" w:space="0"/>
              <w:left w:val="single" w:color="auto" w:sz="6" w:space="0"/>
              <w:bottom w:val="single" w:color="auto" w:sz="6" w:space="0"/>
              <w:right w:val="single" w:color="auto" w:sz="6" w:space="0"/>
            </w:tcBorders>
            <w:shd w:val="clear" w:color="auto" w:fill="auto"/>
            <w:vAlign w:val="center"/>
          </w:tcPr>
          <w:p w14:paraId="6E713F81">
            <w:pPr>
              <w:ind w:left="105"/>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用人单位职业健康监护监督管理办法</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0DEC696D">
            <w:pPr>
              <w:jc w:val="center"/>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2012</w:t>
            </w:r>
          </w:p>
        </w:tc>
      </w:tr>
      <w:tr w14:paraId="1CE8FA2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B77539F">
            <w:pPr>
              <w:rPr>
                <w:rFonts w:hint="default" w:ascii="Times New Roman" w:hAnsi="Times New Roman" w:eastAsia="宋体" w:cs="Times New Roman"/>
                <w:color w:val="auto"/>
                <w:sz w:val="18"/>
                <w:szCs w:val="18"/>
                <w:highlight w:val="none"/>
              </w:rPr>
            </w:pPr>
          </w:p>
        </w:tc>
        <w:tc>
          <w:tcPr>
            <w:tcW w:w="3361" w:type="pct"/>
            <w:tcBorders>
              <w:top w:val="single" w:color="auto" w:sz="6" w:space="0"/>
              <w:left w:val="single" w:color="auto" w:sz="6" w:space="0"/>
              <w:bottom w:val="single" w:color="auto" w:sz="6" w:space="0"/>
              <w:right w:val="single" w:color="auto" w:sz="6" w:space="0"/>
            </w:tcBorders>
            <w:shd w:val="clear" w:color="auto" w:fill="auto"/>
            <w:vAlign w:val="center"/>
          </w:tcPr>
          <w:p w14:paraId="3769188F">
            <w:pPr>
              <w:ind w:left="105"/>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中华人民共和国劳动合同法</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4E872A57">
            <w:pPr>
              <w:jc w:val="center"/>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2012修订</w:t>
            </w:r>
          </w:p>
        </w:tc>
      </w:tr>
      <w:tr w14:paraId="382B373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6D57B867">
            <w:pPr>
              <w:rPr>
                <w:rFonts w:hint="default" w:ascii="Times New Roman" w:hAnsi="Times New Roman" w:eastAsia="宋体" w:cs="Times New Roman"/>
                <w:color w:val="auto"/>
                <w:sz w:val="18"/>
                <w:szCs w:val="18"/>
                <w:highlight w:val="none"/>
              </w:rPr>
            </w:pPr>
          </w:p>
        </w:tc>
        <w:tc>
          <w:tcPr>
            <w:tcW w:w="3361" w:type="pct"/>
            <w:tcBorders>
              <w:top w:val="single" w:color="auto" w:sz="6" w:space="0"/>
              <w:left w:val="single" w:color="auto" w:sz="6" w:space="0"/>
              <w:bottom w:val="single" w:color="auto" w:sz="6" w:space="0"/>
              <w:right w:val="single" w:color="auto" w:sz="6" w:space="0"/>
            </w:tcBorders>
            <w:shd w:val="clear" w:color="auto" w:fill="auto"/>
            <w:vAlign w:val="center"/>
          </w:tcPr>
          <w:p w14:paraId="11E6F998">
            <w:pPr>
              <w:ind w:left="105"/>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劳动保障监察条例</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41513CF3">
            <w:pPr>
              <w:jc w:val="center"/>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2018修订</w:t>
            </w:r>
          </w:p>
        </w:tc>
      </w:tr>
      <w:tr w14:paraId="024027C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3FA84A7A">
            <w:pPr>
              <w:rPr>
                <w:rFonts w:hint="default" w:ascii="Times New Roman" w:hAnsi="Times New Roman" w:eastAsia="宋体" w:cs="Times New Roman"/>
                <w:color w:val="auto"/>
                <w:sz w:val="18"/>
                <w:szCs w:val="18"/>
                <w:highlight w:val="none"/>
              </w:rPr>
            </w:pPr>
          </w:p>
        </w:tc>
        <w:tc>
          <w:tcPr>
            <w:tcW w:w="3361" w:type="pct"/>
            <w:tcBorders>
              <w:top w:val="single" w:color="auto" w:sz="6" w:space="0"/>
              <w:left w:val="single" w:color="auto" w:sz="6" w:space="0"/>
              <w:bottom w:val="single" w:color="auto" w:sz="6" w:space="0"/>
              <w:right w:val="single" w:color="auto" w:sz="6" w:space="0"/>
            </w:tcBorders>
            <w:shd w:val="clear" w:color="auto" w:fill="auto"/>
            <w:vAlign w:val="center"/>
          </w:tcPr>
          <w:p w14:paraId="7811660C">
            <w:pPr>
              <w:ind w:left="105"/>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中华人民共和国突发事件应对法</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67FEEFE4">
            <w:pPr>
              <w:jc w:val="center"/>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2007</w:t>
            </w:r>
          </w:p>
        </w:tc>
      </w:tr>
      <w:tr w14:paraId="17E40D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6BE5355F">
            <w:pPr>
              <w:rPr>
                <w:rFonts w:hint="default" w:ascii="Times New Roman" w:hAnsi="Times New Roman" w:eastAsia="宋体" w:cs="Times New Roman"/>
                <w:color w:val="auto"/>
                <w:sz w:val="18"/>
                <w:szCs w:val="18"/>
                <w:highlight w:val="none"/>
              </w:rPr>
            </w:pPr>
          </w:p>
        </w:tc>
        <w:tc>
          <w:tcPr>
            <w:tcW w:w="3361" w:type="pct"/>
            <w:tcBorders>
              <w:top w:val="single" w:color="auto" w:sz="6" w:space="0"/>
              <w:left w:val="single" w:color="auto" w:sz="6" w:space="0"/>
              <w:bottom w:val="single" w:color="auto" w:sz="6" w:space="0"/>
              <w:right w:val="single" w:color="auto" w:sz="6" w:space="0"/>
            </w:tcBorders>
            <w:shd w:val="clear" w:color="auto" w:fill="auto"/>
            <w:vAlign w:val="center"/>
          </w:tcPr>
          <w:p w14:paraId="683B66C3">
            <w:pPr>
              <w:ind w:left="105"/>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生产安全事故应急管理办法</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6FD902D8">
            <w:pPr>
              <w:jc w:val="center"/>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2016年</w:t>
            </w:r>
          </w:p>
        </w:tc>
      </w:tr>
      <w:tr w14:paraId="2EB5747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0B0A35BE">
            <w:pPr>
              <w:rPr>
                <w:rFonts w:hint="default" w:ascii="Times New Roman" w:hAnsi="Times New Roman" w:eastAsia="宋体" w:cs="Times New Roman"/>
                <w:color w:val="auto"/>
                <w:sz w:val="18"/>
                <w:szCs w:val="18"/>
                <w:highlight w:val="none"/>
              </w:rPr>
            </w:pPr>
          </w:p>
        </w:tc>
        <w:tc>
          <w:tcPr>
            <w:tcW w:w="3361" w:type="pct"/>
            <w:tcBorders>
              <w:top w:val="single" w:color="auto" w:sz="6" w:space="0"/>
              <w:left w:val="single" w:color="auto" w:sz="6" w:space="0"/>
              <w:bottom w:val="single" w:color="auto" w:sz="6" w:space="0"/>
              <w:right w:val="single" w:color="auto" w:sz="6" w:space="0"/>
            </w:tcBorders>
            <w:shd w:val="clear" w:color="auto" w:fill="auto"/>
            <w:vAlign w:val="center"/>
          </w:tcPr>
          <w:p w14:paraId="2131AA01">
            <w:pPr>
              <w:ind w:left="105"/>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中华人民共和国妇女权益保障法</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27402982">
            <w:pPr>
              <w:jc w:val="center"/>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2018修订</w:t>
            </w:r>
          </w:p>
        </w:tc>
      </w:tr>
      <w:tr w14:paraId="679709B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33E9BCBC">
            <w:pPr>
              <w:rPr>
                <w:rFonts w:hint="default" w:ascii="Times New Roman" w:hAnsi="Times New Roman" w:eastAsia="宋体" w:cs="Times New Roman"/>
                <w:color w:val="auto"/>
                <w:sz w:val="18"/>
                <w:szCs w:val="18"/>
                <w:highlight w:val="none"/>
              </w:rPr>
            </w:pPr>
          </w:p>
        </w:tc>
        <w:tc>
          <w:tcPr>
            <w:tcW w:w="3361" w:type="pct"/>
            <w:tcBorders>
              <w:top w:val="single" w:color="auto" w:sz="6" w:space="0"/>
              <w:left w:val="single" w:color="auto" w:sz="6" w:space="0"/>
              <w:bottom w:val="single" w:color="auto" w:sz="6" w:space="0"/>
              <w:right w:val="single" w:color="auto" w:sz="6" w:space="0"/>
            </w:tcBorders>
            <w:shd w:val="clear" w:color="auto" w:fill="auto"/>
            <w:vAlign w:val="center"/>
          </w:tcPr>
          <w:p w14:paraId="684CAD7C">
            <w:pPr>
              <w:ind w:left="105"/>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女职工劳动保护特别规定</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67478F0F">
            <w:pPr>
              <w:ind w:left="105"/>
              <w:jc w:val="center"/>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2017</w:t>
            </w:r>
          </w:p>
        </w:tc>
      </w:tr>
      <w:tr w14:paraId="545EF43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DE88071">
            <w:pPr>
              <w:rPr>
                <w:rFonts w:hint="default" w:ascii="Times New Roman" w:hAnsi="Times New Roman" w:eastAsia="宋体" w:cs="Times New Roman"/>
                <w:color w:val="auto"/>
                <w:sz w:val="18"/>
                <w:szCs w:val="18"/>
                <w:highlight w:val="none"/>
              </w:rPr>
            </w:pPr>
          </w:p>
        </w:tc>
        <w:tc>
          <w:tcPr>
            <w:tcW w:w="3361" w:type="pct"/>
            <w:tcBorders>
              <w:top w:val="single" w:color="auto" w:sz="6" w:space="0"/>
              <w:left w:val="single" w:color="auto" w:sz="6" w:space="0"/>
              <w:bottom w:val="single" w:color="auto" w:sz="6" w:space="0"/>
              <w:right w:val="single" w:color="auto" w:sz="6" w:space="0"/>
            </w:tcBorders>
            <w:shd w:val="clear" w:color="auto" w:fill="auto"/>
            <w:vAlign w:val="center"/>
          </w:tcPr>
          <w:p w14:paraId="53436D76">
            <w:pPr>
              <w:ind w:left="105"/>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建设项目职业病危害分类管理办法</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63A4EF3A">
            <w:pPr>
              <w:ind w:left="105"/>
              <w:jc w:val="center"/>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2006</w:t>
            </w:r>
          </w:p>
        </w:tc>
      </w:tr>
      <w:tr w14:paraId="1DFAA5A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trPr>
        <w:tc>
          <w:tcPr>
            <w:tcW w:w="660"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24A0CE61">
            <w:pPr>
              <w:rPr>
                <w:rFonts w:hint="default" w:ascii="Times New Roman" w:hAnsi="Times New Roman" w:eastAsia="宋体" w:cs="Times New Roman"/>
                <w:color w:val="auto"/>
                <w:sz w:val="18"/>
                <w:szCs w:val="18"/>
                <w:highlight w:val="none"/>
              </w:rPr>
            </w:pPr>
          </w:p>
        </w:tc>
        <w:tc>
          <w:tcPr>
            <w:tcW w:w="3361" w:type="pct"/>
            <w:tcBorders>
              <w:top w:val="single" w:color="auto" w:sz="6" w:space="0"/>
              <w:left w:val="single" w:color="auto" w:sz="6" w:space="0"/>
              <w:bottom w:val="single" w:color="auto" w:sz="6" w:space="0"/>
              <w:right w:val="single" w:color="auto" w:sz="6" w:space="0"/>
            </w:tcBorders>
            <w:shd w:val="clear" w:color="auto" w:fill="auto"/>
            <w:vAlign w:val="center"/>
          </w:tcPr>
          <w:p w14:paraId="596D076D">
            <w:pPr>
              <w:ind w:left="105"/>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建设项目职业病危害风险分类管理目录</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2CA77A78">
            <w:pPr>
              <w:ind w:left="105"/>
              <w:jc w:val="center"/>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2021</w:t>
            </w:r>
          </w:p>
        </w:tc>
      </w:tr>
      <w:tr w14:paraId="7CB5B6D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5DB1D949">
            <w:pPr>
              <w:rPr>
                <w:rFonts w:hint="default" w:ascii="Times New Roman" w:hAnsi="Times New Roman" w:eastAsia="宋体" w:cs="Times New Roman"/>
                <w:color w:val="auto"/>
                <w:sz w:val="18"/>
                <w:szCs w:val="18"/>
                <w:highlight w:val="none"/>
              </w:rPr>
            </w:pPr>
          </w:p>
        </w:tc>
        <w:tc>
          <w:tcPr>
            <w:tcW w:w="3361" w:type="pct"/>
            <w:tcBorders>
              <w:top w:val="single" w:color="auto" w:sz="6" w:space="0"/>
              <w:left w:val="single" w:color="auto" w:sz="6" w:space="0"/>
              <w:bottom w:val="single" w:color="auto" w:sz="6" w:space="0"/>
              <w:right w:val="single" w:color="auto" w:sz="6" w:space="0"/>
            </w:tcBorders>
            <w:shd w:val="clear" w:color="auto" w:fill="auto"/>
            <w:vAlign w:val="center"/>
          </w:tcPr>
          <w:p w14:paraId="503ED479">
            <w:pPr>
              <w:ind w:left="105"/>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职业病防治法</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3424E1F8">
            <w:pPr>
              <w:ind w:left="105"/>
              <w:jc w:val="center"/>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2018修订</w:t>
            </w:r>
          </w:p>
        </w:tc>
      </w:tr>
      <w:tr w14:paraId="03F4EBB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2BE08E0C">
            <w:pPr>
              <w:rPr>
                <w:rFonts w:hint="default" w:ascii="Times New Roman" w:hAnsi="Times New Roman" w:eastAsia="宋体" w:cs="Times New Roman"/>
                <w:color w:val="auto"/>
                <w:sz w:val="18"/>
                <w:szCs w:val="18"/>
                <w:highlight w:val="none"/>
              </w:rPr>
            </w:pPr>
          </w:p>
        </w:tc>
        <w:tc>
          <w:tcPr>
            <w:tcW w:w="3361" w:type="pct"/>
            <w:tcBorders>
              <w:top w:val="single" w:color="auto" w:sz="6" w:space="0"/>
              <w:left w:val="single" w:color="auto" w:sz="6" w:space="0"/>
              <w:bottom w:val="single" w:color="auto" w:sz="6" w:space="0"/>
              <w:right w:val="single" w:color="auto" w:sz="6" w:space="0"/>
            </w:tcBorders>
            <w:shd w:val="clear" w:color="auto" w:fill="auto"/>
            <w:vAlign w:val="center"/>
          </w:tcPr>
          <w:p w14:paraId="77524EA7">
            <w:pPr>
              <w:ind w:left="105"/>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中华人民共和国社会保险法</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64959FA1">
            <w:pPr>
              <w:ind w:left="105"/>
              <w:jc w:val="center"/>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2018修订</w:t>
            </w:r>
          </w:p>
        </w:tc>
      </w:tr>
      <w:tr w14:paraId="2E97E8C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049D69CE">
            <w:pPr>
              <w:rPr>
                <w:rFonts w:hint="default" w:ascii="Times New Roman" w:hAnsi="Times New Roman" w:eastAsia="宋体" w:cs="Times New Roman"/>
                <w:color w:val="auto"/>
                <w:sz w:val="18"/>
                <w:szCs w:val="18"/>
                <w:highlight w:val="none"/>
              </w:rPr>
            </w:pPr>
          </w:p>
        </w:tc>
        <w:tc>
          <w:tcPr>
            <w:tcW w:w="3361" w:type="pct"/>
            <w:tcBorders>
              <w:top w:val="single" w:color="auto" w:sz="6" w:space="0"/>
              <w:left w:val="single" w:color="auto" w:sz="6" w:space="0"/>
              <w:bottom w:val="single" w:color="auto" w:sz="6" w:space="0"/>
              <w:right w:val="single" w:color="auto" w:sz="6" w:space="0"/>
            </w:tcBorders>
            <w:shd w:val="clear" w:color="auto" w:fill="auto"/>
            <w:vAlign w:val="center"/>
          </w:tcPr>
          <w:p w14:paraId="596FD214">
            <w:pPr>
              <w:ind w:left="105"/>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中华人民共和国未成年人保护法</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33BB1E92">
            <w:pPr>
              <w:ind w:left="105"/>
              <w:jc w:val="center"/>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2020修订</w:t>
            </w:r>
          </w:p>
        </w:tc>
      </w:tr>
      <w:tr w14:paraId="215C8CF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313EAF20">
            <w:pPr>
              <w:rPr>
                <w:rFonts w:hint="default" w:ascii="Times New Roman" w:hAnsi="Times New Roman" w:eastAsia="宋体" w:cs="Times New Roman"/>
                <w:color w:val="auto"/>
                <w:sz w:val="18"/>
                <w:szCs w:val="18"/>
                <w:highlight w:val="none"/>
              </w:rPr>
            </w:pPr>
          </w:p>
        </w:tc>
        <w:tc>
          <w:tcPr>
            <w:tcW w:w="3361" w:type="pct"/>
            <w:tcBorders>
              <w:top w:val="single" w:color="auto" w:sz="6" w:space="0"/>
              <w:left w:val="single" w:color="auto" w:sz="6" w:space="0"/>
              <w:bottom w:val="single" w:color="auto" w:sz="6" w:space="0"/>
              <w:right w:val="single" w:color="auto" w:sz="6" w:space="0"/>
            </w:tcBorders>
            <w:shd w:val="clear" w:color="auto" w:fill="auto"/>
            <w:vAlign w:val="center"/>
          </w:tcPr>
          <w:p w14:paraId="70ECE59F">
            <w:pPr>
              <w:ind w:left="105"/>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20"/>
                <w:szCs w:val="20"/>
                <w:highlight w:val="none"/>
              </w:rPr>
              <w:t>中华人民共和国残疾人保护法</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736777E3">
            <w:pPr>
              <w:ind w:left="105"/>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20"/>
                <w:szCs w:val="20"/>
                <w:highlight w:val="none"/>
              </w:rPr>
              <w:t>2018修订</w:t>
            </w:r>
          </w:p>
        </w:tc>
      </w:tr>
      <w:tr w14:paraId="4F4015D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0ECE69EF">
            <w:pPr>
              <w:rPr>
                <w:rFonts w:hint="default" w:ascii="Times New Roman" w:hAnsi="Times New Roman" w:eastAsia="宋体" w:cs="Times New Roman"/>
                <w:color w:val="auto"/>
                <w:sz w:val="18"/>
                <w:szCs w:val="18"/>
                <w:highlight w:val="none"/>
              </w:rPr>
            </w:pPr>
          </w:p>
        </w:tc>
        <w:tc>
          <w:tcPr>
            <w:tcW w:w="3361" w:type="pct"/>
            <w:tcBorders>
              <w:top w:val="single" w:color="auto" w:sz="6" w:space="0"/>
              <w:left w:val="single" w:color="auto" w:sz="6" w:space="0"/>
              <w:bottom w:val="single" w:color="auto" w:sz="6" w:space="0"/>
              <w:right w:val="single" w:color="auto" w:sz="6" w:space="0"/>
            </w:tcBorders>
            <w:shd w:val="clear" w:color="auto" w:fill="auto"/>
            <w:vAlign w:val="center"/>
          </w:tcPr>
          <w:p w14:paraId="2B1C7DDB">
            <w:pPr>
              <w:ind w:left="105"/>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20"/>
                <w:szCs w:val="20"/>
                <w:highlight w:val="none"/>
              </w:rPr>
              <w:t>中华人民共和国劳动争议调解仲裁法</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3F6A1142">
            <w:pPr>
              <w:ind w:left="105"/>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20"/>
                <w:szCs w:val="20"/>
                <w:highlight w:val="none"/>
              </w:rPr>
              <w:t>2007</w:t>
            </w:r>
          </w:p>
        </w:tc>
      </w:tr>
      <w:tr w14:paraId="2350963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81A6416">
            <w:pPr>
              <w:rPr>
                <w:rFonts w:hint="default" w:ascii="Times New Roman" w:hAnsi="Times New Roman" w:eastAsia="宋体" w:cs="Times New Roman"/>
                <w:color w:val="auto"/>
                <w:sz w:val="18"/>
                <w:szCs w:val="18"/>
                <w:highlight w:val="none"/>
              </w:rPr>
            </w:pPr>
          </w:p>
        </w:tc>
        <w:tc>
          <w:tcPr>
            <w:tcW w:w="3361" w:type="pct"/>
            <w:tcBorders>
              <w:top w:val="single" w:color="auto" w:sz="6" w:space="0"/>
              <w:left w:val="single" w:color="auto" w:sz="6" w:space="0"/>
              <w:bottom w:val="single" w:color="auto" w:sz="6" w:space="0"/>
              <w:right w:val="single" w:color="auto" w:sz="6" w:space="0"/>
            </w:tcBorders>
            <w:shd w:val="clear" w:color="auto" w:fill="auto"/>
            <w:vAlign w:val="center"/>
          </w:tcPr>
          <w:p w14:paraId="75E3B845">
            <w:pPr>
              <w:ind w:left="105"/>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中华人民共和国传染病防治法</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50C1E627">
            <w:pPr>
              <w:ind w:left="105"/>
              <w:jc w:val="center"/>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2013修订</w:t>
            </w:r>
          </w:p>
        </w:tc>
      </w:tr>
      <w:tr w14:paraId="0202D9E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09AD03D7">
            <w:pPr>
              <w:rPr>
                <w:rFonts w:hint="default" w:ascii="Times New Roman" w:hAnsi="Times New Roman" w:eastAsia="宋体" w:cs="Times New Roman"/>
                <w:color w:val="auto"/>
                <w:sz w:val="18"/>
                <w:szCs w:val="18"/>
                <w:highlight w:val="none"/>
              </w:rPr>
            </w:pPr>
          </w:p>
        </w:tc>
        <w:tc>
          <w:tcPr>
            <w:tcW w:w="3361" w:type="pct"/>
            <w:tcBorders>
              <w:top w:val="single" w:color="auto" w:sz="6" w:space="0"/>
              <w:left w:val="single" w:color="auto" w:sz="6" w:space="0"/>
              <w:bottom w:val="single" w:color="auto" w:sz="6" w:space="0"/>
              <w:right w:val="single" w:color="auto" w:sz="6" w:space="0"/>
            </w:tcBorders>
            <w:shd w:val="clear" w:color="auto" w:fill="auto"/>
            <w:vAlign w:val="center"/>
          </w:tcPr>
          <w:p w14:paraId="7000C52C">
            <w:pPr>
              <w:ind w:left="105"/>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20"/>
                <w:szCs w:val="20"/>
                <w:highlight w:val="none"/>
              </w:rPr>
              <w:t>中华人民共和国工会法</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4A875277">
            <w:pPr>
              <w:ind w:left="105"/>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20"/>
                <w:szCs w:val="20"/>
                <w:highlight w:val="none"/>
              </w:rPr>
              <w:t>2009修订</w:t>
            </w:r>
          </w:p>
        </w:tc>
      </w:tr>
      <w:tr w14:paraId="2B87EF5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pct"/>
            <w:vMerge w:val="restart"/>
            <w:tcBorders>
              <w:top w:val="single" w:color="auto" w:sz="6" w:space="0"/>
              <w:left w:val="single" w:color="auto" w:sz="6" w:space="0"/>
              <w:right w:val="single" w:color="auto" w:sz="6" w:space="0"/>
            </w:tcBorders>
            <w:shd w:val="clear" w:color="auto" w:fill="auto"/>
            <w:vAlign w:val="center"/>
          </w:tcPr>
          <w:p w14:paraId="38E5E1D5">
            <w:pPr>
              <w:ind w:left="45"/>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20"/>
                <w:szCs w:val="20"/>
                <w:highlight w:val="none"/>
              </w:rPr>
              <w:t>陕西省 </w:t>
            </w:r>
          </w:p>
        </w:tc>
        <w:tc>
          <w:tcPr>
            <w:tcW w:w="3361" w:type="pct"/>
            <w:tcBorders>
              <w:top w:val="single" w:color="auto" w:sz="6" w:space="0"/>
              <w:left w:val="single" w:color="auto" w:sz="6" w:space="0"/>
              <w:bottom w:val="single" w:color="auto" w:sz="6" w:space="0"/>
              <w:right w:val="single" w:color="auto" w:sz="6" w:space="0"/>
            </w:tcBorders>
            <w:shd w:val="clear" w:color="auto" w:fill="auto"/>
            <w:vAlign w:val="center"/>
          </w:tcPr>
          <w:p w14:paraId="65D04A27">
            <w:pPr>
              <w:ind w:left="105"/>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陕西省最低工资规定(2006年5月20日陕西省人民政府令第109号</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70A148BE">
            <w:pPr>
              <w:ind w:left="105"/>
              <w:jc w:val="center"/>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2006年7月1日起施行</w:t>
            </w:r>
          </w:p>
        </w:tc>
      </w:tr>
      <w:tr w14:paraId="0D45D91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pct"/>
            <w:vMerge w:val="continue"/>
            <w:tcBorders>
              <w:left w:val="single" w:color="auto" w:sz="6" w:space="0"/>
              <w:right w:val="single" w:color="auto" w:sz="6" w:space="0"/>
            </w:tcBorders>
            <w:shd w:val="clear" w:color="auto" w:fill="auto"/>
            <w:vAlign w:val="center"/>
          </w:tcPr>
          <w:p w14:paraId="24CCFF30">
            <w:pPr>
              <w:ind w:left="45"/>
              <w:jc w:val="center"/>
              <w:textAlignment w:val="baseline"/>
              <w:rPr>
                <w:rFonts w:hint="default" w:ascii="Times New Roman" w:hAnsi="Times New Roman" w:eastAsia="宋体" w:cs="Times New Roman"/>
                <w:color w:val="auto"/>
                <w:sz w:val="18"/>
                <w:szCs w:val="18"/>
                <w:highlight w:val="none"/>
              </w:rPr>
            </w:pPr>
          </w:p>
        </w:tc>
        <w:tc>
          <w:tcPr>
            <w:tcW w:w="3361" w:type="pct"/>
            <w:tcBorders>
              <w:top w:val="single" w:color="auto" w:sz="6" w:space="0"/>
              <w:left w:val="single" w:color="auto" w:sz="6" w:space="0"/>
              <w:bottom w:val="single" w:color="auto" w:sz="6" w:space="0"/>
              <w:right w:val="single" w:color="auto" w:sz="6" w:space="0"/>
            </w:tcBorders>
            <w:shd w:val="clear" w:color="auto" w:fill="auto"/>
            <w:vAlign w:val="center"/>
          </w:tcPr>
          <w:p w14:paraId="1B19341B">
            <w:pPr>
              <w:ind w:left="105"/>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陕西省生产经营单位安全生产主体责任规定》（2011年陕西省人民政府令第156号发布</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5D13A431">
            <w:pPr>
              <w:ind w:left="105"/>
              <w:jc w:val="center"/>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2011</w:t>
            </w:r>
          </w:p>
        </w:tc>
      </w:tr>
      <w:tr w14:paraId="6F497F2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pct"/>
            <w:vMerge w:val="continue"/>
            <w:tcBorders>
              <w:left w:val="single" w:color="auto" w:sz="6" w:space="0"/>
              <w:right w:val="single" w:color="auto" w:sz="6" w:space="0"/>
            </w:tcBorders>
            <w:shd w:val="clear" w:color="auto" w:fill="auto"/>
            <w:vAlign w:val="center"/>
          </w:tcPr>
          <w:p w14:paraId="2668AD04">
            <w:pPr>
              <w:ind w:left="45"/>
              <w:jc w:val="center"/>
              <w:textAlignment w:val="baseline"/>
              <w:rPr>
                <w:rFonts w:hint="default" w:ascii="Times New Roman" w:hAnsi="Times New Roman" w:eastAsia="宋体" w:cs="Times New Roman"/>
                <w:color w:val="auto"/>
                <w:sz w:val="18"/>
                <w:szCs w:val="18"/>
                <w:highlight w:val="none"/>
              </w:rPr>
            </w:pPr>
          </w:p>
        </w:tc>
        <w:tc>
          <w:tcPr>
            <w:tcW w:w="3361" w:type="pct"/>
            <w:tcBorders>
              <w:top w:val="single" w:color="auto" w:sz="6" w:space="0"/>
              <w:left w:val="single" w:color="auto" w:sz="6" w:space="0"/>
              <w:bottom w:val="single" w:color="auto" w:sz="6" w:space="0"/>
              <w:right w:val="single" w:color="auto" w:sz="6" w:space="0"/>
            </w:tcBorders>
            <w:shd w:val="clear" w:color="auto" w:fill="auto"/>
            <w:vAlign w:val="center"/>
          </w:tcPr>
          <w:p w14:paraId="6EA0CA05">
            <w:pPr>
              <w:ind w:left="105"/>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《关于实施安全生产与职业健康一体化监管执法的通知》（陕安监〔2017〕156号）</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4AC3BC3D">
            <w:pPr>
              <w:ind w:left="105"/>
              <w:jc w:val="center"/>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2012年施行</w:t>
            </w:r>
          </w:p>
        </w:tc>
      </w:tr>
      <w:tr w14:paraId="3019E04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pct"/>
            <w:vMerge w:val="continue"/>
            <w:tcBorders>
              <w:left w:val="single" w:color="auto" w:sz="6" w:space="0"/>
              <w:right w:val="single" w:color="auto" w:sz="6" w:space="0"/>
            </w:tcBorders>
            <w:shd w:val="clear" w:color="auto" w:fill="auto"/>
            <w:vAlign w:val="center"/>
          </w:tcPr>
          <w:p w14:paraId="2631A0D4">
            <w:pPr>
              <w:ind w:left="45"/>
              <w:jc w:val="center"/>
              <w:textAlignment w:val="baseline"/>
              <w:rPr>
                <w:rFonts w:hint="default" w:ascii="Times New Roman" w:hAnsi="Times New Roman" w:eastAsia="宋体" w:cs="Times New Roman"/>
                <w:color w:val="auto"/>
                <w:sz w:val="18"/>
                <w:szCs w:val="18"/>
                <w:highlight w:val="none"/>
              </w:rPr>
            </w:pPr>
          </w:p>
        </w:tc>
        <w:tc>
          <w:tcPr>
            <w:tcW w:w="3361" w:type="pct"/>
            <w:tcBorders>
              <w:top w:val="single" w:color="auto" w:sz="6" w:space="0"/>
              <w:left w:val="single" w:color="auto" w:sz="6" w:space="0"/>
              <w:bottom w:val="single" w:color="auto" w:sz="6" w:space="0"/>
              <w:right w:val="single" w:color="auto" w:sz="6" w:space="0"/>
            </w:tcBorders>
            <w:shd w:val="clear" w:color="auto" w:fill="auto"/>
            <w:vAlign w:val="center"/>
          </w:tcPr>
          <w:p w14:paraId="17695200">
            <w:pPr>
              <w:ind w:left="105"/>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陕西省安全生产委员会关于印发《陕西省有限空间作业安全管理办法（暂行）》的通知（陕安委〔2021〕25号）</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509BC9B8">
            <w:pPr>
              <w:ind w:left="105"/>
              <w:jc w:val="center"/>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2017</w:t>
            </w:r>
          </w:p>
        </w:tc>
      </w:tr>
      <w:tr w14:paraId="5287A0D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pct"/>
            <w:vMerge w:val="continue"/>
            <w:tcBorders>
              <w:left w:val="single" w:color="auto" w:sz="6" w:space="0"/>
              <w:right w:val="single" w:color="auto" w:sz="6" w:space="0"/>
            </w:tcBorders>
            <w:shd w:val="clear" w:color="auto" w:fill="auto"/>
            <w:vAlign w:val="center"/>
          </w:tcPr>
          <w:p w14:paraId="6959AEA2">
            <w:pPr>
              <w:ind w:left="45"/>
              <w:jc w:val="center"/>
              <w:textAlignment w:val="baseline"/>
              <w:rPr>
                <w:rFonts w:hint="default" w:ascii="Times New Roman" w:hAnsi="Times New Roman" w:eastAsia="宋体" w:cs="Times New Roman"/>
                <w:color w:val="auto"/>
                <w:sz w:val="18"/>
                <w:szCs w:val="18"/>
                <w:highlight w:val="none"/>
              </w:rPr>
            </w:pPr>
          </w:p>
        </w:tc>
        <w:tc>
          <w:tcPr>
            <w:tcW w:w="3361" w:type="pct"/>
            <w:tcBorders>
              <w:top w:val="single" w:color="auto" w:sz="6" w:space="0"/>
              <w:left w:val="single" w:color="auto" w:sz="6" w:space="0"/>
              <w:bottom w:val="single" w:color="auto" w:sz="6" w:space="0"/>
              <w:right w:val="single" w:color="auto" w:sz="6" w:space="0"/>
            </w:tcBorders>
            <w:shd w:val="clear" w:color="auto" w:fill="auto"/>
            <w:vAlign w:val="center"/>
          </w:tcPr>
          <w:p w14:paraId="55A15415">
            <w:pPr>
              <w:ind w:left="105"/>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陕西省实施女职工劳动保护特别规定(2018年1月12日陕西省人民政府令第209号公布)</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4D276A52">
            <w:pPr>
              <w:ind w:left="105"/>
              <w:jc w:val="center"/>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2018年3月1日起施行</w:t>
            </w:r>
          </w:p>
        </w:tc>
      </w:tr>
      <w:tr w14:paraId="57C5A58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pct"/>
            <w:vMerge w:val="continue"/>
            <w:tcBorders>
              <w:left w:val="single" w:color="auto" w:sz="6" w:space="0"/>
              <w:right w:val="single" w:color="auto" w:sz="6" w:space="0"/>
            </w:tcBorders>
            <w:shd w:val="clear" w:color="auto" w:fill="auto"/>
            <w:vAlign w:val="center"/>
          </w:tcPr>
          <w:p w14:paraId="168B200F">
            <w:pPr>
              <w:ind w:left="45"/>
              <w:jc w:val="center"/>
              <w:textAlignment w:val="baseline"/>
              <w:rPr>
                <w:rFonts w:hint="default" w:ascii="Times New Roman" w:hAnsi="Times New Roman" w:eastAsia="宋体" w:cs="Times New Roman"/>
                <w:color w:val="auto"/>
                <w:sz w:val="18"/>
                <w:szCs w:val="18"/>
                <w:highlight w:val="none"/>
              </w:rPr>
            </w:pPr>
          </w:p>
        </w:tc>
        <w:tc>
          <w:tcPr>
            <w:tcW w:w="3361" w:type="pct"/>
            <w:tcBorders>
              <w:top w:val="single" w:color="auto" w:sz="6" w:space="0"/>
              <w:left w:val="single" w:color="auto" w:sz="6" w:space="0"/>
              <w:bottom w:val="single" w:color="auto" w:sz="6" w:space="0"/>
              <w:right w:val="single" w:color="auto" w:sz="6" w:space="0"/>
            </w:tcBorders>
            <w:shd w:val="clear" w:color="auto" w:fill="auto"/>
            <w:vAlign w:val="center"/>
          </w:tcPr>
          <w:p w14:paraId="769239AB">
            <w:pPr>
              <w:ind w:left="105"/>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陕西省人力资源和社会保障厅、陕西省财政厅《陕西省公益性岗位开发管理办法》</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0C8C08A9">
            <w:pPr>
              <w:ind w:left="105"/>
              <w:jc w:val="center"/>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2019年3月1日起施行</w:t>
            </w:r>
          </w:p>
        </w:tc>
      </w:tr>
      <w:tr w14:paraId="2CCD975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pct"/>
            <w:vMerge w:val="continue"/>
            <w:tcBorders>
              <w:left w:val="single" w:color="auto" w:sz="6" w:space="0"/>
              <w:right w:val="single" w:color="auto" w:sz="6" w:space="0"/>
            </w:tcBorders>
            <w:shd w:val="clear" w:color="auto" w:fill="auto"/>
            <w:vAlign w:val="center"/>
          </w:tcPr>
          <w:p w14:paraId="09646265">
            <w:pPr>
              <w:ind w:left="45"/>
              <w:jc w:val="center"/>
              <w:textAlignment w:val="baseline"/>
              <w:rPr>
                <w:rFonts w:hint="default" w:ascii="Times New Roman" w:hAnsi="Times New Roman" w:eastAsia="宋体" w:cs="Times New Roman"/>
                <w:color w:val="auto"/>
                <w:sz w:val="18"/>
                <w:szCs w:val="18"/>
                <w:highlight w:val="none"/>
              </w:rPr>
            </w:pPr>
          </w:p>
        </w:tc>
        <w:tc>
          <w:tcPr>
            <w:tcW w:w="5657" w:type="dxa"/>
            <w:tcBorders>
              <w:top w:val="single" w:color="auto" w:sz="6" w:space="0"/>
              <w:left w:val="single" w:color="auto" w:sz="6" w:space="0"/>
              <w:bottom w:val="single" w:color="auto" w:sz="6" w:space="0"/>
              <w:right w:val="single" w:color="auto" w:sz="6" w:space="0"/>
            </w:tcBorders>
            <w:shd w:val="clear" w:color="auto" w:fill="auto"/>
            <w:vAlign w:val="center"/>
          </w:tcPr>
          <w:p w14:paraId="6F5CD68D">
            <w:pPr>
              <w:ind w:left="105" w:leftChars="0"/>
              <w:textAlignment w:val="baseline"/>
              <w:rPr>
                <w:rFonts w:hint="default" w:ascii="Times New Roman" w:hAnsi="Times New Roman" w:eastAsia="宋体" w:cs="Times New Roman"/>
                <w:color w:val="auto"/>
                <w:sz w:val="20"/>
                <w:szCs w:val="20"/>
                <w:highlight w:val="none"/>
              </w:rPr>
            </w:pPr>
            <w:r>
              <w:rPr>
                <w:rFonts w:ascii="Times New Roman" w:hAnsi="Times New Roman" w:cs="Times New Roman"/>
                <w:color w:val="auto"/>
                <w:sz w:val="20"/>
                <w:szCs w:val="20"/>
                <w:highlight w:val="none"/>
              </w:rPr>
              <w:t>陕西省人力资源和社会保障厅、陕西省财政厅《关于做好公益性岗位开发管理有关工作的通知》</w:t>
            </w:r>
          </w:p>
        </w:tc>
        <w:tc>
          <w:tcPr>
            <w:tcW w:w="1644" w:type="dxa"/>
            <w:tcBorders>
              <w:top w:val="single" w:color="auto" w:sz="6" w:space="0"/>
              <w:left w:val="single" w:color="auto" w:sz="6" w:space="0"/>
              <w:bottom w:val="single" w:color="auto" w:sz="6" w:space="0"/>
              <w:right w:val="single" w:color="auto" w:sz="6" w:space="0"/>
            </w:tcBorders>
            <w:shd w:val="clear" w:color="auto" w:fill="auto"/>
            <w:vAlign w:val="center"/>
          </w:tcPr>
          <w:p w14:paraId="709D99E9">
            <w:pPr>
              <w:ind w:left="105" w:leftChars="0"/>
              <w:jc w:val="center"/>
              <w:textAlignment w:val="baseline"/>
              <w:rPr>
                <w:rFonts w:hint="default" w:ascii="Times New Roman" w:hAnsi="Times New Roman" w:eastAsia="宋体" w:cs="Times New Roman"/>
                <w:color w:val="auto"/>
                <w:sz w:val="20"/>
                <w:szCs w:val="20"/>
                <w:highlight w:val="none"/>
              </w:rPr>
            </w:pPr>
            <w:r>
              <w:rPr>
                <w:rFonts w:ascii="Times New Roman" w:hAnsi="Times New Roman" w:cs="Times New Roman"/>
                <w:color w:val="auto"/>
                <w:sz w:val="20"/>
                <w:szCs w:val="20"/>
                <w:highlight w:val="none"/>
              </w:rPr>
              <w:t>2020年4月14日起施行</w:t>
            </w:r>
          </w:p>
        </w:tc>
      </w:tr>
      <w:tr w14:paraId="3767295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pct"/>
            <w:vMerge w:val="restart"/>
            <w:tcBorders>
              <w:top w:val="single" w:color="auto" w:sz="6" w:space="0"/>
              <w:left w:val="single" w:color="auto" w:sz="6" w:space="0"/>
              <w:right w:val="single" w:color="auto" w:sz="6" w:space="0"/>
            </w:tcBorders>
            <w:shd w:val="clear" w:color="auto" w:fill="auto"/>
            <w:vAlign w:val="center"/>
          </w:tcPr>
          <w:p w14:paraId="2EB00093">
            <w:pPr>
              <w:ind w:left="105"/>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20"/>
                <w:szCs w:val="20"/>
                <w:highlight w:val="none"/>
              </w:rPr>
              <w:t>市区级</w:t>
            </w:r>
          </w:p>
        </w:tc>
        <w:tc>
          <w:tcPr>
            <w:tcW w:w="3361" w:type="pct"/>
            <w:tcBorders>
              <w:top w:val="single" w:color="auto" w:sz="6" w:space="0"/>
              <w:left w:val="single" w:color="auto" w:sz="6" w:space="0"/>
              <w:bottom w:val="single" w:color="auto" w:sz="6" w:space="0"/>
              <w:right w:val="single" w:color="auto" w:sz="6" w:space="0"/>
            </w:tcBorders>
            <w:shd w:val="clear" w:color="auto" w:fill="auto"/>
            <w:vAlign w:val="center"/>
          </w:tcPr>
          <w:p w14:paraId="41A65327">
            <w:pPr>
              <w:ind w:left="105"/>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安康市安全生产监督管理局《关于进一步加强职业健康培训工作的通知》（安市安监管函〔2016〕330号）</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21B86750">
            <w:pPr>
              <w:ind w:left="105"/>
              <w:jc w:val="center"/>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2016</w:t>
            </w:r>
          </w:p>
        </w:tc>
      </w:tr>
      <w:tr w14:paraId="620D5F7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pct"/>
            <w:vMerge w:val="continue"/>
            <w:tcBorders>
              <w:left w:val="single" w:color="auto" w:sz="6" w:space="0"/>
              <w:right w:val="single" w:color="auto" w:sz="6" w:space="0"/>
            </w:tcBorders>
            <w:shd w:val="clear" w:color="auto" w:fill="auto"/>
            <w:vAlign w:val="center"/>
          </w:tcPr>
          <w:p w14:paraId="36D08C71">
            <w:pPr>
              <w:ind w:left="45"/>
              <w:jc w:val="center"/>
              <w:textAlignment w:val="baseline"/>
              <w:rPr>
                <w:rFonts w:hint="default" w:ascii="Times New Roman" w:hAnsi="Times New Roman" w:eastAsia="宋体" w:cs="Times New Roman"/>
                <w:color w:val="auto"/>
                <w:sz w:val="18"/>
                <w:szCs w:val="18"/>
                <w:highlight w:val="none"/>
              </w:rPr>
            </w:pPr>
          </w:p>
        </w:tc>
        <w:tc>
          <w:tcPr>
            <w:tcW w:w="3361" w:type="pct"/>
            <w:tcBorders>
              <w:top w:val="single" w:color="auto" w:sz="6" w:space="0"/>
              <w:left w:val="single" w:color="auto" w:sz="6" w:space="0"/>
              <w:bottom w:val="single" w:color="auto" w:sz="6" w:space="0"/>
              <w:right w:val="single" w:color="auto" w:sz="6" w:space="0"/>
            </w:tcBorders>
            <w:shd w:val="clear" w:color="auto" w:fill="auto"/>
            <w:vAlign w:val="center"/>
          </w:tcPr>
          <w:p w14:paraId="7D6AE562">
            <w:pPr>
              <w:ind w:left="105"/>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《安康市职业病防治规划2021-2025年》</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77A00E0C">
            <w:pPr>
              <w:ind w:left="105"/>
              <w:jc w:val="center"/>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2022</w:t>
            </w:r>
          </w:p>
        </w:tc>
      </w:tr>
      <w:tr w14:paraId="15A101F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pct"/>
            <w:vMerge w:val="continue"/>
            <w:tcBorders>
              <w:left w:val="single" w:color="auto" w:sz="6" w:space="0"/>
              <w:right w:val="single" w:color="auto" w:sz="6" w:space="0"/>
            </w:tcBorders>
            <w:shd w:val="clear" w:color="auto" w:fill="auto"/>
            <w:vAlign w:val="center"/>
          </w:tcPr>
          <w:p w14:paraId="49740888">
            <w:pPr>
              <w:ind w:left="45"/>
              <w:jc w:val="center"/>
              <w:textAlignment w:val="baseline"/>
              <w:rPr>
                <w:rFonts w:hint="default" w:ascii="Times New Roman" w:hAnsi="Times New Roman" w:eastAsia="宋体" w:cs="Times New Roman"/>
                <w:color w:val="auto"/>
                <w:sz w:val="18"/>
                <w:szCs w:val="18"/>
                <w:highlight w:val="none"/>
              </w:rPr>
            </w:pPr>
          </w:p>
        </w:tc>
        <w:tc>
          <w:tcPr>
            <w:tcW w:w="3361" w:type="pct"/>
            <w:tcBorders>
              <w:top w:val="single" w:color="auto" w:sz="6" w:space="0"/>
              <w:left w:val="single" w:color="auto" w:sz="6" w:space="0"/>
              <w:bottom w:val="single" w:color="auto" w:sz="6" w:space="0"/>
              <w:right w:val="single" w:color="auto" w:sz="6" w:space="0"/>
            </w:tcBorders>
            <w:shd w:val="clear" w:color="auto" w:fill="auto"/>
            <w:vAlign w:val="center"/>
          </w:tcPr>
          <w:p w14:paraId="44FD5915">
            <w:pPr>
              <w:ind w:left="105"/>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安康市卫生健康委员会关于印发《安康市2023年职业健康工作要点》的通知（安卫函〔2023〕51号）</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37AAB6C5">
            <w:pPr>
              <w:ind w:left="105"/>
              <w:jc w:val="center"/>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2023</w:t>
            </w:r>
          </w:p>
        </w:tc>
      </w:tr>
      <w:tr w14:paraId="586E4D1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60" w:type="pct"/>
            <w:vMerge w:val="continue"/>
            <w:tcBorders>
              <w:left w:val="single" w:color="auto" w:sz="6" w:space="0"/>
              <w:bottom w:val="single" w:color="auto" w:sz="6" w:space="0"/>
              <w:right w:val="single" w:color="auto" w:sz="6" w:space="0"/>
            </w:tcBorders>
            <w:shd w:val="clear" w:color="auto" w:fill="auto"/>
            <w:vAlign w:val="center"/>
          </w:tcPr>
          <w:p w14:paraId="249E9494">
            <w:pPr>
              <w:ind w:left="45"/>
              <w:jc w:val="center"/>
              <w:textAlignment w:val="baseline"/>
              <w:rPr>
                <w:rFonts w:hint="default" w:ascii="Times New Roman" w:hAnsi="Times New Roman" w:eastAsia="宋体" w:cs="Times New Roman"/>
                <w:color w:val="auto"/>
                <w:sz w:val="18"/>
                <w:szCs w:val="18"/>
                <w:highlight w:val="none"/>
              </w:rPr>
            </w:pPr>
          </w:p>
        </w:tc>
        <w:tc>
          <w:tcPr>
            <w:tcW w:w="3361" w:type="pct"/>
            <w:tcBorders>
              <w:top w:val="single" w:color="auto" w:sz="6" w:space="0"/>
              <w:left w:val="single" w:color="auto" w:sz="6" w:space="0"/>
              <w:bottom w:val="single" w:color="auto" w:sz="6" w:space="0"/>
              <w:right w:val="single" w:color="auto" w:sz="6" w:space="0"/>
            </w:tcBorders>
            <w:shd w:val="clear" w:color="auto" w:fill="auto"/>
            <w:vAlign w:val="center"/>
          </w:tcPr>
          <w:p w14:paraId="3C5390D5">
            <w:pPr>
              <w:ind w:left="105"/>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《健康安康行动2020-2030年》</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2283EB34">
            <w:pPr>
              <w:ind w:left="105"/>
              <w:jc w:val="center"/>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2021</w:t>
            </w:r>
          </w:p>
        </w:tc>
      </w:tr>
    </w:tbl>
    <w:p w14:paraId="7D08A483">
      <w:pPr>
        <w:pStyle w:val="5"/>
        <w:spacing w:before="120" w:after="120"/>
        <w:rPr>
          <w:rFonts w:hint="default" w:ascii="Times New Roman" w:hAnsi="Times New Roman" w:eastAsia="宋体" w:cs="Times New Roman"/>
          <w:color w:val="auto"/>
          <w:highlight w:val="none"/>
        </w:rPr>
      </w:pPr>
      <w:bookmarkStart w:id="181" w:name="_Toc8090"/>
      <w:bookmarkStart w:id="182" w:name="_Toc114673085"/>
      <w:bookmarkStart w:id="183" w:name="_Toc112537157"/>
      <w:r>
        <w:rPr>
          <w:rFonts w:hint="default" w:ascii="Times New Roman" w:hAnsi="Times New Roman" w:eastAsia="宋体" w:cs="Times New Roman"/>
          <w:color w:val="auto"/>
          <w:highlight w:val="none"/>
        </w:rPr>
        <w:t>社区健康安全</w:t>
      </w:r>
      <w:bookmarkEnd w:id="181"/>
      <w:bookmarkEnd w:id="182"/>
      <w:bookmarkEnd w:id="183"/>
    </w:p>
    <w:p w14:paraId="37D65581">
      <w:pPr>
        <w:spacing w:line="276"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社区健康安全的相关要求涵盖在安全生产、传染病防治及道路交通安全等方面。目前，中国从自然灾害防治、安全生产、道路交通安全、传染病防治以及生产安全事故等的应急管理等方面进行了完善的制度规范要求，以保障人民群众生命和财产安全。</w:t>
      </w:r>
    </w:p>
    <w:p w14:paraId="2056EDA6">
      <w:pPr>
        <w:spacing w:line="276" w:lineRule="auto"/>
        <w:ind w:firstLine="482" w:firstLineChars="200"/>
        <w:jc w:val="center"/>
        <w:rPr>
          <w:rFonts w:hint="default" w:ascii="Times New Roman" w:hAnsi="Times New Roman" w:eastAsia="宋体" w:cs="Times New Roman"/>
          <w:b/>
          <w:bCs/>
          <w:color w:val="auto"/>
          <w:highlight w:val="none"/>
        </w:rPr>
      </w:pPr>
      <w:bookmarkStart w:id="184" w:name="_Toc111552278"/>
      <w:bookmarkStart w:id="185" w:name="_Toc113946493"/>
    </w:p>
    <w:p w14:paraId="52A485E1">
      <w:pPr>
        <w:spacing w:line="276" w:lineRule="auto"/>
        <w:ind w:firstLine="482" w:firstLineChars="20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 xml:space="preserve">表 </w:t>
      </w:r>
      <w:r>
        <w:rPr>
          <w:rFonts w:hint="default" w:ascii="Times New Roman" w:hAnsi="Times New Roman" w:eastAsia="宋体" w:cs="Times New Roman"/>
          <w:b/>
          <w:bCs/>
          <w:color w:val="auto"/>
          <w:highlight w:val="none"/>
        </w:rPr>
        <w:fldChar w:fldCharType="begin"/>
      </w:r>
      <w:r>
        <w:rPr>
          <w:rFonts w:hint="default" w:ascii="Times New Roman" w:hAnsi="Times New Roman" w:eastAsia="宋体" w:cs="Times New Roman"/>
          <w:b/>
          <w:bCs/>
          <w:color w:val="auto"/>
          <w:highlight w:val="none"/>
        </w:rPr>
        <w:instrText xml:space="preserve"> STYLEREF 1 \s </w:instrText>
      </w:r>
      <w:r>
        <w:rPr>
          <w:rFonts w:hint="default" w:ascii="Times New Roman" w:hAnsi="Times New Roman" w:eastAsia="宋体" w:cs="Times New Roman"/>
          <w:b/>
          <w:bCs/>
          <w:color w:val="auto"/>
          <w:highlight w:val="none"/>
        </w:rPr>
        <w:fldChar w:fldCharType="separate"/>
      </w:r>
      <w:r>
        <w:rPr>
          <w:rFonts w:hint="default" w:ascii="Times New Roman" w:hAnsi="Times New Roman" w:eastAsia="宋体" w:cs="Times New Roman"/>
          <w:b/>
          <w:bCs/>
          <w:color w:val="auto"/>
          <w:highlight w:val="none"/>
        </w:rPr>
        <w:t>3</w:t>
      </w:r>
      <w:r>
        <w:rPr>
          <w:rFonts w:hint="default" w:ascii="Times New Roman" w:hAnsi="Times New Roman" w:eastAsia="宋体" w:cs="Times New Roman"/>
          <w:b/>
          <w:bCs/>
          <w:color w:val="auto"/>
          <w:highlight w:val="none"/>
        </w:rPr>
        <w:fldChar w:fldCharType="end"/>
      </w:r>
      <w:r>
        <w:rPr>
          <w:rFonts w:hint="default" w:ascii="Times New Roman" w:hAnsi="Times New Roman" w:eastAsia="宋体" w:cs="Times New Roman"/>
          <w:b/>
          <w:bCs/>
          <w:color w:val="auto"/>
          <w:highlight w:val="none"/>
        </w:rPr>
        <w:noBreakHyphen/>
      </w:r>
      <w:r>
        <w:rPr>
          <w:rFonts w:hint="default" w:ascii="Times New Roman" w:hAnsi="Times New Roman" w:eastAsia="宋体" w:cs="Times New Roman"/>
          <w:b/>
          <w:bCs/>
          <w:color w:val="auto"/>
          <w:highlight w:val="none"/>
        </w:rPr>
        <w:fldChar w:fldCharType="begin"/>
      </w:r>
      <w:r>
        <w:rPr>
          <w:rFonts w:hint="default" w:ascii="Times New Roman" w:hAnsi="Times New Roman" w:eastAsia="宋体" w:cs="Times New Roman"/>
          <w:b/>
          <w:bCs/>
          <w:color w:val="auto"/>
          <w:highlight w:val="none"/>
        </w:rPr>
        <w:instrText xml:space="preserve"> SEQ 表 \* ARABIC \s 1 </w:instrText>
      </w:r>
      <w:r>
        <w:rPr>
          <w:rFonts w:hint="default" w:ascii="Times New Roman" w:hAnsi="Times New Roman" w:eastAsia="宋体" w:cs="Times New Roman"/>
          <w:b/>
          <w:bCs/>
          <w:color w:val="auto"/>
          <w:highlight w:val="none"/>
        </w:rPr>
        <w:fldChar w:fldCharType="separate"/>
      </w:r>
      <w:r>
        <w:rPr>
          <w:rFonts w:hint="default" w:ascii="Times New Roman" w:hAnsi="Times New Roman" w:eastAsia="宋体" w:cs="Times New Roman"/>
          <w:b/>
          <w:bCs/>
          <w:color w:val="auto"/>
          <w:highlight w:val="none"/>
        </w:rPr>
        <w:t>5</w:t>
      </w:r>
      <w:r>
        <w:rPr>
          <w:rFonts w:hint="default" w:ascii="Times New Roman" w:hAnsi="Times New Roman" w:eastAsia="宋体" w:cs="Times New Roman"/>
          <w:b/>
          <w:bCs/>
          <w:color w:val="auto"/>
          <w:highlight w:val="none"/>
        </w:rPr>
        <w:fldChar w:fldCharType="end"/>
      </w:r>
      <w:bookmarkStart w:id="186" w:name="_Toc22789"/>
      <w:r>
        <w:rPr>
          <w:rFonts w:hint="default" w:ascii="Times New Roman" w:hAnsi="Times New Roman" w:eastAsia="宋体" w:cs="Times New Roman"/>
          <w:b/>
          <w:bCs/>
          <w:color w:val="auto"/>
          <w:highlight w:val="none"/>
        </w:rPr>
        <w:t>国内有关社区健康安全的法律法规</w:t>
      </w:r>
      <w:bookmarkEnd w:id="184"/>
      <w:bookmarkEnd w:id="185"/>
      <w:bookmarkEnd w:id="186"/>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5404"/>
        <w:gridCol w:w="1882"/>
      </w:tblGrid>
      <w:tr w14:paraId="018E6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blHeader/>
        </w:trPr>
        <w:tc>
          <w:tcPr>
            <w:tcW w:w="725" w:type="pct"/>
            <w:shd w:val="clear" w:color="auto" w:fill="E5E5E5"/>
            <w:vAlign w:val="center"/>
          </w:tcPr>
          <w:p w14:paraId="37ACD7C3">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政策层级</w:t>
            </w:r>
          </w:p>
        </w:tc>
        <w:tc>
          <w:tcPr>
            <w:tcW w:w="3170" w:type="pct"/>
            <w:shd w:val="clear" w:color="auto" w:fill="E5E5E5"/>
            <w:vAlign w:val="center"/>
          </w:tcPr>
          <w:p w14:paraId="54F02100">
            <w:pPr>
              <w:ind w:firstLine="36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法规内容</w:t>
            </w:r>
          </w:p>
        </w:tc>
        <w:tc>
          <w:tcPr>
            <w:tcW w:w="1104" w:type="pct"/>
            <w:shd w:val="clear" w:color="auto" w:fill="E5E5E5"/>
            <w:vAlign w:val="center"/>
          </w:tcPr>
          <w:p w14:paraId="0AD20CE8">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生效日期</w:t>
            </w:r>
          </w:p>
        </w:tc>
      </w:tr>
      <w:tr w14:paraId="504FE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25" w:type="pct"/>
            <w:vMerge w:val="restart"/>
            <w:vAlign w:val="center"/>
          </w:tcPr>
          <w:p w14:paraId="7BE7E8F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中国</w:t>
            </w:r>
          </w:p>
        </w:tc>
        <w:tc>
          <w:tcPr>
            <w:tcW w:w="3170" w:type="pct"/>
            <w:vAlign w:val="center"/>
          </w:tcPr>
          <w:p w14:paraId="65C254B9">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《中华人民共和国安全生产法》</w:t>
            </w:r>
          </w:p>
        </w:tc>
        <w:tc>
          <w:tcPr>
            <w:tcW w:w="1104" w:type="pct"/>
            <w:vAlign w:val="center"/>
          </w:tcPr>
          <w:p w14:paraId="619725C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2021年修订</w:t>
            </w:r>
          </w:p>
        </w:tc>
      </w:tr>
      <w:tr w14:paraId="5D9DD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725" w:type="pct"/>
            <w:vMerge w:val="continue"/>
            <w:vAlign w:val="center"/>
          </w:tcPr>
          <w:p w14:paraId="177E6044">
            <w:pPr>
              <w:rPr>
                <w:rFonts w:hint="default" w:ascii="Times New Roman" w:hAnsi="Times New Roman" w:eastAsia="宋体" w:cs="Times New Roman"/>
                <w:color w:val="auto"/>
                <w:sz w:val="21"/>
                <w:szCs w:val="21"/>
                <w:highlight w:val="none"/>
              </w:rPr>
            </w:pPr>
          </w:p>
        </w:tc>
        <w:tc>
          <w:tcPr>
            <w:tcW w:w="3170" w:type="pct"/>
            <w:vAlign w:val="center"/>
          </w:tcPr>
          <w:p w14:paraId="7598F0A5">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《中华人民共和国突然事件应对法》</w:t>
            </w:r>
          </w:p>
        </w:tc>
        <w:tc>
          <w:tcPr>
            <w:tcW w:w="1104" w:type="pct"/>
            <w:vAlign w:val="center"/>
          </w:tcPr>
          <w:p w14:paraId="4D0DFB5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2007年</w:t>
            </w:r>
          </w:p>
        </w:tc>
      </w:tr>
      <w:tr w14:paraId="4D6D2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25" w:type="pct"/>
            <w:vMerge w:val="continue"/>
            <w:vAlign w:val="center"/>
          </w:tcPr>
          <w:p w14:paraId="0ED9CE22">
            <w:pPr>
              <w:rPr>
                <w:rFonts w:hint="default" w:ascii="Times New Roman" w:hAnsi="Times New Roman" w:eastAsia="宋体" w:cs="Times New Roman"/>
                <w:color w:val="auto"/>
                <w:sz w:val="21"/>
                <w:szCs w:val="21"/>
                <w:highlight w:val="none"/>
              </w:rPr>
            </w:pPr>
          </w:p>
        </w:tc>
        <w:tc>
          <w:tcPr>
            <w:tcW w:w="5403" w:type="dxa"/>
            <w:vAlign w:val="center"/>
          </w:tcPr>
          <w:p w14:paraId="5A6DFA86">
            <w:pP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《中华人民共和国传染病防治法》</w:t>
            </w:r>
          </w:p>
        </w:tc>
        <w:tc>
          <w:tcPr>
            <w:tcW w:w="1883" w:type="dxa"/>
            <w:vAlign w:val="center"/>
          </w:tcPr>
          <w:p w14:paraId="54FF36D3">
            <w:pPr>
              <w:ind w:left="105"/>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2013修订</w:t>
            </w:r>
          </w:p>
        </w:tc>
      </w:tr>
      <w:tr w14:paraId="4C0C7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25" w:type="pct"/>
            <w:vMerge w:val="continue"/>
            <w:vAlign w:val="center"/>
          </w:tcPr>
          <w:p w14:paraId="6C849E1A">
            <w:pPr>
              <w:rPr>
                <w:rFonts w:hint="default" w:ascii="Times New Roman" w:hAnsi="Times New Roman" w:eastAsia="宋体" w:cs="Times New Roman"/>
                <w:color w:val="auto"/>
                <w:sz w:val="21"/>
                <w:szCs w:val="21"/>
                <w:highlight w:val="none"/>
              </w:rPr>
            </w:pPr>
          </w:p>
        </w:tc>
        <w:tc>
          <w:tcPr>
            <w:tcW w:w="3170" w:type="pct"/>
            <w:vAlign w:val="center"/>
          </w:tcPr>
          <w:p w14:paraId="7F08BA23">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《生产安全事故应急条例》</w:t>
            </w:r>
          </w:p>
        </w:tc>
        <w:tc>
          <w:tcPr>
            <w:tcW w:w="1104" w:type="pct"/>
            <w:vAlign w:val="center"/>
          </w:tcPr>
          <w:p w14:paraId="3299F29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2019年</w:t>
            </w:r>
          </w:p>
        </w:tc>
      </w:tr>
      <w:tr w14:paraId="4D05A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725" w:type="pct"/>
            <w:vMerge w:val="continue"/>
            <w:vAlign w:val="center"/>
          </w:tcPr>
          <w:p w14:paraId="0EEBDE5B">
            <w:pPr>
              <w:rPr>
                <w:rFonts w:hint="default" w:ascii="Times New Roman" w:hAnsi="Times New Roman" w:eastAsia="宋体" w:cs="Times New Roman"/>
                <w:color w:val="auto"/>
                <w:sz w:val="21"/>
                <w:szCs w:val="21"/>
                <w:highlight w:val="none"/>
              </w:rPr>
            </w:pPr>
          </w:p>
        </w:tc>
        <w:tc>
          <w:tcPr>
            <w:tcW w:w="3170" w:type="pct"/>
            <w:vAlign w:val="center"/>
          </w:tcPr>
          <w:p w14:paraId="12F3987C">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《危险货物道路运输安全管理办法》</w:t>
            </w:r>
          </w:p>
        </w:tc>
        <w:tc>
          <w:tcPr>
            <w:tcW w:w="1104" w:type="pct"/>
            <w:vAlign w:val="center"/>
          </w:tcPr>
          <w:p w14:paraId="210D114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2020年</w:t>
            </w:r>
          </w:p>
        </w:tc>
      </w:tr>
      <w:tr w14:paraId="6CB85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25" w:type="pct"/>
            <w:vMerge w:val="continue"/>
            <w:vAlign w:val="center"/>
          </w:tcPr>
          <w:p w14:paraId="0A744C45">
            <w:pPr>
              <w:rPr>
                <w:rFonts w:hint="default" w:ascii="Times New Roman" w:hAnsi="Times New Roman" w:eastAsia="宋体" w:cs="Times New Roman"/>
                <w:color w:val="auto"/>
                <w:sz w:val="21"/>
                <w:szCs w:val="21"/>
                <w:highlight w:val="none"/>
              </w:rPr>
            </w:pPr>
          </w:p>
        </w:tc>
        <w:tc>
          <w:tcPr>
            <w:tcW w:w="3170" w:type="pct"/>
            <w:vAlign w:val="center"/>
          </w:tcPr>
          <w:p w14:paraId="3C851D04">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《生态环境健康风险评估技术指南总纲》</w:t>
            </w:r>
          </w:p>
        </w:tc>
        <w:tc>
          <w:tcPr>
            <w:tcW w:w="1104" w:type="pct"/>
            <w:vAlign w:val="center"/>
          </w:tcPr>
          <w:p w14:paraId="58A9DE2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2020年</w:t>
            </w:r>
          </w:p>
        </w:tc>
      </w:tr>
    </w:tbl>
    <w:p w14:paraId="6290A9C8">
      <w:pPr>
        <w:pStyle w:val="5"/>
        <w:spacing w:before="120"/>
        <w:ind w:left="737" w:hanging="294"/>
        <w:rPr>
          <w:rFonts w:hint="default" w:ascii="Times New Roman" w:hAnsi="Times New Roman" w:eastAsia="宋体" w:cs="Times New Roman"/>
          <w:color w:val="auto"/>
          <w:highlight w:val="none"/>
        </w:rPr>
      </w:pPr>
      <w:bookmarkStart w:id="187" w:name="_Toc114673086"/>
      <w:bookmarkStart w:id="188" w:name="_Toc6480"/>
      <w:r>
        <w:rPr>
          <w:rFonts w:hint="default" w:ascii="Times New Roman" w:hAnsi="Times New Roman" w:eastAsia="宋体" w:cs="Times New Roman"/>
          <w:color w:val="auto"/>
          <w:highlight w:val="none"/>
        </w:rPr>
        <w:t>土地征收与非自愿移民</w:t>
      </w:r>
      <w:bookmarkEnd w:id="170"/>
      <w:bookmarkEnd w:id="187"/>
      <w:bookmarkEnd w:id="188"/>
    </w:p>
    <w:p w14:paraId="752E08D2">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针对土地征收、房屋拆迁、移民安置和补偿等，中国已经制定了完整的法律框架和政策体系，包括《中华人民共和国土地管理法》（2019年8月26日第三次修订）和国务院590号令《国有土地上房屋征收补偿安置条例》（2011年1月21日）。在国家法律和政策框架内，各级地方政府分别颁布并实施了符合各地方的相关法律和政策，以管理和指导本地的土地征收、房屋拆迁、移民安置和补偿等工作。</w:t>
      </w:r>
    </w:p>
    <w:p w14:paraId="0DFE3702">
      <w:pPr>
        <w:spacing w:line="276" w:lineRule="auto"/>
        <w:ind w:firstLine="482" w:firstLineChars="200"/>
        <w:jc w:val="center"/>
        <w:rPr>
          <w:rFonts w:hint="default" w:ascii="Times New Roman" w:hAnsi="Times New Roman" w:eastAsia="宋体" w:cs="Times New Roman"/>
          <w:b/>
          <w:bCs/>
          <w:color w:val="auto"/>
          <w:highlight w:val="none"/>
        </w:rPr>
      </w:pPr>
      <w:bookmarkStart w:id="189" w:name="_Toc86390432"/>
      <w:bookmarkStart w:id="190" w:name="_Toc97228885"/>
      <w:bookmarkStart w:id="191" w:name="_Toc113946494"/>
      <w:bookmarkStart w:id="192" w:name="_Toc97221516"/>
      <w:r>
        <w:rPr>
          <w:rFonts w:hint="default" w:ascii="Times New Roman" w:hAnsi="Times New Roman" w:eastAsia="宋体" w:cs="Times New Roman"/>
          <w:b/>
          <w:bCs/>
          <w:color w:val="auto"/>
          <w:highlight w:val="none"/>
        </w:rPr>
        <w:t xml:space="preserve">表 </w:t>
      </w:r>
      <w:r>
        <w:rPr>
          <w:rFonts w:hint="default" w:ascii="Times New Roman" w:hAnsi="Times New Roman" w:eastAsia="宋体" w:cs="Times New Roman"/>
          <w:b/>
          <w:bCs/>
          <w:color w:val="auto"/>
          <w:highlight w:val="none"/>
        </w:rPr>
        <w:fldChar w:fldCharType="begin"/>
      </w:r>
      <w:r>
        <w:rPr>
          <w:rFonts w:hint="default" w:ascii="Times New Roman" w:hAnsi="Times New Roman" w:eastAsia="宋体" w:cs="Times New Roman"/>
          <w:b/>
          <w:bCs/>
          <w:color w:val="auto"/>
          <w:highlight w:val="none"/>
        </w:rPr>
        <w:instrText xml:space="preserve"> STYLEREF 1 \s </w:instrText>
      </w:r>
      <w:r>
        <w:rPr>
          <w:rFonts w:hint="default" w:ascii="Times New Roman" w:hAnsi="Times New Roman" w:eastAsia="宋体" w:cs="Times New Roman"/>
          <w:b/>
          <w:bCs/>
          <w:color w:val="auto"/>
          <w:highlight w:val="none"/>
        </w:rPr>
        <w:fldChar w:fldCharType="separate"/>
      </w:r>
      <w:r>
        <w:rPr>
          <w:rFonts w:hint="default" w:ascii="Times New Roman" w:hAnsi="Times New Roman" w:eastAsia="宋体" w:cs="Times New Roman"/>
          <w:b/>
          <w:bCs/>
          <w:color w:val="auto"/>
          <w:highlight w:val="none"/>
        </w:rPr>
        <w:t>3</w:t>
      </w:r>
      <w:r>
        <w:rPr>
          <w:rFonts w:hint="default" w:ascii="Times New Roman" w:hAnsi="Times New Roman" w:eastAsia="宋体" w:cs="Times New Roman"/>
          <w:b/>
          <w:bCs/>
          <w:color w:val="auto"/>
          <w:highlight w:val="none"/>
        </w:rPr>
        <w:fldChar w:fldCharType="end"/>
      </w:r>
      <w:r>
        <w:rPr>
          <w:rFonts w:hint="default" w:ascii="Times New Roman" w:hAnsi="Times New Roman" w:eastAsia="宋体" w:cs="Times New Roman"/>
          <w:b/>
          <w:bCs/>
          <w:color w:val="auto"/>
          <w:highlight w:val="none"/>
        </w:rPr>
        <w:noBreakHyphen/>
      </w:r>
      <w:r>
        <w:rPr>
          <w:rFonts w:hint="default" w:ascii="Times New Roman" w:hAnsi="Times New Roman" w:eastAsia="宋体" w:cs="Times New Roman"/>
          <w:b/>
          <w:bCs/>
          <w:color w:val="auto"/>
          <w:highlight w:val="none"/>
        </w:rPr>
        <w:fldChar w:fldCharType="begin"/>
      </w:r>
      <w:r>
        <w:rPr>
          <w:rFonts w:hint="default" w:ascii="Times New Roman" w:hAnsi="Times New Roman" w:eastAsia="宋体" w:cs="Times New Roman"/>
          <w:b/>
          <w:bCs/>
          <w:color w:val="auto"/>
          <w:highlight w:val="none"/>
        </w:rPr>
        <w:instrText xml:space="preserve"> SEQ 表 \* ARABIC \s 1 </w:instrText>
      </w:r>
      <w:r>
        <w:rPr>
          <w:rFonts w:hint="default" w:ascii="Times New Roman" w:hAnsi="Times New Roman" w:eastAsia="宋体" w:cs="Times New Roman"/>
          <w:b/>
          <w:bCs/>
          <w:color w:val="auto"/>
          <w:highlight w:val="none"/>
        </w:rPr>
        <w:fldChar w:fldCharType="separate"/>
      </w:r>
      <w:r>
        <w:rPr>
          <w:rFonts w:hint="default" w:ascii="Times New Roman" w:hAnsi="Times New Roman" w:eastAsia="宋体" w:cs="Times New Roman"/>
          <w:b/>
          <w:bCs/>
          <w:color w:val="auto"/>
          <w:highlight w:val="none"/>
        </w:rPr>
        <w:t>6</w:t>
      </w:r>
      <w:r>
        <w:rPr>
          <w:rFonts w:hint="default" w:ascii="Times New Roman" w:hAnsi="Times New Roman" w:eastAsia="宋体" w:cs="Times New Roman"/>
          <w:b/>
          <w:bCs/>
          <w:color w:val="auto"/>
          <w:highlight w:val="none"/>
        </w:rPr>
        <w:fldChar w:fldCharType="end"/>
      </w:r>
      <w:bookmarkStart w:id="193" w:name="_Toc6971"/>
      <w:r>
        <w:rPr>
          <w:rFonts w:hint="default" w:ascii="Times New Roman" w:hAnsi="Times New Roman" w:eastAsia="宋体" w:cs="Times New Roman"/>
          <w:b/>
          <w:bCs/>
          <w:color w:val="auto"/>
          <w:highlight w:val="none"/>
        </w:rPr>
        <w:t xml:space="preserve"> 征地拆迁/非自愿移民法律框架</w:t>
      </w:r>
      <w:bookmarkEnd w:id="189"/>
      <w:bookmarkEnd w:id="190"/>
      <w:bookmarkEnd w:id="191"/>
      <w:bookmarkEnd w:id="192"/>
      <w:bookmarkEnd w:id="193"/>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5319"/>
        <w:gridCol w:w="2252"/>
      </w:tblGrid>
      <w:tr w14:paraId="56024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blHeader/>
        </w:trPr>
        <w:tc>
          <w:tcPr>
            <w:tcW w:w="951" w:type="dxa"/>
            <w:shd w:val="clear" w:color="auto" w:fill="E5E5E5"/>
            <w:vAlign w:val="center"/>
          </w:tcPr>
          <w:p w14:paraId="3084E25A">
            <w:pPr>
              <w:spacing w:line="240" w:lineRule="exact"/>
              <w:jc w:val="center"/>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sz w:val="20"/>
                <w:szCs w:val="20"/>
                <w:highlight w:val="none"/>
              </w:rPr>
              <w:t>政策层级</w:t>
            </w:r>
          </w:p>
        </w:tc>
        <w:tc>
          <w:tcPr>
            <w:tcW w:w="5319" w:type="dxa"/>
            <w:shd w:val="clear" w:color="auto" w:fill="E5E5E5"/>
            <w:vAlign w:val="center"/>
          </w:tcPr>
          <w:p w14:paraId="3070AF02">
            <w:pPr>
              <w:spacing w:line="240" w:lineRule="exact"/>
              <w:ind w:firstLine="361"/>
              <w:jc w:val="center"/>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sz w:val="20"/>
                <w:szCs w:val="20"/>
                <w:highlight w:val="none"/>
              </w:rPr>
              <w:t>法规内容</w:t>
            </w:r>
          </w:p>
        </w:tc>
        <w:tc>
          <w:tcPr>
            <w:tcW w:w="2252" w:type="dxa"/>
            <w:shd w:val="clear" w:color="auto" w:fill="E5E5E5"/>
            <w:vAlign w:val="center"/>
          </w:tcPr>
          <w:p w14:paraId="372BCFBA">
            <w:pPr>
              <w:spacing w:line="240" w:lineRule="exact"/>
              <w:jc w:val="center"/>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sz w:val="20"/>
                <w:szCs w:val="20"/>
                <w:highlight w:val="none"/>
              </w:rPr>
              <w:t>生效日期</w:t>
            </w:r>
          </w:p>
        </w:tc>
      </w:tr>
      <w:tr w14:paraId="27F9A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951" w:type="dxa"/>
            <w:vMerge w:val="restart"/>
            <w:vAlign w:val="center"/>
          </w:tcPr>
          <w:p w14:paraId="05DDF23F">
            <w:pPr>
              <w:spacing w:line="240" w:lineRule="exact"/>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中国</w:t>
            </w:r>
          </w:p>
        </w:tc>
        <w:tc>
          <w:tcPr>
            <w:tcW w:w="5319" w:type="dxa"/>
            <w:vAlign w:val="center"/>
          </w:tcPr>
          <w:p w14:paraId="6147C3DC">
            <w:pPr>
              <w:spacing w:line="240" w:lineRule="exact"/>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《中华人民共和国土地管理法》</w:t>
            </w:r>
          </w:p>
        </w:tc>
        <w:tc>
          <w:tcPr>
            <w:tcW w:w="2252" w:type="dxa"/>
            <w:vAlign w:val="center"/>
          </w:tcPr>
          <w:p w14:paraId="203E49B6">
            <w:pPr>
              <w:spacing w:line="240" w:lineRule="exact"/>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2019年8月26日修正</w:t>
            </w:r>
          </w:p>
        </w:tc>
      </w:tr>
      <w:tr w14:paraId="33700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951" w:type="dxa"/>
            <w:vMerge w:val="continue"/>
          </w:tcPr>
          <w:p w14:paraId="59FE709C">
            <w:pPr>
              <w:spacing w:line="240" w:lineRule="exact"/>
              <w:rPr>
                <w:rFonts w:hint="default" w:ascii="Times New Roman" w:hAnsi="Times New Roman" w:eastAsia="宋体" w:cs="Times New Roman"/>
                <w:color w:val="auto"/>
                <w:sz w:val="20"/>
                <w:szCs w:val="20"/>
                <w:highlight w:val="none"/>
              </w:rPr>
            </w:pPr>
          </w:p>
        </w:tc>
        <w:tc>
          <w:tcPr>
            <w:tcW w:w="5319" w:type="dxa"/>
            <w:vAlign w:val="center"/>
          </w:tcPr>
          <w:p w14:paraId="4ADAA51C">
            <w:pPr>
              <w:spacing w:line="240" w:lineRule="exact"/>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《国土资源部关于进一步做好征地管理工作的通知》(国土资源部</w:t>
            </w:r>
            <w:r>
              <w:rPr>
                <w:rFonts w:hint="default" w:ascii="Times New Roman" w:hAnsi="Times New Roman"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rPr>
              <w:t>2010</w:t>
            </w:r>
            <w:r>
              <w:rPr>
                <w:rFonts w:hint="default" w:ascii="Times New Roman" w:hAnsi="Times New Roman"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rPr>
              <w:t>)</w:t>
            </w:r>
          </w:p>
        </w:tc>
        <w:tc>
          <w:tcPr>
            <w:tcW w:w="2252" w:type="dxa"/>
            <w:vAlign w:val="center"/>
          </w:tcPr>
          <w:p w14:paraId="6E0DA1CD">
            <w:pPr>
              <w:spacing w:line="240" w:lineRule="exact"/>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2010年6月26日</w:t>
            </w:r>
          </w:p>
        </w:tc>
      </w:tr>
      <w:tr w14:paraId="3C6E8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951" w:type="dxa"/>
            <w:vMerge w:val="continue"/>
          </w:tcPr>
          <w:p w14:paraId="221FDA0A">
            <w:pPr>
              <w:spacing w:line="240" w:lineRule="exact"/>
              <w:rPr>
                <w:rFonts w:hint="default" w:ascii="Times New Roman" w:hAnsi="Times New Roman" w:eastAsia="宋体" w:cs="Times New Roman"/>
                <w:color w:val="auto"/>
                <w:sz w:val="20"/>
                <w:szCs w:val="20"/>
                <w:highlight w:val="none"/>
              </w:rPr>
            </w:pPr>
          </w:p>
        </w:tc>
        <w:tc>
          <w:tcPr>
            <w:tcW w:w="5319" w:type="dxa"/>
            <w:vAlign w:val="center"/>
          </w:tcPr>
          <w:p w14:paraId="0D2285E1">
            <w:pPr>
              <w:spacing w:line="240" w:lineRule="exact"/>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关于完善征地补偿安置制度的指导意见（国土资发</w:t>
            </w:r>
            <w:r>
              <w:rPr>
                <w:rFonts w:hint="default" w:ascii="Times New Roman" w:hAnsi="Times New Roman"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rPr>
              <w:t>2004</w:t>
            </w:r>
            <w:r>
              <w:rPr>
                <w:rFonts w:hint="default" w:ascii="Times New Roman" w:hAnsi="Times New Roman" w:cs="Times New Roman"/>
                <w:color w:val="auto"/>
                <w:sz w:val="20"/>
                <w:szCs w:val="20"/>
                <w:highlight w:val="none"/>
                <w:lang w:val="en-US" w:eastAsia="zh-CN"/>
              </w:rPr>
              <w:t xml:space="preserve">] </w:t>
            </w:r>
            <w:r>
              <w:rPr>
                <w:rFonts w:hint="default" w:ascii="Times New Roman" w:hAnsi="Times New Roman" w:eastAsia="宋体" w:cs="Times New Roman"/>
                <w:color w:val="auto"/>
                <w:sz w:val="20"/>
                <w:szCs w:val="20"/>
                <w:highlight w:val="none"/>
              </w:rPr>
              <w:t>238号）</w:t>
            </w:r>
          </w:p>
        </w:tc>
        <w:tc>
          <w:tcPr>
            <w:tcW w:w="2252" w:type="dxa"/>
            <w:vAlign w:val="center"/>
          </w:tcPr>
          <w:p w14:paraId="1EF9E98F">
            <w:pPr>
              <w:spacing w:line="240" w:lineRule="exact"/>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2004年11月3日</w:t>
            </w:r>
          </w:p>
        </w:tc>
      </w:tr>
      <w:tr w14:paraId="742E1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951" w:type="dxa"/>
            <w:vMerge w:val="continue"/>
          </w:tcPr>
          <w:p w14:paraId="6956B9EB">
            <w:pPr>
              <w:spacing w:line="240" w:lineRule="exact"/>
              <w:rPr>
                <w:rFonts w:hint="default" w:ascii="Times New Roman" w:hAnsi="Times New Roman" w:eastAsia="宋体" w:cs="Times New Roman"/>
                <w:color w:val="auto"/>
                <w:sz w:val="20"/>
                <w:szCs w:val="20"/>
                <w:highlight w:val="none"/>
              </w:rPr>
            </w:pPr>
          </w:p>
        </w:tc>
        <w:tc>
          <w:tcPr>
            <w:tcW w:w="5319" w:type="dxa"/>
            <w:vAlign w:val="center"/>
          </w:tcPr>
          <w:p w14:paraId="50C24455">
            <w:pPr>
              <w:spacing w:line="240" w:lineRule="exact"/>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国务院关于深化改革严格土地管理的决定（国发</w:t>
            </w:r>
            <w:r>
              <w:rPr>
                <w:rFonts w:hint="default" w:ascii="Times New Roman" w:hAnsi="Times New Roman"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rPr>
              <w:t>2004</w:t>
            </w:r>
            <w:r>
              <w:rPr>
                <w:rFonts w:hint="default" w:ascii="Times New Roman" w:hAnsi="Times New Roman"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rPr>
              <w:t>28号）</w:t>
            </w:r>
          </w:p>
        </w:tc>
        <w:tc>
          <w:tcPr>
            <w:tcW w:w="2252" w:type="dxa"/>
            <w:vAlign w:val="center"/>
          </w:tcPr>
          <w:p w14:paraId="2ED43E7A">
            <w:pPr>
              <w:spacing w:line="240" w:lineRule="exact"/>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2004年10月21日</w:t>
            </w:r>
          </w:p>
        </w:tc>
      </w:tr>
      <w:tr w14:paraId="4132A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951" w:type="dxa"/>
            <w:vMerge w:val="continue"/>
          </w:tcPr>
          <w:p w14:paraId="3EC27C62">
            <w:pPr>
              <w:spacing w:line="240" w:lineRule="exact"/>
              <w:rPr>
                <w:rFonts w:hint="default" w:ascii="Times New Roman" w:hAnsi="Times New Roman" w:eastAsia="宋体" w:cs="Times New Roman"/>
                <w:color w:val="auto"/>
                <w:sz w:val="20"/>
                <w:szCs w:val="20"/>
                <w:highlight w:val="none"/>
              </w:rPr>
            </w:pPr>
          </w:p>
        </w:tc>
        <w:tc>
          <w:tcPr>
            <w:tcW w:w="5319" w:type="dxa"/>
            <w:vAlign w:val="center"/>
          </w:tcPr>
          <w:p w14:paraId="1819B4D9">
            <w:pPr>
              <w:spacing w:line="240" w:lineRule="exact"/>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国务院关于加强土地调控有关问题的通知（国发</w:t>
            </w:r>
            <w:r>
              <w:rPr>
                <w:rFonts w:hint="default" w:ascii="Times New Roman" w:hAnsi="Times New Roman"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rPr>
              <w:t>2006</w:t>
            </w:r>
            <w:r>
              <w:rPr>
                <w:rFonts w:hint="default" w:ascii="Times New Roman" w:hAnsi="Times New Roman"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rPr>
              <w:t>31号）</w:t>
            </w:r>
          </w:p>
        </w:tc>
        <w:tc>
          <w:tcPr>
            <w:tcW w:w="2252" w:type="dxa"/>
            <w:vAlign w:val="center"/>
          </w:tcPr>
          <w:p w14:paraId="73D56811">
            <w:pPr>
              <w:spacing w:line="240" w:lineRule="exact"/>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2006年8月31日</w:t>
            </w:r>
          </w:p>
        </w:tc>
      </w:tr>
      <w:tr w14:paraId="753C3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951" w:type="dxa"/>
            <w:vMerge w:val="continue"/>
          </w:tcPr>
          <w:p w14:paraId="4A225A5E">
            <w:pPr>
              <w:spacing w:line="240" w:lineRule="exact"/>
              <w:rPr>
                <w:rFonts w:hint="default" w:ascii="Times New Roman" w:hAnsi="Times New Roman" w:eastAsia="宋体" w:cs="Times New Roman"/>
                <w:color w:val="auto"/>
                <w:sz w:val="20"/>
                <w:szCs w:val="20"/>
                <w:highlight w:val="none"/>
              </w:rPr>
            </w:pPr>
          </w:p>
        </w:tc>
        <w:tc>
          <w:tcPr>
            <w:tcW w:w="5319" w:type="dxa"/>
            <w:vAlign w:val="center"/>
          </w:tcPr>
          <w:p w14:paraId="26B55E83">
            <w:pPr>
              <w:spacing w:line="240" w:lineRule="exact"/>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国务院办公厅转发劳动保障部关于做好被征地农民就业培训和社会保障工作指导意见的通知（国发</w:t>
            </w:r>
            <w:r>
              <w:rPr>
                <w:rFonts w:hint="default" w:ascii="Times New Roman" w:hAnsi="Times New Roman"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rPr>
              <w:t>2006</w:t>
            </w:r>
            <w:r>
              <w:rPr>
                <w:rFonts w:hint="default" w:ascii="Times New Roman" w:hAnsi="Times New Roman"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rPr>
              <w:t>29号）</w:t>
            </w:r>
          </w:p>
        </w:tc>
        <w:tc>
          <w:tcPr>
            <w:tcW w:w="2252" w:type="dxa"/>
            <w:vAlign w:val="center"/>
          </w:tcPr>
          <w:p w14:paraId="0FECF1C1">
            <w:pPr>
              <w:spacing w:line="240" w:lineRule="exact"/>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2006年4月10日</w:t>
            </w:r>
          </w:p>
        </w:tc>
      </w:tr>
      <w:tr w14:paraId="7268D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951" w:type="dxa"/>
            <w:vMerge w:val="continue"/>
          </w:tcPr>
          <w:p w14:paraId="019D583C">
            <w:pPr>
              <w:spacing w:line="240" w:lineRule="exact"/>
              <w:rPr>
                <w:rFonts w:hint="default" w:ascii="Times New Roman" w:hAnsi="Times New Roman" w:eastAsia="宋体" w:cs="Times New Roman"/>
                <w:color w:val="auto"/>
                <w:sz w:val="20"/>
                <w:szCs w:val="20"/>
                <w:highlight w:val="none"/>
              </w:rPr>
            </w:pPr>
          </w:p>
        </w:tc>
        <w:tc>
          <w:tcPr>
            <w:tcW w:w="5319" w:type="dxa"/>
            <w:vAlign w:val="center"/>
          </w:tcPr>
          <w:p w14:paraId="38915FC9">
            <w:pPr>
              <w:spacing w:line="240" w:lineRule="exact"/>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劳动和社会保障部国土资源部文件关于切实做好被征地农民社会保障工作有关问题的通知（劳社部发</w:t>
            </w:r>
            <w:r>
              <w:rPr>
                <w:rFonts w:hint="default" w:ascii="Times New Roman" w:hAnsi="Times New Roman"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rPr>
              <w:t>2007</w:t>
            </w:r>
            <w:r>
              <w:rPr>
                <w:rFonts w:hint="default" w:ascii="Times New Roman" w:hAnsi="Times New Roman"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rPr>
              <w:t>14号）</w:t>
            </w:r>
          </w:p>
        </w:tc>
        <w:tc>
          <w:tcPr>
            <w:tcW w:w="2252" w:type="dxa"/>
            <w:vAlign w:val="center"/>
          </w:tcPr>
          <w:p w14:paraId="1999D3B6">
            <w:pPr>
              <w:spacing w:line="240" w:lineRule="exact"/>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2007年4月28日</w:t>
            </w:r>
          </w:p>
        </w:tc>
      </w:tr>
      <w:tr w14:paraId="13D26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951" w:type="dxa"/>
            <w:vMerge w:val="continue"/>
          </w:tcPr>
          <w:p w14:paraId="23CD3C04">
            <w:pPr>
              <w:spacing w:line="240" w:lineRule="exact"/>
              <w:rPr>
                <w:rFonts w:hint="default" w:ascii="Times New Roman" w:hAnsi="Times New Roman" w:eastAsia="宋体" w:cs="Times New Roman"/>
                <w:color w:val="auto"/>
                <w:sz w:val="20"/>
                <w:szCs w:val="20"/>
                <w:highlight w:val="none"/>
              </w:rPr>
            </w:pPr>
          </w:p>
        </w:tc>
        <w:tc>
          <w:tcPr>
            <w:tcW w:w="5319" w:type="dxa"/>
            <w:vAlign w:val="center"/>
          </w:tcPr>
          <w:p w14:paraId="1A130707">
            <w:pPr>
              <w:spacing w:line="240" w:lineRule="exact"/>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财政部、国土资源部、中国人民银行关于调整新增建设用地土地有偿使用费政策等问题的通知（财综</w:t>
            </w:r>
            <w:r>
              <w:rPr>
                <w:rFonts w:hint="default" w:ascii="Times New Roman" w:hAnsi="Times New Roman"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rPr>
              <w:t>2006</w:t>
            </w:r>
            <w:r>
              <w:rPr>
                <w:rFonts w:hint="default" w:ascii="Times New Roman" w:hAnsi="Times New Roman"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rPr>
              <w:t>48 号）</w:t>
            </w:r>
          </w:p>
        </w:tc>
        <w:tc>
          <w:tcPr>
            <w:tcW w:w="2252" w:type="dxa"/>
            <w:vAlign w:val="center"/>
          </w:tcPr>
          <w:p w14:paraId="52090F34">
            <w:pPr>
              <w:spacing w:line="240" w:lineRule="exact"/>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2006年11月7日</w:t>
            </w:r>
          </w:p>
        </w:tc>
      </w:tr>
      <w:tr w14:paraId="63CC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951" w:type="dxa"/>
            <w:vMerge w:val="restart"/>
            <w:vAlign w:val="center"/>
          </w:tcPr>
          <w:p w14:paraId="0F2111C0">
            <w:pPr>
              <w:spacing w:line="240" w:lineRule="exact"/>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陕西省</w:t>
            </w:r>
          </w:p>
        </w:tc>
        <w:tc>
          <w:tcPr>
            <w:tcW w:w="5319" w:type="dxa"/>
            <w:vAlign w:val="center"/>
          </w:tcPr>
          <w:p w14:paraId="5AA5C2A1">
            <w:pPr>
              <w:spacing w:line="240" w:lineRule="exact"/>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《陕西省实施〈中华人民共和国土地管理法〉办法》</w:t>
            </w:r>
          </w:p>
        </w:tc>
        <w:tc>
          <w:tcPr>
            <w:tcW w:w="2252" w:type="dxa"/>
            <w:vAlign w:val="center"/>
          </w:tcPr>
          <w:p w14:paraId="79685AFA">
            <w:pPr>
              <w:spacing w:line="240" w:lineRule="exact"/>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2022年9月29日</w:t>
            </w:r>
          </w:p>
        </w:tc>
      </w:tr>
      <w:tr w14:paraId="465B8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951" w:type="dxa"/>
            <w:vMerge w:val="continue"/>
          </w:tcPr>
          <w:p w14:paraId="0226F484">
            <w:pPr>
              <w:spacing w:line="240" w:lineRule="exact"/>
              <w:rPr>
                <w:rFonts w:hint="default" w:ascii="Times New Roman" w:hAnsi="Times New Roman" w:eastAsia="宋体" w:cs="Times New Roman"/>
                <w:color w:val="auto"/>
                <w:sz w:val="20"/>
                <w:szCs w:val="20"/>
                <w:highlight w:val="none"/>
              </w:rPr>
            </w:pPr>
          </w:p>
        </w:tc>
        <w:tc>
          <w:tcPr>
            <w:tcW w:w="5319" w:type="dxa"/>
            <w:vAlign w:val="center"/>
          </w:tcPr>
          <w:p w14:paraId="4AF41A71">
            <w:pPr>
              <w:spacing w:line="240" w:lineRule="exact"/>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《陕西省建设项目统一征地办法》</w:t>
            </w:r>
          </w:p>
        </w:tc>
        <w:tc>
          <w:tcPr>
            <w:tcW w:w="2252" w:type="dxa"/>
            <w:vAlign w:val="center"/>
          </w:tcPr>
          <w:p w14:paraId="65B38628">
            <w:pPr>
              <w:spacing w:line="240" w:lineRule="exact"/>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2002年1月8日</w:t>
            </w:r>
          </w:p>
        </w:tc>
      </w:tr>
      <w:tr w14:paraId="6CE55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951" w:type="dxa"/>
            <w:vMerge w:val="continue"/>
          </w:tcPr>
          <w:p w14:paraId="426EA397">
            <w:pPr>
              <w:spacing w:line="240" w:lineRule="exact"/>
              <w:rPr>
                <w:rFonts w:hint="default" w:ascii="Times New Roman" w:hAnsi="Times New Roman" w:eastAsia="宋体" w:cs="Times New Roman"/>
                <w:color w:val="auto"/>
                <w:sz w:val="20"/>
                <w:szCs w:val="20"/>
                <w:highlight w:val="none"/>
              </w:rPr>
            </w:pPr>
          </w:p>
        </w:tc>
        <w:tc>
          <w:tcPr>
            <w:tcW w:w="5319" w:type="dxa"/>
            <w:vAlign w:val="center"/>
          </w:tcPr>
          <w:p w14:paraId="2D848F39">
            <w:pPr>
              <w:spacing w:line="240" w:lineRule="exact"/>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关于印发《陕西省省级统一征地项目管理规程（试行）》的通知（陕国土资办发〔2015〕5号）</w:t>
            </w:r>
          </w:p>
        </w:tc>
        <w:tc>
          <w:tcPr>
            <w:tcW w:w="2252" w:type="dxa"/>
            <w:vAlign w:val="center"/>
          </w:tcPr>
          <w:p w14:paraId="4816E29A">
            <w:pPr>
              <w:spacing w:line="240" w:lineRule="exact"/>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2015年3月27日</w:t>
            </w:r>
          </w:p>
        </w:tc>
      </w:tr>
      <w:tr w14:paraId="66EB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951" w:type="dxa"/>
            <w:vMerge w:val="continue"/>
          </w:tcPr>
          <w:p w14:paraId="3361974B">
            <w:pPr>
              <w:spacing w:line="240" w:lineRule="exact"/>
              <w:rPr>
                <w:rFonts w:hint="default" w:ascii="Times New Roman" w:hAnsi="Times New Roman" w:eastAsia="宋体" w:cs="Times New Roman"/>
                <w:color w:val="auto"/>
                <w:sz w:val="20"/>
                <w:szCs w:val="20"/>
                <w:highlight w:val="none"/>
              </w:rPr>
            </w:pPr>
          </w:p>
        </w:tc>
        <w:tc>
          <w:tcPr>
            <w:tcW w:w="5319" w:type="dxa"/>
            <w:vAlign w:val="center"/>
          </w:tcPr>
          <w:p w14:paraId="20E140AA">
            <w:pPr>
              <w:spacing w:line="240" w:lineRule="exact"/>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《陕西省人民政府关于公布全省征收农用地区片综合地价的通知》</w:t>
            </w:r>
          </w:p>
        </w:tc>
        <w:tc>
          <w:tcPr>
            <w:tcW w:w="2252" w:type="dxa"/>
            <w:vAlign w:val="center"/>
          </w:tcPr>
          <w:p w14:paraId="7C0EFE36">
            <w:pPr>
              <w:spacing w:line="240" w:lineRule="exact"/>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2020年12月31日</w:t>
            </w:r>
          </w:p>
        </w:tc>
      </w:tr>
      <w:tr w14:paraId="269DD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951" w:type="dxa"/>
            <w:vMerge w:val="continue"/>
          </w:tcPr>
          <w:p w14:paraId="0B408DF8">
            <w:pPr>
              <w:spacing w:line="240" w:lineRule="exact"/>
              <w:rPr>
                <w:rFonts w:hint="default" w:ascii="Times New Roman" w:hAnsi="Times New Roman" w:eastAsia="宋体" w:cs="Times New Roman"/>
                <w:color w:val="auto"/>
                <w:sz w:val="20"/>
                <w:szCs w:val="20"/>
                <w:highlight w:val="none"/>
              </w:rPr>
            </w:pPr>
          </w:p>
        </w:tc>
        <w:tc>
          <w:tcPr>
            <w:tcW w:w="5319" w:type="dxa"/>
            <w:vAlign w:val="center"/>
          </w:tcPr>
          <w:p w14:paraId="790E85F4">
            <w:pPr>
              <w:spacing w:line="240" w:lineRule="exact"/>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陕西省农村人居环境整治提升五年行动（2021~2025）实施方案</w:t>
            </w:r>
          </w:p>
        </w:tc>
        <w:tc>
          <w:tcPr>
            <w:tcW w:w="2252" w:type="dxa"/>
            <w:vAlign w:val="center"/>
          </w:tcPr>
          <w:p w14:paraId="4DD8F366">
            <w:pPr>
              <w:spacing w:line="240" w:lineRule="exact"/>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2022年5月12日</w:t>
            </w:r>
          </w:p>
        </w:tc>
      </w:tr>
      <w:tr w14:paraId="5033B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951" w:type="dxa"/>
            <w:vMerge w:val="continue"/>
          </w:tcPr>
          <w:p w14:paraId="769C3504">
            <w:pPr>
              <w:spacing w:line="240" w:lineRule="exact"/>
              <w:rPr>
                <w:rFonts w:hint="default" w:ascii="Times New Roman" w:hAnsi="Times New Roman" w:eastAsia="宋体" w:cs="Times New Roman"/>
                <w:color w:val="auto"/>
                <w:sz w:val="20"/>
                <w:szCs w:val="20"/>
                <w:highlight w:val="none"/>
              </w:rPr>
            </w:pPr>
          </w:p>
        </w:tc>
        <w:tc>
          <w:tcPr>
            <w:tcW w:w="5319" w:type="dxa"/>
            <w:vAlign w:val="center"/>
          </w:tcPr>
          <w:p w14:paraId="19CE6BEE">
            <w:pPr>
              <w:spacing w:line="240" w:lineRule="exact"/>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《征收农民集体土地的补偿内容》</w:t>
            </w:r>
          </w:p>
        </w:tc>
        <w:tc>
          <w:tcPr>
            <w:tcW w:w="2252" w:type="dxa"/>
            <w:vAlign w:val="center"/>
          </w:tcPr>
          <w:p w14:paraId="0E3CA186">
            <w:pPr>
              <w:spacing w:line="240" w:lineRule="exact"/>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2015年8月11 日</w:t>
            </w:r>
          </w:p>
        </w:tc>
      </w:tr>
      <w:tr w14:paraId="0067F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951" w:type="dxa"/>
            <w:vMerge w:val="continue"/>
          </w:tcPr>
          <w:p w14:paraId="57CE1535">
            <w:pPr>
              <w:spacing w:line="240" w:lineRule="exact"/>
              <w:rPr>
                <w:rFonts w:hint="default" w:ascii="Times New Roman" w:hAnsi="Times New Roman" w:eastAsia="宋体" w:cs="Times New Roman"/>
                <w:color w:val="auto"/>
                <w:sz w:val="20"/>
                <w:szCs w:val="20"/>
                <w:highlight w:val="none"/>
              </w:rPr>
            </w:pPr>
          </w:p>
        </w:tc>
        <w:tc>
          <w:tcPr>
            <w:tcW w:w="5319" w:type="dxa"/>
            <w:vAlign w:val="center"/>
          </w:tcPr>
          <w:p w14:paraId="675185F0">
            <w:pPr>
              <w:spacing w:line="240" w:lineRule="exact"/>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《陕西省劳动和社会保障厅、国土资源厅转发劳动和社会保障部、国土资源部&lt;关于切实做好被征地农民社会保障工作有关问题的通知&gt;的通知》</w:t>
            </w:r>
          </w:p>
        </w:tc>
        <w:tc>
          <w:tcPr>
            <w:tcW w:w="2252" w:type="dxa"/>
            <w:vAlign w:val="center"/>
          </w:tcPr>
          <w:p w14:paraId="615EAD5E">
            <w:pPr>
              <w:spacing w:line="240" w:lineRule="exact"/>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2007年9月11日</w:t>
            </w:r>
          </w:p>
        </w:tc>
      </w:tr>
      <w:tr w14:paraId="262CA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951" w:type="dxa"/>
            <w:vMerge w:val="continue"/>
          </w:tcPr>
          <w:p w14:paraId="03553CFA">
            <w:pPr>
              <w:spacing w:line="240" w:lineRule="exact"/>
              <w:rPr>
                <w:rFonts w:hint="default" w:ascii="Times New Roman" w:hAnsi="Times New Roman" w:eastAsia="宋体" w:cs="Times New Roman"/>
                <w:color w:val="auto"/>
                <w:sz w:val="20"/>
                <w:szCs w:val="20"/>
                <w:highlight w:val="none"/>
              </w:rPr>
            </w:pPr>
          </w:p>
        </w:tc>
        <w:tc>
          <w:tcPr>
            <w:tcW w:w="5319" w:type="dxa"/>
            <w:vAlign w:val="center"/>
          </w:tcPr>
          <w:p w14:paraId="7AE6985D">
            <w:pPr>
              <w:spacing w:line="240" w:lineRule="exact"/>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陕西省自然资源厅 陕西省农业农村厅《关于设施农业用地管理有关问题的通知陕自然资规》〔2020〕4号</w:t>
            </w:r>
          </w:p>
        </w:tc>
        <w:tc>
          <w:tcPr>
            <w:tcW w:w="2252" w:type="dxa"/>
            <w:vAlign w:val="center"/>
          </w:tcPr>
          <w:p w14:paraId="270EA045">
            <w:pPr>
              <w:spacing w:line="240" w:lineRule="exact"/>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2020年7月2号</w:t>
            </w:r>
          </w:p>
        </w:tc>
      </w:tr>
      <w:tr w14:paraId="6FD7B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51" w:type="dxa"/>
            <w:vMerge w:val="continue"/>
          </w:tcPr>
          <w:p w14:paraId="3BBE671C">
            <w:pPr>
              <w:spacing w:line="240" w:lineRule="exact"/>
              <w:rPr>
                <w:rFonts w:hint="default" w:ascii="Times New Roman" w:hAnsi="Times New Roman" w:eastAsia="宋体" w:cs="Times New Roman"/>
                <w:color w:val="auto"/>
                <w:sz w:val="20"/>
                <w:szCs w:val="20"/>
                <w:highlight w:val="none"/>
              </w:rPr>
            </w:pPr>
          </w:p>
        </w:tc>
        <w:tc>
          <w:tcPr>
            <w:tcW w:w="5319" w:type="dxa"/>
            <w:vAlign w:val="center"/>
          </w:tcPr>
          <w:p w14:paraId="601C8655">
            <w:pPr>
              <w:spacing w:line="240" w:lineRule="exact"/>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《陕西省国有土地使用权出让和转让办法》</w:t>
            </w:r>
          </w:p>
        </w:tc>
        <w:tc>
          <w:tcPr>
            <w:tcW w:w="2252" w:type="dxa"/>
            <w:vAlign w:val="center"/>
          </w:tcPr>
          <w:p w14:paraId="0D5C0FD1">
            <w:pPr>
              <w:spacing w:line="240" w:lineRule="exact"/>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2016年09月01日</w:t>
            </w:r>
          </w:p>
        </w:tc>
      </w:tr>
      <w:tr w14:paraId="63D42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951" w:type="dxa"/>
            <w:vMerge w:val="continue"/>
          </w:tcPr>
          <w:p w14:paraId="73B4061B">
            <w:pPr>
              <w:spacing w:line="240" w:lineRule="exact"/>
              <w:rPr>
                <w:rFonts w:hint="default" w:ascii="Times New Roman" w:hAnsi="Times New Roman" w:eastAsia="宋体" w:cs="Times New Roman"/>
                <w:color w:val="auto"/>
                <w:sz w:val="20"/>
                <w:szCs w:val="20"/>
                <w:highlight w:val="none"/>
              </w:rPr>
            </w:pPr>
          </w:p>
        </w:tc>
        <w:tc>
          <w:tcPr>
            <w:tcW w:w="5319" w:type="dxa"/>
            <w:vAlign w:val="center"/>
          </w:tcPr>
          <w:p w14:paraId="3A2E980D">
            <w:pPr>
              <w:spacing w:line="240" w:lineRule="exact"/>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《关于进一步落实我省被征地农民参加基本养老保险有关政策问题的通知》</w:t>
            </w:r>
          </w:p>
        </w:tc>
        <w:tc>
          <w:tcPr>
            <w:tcW w:w="2252" w:type="dxa"/>
            <w:vAlign w:val="center"/>
          </w:tcPr>
          <w:p w14:paraId="6A0FE933">
            <w:pPr>
              <w:spacing w:line="240" w:lineRule="exact"/>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2016年5月23日</w:t>
            </w:r>
          </w:p>
        </w:tc>
      </w:tr>
      <w:tr w14:paraId="11B60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951" w:type="dxa"/>
            <w:vMerge w:val="restart"/>
            <w:vAlign w:val="center"/>
          </w:tcPr>
          <w:p w14:paraId="69E32A27">
            <w:pPr>
              <w:spacing w:line="240" w:lineRule="exact"/>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市区</w:t>
            </w:r>
          </w:p>
        </w:tc>
        <w:tc>
          <w:tcPr>
            <w:tcW w:w="5319" w:type="dxa"/>
            <w:vAlign w:val="center"/>
          </w:tcPr>
          <w:p w14:paraId="1A1F031A">
            <w:pPr>
              <w:spacing w:line="240" w:lineRule="exact"/>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《安康市人民政府办公室关于进一步做好安康中心城区被征地农民就业培训和社会保障工作的意见》（安政办发〔2016〕1 号）</w:t>
            </w:r>
          </w:p>
        </w:tc>
        <w:tc>
          <w:tcPr>
            <w:tcW w:w="2252" w:type="dxa"/>
            <w:vAlign w:val="center"/>
          </w:tcPr>
          <w:p w14:paraId="075DCB33">
            <w:pPr>
              <w:spacing w:line="240" w:lineRule="exact"/>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2016年1月26日</w:t>
            </w:r>
          </w:p>
        </w:tc>
      </w:tr>
      <w:tr w14:paraId="76948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951" w:type="dxa"/>
            <w:vMerge w:val="continue"/>
          </w:tcPr>
          <w:p w14:paraId="59180196">
            <w:pPr>
              <w:spacing w:line="240" w:lineRule="exact"/>
              <w:rPr>
                <w:rFonts w:hint="default" w:ascii="Times New Roman" w:hAnsi="Times New Roman" w:eastAsia="宋体" w:cs="Times New Roman"/>
                <w:color w:val="auto"/>
                <w:sz w:val="20"/>
                <w:szCs w:val="20"/>
                <w:highlight w:val="none"/>
              </w:rPr>
            </w:pPr>
          </w:p>
        </w:tc>
        <w:tc>
          <w:tcPr>
            <w:tcW w:w="5319" w:type="dxa"/>
            <w:vAlign w:val="center"/>
          </w:tcPr>
          <w:p w14:paraId="4F07FC17">
            <w:pPr>
              <w:spacing w:line="240" w:lineRule="exact"/>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《安康市汉滨区人民政府办公室关于印发城东片区开发建设土地征收和房屋拆迁安置方案的通知》（汉政办发〔2017〕128号）</w:t>
            </w:r>
          </w:p>
        </w:tc>
        <w:tc>
          <w:tcPr>
            <w:tcW w:w="2252" w:type="dxa"/>
            <w:vAlign w:val="center"/>
          </w:tcPr>
          <w:p w14:paraId="58885D73">
            <w:pPr>
              <w:spacing w:line="240" w:lineRule="exact"/>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2017年6月26日</w:t>
            </w:r>
          </w:p>
        </w:tc>
      </w:tr>
      <w:tr w14:paraId="00525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951" w:type="dxa"/>
            <w:vMerge w:val="continue"/>
          </w:tcPr>
          <w:p w14:paraId="4FAB7A35">
            <w:pPr>
              <w:spacing w:line="240" w:lineRule="exact"/>
              <w:rPr>
                <w:rFonts w:hint="default" w:ascii="Times New Roman" w:hAnsi="Times New Roman" w:eastAsia="宋体" w:cs="Times New Roman"/>
                <w:color w:val="auto"/>
                <w:sz w:val="20"/>
                <w:szCs w:val="20"/>
                <w:highlight w:val="none"/>
              </w:rPr>
            </w:pPr>
          </w:p>
        </w:tc>
        <w:tc>
          <w:tcPr>
            <w:tcW w:w="5319" w:type="dxa"/>
            <w:vAlign w:val="center"/>
          </w:tcPr>
          <w:p w14:paraId="72F7D8C9">
            <w:pPr>
              <w:spacing w:line="240" w:lineRule="exact"/>
              <w:rPr>
                <w:rFonts w:hint="default" w:ascii="Times New Roman" w:hAnsi="Times New Roman" w:eastAsia="宋体" w:cs="Times New Roman"/>
                <w:color w:val="auto"/>
                <w:sz w:val="20"/>
                <w:szCs w:val="20"/>
                <w:highlight w:val="none"/>
                <w:lang w:val="en-US" w:eastAsia="zh-CN" w:bidi="ar-SA"/>
              </w:rPr>
            </w:pPr>
            <w:r>
              <w:rPr>
                <w:rFonts w:hint="default" w:ascii="Times New Roman" w:hAnsi="Times New Roman" w:eastAsia="宋体" w:cs="Times New Roman"/>
                <w:color w:val="auto"/>
                <w:sz w:val="20"/>
                <w:szCs w:val="20"/>
                <w:highlight w:val="none"/>
              </w:rPr>
              <w:t>《安康市汉滨区人民政府关于公布全区征收农用地区片综合地价的通知》（汉政发〔2021〕3号）</w:t>
            </w:r>
          </w:p>
        </w:tc>
        <w:tc>
          <w:tcPr>
            <w:tcW w:w="2252" w:type="dxa"/>
            <w:vAlign w:val="center"/>
          </w:tcPr>
          <w:p w14:paraId="703497C7">
            <w:pPr>
              <w:spacing w:line="240" w:lineRule="exact"/>
              <w:jc w:val="center"/>
              <w:rPr>
                <w:rFonts w:hint="default" w:ascii="Times New Roman" w:hAnsi="Times New Roman" w:eastAsia="宋体" w:cs="Times New Roman"/>
                <w:color w:val="auto"/>
                <w:sz w:val="20"/>
                <w:szCs w:val="20"/>
                <w:highlight w:val="none"/>
                <w:lang w:val="en-US" w:eastAsia="zh-CN" w:bidi="ar-SA"/>
              </w:rPr>
            </w:pPr>
            <w:r>
              <w:rPr>
                <w:rFonts w:hint="default" w:ascii="Times New Roman" w:hAnsi="Times New Roman" w:eastAsia="宋体" w:cs="Times New Roman"/>
                <w:color w:val="auto"/>
                <w:sz w:val="20"/>
                <w:szCs w:val="20"/>
                <w:highlight w:val="none"/>
              </w:rPr>
              <w:t>2021年1月18日</w:t>
            </w:r>
          </w:p>
        </w:tc>
      </w:tr>
      <w:tr w14:paraId="28FBA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951" w:type="dxa"/>
            <w:vMerge w:val="continue"/>
          </w:tcPr>
          <w:p w14:paraId="076D4556">
            <w:pPr>
              <w:spacing w:line="240" w:lineRule="exact"/>
              <w:rPr>
                <w:rFonts w:hint="default" w:ascii="Times New Roman" w:hAnsi="Times New Roman" w:eastAsia="宋体" w:cs="Times New Roman"/>
                <w:color w:val="auto"/>
                <w:sz w:val="20"/>
                <w:szCs w:val="20"/>
                <w:highlight w:val="none"/>
              </w:rPr>
            </w:pPr>
          </w:p>
        </w:tc>
        <w:tc>
          <w:tcPr>
            <w:tcW w:w="5319" w:type="dxa"/>
            <w:vAlign w:val="center"/>
          </w:tcPr>
          <w:p w14:paraId="59313671">
            <w:pPr>
              <w:spacing w:line="240" w:lineRule="exact"/>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安康市汉滨区人民政府办公室关于印发《旬阳水电站黄洋河垫地防护工程临时用地租用实施方案》的通知（汉政办发[2019]138号）</w:t>
            </w:r>
          </w:p>
        </w:tc>
        <w:tc>
          <w:tcPr>
            <w:tcW w:w="2252" w:type="dxa"/>
            <w:vAlign w:val="center"/>
          </w:tcPr>
          <w:p w14:paraId="299C3AD5">
            <w:pPr>
              <w:spacing w:line="240" w:lineRule="exact"/>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2019年10月30日</w:t>
            </w:r>
          </w:p>
        </w:tc>
      </w:tr>
    </w:tbl>
    <w:p w14:paraId="542C81B1">
      <w:pPr>
        <w:spacing w:line="276" w:lineRule="auto"/>
        <w:ind w:firstLine="482" w:firstLineChars="200"/>
        <w:jc w:val="center"/>
        <w:rPr>
          <w:rFonts w:hint="default" w:ascii="Times New Roman" w:hAnsi="Times New Roman" w:eastAsia="宋体" w:cs="Times New Roman"/>
          <w:b/>
          <w:bCs/>
          <w:color w:val="auto"/>
          <w:highlight w:val="none"/>
        </w:rPr>
      </w:pPr>
    </w:p>
    <w:bookmarkEnd w:id="171"/>
    <w:bookmarkEnd w:id="172"/>
    <w:p w14:paraId="1757164E">
      <w:pPr>
        <w:pStyle w:val="5"/>
        <w:spacing w:before="120"/>
        <w:ind w:left="737" w:hanging="294"/>
        <w:rPr>
          <w:rFonts w:hint="default" w:ascii="Times New Roman" w:hAnsi="Times New Roman" w:eastAsia="宋体" w:cs="Times New Roman"/>
          <w:color w:val="auto"/>
          <w:highlight w:val="none"/>
        </w:rPr>
      </w:pPr>
      <w:bookmarkStart w:id="194" w:name="_Toc58328376"/>
      <w:bookmarkStart w:id="195" w:name="_Toc16491"/>
      <w:bookmarkStart w:id="196" w:name="_Toc57756362"/>
      <w:bookmarkStart w:id="197" w:name="_Toc110846294"/>
      <w:bookmarkStart w:id="198" w:name="_Toc114673087"/>
      <w:r>
        <w:rPr>
          <w:rFonts w:hint="default" w:ascii="Times New Roman" w:hAnsi="Times New Roman" w:eastAsia="宋体" w:cs="Times New Roman"/>
          <w:color w:val="auto"/>
          <w:highlight w:val="none"/>
        </w:rPr>
        <w:t>信息公开与公众参与</w:t>
      </w:r>
      <w:bookmarkEnd w:id="194"/>
      <w:bookmarkEnd w:id="195"/>
      <w:bookmarkEnd w:id="196"/>
      <w:bookmarkEnd w:id="197"/>
      <w:bookmarkEnd w:id="198"/>
    </w:p>
    <w:p w14:paraId="5C9CA7C9">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关于信息公开、公众参与和抱怨申诉机制，中国、陕西省及项目区县的法律法规对重大建设项目批准和实施过程、拟征地和征地补偿方案、政府资源配置等各项信息公开做了全面严格的要求，并且要求公众参与渠道畅通。</w:t>
      </w:r>
    </w:p>
    <w:p w14:paraId="115F0B19">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国和陕西省建立了体系化的信访机制，公民、法人或者其他组织都可采用书信、电子邮件、传真、电话、走访等形式，向各级人民政府、县级以上人民政府工作部门反映情况，提出建议、意见或者投诉请求，依法由有关行政机关处理。详见表3-6。</w:t>
      </w:r>
    </w:p>
    <w:p w14:paraId="13EECB95">
      <w:pPr>
        <w:spacing w:line="276" w:lineRule="auto"/>
        <w:ind w:firstLine="482" w:firstLineChars="200"/>
        <w:jc w:val="center"/>
        <w:rPr>
          <w:rFonts w:hint="default" w:ascii="Times New Roman" w:hAnsi="Times New Roman" w:eastAsia="宋体" w:cs="Times New Roman"/>
          <w:b/>
          <w:bCs/>
          <w:color w:val="auto"/>
          <w:highlight w:val="none"/>
        </w:rPr>
      </w:pPr>
      <w:bookmarkStart w:id="199" w:name="_Toc113946495"/>
      <w:bookmarkStart w:id="200" w:name="_Toc97221518"/>
      <w:bookmarkStart w:id="201" w:name="_Toc97228887"/>
      <w:bookmarkStart w:id="202" w:name="_Toc86390434"/>
      <w:r>
        <w:rPr>
          <w:rFonts w:hint="default" w:ascii="Times New Roman" w:hAnsi="Times New Roman" w:eastAsia="宋体" w:cs="Times New Roman"/>
          <w:b/>
          <w:bCs/>
          <w:color w:val="auto"/>
          <w:highlight w:val="none"/>
        </w:rPr>
        <w:t xml:space="preserve">表 </w:t>
      </w:r>
      <w:r>
        <w:rPr>
          <w:rFonts w:hint="default" w:ascii="Times New Roman" w:hAnsi="Times New Roman" w:eastAsia="宋体" w:cs="Times New Roman"/>
          <w:b/>
          <w:bCs/>
          <w:color w:val="auto"/>
          <w:highlight w:val="none"/>
        </w:rPr>
        <w:fldChar w:fldCharType="begin"/>
      </w:r>
      <w:r>
        <w:rPr>
          <w:rFonts w:hint="default" w:ascii="Times New Roman" w:hAnsi="Times New Roman" w:eastAsia="宋体" w:cs="Times New Roman"/>
          <w:b/>
          <w:bCs/>
          <w:color w:val="auto"/>
          <w:highlight w:val="none"/>
        </w:rPr>
        <w:instrText xml:space="preserve"> STYLEREF 1 \s </w:instrText>
      </w:r>
      <w:r>
        <w:rPr>
          <w:rFonts w:hint="default" w:ascii="Times New Roman" w:hAnsi="Times New Roman" w:eastAsia="宋体" w:cs="Times New Roman"/>
          <w:b/>
          <w:bCs/>
          <w:color w:val="auto"/>
          <w:highlight w:val="none"/>
        </w:rPr>
        <w:fldChar w:fldCharType="separate"/>
      </w:r>
      <w:r>
        <w:rPr>
          <w:rFonts w:hint="default" w:ascii="Times New Roman" w:hAnsi="Times New Roman" w:eastAsia="宋体" w:cs="Times New Roman"/>
          <w:b/>
          <w:bCs/>
          <w:color w:val="auto"/>
          <w:highlight w:val="none"/>
        </w:rPr>
        <w:t>3</w:t>
      </w:r>
      <w:r>
        <w:rPr>
          <w:rFonts w:hint="default" w:ascii="Times New Roman" w:hAnsi="Times New Roman" w:eastAsia="宋体" w:cs="Times New Roman"/>
          <w:b/>
          <w:bCs/>
          <w:color w:val="auto"/>
          <w:highlight w:val="none"/>
        </w:rPr>
        <w:fldChar w:fldCharType="end"/>
      </w:r>
      <w:r>
        <w:rPr>
          <w:rFonts w:hint="default" w:ascii="Times New Roman" w:hAnsi="Times New Roman" w:eastAsia="宋体" w:cs="Times New Roman"/>
          <w:b/>
          <w:bCs/>
          <w:color w:val="auto"/>
          <w:highlight w:val="none"/>
        </w:rPr>
        <w:noBreakHyphen/>
      </w:r>
      <w:r>
        <w:rPr>
          <w:rFonts w:hint="default" w:ascii="Times New Roman" w:hAnsi="Times New Roman" w:eastAsia="宋体" w:cs="Times New Roman"/>
          <w:b/>
          <w:bCs/>
          <w:color w:val="auto"/>
          <w:highlight w:val="none"/>
        </w:rPr>
        <w:fldChar w:fldCharType="begin"/>
      </w:r>
      <w:r>
        <w:rPr>
          <w:rFonts w:hint="default" w:ascii="Times New Roman" w:hAnsi="Times New Roman" w:eastAsia="宋体" w:cs="Times New Roman"/>
          <w:b/>
          <w:bCs/>
          <w:color w:val="auto"/>
          <w:highlight w:val="none"/>
        </w:rPr>
        <w:instrText xml:space="preserve"> SEQ 表 \* ARABIC \s 1 </w:instrText>
      </w:r>
      <w:r>
        <w:rPr>
          <w:rFonts w:hint="default" w:ascii="Times New Roman" w:hAnsi="Times New Roman" w:eastAsia="宋体" w:cs="Times New Roman"/>
          <w:b/>
          <w:bCs/>
          <w:color w:val="auto"/>
          <w:highlight w:val="none"/>
        </w:rPr>
        <w:fldChar w:fldCharType="separate"/>
      </w:r>
      <w:r>
        <w:rPr>
          <w:rFonts w:hint="default" w:ascii="Times New Roman" w:hAnsi="Times New Roman" w:eastAsia="宋体" w:cs="Times New Roman"/>
          <w:b/>
          <w:bCs/>
          <w:color w:val="auto"/>
          <w:highlight w:val="none"/>
        </w:rPr>
        <w:t>7</w:t>
      </w:r>
      <w:r>
        <w:rPr>
          <w:rFonts w:hint="default" w:ascii="Times New Roman" w:hAnsi="Times New Roman" w:eastAsia="宋体" w:cs="Times New Roman"/>
          <w:b/>
          <w:bCs/>
          <w:color w:val="auto"/>
          <w:highlight w:val="none"/>
        </w:rPr>
        <w:fldChar w:fldCharType="end"/>
      </w:r>
      <w:bookmarkStart w:id="203" w:name="_Toc24782"/>
      <w:r>
        <w:rPr>
          <w:rFonts w:hint="default" w:ascii="Times New Roman" w:hAnsi="Times New Roman" w:eastAsia="宋体" w:cs="Times New Roman"/>
          <w:b/>
          <w:bCs/>
          <w:color w:val="auto"/>
          <w:highlight w:val="none"/>
        </w:rPr>
        <w:t xml:space="preserve"> 信息公开和公众参与法律框架</w:t>
      </w:r>
      <w:bookmarkEnd w:id="199"/>
      <w:bookmarkEnd w:id="200"/>
      <w:bookmarkEnd w:id="201"/>
      <w:bookmarkEnd w:id="202"/>
      <w:bookmarkEnd w:id="203"/>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55" w:type="dxa"/>
        </w:tblCellMar>
      </w:tblPr>
      <w:tblGrid>
        <w:gridCol w:w="1094"/>
        <w:gridCol w:w="5349"/>
        <w:gridCol w:w="1923"/>
      </w:tblGrid>
      <w:tr w14:paraId="7928B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55" w:type="dxa"/>
          </w:tblCellMar>
        </w:tblPrEx>
        <w:trPr>
          <w:trHeight w:val="50" w:hRule="atLeast"/>
          <w:tblHeader/>
          <w:jc w:val="center"/>
        </w:trPr>
        <w:tc>
          <w:tcPr>
            <w:tcW w:w="654" w:type="pct"/>
            <w:shd w:val="clear" w:color="auto" w:fill="F1F1F1" w:themeFill="background1" w:themeFillShade="F2"/>
            <w:vAlign w:val="center"/>
          </w:tcPr>
          <w:p w14:paraId="16146B5D">
            <w:pPr>
              <w:snapToGrid w:val="0"/>
              <w:spacing w:before="60" w:after="60"/>
              <w:jc w:val="center"/>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sz w:val="20"/>
                <w:szCs w:val="20"/>
                <w:highlight w:val="none"/>
              </w:rPr>
              <w:t>政策层级</w:t>
            </w:r>
          </w:p>
        </w:tc>
        <w:tc>
          <w:tcPr>
            <w:tcW w:w="3197" w:type="pct"/>
            <w:shd w:val="clear" w:color="auto" w:fill="F1F1F1" w:themeFill="background1" w:themeFillShade="F2"/>
            <w:vAlign w:val="center"/>
          </w:tcPr>
          <w:p w14:paraId="1BE9CFF8">
            <w:pPr>
              <w:snapToGrid w:val="0"/>
              <w:spacing w:before="60" w:after="60"/>
              <w:jc w:val="center"/>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sz w:val="20"/>
                <w:szCs w:val="20"/>
                <w:highlight w:val="none"/>
              </w:rPr>
              <w:t>标题</w:t>
            </w:r>
          </w:p>
        </w:tc>
        <w:tc>
          <w:tcPr>
            <w:tcW w:w="1149" w:type="pct"/>
            <w:shd w:val="clear" w:color="auto" w:fill="F1F1F1" w:themeFill="background1" w:themeFillShade="F2"/>
            <w:vAlign w:val="center"/>
          </w:tcPr>
          <w:p w14:paraId="533A2ED4">
            <w:pPr>
              <w:snapToGrid w:val="0"/>
              <w:spacing w:before="60" w:after="60"/>
              <w:jc w:val="center"/>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sz w:val="20"/>
                <w:szCs w:val="20"/>
                <w:highlight w:val="none"/>
              </w:rPr>
              <w:t>生效年份</w:t>
            </w:r>
          </w:p>
        </w:tc>
      </w:tr>
      <w:tr w14:paraId="17D5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55" w:type="dxa"/>
          </w:tblCellMar>
        </w:tblPrEx>
        <w:trPr>
          <w:trHeight w:val="296" w:hRule="atLeast"/>
          <w:jc w:val="center"/>
        </w:trPr>
        <w:tc>
          <w:tcPr>
            <w:tcW w:w="654" w:type="pct"/>
            <w:vMerge w:val="restart"/>
            <w:vAlign w:val="center"/>
          </w:tcPr>
          <w:p w14:paraId="2C278F79">
            <w:pPr>
              <w:snapToGrid w:val="0"/>
              <w:spacing w:before="60" w:after="60"/>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中国</w:t>
            </w:r>
          </w:p>
        </w:tc>
        <w:tc>
          <w:tcPr>
            <w:tcW w:w="3197" w:type="pct"/>
            <w:vAlign w:val="center"/>
          </w:tcPr>
          <w:p w14:paraId="0D4FA87D">
            <w:pPr>
              <w:snapToGrid w:val="0"/>
              <w:spacing w:before="60" w:after="60"/>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中华人民共和国土地管理法</w:t>
            </w:r>
          </w:p>
        </w:tc>
        <w:tc>
          <w:tcPr>
            <w:tcW w:w="1149" w:type="pct"/>
            <w:vAlign w:val="center"/>
          </w:tcPr>
          <w:p w14:paraId="7CD3EAD0">
            <w:pPr>
              <w:snapToGrid w:val="0"/>
              <w:spacing w:before="60" w:after="60"/>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2020</w:t>
            </w:r>
          </w:p>
        </w:tc>
      </w:tr>
      <w:tr w14:paraId="129EC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55" w:type="dxa"/>
          </w:tblCellMar>
        </w:tblPrEx>
        <w:trPr>
          <w:trHeight w:val="296" w:hRule="atLeast"/>
          <w:jc w:val="center"/>
        </w:trPr>
        <w:tc>
          <w:tcPr>
            <w:tcW w:w="654" w:type="pct"/>
            <w:vMerge w:val="continue"/>
            <w:vAlign w:val="center"/>
          </w:tcPr>
          <w:p w14:paraId="56F918A8">
            <w:pPr>
              <w:snapToGrid w:val="0"/>
              <w:spacing w:before="60" w:after="60"/>
              <w:jc w:val="center"/>
              <w:rPr>
                <w:rFonts w:hint="default" w:ascii="Times New Roman" w:hAnsi="Times New Roman" w:eastAsia="宋体" w:cs="Times New Roman"/>
                <w:color w:val="auto"/>
                <w:sz w:val="20"/>
                <w:szCs w:val="20"/>
                <w:highlight w:val="none"/>
              </w:rPr>
            </w:pPr>
          </w:p>
        </w:tc>
        <w:tc>
          <w:tcPr>
            <w:tcW w:w="3197" w:type="pct"/>
            <w:vAlign w:val="center"/>
          </w:tcPr>
          <w:p w14:paraId="17157670">
            <w:pPr>
              <w:snapToGrid w:val="0"/>
              <w:spacing w:before="60" w:after="60"/>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环境影响评价公众参与办法</w:t>
            </w:r>
          </w:p>
        </w:tc>
        <w:tc>
          <w:tcPr>
            <w:tcW w:w="1149" w:type="pct"/>
            <w:vAlign w:val="center"/>
          </w:tcPr>
          <w:p w14:paraId="241B146B">
            <w:pPr>
              <w:snapToGrid w:val="0"/>
              <w:spacing w:before="60" w:after="60"/>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2019</w:t>
            </w:r>
          </w:p>
        </w:tc>
      </w:tr>
      <w:tr w14:paraId="1A618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55" w:type="dxa"/>
          </w:tblCellMar>
        </w:tblPrEx>
        <w:trPr>
          <w:trHeight w:val="296" w:hRule="atLeast"/>
          <w:jc w:val="center"/>
        </w:trPr>
        <w:tc>
          <w:tcPr>
            <w:tcW w:w="654" w:type="pct"/>
            <w:vMerge w:val="continue"/>
            <w:vAlign w:val="center"/>
          </w:tcPr>
          <w:p w14:paraId="1A65AC1C">
            <w:pPr>
              <w:snapToGrid w:val="0"/>
              <w:spacing w:before="60" w:after="60"/>
              <w:jc w:val="center"/>
              <w:rPr>
                <w:rFonts w:hint="default" w:ascii="Times New Roman" w:hAnsi="Times New Roman" w:eastAsia="宋体" w:cs="Times New Roman"/>
                <w:color w:val="auto"/>
                <w:sz w:val="20"/>
                <w:szCs w:val="20"/>
                <w:highlight w:val="none"/>
              </w:rPr>
            </w:pPr>
          </w:p>
        </w:tc>
        <w:tc>
          <w:tcPr>
            <w:tcW w:w="3197" w:type="pct"/>
            <w:vAlign w:val="center"/>
          </w:tcPr>
          <w:p w14:paraId="72DCF940">
            <w:pPr>
              <w:snapToGrid w:val="0"/>
              <w:spacing w:before="60" w:after="60"/>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中华人民共和国土地管理法实施条例</w:t>
            </w:r>
          </w:p>
        </w:tc>
        <w:tc>
          <w:tcPr>
            <w:tcW w:w="1149" w:type="pct"/>
            <w:vAlign w:val="center"/>
          </w:tcPr>
          <w:p w14:paraId="1E3D84AB">
            <w:pPr>
              <w:snapToGrid w:val="0"/>
              <w:spacing w:before="60" w:after="60"/>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2021</w:t>
            </w:r>
          </w:p>
        </w:tc>
      </w:tr>
      <w:tr w14:paraId="79B9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55" w:type="dxa"/>
          </w:tblCellMar>
        </w:tblPrEx>
        <w:trPr>
          <w:trHeight w:val="119" w:hRule="atLeast"/>
          <w:jc w:val="center"/>
        </w:trPr>
        <w:tc>
          <w:tcPr>
            <w:tcW w:w="654" w:type="pct"/>
            <w:vMerge w:val="continue"/>
            <w:vAlign w:val="center"/>
          </w:tcPr>
          <w:p w14:paraId="169B5D91">
            <w:pPr>
              <w:snapToGrid w:val="0"/>
              <w:spacing w:before="60" w:after="60"/>
              <w:jc w:val="center"/>
              <w:rPr>
                <w:rFonts w:hint="default" w:ascii="Times New Roman" w:hAnsi="Times New Roman" w:eastAsia="宋体" w:cs="Times New Roman"/>
                <w:color w:val="auto"/>
                <w:sz w:val="20"/>
                <w:szCs w:val="20"/>
                <w:highlight w:val="none"/>
              </w:rPr>
            </w:pPr>
          </w:p>
        </w:tc>
        <w:tc>
          <w:tcPr>
            <w:tcW w:w="3197" w:type="pct"/>
            <w:vAlign w:val="center"/>
          </w:tcPr>
          <w:p w14:paraId="4ABFA55E">
            <w:pPr>
              <w:snapToGrid w:val="0"/>
              <w:spacing w:before="60" w:after="60"/>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农村集体土地征收基层政务公开标准指引</w:t>
            </w:r>
          </w:p>
        </w:tc>
        <w:tc>
          <w:tcPr>
            <w:tcW w:w="1149" w:type="pct"/>
            <w:vAlign w:val="center"/>
          </w:tcPr>
          <w:p w14:paraId="399F9353">
            <w:pPr>
              <w:snapToGrid w:val="0"/>
              <w:spacing w:before="60" w:after="60"/>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2019</w:t>
            </w:r>
          </w:p>
        </w:tc>
      </w:tr>
      <w:tr w14:paraId="0C982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55" w:type="dxa"/>
          </w:tblCellMar>
        </w:tblPrEx>
        <w:trPr>
          <w:trHeight w:val="296" w:hRule="atLeast"/>
          <w:jc w:val="center"/>
        </w:trPr>
        <w:tc>
          <w:tcPr>
            <w:tcW w:w="654" w:type="pct"/>
            <w:vMerge w:val="continue"/>
            <w:vAlign w:val="center"/>
          </w:tcPr>
          <w:p w14:paraId="28396FAA">
            <w:pPr>
              <w:snapToGrid w:val="0"/>
              <w:spacing w:before="60" w:after="60"/>
              <w:jc w:val="center"/>
              <w:rPr>
                <w:rFonts w:hint="default" w:ascii="Times New Roman" w:hAnsi="Times New Roman" w:eastAsia="宋体" w:cs="Times New Roman"/>
                <w:color w:val="auto"/>
                <w:sz w:val="20"/>
                <w:szCs w:val="20"/>
                <w:highlight w:val="none"/>
              </w:rPr>
            </w:pPr>
          </w:p>
        </w:tc>
        <w:tc>
          <w:tcPr>
            <w:tcW w:w="3197" w:type="pct"/>
            <w:vAlign w:val="center"/>
          </w:tcPr>
          <w:p w14:paraId="3A404554">
            <w:pPr>
              <w:snapToGrid w:val="0"/>
              <w:spacing w:before="60" w:after="60"/>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关于全面推进政务公开工作的意见</w:t>
            </w:r>
          </w:p>
        </w:tc>
        <w:tc>
          <w:tcPr>
            <w:tcW w:w="1149" w:type="pct"/>
            <w:vAlign w:val="center"/>
          </w:tcPr>
          <w:p w14:paraId="72310EF9">
            <w:pPr>
              <w:snapToGrid w:val="0"/>
              <w:spacing w:before="60" w:after="60"/>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2016</w:t>
            </w:r>
          </w:p>
        </w:tc>
      </w:tr>
      <w:tr w14:paraId="724E4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55" w:type="dxa"/>
          </w:tblCellMar>
        </w:tblPrEx>
        <w:trPr>
          <w:trHeight w:val="296" w:hRule="atLeast"/>
          <w:jc w:val="center"/>
        </w:trPr>
        <w:tc>
          <w:tcPr>
            <w:tcW w:w="654" w:type="pct"/>
            <w:vMerge w:val="continue"/>
            <w:vAlign w:val="center"/>
          </w:tcPr>
          <w:p w14:paraId="27B9F92D">
            <w:pPr>
              <w:snapToGrid w:val="0"/>
              <w:spacing w:before="60" w:after="60"/>
              <w:jc w:val="center"/>
              <w:rPr>
                <w:rFonts w:hint="default" w:ascii="Times New Roman" w:hAnsi="Times New Roman" w:eastAsia="宋体" w:cs="Times New Roman"/>
                <w:color w:val="auto"/>
                <w:sz w:val="20"/>
                <w:szCs w:val="20"/>
                <w:highlight w:val="none"/>
              </w:rPr>
            </w:pPr>
          </w:p>
        </w:tc>
        <w:tc>
          <w:tcPr>
            <w:tcW w:w="3197" w:type="pct"/>
            <w:vAlign w:val="center"/>
          </w:tcPr>
          <w:p w14:paraId="15726C2F">
            <w:pPr>
              <w:snapToGrid w:val="0"/>
              <w:spacing w:before="60" w:after="60"/>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国务院办公厅关于推进公共资源配置领域政府信息公开的意见</w:t>
            </w:r>
          </w:p>
        </w:tc>
        <w:tc>
          <w:tcPr>
            <w:tcW w:w="1149" w:type="pct"/>
            <w:vAlign w:val="center"/>
          </w:tcPr>
          <w:p w14:paraId="0706F268">
            <w:pPr>
              <w:snapToGrid w:val="0"/>
              <w:spacing w:before="60" w:after="60"/>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2016</w:t>
            </w:r>
          </w:p>
        </w:tc>
      </w:tr>
      <w:tr w14:paraId="09294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55" w:type="dxa"/>
          </w:tblCellMar>
        </w:tblPrEx>
        <w:trPr>
          <w:trHeight w:val="296" w:hRule="atLeast"/>
          <w:jc w:val="center"/>
        </w:trPr>
        <w:tc>
          <w:tcPr>
            <w:tcW w:w="654" w:type="pct"/>
            <w:vMerge w:val="restart"/>
            <w:vAlign w:val="center"/>
          </w:tcPr>
          <w:p w14:paraId="35F7368D">
            <w:pPr>
              <w:snapToGrid w:val="0"/>
              <w:spacing w:before="60" w:after="60"/>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陕西省</w:t>
            </w:r>
          </w:p>
        </w:tc>
        <w:tc>
          <w:tcPr>
            <w:tcW w:w="3197" w:type="pct"/>
            <w:vAlign w:val="center"/>
          </w:tcPr>
          <w:p w14:paraId="24445D0F">
            <w:pPr>
              <w:spacing w:before="60" w:after="60"/>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陕西省实施《中华人民共和国土地管理法》办法</w:t>
            </w:r>
          </w:p>
        </w:tc>
        <w:tc>
          <w:tcPr>
            <w:tcW w:w="1149" w:type="pct"/>
            <w:vAlign w:val="center"/>
          </w:tcPr>
          <w:p w14:paraId="56A190C6">
            <w:pPr>
              <w:spacing w:before="60" w:after="60"/>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2022</w:t>
            </w:r>
          </w:p>
        </w:tc>
      </w:tr>
      <w:tr w14:paraId="31E5B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55" w:type="dxa"/>
          </w:tblCellMar>
        </w:tblPrEx>
        <w:trPr>
          <w:trHeight w:val="296" w:hRule="atLeast"/>
          <w:jc w:val="center"/>
        </w:trPr>
        <w:tc>
          <w:tcPr>
            <w:tcW w:w="654" w:type="pct"/>
            <w:vMerge w:val="continue"/>
            <w:vAlign w:val="center"/>
          </w:tcPr>
          <w:p w14:paraId="4E82F748">
            <w:pPr>
              <w:jc w:val="center"/>
              <w:rPr>
                <w:rFonts w:hint="default" w:ascii="Times New Roman" w:hAnsi="Times New Roman" w:eastAsia="宋体" w:cs="Times New Roman"/>
                <w:color w:val="auto"/>
                <w:highlight w:val="none"/>
              </w:rPr>
            </w:pPr>
          </w:p>
        </w:tc>
        <w:tc>
          <w:tcPr>
            <w:tcW w:w="3197" w:type="pct"/>
            <w:vAlign w:val="center"/>
          </w:tcPr>
          <w:p w14:paraId="6ABBA313">
            <w:pPr>
              <w:spacing w:before="60" w:after="60"/>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陕西省建设项目统一征地办法</w:t>
            </w:r>
          </w:p>
        </w:tc>
        <w:tc>
          <w:tcPr>
            <w:tcW w:w="1149" w:type="pct"/>
            <w:vAlign w:val="center"/>
          </w:tcPr>
          <w:p w14:paraId="2AFB026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0"/>
                <w:szCs w:val="20"/>
                <w:highlight w:val="none"/>
              </w:rPr>
              <w:t>2002</w:t>
            </w:r>
          </w:p>
        </w:tc>
      </w:tr>
    </w:tbl>
    <w:p w14:paraId="6B1F0F13">
      <w:pPr>
        <w:pStyle w:val="5"/>
        <w:spacing w:before="120"/>
        <w:ind w:left="737" w:hanging="294"/>
        <w:rPr>
          <w:rFonts w:hint="default" w:ascii="Times New Roman" w:hAnsi="Times New Roman" w:eastAsia="宋体" w:cs="Times New Roman"/>
          <w:color w:val="auto"/>
          <w:highlight w:val="none"/>
        </w:rPr>
      </w:pPr>
      <w:bookmarkStart w:id="204" w:name="_Toc25040"/>
      <w:bookmarkStart w:id="205" w:name="_Toc83326395"/>
      <w:bookmarkStart w:id="206" w:name="_Toc114673088"/>
      <w:bookmarkStart w:id="207" w:name="_Toc58328377"/>
      <w:bookmarkStart w:id="208" w:name="_Toc110846295"/>
      <w:bookmarkStart w:id="209" w:name="_Toc57756363"/>
      <w:r>
        <w:rPr>
          <w:rFonts w:hint="default" w:ascii="Times New Roman" w:hAnsi="Times New Roman" w:eastAsia="宋体" w:cs="Times New Roman"/>
          <w:color w:val="auto"/>
          <w:highlight w:val="none"/>
        </w:rPr>
        <w:t>与亚投行ESS差异分析与弥补措施</w:t>
      </w:r>
      <w:bookmarkEnd w:id="204"/>
      <w:bookmarkEnd w:id="205"/>
      <w:bookmarkEnd w:id="206"/>
      <w:bookmarkEnd w:id="207"/>
      <w:bookmarkEnd w:id="208"/>
      <w:bookmarkEnd w:id="209"/>
    </w:p>
    <w:p w14:paraId="1554F7A9">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如前所述，中国已经建立了系统的社会保障管理体系，其目标与亚投行的社会保障政策是一致的，都是为了减缓项目的社会风险，实现可持续发展，但仍然存在一定的差异。相关的差异分析详见表3-7。</w:t>
      </w:r>
    </w:p>
    <w:p w14:paraId="105D1C2E">
      <w:pPr>
        <w:rPr>
          <w:rFonts w:hint="default" w:ascii="Times New Roman" w:hAnsi="Times New Roman" w:eastAsia="宋体" w:cs="Times New Roman"/>
          <w:color w:val="auto"/>
          <w:highlight w:val="none"/>
        </w:rPr>
        <w:sectPr>
          <w:pgSz w:w="11906" w:h="16838"/>
          <w:pgMar w:top="1440" w:right="1800" w:bottom="1440" w:left="1800" w:header="851" w:footer="992" w:gutter="0"/>
          <w:cols w:space="720" w:num="1"/>
          <w:docGrid w:linePitch="326" w:charSpace="0"/>
        </w:sectPr>
      </w:pPr>
    </w:p>
    <w:p w14:paraId="049B3909">
      <w:pPr>
        <w:jc w:val="center"/>
        <w:rPr>
          <w:rFonts w:hint="default" w:ascii="Times New Roman" w:hAnsi="Times New Roman" w:eastAsia="宋体" w:cs="Times New Roman"/>
          <w:b/>
          <w:bCs/>
          <w:color w:val="auto"/>
          <w:highlight w:val="none"/>
        </w:rPr>
      </w:pPr>
      <w:bookmarkStart w:id="210" w:name="_Toc113946496"/>
      <w:r>
        <w:rPr>
          <w:rFonts w:hint="default" w:ascii="Times New Roman" w:hAnsi="Times New Roman" w:eastAsia="宋体" w:cs="Times New Roman"/>
          <w:b/>
          <w:bCs/>
          <w:color w:val="auto"/>
          <w:highlight w:val="none"/>
        </w:rPr>
        <w:t xml:space="preserve">表 </w:t>
      </w:r>
      <w:r>
        <w:rPr>
          <w:rFonts w:hint="default" w:ascii="Times New Roman" w:hAnsi="Times New Roman" w:eastAsia="宋体" w:cs="Times New Roman"/>
          <w:b/>
          <w:bCs/>
          <w:color w:val="auto"/>
          <w:highlight w:val="none"/>
        </w:rPr>
        <w:fldChar w:fldCharType="begin"/>
      </w:r>
      <w:r>
        <w:rPr>
          <w:rFonts w:hint="default" w:ascii="Times New Roman" w:hAnsi="Times New Roman" w:eastAsia="宋体" w:cs="Times New Roman"/>
          <w:b/>
          <w:bCs/>
          <w:color w:val="auto"/>
          <w:highlight w:val="none"/>
        </w:rPr>
        <w:instrText xml:space="preserve"> STYLEREF 1 \s </w:instrText>
      </w:r>
      <w:r>
        <w:rPr>
          <w:rFonts w:hint="default" w:ascii="Times New Roman" w:hAnsi="Times New Roman" w:eastAsia="宋体" w:cs="Times New Roman"/>
          <w:b/>
          <w:bCs/>
          <w:color w:val="auto"/>
          <w:highlight w:val="none"/>
        </w:rPr>
        <w:fldChar w:fldCharType="separate"/>
      </w:r>
      <w:r>
        <w:rPr>
          <w:rFonts w:hint="default" w:ascii="Times New Roman" w:hAnsi="Times New Roman" w:eastAsia="宋体" w:cs="Times New Roman"/>
          <w:b/>
          <w:bCs/>
          <w:color w:val="auto"/>
          <w:highlight w:val="none"/>
        </w:rPr>
        <w:t>3</w:t>
      </w:r>
      <w:r>
        <w:rPr>
          <w:rFonts w:hint="default" w:ascii="Times New Roman" w:hAnsi="Times New Roman" w:eastAsia="宋体" w:cs="Times New Roman"/>
          <w:b/>
          <w:bCs/>
          <w:color w:val="auto"/>
          <w:highlight w:val="none"/>
        </w:rPr>
        <w:fldChar w:fldCharType="end"/>
      </w:r>
      <w:r>
        <w:rPr>
          <w:rFonts w:hint="default" w:ascii="Times New Roman" w:hAnsi="Times New Roman" w:eastAsia="宋体" w:cs="Times New Roman"/>
          <w:b/>
          <w:bCs/>
          <w:color w:val="auto"/>
          <w:highlight w:val="none"/>
        </w:rPr>
        <w:noBreakHyphen/>
      </w:r>
      <w:r>
        <w:rPr>
          <w:rFonts w:hint="default" w:ascii="Times New Roman" w:hAnsi="Times New Roman" w:eastAsia="宋体" w:cs="Times New Roman"/>
          <w:b/>
          <w:bCs/>
          <w:color w:val="auto"/>
          <w:highlight w:val="none"/>
        </w:rPr>
        <w:fldChar w:fldCharType="begin"/>
      </w:r>
      <w:r>
        <w:rPr>
          <w:rFonts w:hint="default" w:ascii="Times New Roman" w:hAnsi="Times New Roman" w:eastAsia="宋体" w:cs="Times New Roman"/>
          <w:b/>
          <w:bCs/>
          <w:color w:val="auto"/>
          <w:highlight w:val="none"/>
        </w:rPr>
        <w:instrText xml:space="preserve"> SEQ 表 \* ARABIC \s 1 </w:instrText>
      </w:r>
      <w:r>
        <w:rPr>
          <w:rFonts w:hint="default" w:ascii="Times New Roman" w:hAnsi="Times New Roman" w:eastAsia="宋体" w:cs="Times New Roman"/>
          <w:b/>
          <w:bCs/>
          <w:color w:val="auto"/>
          <w:highlight w:val="none"/>
        </w:rPr>
        <w:fldChar w:fldCharType="separate"/>
      </w:r>
      <w:r>
        <w:rPr>
          <w:rFonts w:hint="default" w:ascii="Times New Roman" w:hAnsi="Times New Roman" w:eastAsia="宋体" w:cs="Times New Roman"/>
          <w:b/>
          <w:bCs/>
          <w:color w:val="auto"/>
          <w:highlight w:val="none"/>
        </w:rPr>
        <w:t>8</w:t>
      </w:r>
      <w:r>
        <w:rPr>
          <w:rFonts w:hint="default" w:ascii="Times New Roman" w:hAnsi="Times New Roman" w:eastAsia="宋体" w:cs="Times New Roman"/>
          <w:b/>
          <w:bCs/>
          <w:color w:val="auto"/>
          <w:highlight w:val="none"/>
        </w:rPr>
        <w:fldChar w:fldCharType="end"/>
      </w:r>
      <w:bookmarkStart w:id="211" w:name="_Toc10354"/>
      <w:r>
        <w:rPr>
          <w:rFonts w:hint="default" w:ascii="Times New Roman" w:hAnsi="Times New Roman" w:eastAsia="宋体" w:cs="Times New Roman"/>
          <w:b/>
          <w:bCs/>
          <w:color w:val="auto"/>
          <w:highlight w:val="none"/>
        </w:rPr>
        <w:t>亚投行社会标准适用性及与国内政策的差异及弥补措施</w:t>
      </w:r>
      <w:bookmarkEnd w:id="210"/>
      <w:bookmarkEnd w:id="211"/>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191"/>
        <w:gridCol w:w="769"/>
        <w:gridCol w:w="5199"/>
        <w:gridCol w:w="3651"/>
        <w:gridCol w:w="2692"/>
      </w:tblGrid>
      <w:tr w14:paraId="4416B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37" w:type="pct"/>
            <w:shd w:val="clear" w:color="auto" w:fill="F1F1F1" w:themeFill="background1" w:themeFillShade="F2"/>
            <w:vAlign w:val="center"/>
          </w:tcPr>
          <w:p w14:paraId="44121AEF">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kern w:val="2"/>
                <w:sz w:val="21"/>
                <w:szCs w:val="21"/>
                <w:highlight w:val="none"/>
              </w:rPr>
              <w:t>编号</w:t>
            </w:r>
          </w:p>
        </w:tc>
        <w:tc>
          <w:tcPr>
            <w:tcW w:w="420" w:type="pct"/>
            <w:shd w:val="clear" w:color="auto" w:fill="F1F1F1" w:themeFill="background1" w:themeFillShade="F2"/>
            <w:vAlign w:val="center"/>
          </w:tcPr>
          <w:p w14:paraId="7B3740FF">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kern w:val="2"/>
                <w:sz w:val="21"/>
                <w:szCs w:val="21"/>
                <w:highlight w:val="none"/>
              </w:rPr>
              <w:t>ESS标准</w:t>
            </w:r>
          </w:p>
        </w:tc>
        <w:tc>
          <w:tcPr>
            <w:tcW w:w="271" w:type="pct"/>
            <w:shd w:val="clear" w:color="auto" w:fill="F1F1F1" w:themeFill="background1" w:themeFillShade="F2"/>
            <w:vAlign w:val="center"/>
          </w:tcPr>
          <w:p w14:paraId="223AEEEA">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kern w:val="2"/>
                <w:sz w:val="21"/>
                <w:szCs w:val="21"/>
                <w:highlight w:val="none"/>
              </w:rPr>
              <w:t>适用性</w:t>
            </w:r>
          </w:p>
        </w:tc>
        <w:tc>
          <w:tcPr>
            <w:tcW w:w="1833" w:type="pct"/>
            <w:shd w:val="clear" w:color="auto" w:fill="F1F1F1" w:themeFill="background1" w:themeFillShade="F2"/>
            <w:vAlign w:val="center"/>
          </w:tcPr>
          <w:p w14:paraId="3D498FFE">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kern w:val="2"/>
                <w:sz w:val="21"/>
                <w:szCs w:val="21"/>
                <w:highlight w:val="none"/>
              </w:rPr>
              <w:t>评述</w:t>
            </w:r>
          </w:p>
        </w:tc>
        <w:tc>
          <w:tcPr>
            <w:tcW w:w="1287" w:type="pct"/>
            <w:shd w:val="clear" w:color="auto" w:fill="F1F1F1" w:themeFill="background1" w:themeFillShade="F2"/>
            <w:vAlign w:val="center"/>
          </w:tcPr>
          <w:p w14:paraId="496792DF">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kern w:val="2"/>
                <w:sz w:val="21"/>
                <w:szCs w:val="21"/>
                <w:highlight w:val="none"/>
              </w:rPr>
              <w:t>政策差异</w:t>
            </w:r>
          </w:p>
        </w:tc>
        <w:tc>
          <w:tcPr>
            <w:tcW w:w="949" w:type="pct"/>
            <w:shd w:val="clear" w:color="auto" w:fill="F1F1F1" w:themeFill="background1" w:themeFillShade="F2"/>
            <w:vAlign w:val="center"/>
          </w:tcPr>
          <w:p w14:paraId="2D81721F">
            <w:pPr>
              <w:adjustRightInd w:val="0"/>
              <w:snapToGrid w:val="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弥补措施</w:t>
            </w:r>
          </w:p>
        </w:tc>
      </w:tr>
      <w:tr w14:paraId="1158D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vAlign w:val="center"/>
          </w:tcPr>
          <w:p w14:paraId="710B4B0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rPr>
              <w:t>1</w:t>
            </w:r>
          </w:p>
        </w:tc>
        <w:tc>
          <w:tcPr>
            <w:tcW w:w="420" w:type="pct"/>
            <w:vAlign w:val="center"/>
          </w:tcPr>
          <w:p w14:paraId="385A254A">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rPr>
              <w:t>ESS1：环境和社会评价和管理</w:t>
            </w:r>
          </w:p>
        </w:tc>
        <w:tc>
          <w:tcPr>
            <w:tcW w:w="271" w:type="pct"/>
            <w:vAlign w:val="center"/>
          </w:tcPr>
          <w:p w14:paraId="00BAA95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rPr>
              <w:t>是</w:t>
            </w:r>
          </w:p>
        </w:tc>
        <w:tc>
          <w:tcPr>
            <w:tcW w:w="1833" w:type="pct"/>
            <w:vAlign w:val="center"/>
          </w:tcPr>
          <w:p w14:paraId="72998E04">
            <w:pPr>
              <w:adjustRightInd w:val="0"/>
              <w:snapToGrid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为本项目编制了社会影响评价（SIA）。</w:t>
            </w:r>
          </w:p>
          <w:p w14:paraId="017B9BC1">
            <w:pPr>
              <w:adjustRightInd w:val="0"/>
              <w:snapToGrid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作为亚投行环社会评估和管理的重要部分，编制了环境与社会管理计划（ESMP），确保项目符合社会管理计划中的措施和行动要求。</w:t>
            </w:r>
          </w:p>
          <w:p w14:paraId="2F21CE65">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借款人在所有的子项目实施全过程中持续开展利益相关者参与和信息披露活动。</w:t>
            </w:r>
          </w:p>
          <w:p w14:paraId="34556D1B">
            <w:pPr>
              <w:adjustRightInd w:val="0"/>
              <w:snapToGrid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rPr>
              <w:t>本标准中关于工作条件、劳动保护、申诉机制、职业健康与安全等的要求全部适用于本项目的直接工人和合同工人；针对主要供应商工作人员，需要确定童工、强迫劳动以及重大安全问题的潜在风险。针对劳动者管理在SIA中进行评价，并在社会管理计划中提出了相应的管理措施。</w:t>
            </w:r>
          </w:p>
          <w:p w14:paraId="664997C4">
            <w:pPr>
              <w:adjustRightInd w:val="0"/>
              <w:snapToGrid w:val="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社会影响评价对周边社区的健康和安全等方面的社会影响和风险进行了评估，并在社会管理计划中提出了相应的管理措施。</w:t>
            </w:r>
          </w:p>
          <w:p w14:paraId="12C1207D">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本项目涉及到广泛的利益相关方，因此编制利益相关方参与计划（SEP）。</w:t>
            </w:r>
          </w:p>
          <w:p w14:paraId="41894629">
            <w:pPr>
              <w:adjustRightInd w:val="0"/>
              <w:snapToGrid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随着项目的开展，一旦识别出新的利益相关方，需要对SEP更新。</w:t>
            </w:r>
          </w:p>
          <w:p w14:paraId="42C2C979">
            <w:pPr>
              <w:pStyle w:val="2"/>
              <w:spacing w:after="0"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借款人将在整个项目生命周期内按照SEP中的计划开展利益相关方的参与活动，尤其是针对项目弱势群体。</w:t>
            </w:r>
          </w:p>
        </w:tc>
        <w:tc>
          <w:tcPr>
            <w:tcW w:w="1287" w:type="pct"/>
            <w:vAlign w:val="center"/>
          </w:tcPr>
          <w:p w14:paraId="4E71D6F9">
            <w:pPr>
              <w:adjustRightInd w:val="0"/>
              <w:snapToGrid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国内仅针对重大投资项目有进行社会稳定风险评估的要求，评估的范围主要针对项目本身，不涉及针对现有设施和关联设施的尽职调查。</w:t>
            </w:r>
          </w:p>
          <w:p w14:paraId="424A6B2B">
            <w:pPr>
              <w:adjustRightInd w:val="0"/>
              <w:snapToGrid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中国政府针对劳动和工作条件方面有着全面的规定，与ESS1的范围和要素基本一致。</w:t>
            </w:r>
          </w:p>
          <w:p w14:paraId="2C544EB5">
            <w:pPr>
              <w:pStyle w:val="2"/>
              <w:spacing w:after="0"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在实践层面，项目雇佣童工、强迫劳动、SEA/SH的风险极低，但在职业健康与安全方面人有待加强和完善，亚投行ESS1在政策要求和实践层面有着更为严格的劳工管理程序和规范性要求。</w:t>
            </w:r>
          </w:p>
          <w:p w14:paraId="6E437C9E">
            <w:pPr>
              <w:pStyle w:val="2"/>
              <w:spacing w:after="0"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rPr>
              <w:t>国内相关政策和实践更多着重于项目建设初期的参与，且在政策规划制定中的公众参与层级较低，也没有明确的关于利益相关方在项目或决策的全生命周期中参与的要求。而ESS中针对利益相关方参与的要求是贯穿于整个项目周期，并且要求项目准备阶段编制利益相关方参与计划并在实施阶段进行监测。</w:t>
            </w:r>
          </w:p>
        </w:tc>
        <w:tc>
          <w:tcPr>
            <w:tcW w:w="949" w:type="pct"/>
            <w:vAlign w:val="center"/>
          </w:tcPr>
          <w:p w14:paraId="047DFD13">
            <w:pPr>
              <w:adjustRightInd w:val="0"/>
              <w:snapToGrid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针对这批子项目开展了社会尽调、社会风险与影响评价（SIA）、制定了SEP和ESMP。</w:t>
            </w:r>
          </w:p>
          <w:p w14:paraId="58A707D2">
            <w:pPr>
              <w:pStyle w:val="2"/>
              <w:spacing w:after="0"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针对本项目涉及的工人，识别其劳动风险和健康危害，在ESMP中编制相关的管理措施。</w:t>
            </w:r>
          </w:p>
          <w:p w14:paraId="05A2A00B">
            <w:pPr>
              <w:pStyle w:val="2"/>
              <w:spacing w:after="0"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根据社会影响评价识别项目对周边社区和安全方面的影响，优化项目设计，并制定相应的社会风险管理措施；整个项目期内，项目开展利益相关方参与，建立抱怨申诉机制。</w:t>
            </w:r>
          </w:p>
          <w:p w14:paraId="0B3B30C4">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rPr>
              <w:t>项目在准备中进行的充分的协商。在此基础上，子项目编制了利益相关方参与计划（SEP），确保利益相关方持续在项目生命期内参与到项目中，在实施过程中进行监测。</w:t>
            </w:r>
          </w:p>
        </w:tc>
      </w:tr>
      <w:tr w14:paraId="07AF3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vAlign w:val="center"/>
          </w:tcPr>
          <w:p w14:paraId="7E1C165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rPr>
              <w:t>2</w:t>
            </w:r>
          </w:p>
        </w:tc>
        <w:tc>
          <w:tcPr>
            <w:tcW w:w="420" w:type="pct"/>
            <w:vAlign w:val="center"/>
          </w:tcPr>
          <w:p w14:paraId="0C9B00B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rPr>
              <w:t>ESS2：土地征用和非自愿移民</w:t>
            </w:r>
          </w:p>
        </w:tc>
        <w:tc>
          <w:tcPr>
            <w:tcW w:w="271" w:type="pct"/>
            <w:vAlign w:val="center"/>
          </w:tcPr>
          <w:p w14:paraId="6093E12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rPr>
              <w:t>是</w:t>
            </w:r>
          </w:p>
        </w:tc>
        <w:tc>
          <w:tcPr>
            <w:tcW w:w="1833" w:type="pct"/>
            <w:vAlign w:val="center"/>
          </w:tcPr>
          <w:p w14:paraId="668810BC">
            <w:pPr>
              <w:adjustRightInd w:val="0"/>
              <w:snapToGrid w:val="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根据鉴别，对新建项目活动涉及土地征收，项目进行了移民影响调查，社会经济及安置方案调查，制定移民安置行动计划（RAP）</w:t>
            </w:r>
          </w:p>
          <w:p w14:paraId="68E5A4D1">
            <w:pPr>
              <w:adjustRightInd w:val="0"/>
              <w:snapToGrid w:val="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对于本项目已经获得的土地活动进行相应的尽职调查，识别了遗留的土地问题，并制定相应的补救措施。</w:t>
            </w:r>
          </w:p>
          <w:p w14:paraId="207CD3BE">
            <w:pPr>
              <w:adjustRightInd w:val="0"/>
              <w:snapToGrid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rPr>
              <w:t>对于项目用地，强化了抱怨申诉及监测评估。</w:t>
            </w:r>
          </w:p>
        </w:tc>
        <w:tc>
          <w:tcPr>
            <w:tcW w:w="1287" w:type="pct"/>
            <w:vAlign w:val="center"/>
          </w:tcPr>
          <w:p w14:paraId="11D347D0">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rPr>
              <w:t>中国政策对市政项目投资没有要求编制单独移民安置计划，并不要求对现有设施进行尽职调查。</w:t>
            </w:r>
          </w:p>
        </w:tc>
        <w:tc>
          <w:tcPr>
            <w:tcW w:w="949" w:type="pct"/>
            <w:vAlign w:val="center"/>
          </w:tcPr>
          <w:p w14:paraId="77C78CB1">
            <w:pPr>
              <w:adjustRightInd w:val="0"/>
              <w:snapToGrid w:val="0"/>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根据移民影响识别，项目编制了移民行动计划（RAP），并对现有设施进行了尽职调查；制定项目移民实施的监测方案。</w:t>
            </w:r>
          </w:p>
        </w:tc>
      </w:tr>
    </w:tbl>
    <w:p w14:paraId="4C02ADF2">
      <w:pPr>
        <w:spacing w:before="120" w:after="120" w:line="300" w:lineRule="auto"/>
        <w:jc w:val="both"/>
        <w:rPr>
          <w:rFonts w:hint="default" w:ascii="Times New Roman" w:hAnsi="Times New Roman" w:eastAsia="宋体" w:cs="Times New Roman"/>
          <w:color w:val="auto"/>
          <w:highlight w:val="none"/>
        </w:rPr>
        <w:sectPr>
          <w:pgSz w:w="16838" w:h="11906" w:orient="landscape"/>
          <w:pgMar w:top="1689" w:right="1440" w:bottom="1689" w:left="1440" w:header="851" w:footer="992" w:gutter="0"/>
          <w:cols w:space="720" w:num="1"/>
          <w:docGrid w:linePitch="326" w:charSpace="0"/>
        </w:sectPr>
      </w:pPr>
    </w:p>
    <w:p w14:paraId="19E6764F">
      <w:pPr>
        <w:pStyle w:val="4"/>
        <w:spacing w:before="120"/>
        <w:rPr>
          <w:rFonts w:hint="default" w:ascii="Times New Roman" w:hAnsi="Times New Roman" w:eastAsia="宋体" w:cs="Times New Roman"/>
          <w:color w:val="auto"/>
          <w:szCs w:val="24"/>
          <w:highlight w:val="none"/>
        </w:rPr>
      </w:pPr>
      <w:bookmarkStart w:id="212" w:name="_Toc114673089"/>
      <w:bookmarkStart w:id="213" w:name="_Toc32561"/>
      <w:r>
        <w:rPr>
          <w:rFonts w:hint="default" w:ascii="Times New Roman" w:hAnsi="Times New Roman" w:eastAsia="宋体" w:cs="Times New Roman"/>
          <w:color w:val="auto"/>
          <w:szCs w:val="24"/>
          <w:highlight w:val="none"/>
        </w:rPr>
        <w:t>亚投行《环境和社会框架》的要求和适用性</w:t>
      </w:r>
      <w:bookmarkEnd w:id="212"/>
      <w:bookmarkEnd w:id="213"/>
    </w:p>
    <w:p w14:paraId="1FEE8F0D">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亚投行《环境和社会框架》通过一项亚投行政策和一套环境和社会标准阐明了亚投行对可持续发展的承诺。该环境和社会标准针对亚投行通过投资项目融资所支持的项目，规定了借款国在识别和评价项目的环境和社会风险及影响时应满足的要求。</w:t>
      </w:r>
    </w:p>
    <w:p w14:paraId="49D83BF9">
      <w:pPr>
        <w:pStyle w:val="39"/>
        <w:numPr>
          <w:ilvl w:val="2"/>
          <w:numId w:val="14"/>
        </w:numPr>
        <w:spacing w:before="120" w:after="120" w:line="30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ESS1要求：</w:t>
      </w:r>
    </w:p>
    <w:p w14:paraId="4CC86C42">
      <w:pPr>
        <w:pStyle w:val="39"/>
        <w:numPr>
          <w:ilvl w:val="0"/>
          <w:numId w:val="15"/>
        </w:numPr>
        <w:spacing w:before="120" w:after="120" w:line="300" w:lineRule="auto"/>
        <w:ind w:firstLine="3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借款国按照亚洲基础设施投资银行可接受的方式和时间在整个项目周期中评价、管理和监测环境和社会风险与影响，确保其符合《环境和社会标准》的要求。借款国将针对拟议项目开展环境和社会评价，包括利益相关方参与；根据ESS开展利益相关方参与活动并发布适当的信息；以及根据《环境和社会标准》，监测并报告项目的环境和社会绩效。</w:t>
      </w:r>
    </w:p>
    <w:p w14:paraId="11BF4DC9">
      <w:pPr>
        <w:pStyle w:val="39"/>
        <w:numPr>
          <w:ilvl w:val="0"/>
          <w:numId w:val="15"/>
        </w:numPr>
        <w:spacing w:before="120" w:after="120" w:line="300" w:lineRule="auto"/>
        <w:ind w:firstLine="3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借款国应对包括直接工作人员和合同工人在内的项目工作人员制定并实施适用于项目的书面劳动管理程序；向项目工作人员提供能明确清晰地说明雇用条款和条件的信息和文件，应根据国家法律和劳动管理程序要求定期为项目工作人员支付薪资；只有在国家法律或劳动管理程序允许的情况下，方可扣减工作人员的工资，且应向工作人员告知扣减工资的条件；应根据国家法律和劳动管理程序规定为项目工作人员提供足够的周休、年假以及病假、产假和家事假；不得有童工、强迫劳动和歧视；针对弱势工作人员提供适当的保护和援助措施；需提供申诉机制；并设计和实施职业健康和安全措施。</w:t>
      </w:r>
    </w:p>
    <w:p w14:paraId="45FE9D57">
      <w:pPr>
        <w:pStyle w:val="39"/>
        <w:numPr>
          <w:ilvl w:val="0"/>
          <w:numId w:val="15"/>
        </w:numPr>
        <w:spacing w:before="120" w:after="120" w:line="300" w:lineRule="auto"/>
        <w:ind w:firstLine="3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借款国应对项目周期内项目对受影响社区的健康与安全所造成的风险和影响进行评估，包括那些因其特殊情况而导致的弱势群体。借款国应根据管理及缓解措施排序识别风险和影响，提出缓解措施。</w:t>
      </w:r>
    </w:p>
    <w:p w14:paraId="61881576">
      <w:pPr>
        <w:pStyle w:val="39"/>
        <w:numPr>
          <w:ilvl w:val="0"/>
          <w:numId w:val="15"/>
        </w:numPr>
        <w:spacing w:before="120" w:after="120" w:line="300" w:lineRule="auto"/>
        <w:ind w:firstLine="3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借款国应在整个项目周期内保持利益相关方的参与，且利益相关方参与的性质、范围和频率将与项目的性质和规模及其潜在风险和影响相符。借款国将与所有利益相关方进行有意义的磋商，提供及时、易理解和易于获取的相关信息，并以文化契合的方式与他们进行磋商，不受外部操纵、干预、胁迫、歧视和恐吓。作为社会评价的一部分，借款国将保存并公开利益相关方参与的文件记录，包括有关参与磋商的利益相关方的描述、收到反馈意见的汇总、对如何考虑反馈意见的简要说明，或其反馈意见不可取的原因。</w:t>
      </w:r>
    </w:p>
    <w:p w14:paraId="1128D3DD">
      <w:pPr>
        <w:pStyle w:val="39"/>
        <w:numPr>
          <w:ilvl w:val="2"/>
          <w:numId w:val="14"/>
        </w:numPr>
        <w:spacing w:before="120" w:after="120" w:line="30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ESS2要求，</w:t>
      </w:r>
      <w:r>
        <w:rPr>
          <w:rFonts w:hint="default" w:ascii="Times New Roman" w:hAnsi="Times New Roman" w:eastAsia="宋体" w:cs="Times New Roman"/>
          <w:color w:val="auto"/>
          <w:highlight w:val="none"/>
        </w:rPr>
        <w:t>应尽量避免非自愿移民。当非自愿移民无法避免时，应在最大程度上减少移民，并应缜密规划和实施适当措施，以缓解对移民（和移民的安置区）的不利影响。</w:t>
      </w:r>
    </w:p>
    <w:p w14:paraId="50DBBBDF">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总体来说，ESSs确立了避免并在最大程度上降低对项目工作人员、受影响社区、非自愿移民等的社会风险和影响的目标和要求。这些社会风险和影响一旦确定，就要求借款人通过符合ESS1的社会管理系统来对它们进行管理。</w:t>
      </w:r>
    </w:p>
    <w:p w14:paraId="40A85560">
      <w:pPr>
        <w:spacing w:before="120" w:after="120" w:line="300" w:lineRule="auto"/>
        <w:ind w:firstLine="480" w:firstLineChars="200"/>
        <w:jc w:val="both"/>
        <w:rPr>
          <w:rFonts w:hint="default" w:ascii="Times New Roman" w:hAnsi="Times New Roman" w:eastAsia="宋体" w:cs="Times New Roman"/>
          <w:color w:val="auto"/>
          <w:highlight w:val="none"/>
        </w:rPr>
      </w:pPr>
    </w:p>
    <w:p w14:paraId="6B76B91B">
      <w:pPr>
        <w:spacing w:before="120" w:after="120" w:line="300" w:lineRule="auto"/>
        <w:ind w:firstLine="480" w:firstLineChars="200"/>
        <w:jc w:val="both"/>
        <w:rPr>
          <w:rFonts w:hint="default" w:ascii="Times New Roman" w:hAnsi="Times New Roman" w:eastAsia="宋体" w:cs="Times New Roman"/>
          <w:color w:val="auto"/>
          <w:highlight w:val="none"/>
        </w:rPr>
        <w:sectPr>
          <w:pgSz w:w="11906" w:h="16838"/>
          <w:pgMar w:top="1440" w:right="1800" w:bottom="1440" w:left="1800" w:header="851" w:footer="992" w:gutter="0"/>
          <w:cols w:space="720" w:num="1"/>
          <w:docGrid w:linePitch="326" w:charSpace="0"/>
        </w:sectPr>
      </w:pPr>
    </w:p>
    <w:p w14:paraId="2A699E49">
      <w:pPr>
        <w:pStyle w:val="3"/>
        <w:numPr>
          <w:ilvl w:val="0"/>
          <w:numId w:val="4"/>
        </w:numPr>
        <w:spacing w:line="276" w:lineRule="auto"/>
        <w:ind w:left="431" w:hanging="431"/>
        <w:jc w:val="center"/>
        <w:rPr>
          <w:rFonts w:hint="default" w:ascii="Times New Roman" w:hAnsi="Times New Roman" w:eastAsia="宋体" w:cs="Times New Roman"/>
          <w:color w:val="auto"/>
          <w:sz w:val="28"/>
          <w:szCs w:val="28"/>
          <w:highlight w:val="none"/>
        </w:rPr>
      </w:pPr>
      <w:bookmarkStart w:id="214" w:name="_Toc4434"/>
      <w:bookmarkStart w:id="215" w:name="_Toc83326396"/>
      <w:bookmarkStart w:id="216" w:name="_Toc56412941"/>
      <w:bookmarkStart w:id="217" w:name="_Toc58328378"/>
      <w:bookmarkStart w:id="218" w:name="_Toc114673090"/>
      <w:bookmarkStart w:id="219" w:name="_Toc110846300"/>
      <w:bookmarkStart w:id="220" w:name="_Toc57756364"/>
      <w:r>
        <w:rPr>
          <w:rFonts w:hint="default" w:ascii="Times New Roman" w:hAnsi="Times New Roman" w:eastAsia="宋体" w:cs="Times New Roman"/>
          <w:color w:val="auto"/>
          <w:sz w:val="28"/>
          <w:szCs w:val="28"/>
          <w:highlight w:val="none"/>
        </w:rPr>
        <w:t>社会风险与影响筛选</w:t>
      </w:r>
      <w:bookmarkEnd w:id="214"/>
      <w:bookmarkEnd w:id="215"/>
      <w:bookmarkEnd w:id="216"/>
      <w:bookmarkEnd w:id="217"/>
      <w:bookmarkEnd w:id="218"/>
      <w:bookmarkEnd w:id="219"/>
      <w:bookmarkEnd w:id="220"/>
    </w:p>
    <w:p w14:paraId="7412CDFA">
      <w:pPr>
        <w:rPr>
          <w:rFonts w:hint="default" w:ascii="Times New Roman" w:hAnsi="Times New Roman" w:cs="Times New Roman"/>
          <w:color w:val="auto"/>
          <w:highlight w:val="none"/>
        </w:rPr>
      </w:pPr>
    </w:p>
    <w:p w14:paraId="0CCA359E">
      <w:pPr>
        <w:pStyle w:val="4"/>
        <w:spacing w:before="120" w:after="240"/>
        <w:rPr>
          <w:rFonts w:hint="default" w:ascii="Times New Roman" w:hAnsi="Times New Roman" w:eastAsia="宋体" w:cs="Times New Roman"/>
          <w:color w:val="auto"/>
          <w:szCs w:val="24"/>
          <w:highlight w:val="none"/>
        </w:rPr>
      </w:pPr>
      <w:bookmarkStart w:id="221" w:name="_Toc58328379"/>
      <w:bookmarkStart w:id="222" w:name="_Toc57756365"/>
      <w:bookmarkStart w:id="223" w:name="_Toc110846301"/>
      <w:bookmarkStart w:id="224" w:name="_Toc83326397"/>
      <w:bookmarkStart w:id="225" w:name="_Toc114673091"/>
      <w:bookmarkStart w:id="226" w:name="_Toc3926"/>
      <w:r>
        <w:rPr>
          <w:rFonts w:hint="default" w:ascii="Times New Roman" w:hAnsi="Times New Roman" w:eastAsia="宋体" w:cs="Times New Roman"/>
          <w:color w:val="auto"/>
          <w:szCs w:val="24"/>
          <w:highlight w:val="none"/>
        </w:rPr>
        <w:t>筛选方法</w:t>
      </w:r>
      <w:bookmarkEnd w:id="221"/>
      <w:bookmarkEnd w:id="222"/>
      <w:bookmarkEnd w:id="223"/>
      <w:bookmarkEnd w:id="224"/>
      <w:bookmarkEnd w:id="225"/>
      <w:bookmarkEnd w:id="226"/>
    </w:p>
    <w:p w14:paraId="1CB68C29">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项目社会影响评价小组通过资料收集、座谈会、问卷调查、利益相关方</w:t>
      </w:r>
      <w:r>
        <w:rPr>
          <w:rFonts w:hint="default" w:ascii="Times New Roman" w:hAnsi="Times New Roman" w:eastAsia="宋体" w:cs="Times New Roman"/>
          <w:color w:val="auto"/>
          <w:highlight w:val="none"/>
          <w:vertAlign w:val="superscript"/>
        </w:rPr>
        <w:footnoteReference w:id="6"/>
      </w:r>
      <w:r>
        <w:rPr>
          <w:rFonts w:hint="default" w:ascii="Times New Roman" w:hAnsi="Times New Roman" w:eastAsia="宋体" w:cs="Times New Roman"/>
          <w:color w:val="auto"/>
          <w:highlight w:val="none"/>
        </w:rPr>
        <w:t>访谈、关键信息人访谈以等方式，对本项目所潜在的社会风险因素展开了详细的识别与筛查。</w:t>
      </w:r>
    </w:p>
    <w:p w14:paraId="7614EC47">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项目的拟建内容，本项目潜在的社会风险包括：土地征收及房屋拆迁安置风险、劳动者工作关系及职业健康和安全的风险、社区健康安全及道路安全方面的风险，利益相关者参与不充分、弱势群体非包容性风险等。</w:t>
      </w:r>
    </w:p>
    <w:p w14:paraId="6A1F6B1B">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本项目的关键社会风险主要包括社区健康与安全、劳工和工作条件、土地征收与移民安置、非包容性影响（即社会包容性和性别平等）、利益相关者参与不足等。</w:t>
      </w:r>
    </w:p>
    <w:p w14:paraId="1E3DBFA0">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对以上初步识别和筛查的风险因素，再结合项目活动的性质和规模以及现有的管理水平等，初步判断了社会风险的程度。</w:t>
      </w:r>
    </w:p>
    <w:p w14:paraId="3544181B">
      <w:pPr>
        <w:pStyle w:val="4"/>
        <w:spacing w:before="120" w:after="240"/>
        <w:rPr>
          <w:rFonts w:hint="default" w:ascii="Times New Roman" w:hAnsi="Times New Roman" w:eastAsia="宋体" w:cs="Times New Roman"/>
          <w:color w:val="auto"/>
          <w:szCs w:val="24"/>
          <w:highlight w:val="none"/>
        </w:rPr>
      </w:pPr>
      <w:bookmarkStart w:id="227" w:name="_Toc110846302"/>
      <w:bookmarkStart w:id="228" w:name="_Toc58328380"/>
      <w:bookmarkStart w:id="229" w:name="_Toc57756366"/>
      <w:bookmarkStart w:id="230" w:name="_Toc83326398"/>
      <w:bookmarkStart w:id="231" w:name="_Toc114673092"/>
      <w:bookmarkStart w:id="232" w:name="_Toc24196"/>
      <w:r>
        <w:rPr>
          <w:rFonts w:hint="default" w:ascii="Times New Roman" w:hAnsi="Times New Roman" w:eastAsia="宋体" w:cs="Times New Roman"/>
          <w:color w:val="auto"/>
          <w:szCs w:val="24"/>
          <w:highlight w:val="none"/>
        </w:rPr>
        <w:t>社会影响筛选结果</w:t>
      </w:r>
      <w:bookmarkEnd w:id="227"/>
      <w:bookmarkEnd w:id="228"/>
      <w:bookmarkEnd w:id="229"/>
      <w:bookmarkEnd w:id="230"/>
      <w:bookmarkEnd w:id="231"/>
      <w:bookmarkEnd w:id="232"/>
    </w:p>
    <w:p w14:paraId="1EF729A9">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本项目的设施建设的社会风险分析按照各子项目的活动以及项目的各阶段（准备期、实施期以及运营期），对照亚投行环境和社会政策框架及其环境（ESF）和社会影响标准（ESSs）展开。</w:t>
      </w:r>
    </w:p>
    <w:p w14:paraId="0146968F">
      <w:pPr>
        <w:pStyle w:val="5"/>
        <w:spacing w:before="120"/>
        <w:rPr>
          <w:rFonts w:hint="default" w:ascii="Times New Roman" w:hAnsi="Times New Roman" w:eastAsia="宋体" w:cs="Times New Roman"/>
          <w:color w:val="auto"/>
          <w:highlight w:val="none"/>
        </w:rPr>
      </w:pPr>
      <w:bookmarkStart w:id="233" w:name="_Toc58328381"/>
      <w:bookmarkStart w:id="234" w:name="_Toc57756367"/>
      <w:bookmarkStart w:id="235" w:name="_Toc110846303"/>
      <w:bookmarkStart w:id="236" w:name="_Toc8695"/>
      <w:bookmarkStart w:id="237" w:name="_Toc114673093"/>
      <w:r>
        <w:rPr>
          <w:rFonts w:hint="default" w:ascii="Times New Roman" w:hAnsi="Times New Roman" w:eastAsia="宋体" w:cs="Times New Roman"/>
          <w:color w:val="auto"/>
          <w:highlight w:val="none"/>
        </w:rPr>
        <w:t>不相关</w:t>
      </w:r>
      <w:bookmarkEnd w:id="233"/>
      <w:bookmarkEnd w:id="234"/>
      <w:bookmarkEnd w:id="235"/>
      <w:r>
        <w:rPr>
          <w:rFonts w:hint="default" w:ascii="Times New Roman" w:hAnsi="Times New Roman" w:eastAsia="宋体" w:cs="Times New Roman"/>
          <w:color w:val="auto"/>
          <w:highlight w:val="none"/>
        </w:rPr>
        <w:t>的社会风险与影响</w:t>
      </w:r>
      <w:bookmarkEnd w:id="236"/>
      <w:bookmarkEnd w:id="237"/>
    </w:p>
    <w:p w14:paraId="56DF737A">
      <w:pPr>
        <w:pStyle w:val="25"/>
        <w:widowControl w:val="0"/>
        <w:numPr>
          <w:ilvl w:val="0"/>
          <w:numId w:val="16"/>
        </w:numPr>
        <w:spacing w:before="120" w:after="120" w:line="300" w:lineRule="auto"/>
        <w:ind w:left="567"/>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少数民族</w:t>
      </w:r>
      <w:r>
        <w:rPr>
          <w:rFonts w:hint="default" w:ascii="Times New Roman" w:hAnsi="Times New Roman" w:eastAsia="宋体" w:cs="Times New Roman"/>
          <w:color w:val="auto"/>
          <w:sz w:val="24"/>
          <w:szCs w:val="24"/>
          <w:highlight w:val="none"/>
        </w:rPr>
        <w:t>：</w:t>
      </w:r>
    </w:p>
    <w:p w14:paraId="69E59808">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根据调查，本项目建设范围内不涉及少数民族聚居的社区或村庄，与ESS3标准不相关。</w:t>
      </w:r>
    </w:p>
    <w:p w14:paraId="26FE5673">
      <w:pPr>
        <w:pStyle w:val="25"/>
        <w:widowControl w:val="0"/>
        <w:numPr>
          <w:ilvl w:val="0"/>
          <w:numId w:val="16"/>
        </w:numPr>
        <w:spacing w:before="120" w:after="120" w:line="300" w:lineRule="auto"/>
        <w:ind w:left="567"/>
        <w:jc w:val="both"/>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强迫劳动及使用童工：</w:t>
      </w:r>
    </w:p>
    <w:p w14:paraId="6B90D7B1">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国针对禁止童工、歧视和强迫劳动有全面的法律法规和严格的监督，与《环境和社会标准2》的范围和要素基本一致。陕西省相关政策禁止任何单位、组织和个人介绍不满16周岁的未成年人就业。县级以上人民政府应当加强对禁止使用童工工作的领导，建立健全禁止使用童工工作的协调机制和责任考核制度，督促落实禁止使用童工的各项措施。</w:t>
      </w:r>
    </w:p>
    <w:p w14:paraId="017CC196">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活动涉及的工人主要为建设期管理人员及施工人员、运营期管理人员和工作人员。考虑到工作职位的性质，项目建设工人需要相关的经验、技能和资质证书。这些均设置了年龄门槛（如中国申请驾照需18岁以上）。保洁人员、勤杂工等大多都是40-50左右的年龄。根据调查，截止目前，项目办不存在雇佣童工和16-18岁未成年工人的情况。</w:t>
      </w:r>
    </w:p>
    <w:p w14:paraId="36B1598D">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劳动法》和《国务院关于职工工作时间的规定》，劳动者每周工作时间不得超过44小时，平均每天不得超过8小时。在特定情况下，延长的工作时间每天不超过3小时，每月总计不超过36小时（《劳动法》第41条）；未成年工人（16-18岁）不应参与加班工作。根据尽职调查，截止目前，项目办不存在强迫劳动。</w:t>
      </w:r>
    </w:p>
    <w:p w14:paraId="2F0E08F2">
      <w:pPr>
        <w:widowControl w:val="0"/>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劳动法》第十二条规定，劳动者就业，不因民族、种族、性别、宗教信仰不同而受歧视。《就业促进法》第二十七条规定，不得以性别为由拒绝录用妇女或提高对妇女的录用标准，不得在劳动合同中规定限制女职工结婚、生育的内容。《就业促进法》对“残疾人”、“传染病原携带者”和“农村劳动者”的就业权利的保护；同时，也明确规定用人单位发布的招用人员简章或招聘广告，不得包含歧视性内容。根据调查，截止目前，项目办中不存在招聘方面的歧视。</w:t>
      </w:r>
    </w:p>
    <w:p w14:paraId="77B4AD8D">
      <w:pPr>
        <w:widowControl w:val="0"/>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根据社会调查，项目建设和运营期的执行机构主要为政府相关部门以及下属机构，均采纳较为完善的劳动者管理和监督体系，没有发生过使用童工、强迫劳动及招聘歧视。因此，</w:t>
      </w:r>
      <w:r>
        <w:rPr>
          <w:rFonts w:hint="default" w:ascii="Times New Roman" w:hAnsi="Times New Roman" w:eastAsia="宋体" w:cs="Times New Roman"/>
          <w:color w:val="auto"/>
          <w:highlight w:val="none"/>
          <w:u w:val="single"/>
        </w:rPr>
        <w:t>可以预见本项目下童工、强迫劳动和招聘歧视等方面的劳动者风险可以忽略不计</w:t>
      </w:r>
      <w:r>
        <w:rPr>
          <w:rFonts w:hint="default" w:ascii="Times New Roman" w:hAnsi="Times New Roman" w:eastAsia="宋体" w:cs="Times New Roman"/>
          <w:color w:val="auto"/>
          <w:highlight w:val="none"/>
        </w:rPr>
        <w:t>；但是，根据尽职调查及相关机构的现有管理水平，本项目下需要特别关注劳动者工作条款及条件和职业健康安全等方面的风险。</w:t>
      </w:r>
    </w:p>
    <w:p w14:paraId="60EF60F4">
      <w:pPr>
        <w:pStyle w:val="5"/>
        <w:spacing w:before="120"/>
        <w:rPr>
          <w:rFonts w:hint="default" w:ascii="Times New Roman" w:hAnsi="Times New Roman" w:eastAsia="宋体" w:cs="Times New Roman"/>
          <w:color w:val="auto"/>
          <w:szCs w:val="24"/>
          <w:highlight w:val="none"/>
        </w:rPr>
      </w:pPr>
      <w:bookmarkStart w:id="238" w:name="_Toc86388443"/>
      <w:bookmarkEnd w:id="238"/>
      <w:bookmarkStart w:id="239" w:name="_Toc86388442"/>
      <w:bookmarkEnd w:id="239"/>
      <w:bookmarkStart w:id="240" w:name="_Toc110846304"/>
      <w:bookmarkStart w:id="241" w:name="_Toc24213"/>
      <w:bookmarkStart w:id="242" w:name="_Toc114673094"/>
      <w:r>
        <w:rPr>
          <w:rFonts w:hint="default" w:ascii="Times New Roman" w:hAnsi="Times New Roman" w:eastAsia="宋体" w:cs="Times New Roman"/>
          <w:color w:val="auto"/>
          <w:szCs w:val="24"/>
          <w:highlight w:val="none"/>
        </w:rPr>
        <w:t>相关</w:t>
      </w:r>
      <w:bookmarkEnd w:id="240"/>
      <w:r>
        <w:rPr>
          <w:rFonts w:hint="default" w:ascii="Times New Roman" w:hAnsi="Times New Roman" w:eastAsia="宋体" w:cs="Times New Roman"/>
          <w:color w:val="auto"/>
          <w:szCs w:val="24"/>
          <w:highlight w:val="none"/>
        </w:rPr>
        <w:t>的社会风险与影响</w:t>
      </w:r>
      <w:bookmarkEnd w:id="241"/>
      <w:bookmarkEnd w:id="242"/>
    </w:p>
    <w:p w14:paraId="304EA837">
      <w:pPr>
        <w:widowControl w:val="0"/>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按照项目活动及亚投行环境和社会标准筛查，本项目潜在的社会风险主要包括：（1）项目在准备、建设和运营过程中的包容性风险，即潜在的女性和其他弱势群体参与项目和从项目受益机会不足；（2）征地与移民影响；（3）劳工和工作条件相关：项目建设与运营涉及的管理人员及工作人员（如施工工人等），工作条件（诸如工资水平、工作时间、合同条款、GRM、加班补偿等）应按劳动法要求执行，还包括劳工健康与安全风险；（4）社区健康与安全风险，主要包括项目区内的自然灾害尤其是洪水风险、项目建设工程施工中的道路和交通安全风险、施工对附近居民生活的扰动、以及外来施工人员对附近社区居民生活的影响等，还包括道路子项目建成使用后的道路和交通安全风险；以及（5）如果有效利益相关者参与不足，可能致使项目社会支持度不足和可持续性不强，容易引发社区和公众不满等。</w:t>
      </w:r>
    </w:p>
    <w:p w14:paraId="3FFD4A95">
      <w:pPr>
        <w:pStyle w:val="39"/>
        <w:numPr>
          <w:ilvl w:val="0"/>
          <w:numId w:val="17"/>
        </w:numPr>
        <w:snapToGrid w:val="0"/>
        <w:spacing w:line="360" w:lineRule="auto"/>
        <w:jc w:val="both"/>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弱势群体</w:t>
      </w:r>
    </w:p>
    <w:p w14:paraId="71029EB6">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项目区内相关的弱势群体可能因为自身的因素会受到更多的影响，有可能存在被项目排除在外的风险。</w:t>
      </w:r>
    </w:p>
    <w:p w14:paraId="1BE0A758">
      <w:pPr>
        <w:pStyle w:val="39"/>
        <w:numPr>
          <w:ilvl w:val="0"/>
          <w:numId w:val="17"/>
        </w:numPr>
        <w:snapToGrid w:val="0"/>
        <w:spacing w:line="360" w:lineRule="auto"/>
        <w:jc w:val="both"/>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性别</w:t>
      </w:r>
    </w:p>
    <w:p w14:paraId="14849475">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项目准备和实施过程中，女性参与公共事务和协商活动的人数与男性相比更少。一些临时性用工，不能做到男女同工同酬。</w:t>
      </w:r>
    </w:p>
    <w:p w14:paraId="5DFB0956">
      <w:pPr>
        <w:pStyle w:val="39"/>
        <w:numPr>
          <w:ilvl w:val="0"/>
          <w:numId w:val="17"/>
        </w:numPr>
        <w:snapToGrid w:val="0"/>
        <w:spacing w:line="360" w:lineRule="auto"/>
        <w:jc w:val="both"/>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项目用地风险</w:t>
      </w:r>
    </w:p>
    <w:p w14:paraId="47E5FCFF">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本项目的15个建设工程子项目中，2个子项目仅涉及施工临时影响（</w:t>
      </w:r>
      <w:r>
        <w:rPr>
          <w:rFonts w:hint="eastAsia" w:ascii="Times New Roman" w:hAnsi="Times New Roman" w:cs="Times New Roman"/>
          <w:color w:val="auto"/>
          <w:highlight w:val="none"/>
          <w:lang w:eastAsia="zh-CN"/>
        </w:rPr>
        <w:t>城东新区张滩北片区污水干管工程</w:t>
      </w:r>
      <w:r>
        <w:rPr>
          <w:rFonts w:hint="default" w:ascii="Times New Roman" w:hAnsi="Times New Roman" w:eastAsia="宋体" w:cs="Times New Roman"/>
          <w:color w:val="auto"/>
          <w:highlight w:val="none"/>
        </w:rPr>
        <w:t>、新能源路灯子项目），8个子项目涉及征地和房屋拆迁（振兴路、环塔路、永安路北段、绿苑路、</w:t>
      </w:r>
      <w:r>
        <w:rPr>
          <w:rFonts w:hint="eastAsia" w:ascii="Times New Roman" w:hAnsi="Times New Roman" w:cs="Times New Roman"/>
          <w:color w:val="auto"/>
          <w:highlight w:val="none"/>
          <w:lang w:eastAsia="zh-CN"/>
        </w:rPr>
        <w:t>安康关庙至黄洋河（环城干道东段）改建工程</w:t>
      </w:r>
      <w:r>
        <w:rPr>
          <w:rFonts w:hint="default" w:ascii="Times New Roman" w:hAnsi="Times New Roman" w:eastAsia="宋体" w:cs="Times New Roman"/>
          <w:color w:val="auto"/>
          <w:highlight w:val="none"/>
        </w:rPr>
        <w:t>、绿色低碳城市运营管理和数据中心、安康城东体育公园及社区生态公园项目），2个子项目仅涉及征地（春林路项目、绿色公共停车场项目），1个子项目涉及征地拆迁及土地流转影响（汉江修复和沿岸绿廊项目），1个子项目涉及土地流转（黄洋河水环境治理和生态公园项目）。项目用地量较大，涉及受影响人较多，尤其是个别受影响户对征地拆迁安置也有不同的诉求，需妥善处理。因此，本项目征地拆迁活动存在一定的风险。</w:t>
      </w:r>
    </w:p>
    <w:p w14:paraId="7E3D7D55">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如前所述，中国、陕西省以及汉滨区建立了完善的土地征收政策法规体系、征地及移民安置实施流程；征地执行机构也有专业的人员和丰富的经验实施土地征收及移民安置。因此，在一定程度上，用地风险可通过法规约束、流程管理以及征迁人员的相关经验降低。</w:t>
      </w:r>
    </w:p>
    <w:p w14:paraId="14C92AFE">
      <w:pPr>
        <w:pStyle w:val="39"/>
        <w:numPr>
          <w:ilvl w:val="0"/>
          <w:numId w:val="17"/>
        </w:numPr>
        <w:snapToGrid w:val="0"/>
        <w:spacing w:line="360" w:lineRule="auto"/>
        <w:jc w:val="both"/>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劳动者工作条件及健康安全风险</w:t>
      </w:r>
    </w:p>
    <w:p w14:paraId="25B7DACB">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在建设和运行过程中可能存在劳工管理风险，如劳工权益保护，劳工健康与安全等。施工过程中，劳动者劳工权益保护主要符合劳动法的合同管理、工人保险等；健康风险包括驾驶安全、设备使用安全、施工安全事故、噪音、空气、粉尘及传染病等。</w:t>
      </w:r>
    </w:p>
    <w:p w14:paraId="28C66DBD">
      <w:pPr>
        <w:pStyle w:val="39"/>
        <w:numPr>
          <w:ilvl w:val="0"/>
          <w:numId w:val="17"/>
        </w:numPr>
        <w:snapToGrid w:val="0"/>
        <w:spacing w:line="360" w:lineRule="auto"/>
        <w:jc w:val="both"/>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社区健康与安全</w:t>
      </w:r>
    </w:p>
    <w:p w14:paraId="7DA556AE">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本项目在施工建设中因材料运输及大型施工设备等进出施工场地；在建成使用期间，生态公园周边以及建成道路周边车流量可能会大幅增加。因此，项目可能会造成周边社区的交通运输安全风险。</w:t>
      </w:r>
    </w:p>
    <w:p w14:paraId="5C665ED0">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项目建设期间，土建工程会使用噪声及振动较大的设备或机械（如挖机、电钻等），会对建设地周边群众造成扰动。</w:t>
      </w:r>
    </w:p>
    <w:p w14:paraId="52A5B113">
      <w:pPr>
        <w:pStyle w:val="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此外，项目区还面临潜在的自然灾害风险，尤其是洪水风险影响。</w:t>
      </w:r>
    </w:p>
    <w:p w14:paraId="7F2270AA">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项目施工期间，外来施工人员由于生活习惯、生理健康等方面的因素，可能会对当地村民生活产生影响。</w:t>
      </w:r>
    </w:p>
    <w:p w14:paraId="3B7DA999">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根据调查发现，绿色低碳城市运营管理和数据中心项目红线外5米处，北面坡上有一处房屋，施工会对该房屋产生安全影响。为避免安全风险，将该户纳入拆迁范围。</w:t>
      </w:r>
    </w:p>
    <w:p w14:paraId="337AB10C">
      <w:pPr>
        <w:pStyle w:val="39"/>
        <w:numPr>
          <w:ilvl w:val="0"/>
          <w:numId w:val="17"/>
        </w:numPr>
        <w:snapToGrid w:val="0"/>
        <w:spacing w:line="360" w:lineRule="auto"/>
        <w:jc w:val="both"/>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信息公开与参与</w:t>
      </w:r>
    </w:p>
    <w:p w14:paraId="6E775268">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项目准备、实施以及运营过程中信息公开与参与是实现项目目标的重要环节。除了相关部门外，主要利益相关者包括镇村干部、敏感设施相关人员、项目周边居民或村民、征地受影响人、土地流转村民、受项目施工临时影响的村民、为项目服务的劳动者等。信息披露或磋商不及时及不充分会影响项目的目标的实现。</w:t>
      </w:r>
    </w:p>
    <w:p w14:paraId="6ABC722B">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在项目准备过程中进行广泛的信息公开及公众参与，并制定了利益相关方参与计划，并将在整个项目寿命期内实施。</w:t>
      </w:r>
    </w:p>
    <w:p w14:paraId="0B969029">
      <w:pPr>
        <w:spacing w:before="120" w:beforeLines="50" w:after="120" w:afterLines="50" w:line="300" w:lineRule="auto"/>
        <w:rPr>
          <w:rFonts w:hint="default" w:ascii="Times New Roman" w:hAnsi="Times New Roman" w:eastAsia="宋体" w:cs="Times New Roman"/>
          <w:color w:val="auto"/>
          <w:highlight w:val="none"/>
        </w:rPr>
      </w:pPr>
      <w:bookmarkStart w:id="243" w:name="_Toc83326399"/>
      <w:bookmarkStart w:id="244" w:name="_Toc16411"/>
      <w:bookmarkStart w:id="245" w:name="_Toc110846305"/>
    </w:p>
    <w:p w14:paraId="0DE32B8F">
      <w:pPr>
        <w:pStyle w:val="42"/>
        <w:ind w:left="0" w:leftChars="0" w:firstLine="0" w:firstLineChars="0"/>
        <w:rPr>
          <w:rFonts w:hint="default" w:ascii="Times New Roman" w:hAnsi="Times New Roman" w:eastAsia="宋体" w:cs="Times New Roman"/>
          <w:color w:val="auto"/>
          <w:highlight w:val="none"/>
        </w:rPr>
      </w:pPr>
    </w:p>
    <w:bookmarkEnd w:id="243"/>
    <w:bookmarkEnd w:id="244"/>
    <w:bookmarkEnd w:id="245"/>
    <w:p w14:paraId="033D8A42">
      <w:pPr>
        <w:pStyle w:val="3"/>
        <w:pageBreakBefore/>
        <w:numPr>
          <w:ilvl w:val="0"/>
          <w:numId w:val="4"/>
        </w:numPr>
        <w:spacing w:line="276" w:lineRule="auto"/>
        <w:ind w:left="431" w:hanging="431"/>
        <w:jc w:val="center"/>
        <w:rPr>
          <w:rFonts w:hint="default" w:ascii="Times New Roman" w:hAnsi="Times New Roman" w:eastAsia="宋体" w:cs="Times New Roman"/>
          <w:color w:val="auto"/>
          <w:sz w:val="28"/>
          <w:szCs w:val="28"/>
          <w:highlight w:val="none"/>
        </w:rPr>
      </w:pPr>
      <w:bookmarkStart w:id="246" w:name="_Toc30667"/>
      <w:bookmarkStart w:id="247" w:name="_Toc83326405"/>
      <w:bookmarkStart w:id="248" w:name="_Toc110846310"/>
      <w:bookmarkStart w:id="249" w:name="_Toc114673101"/>
      <w:bookmarkStart w:id="250" w:name="_Toc1542"/>
      <w:r>
        <w:rPr>
          <w:rFonts w:hint="default" w:ascii="Times New Roman" w:hAnsi="Times New Roman" w:eastAsia="宋体" w:cs="Times New Roman"/>
          <w:color w:val="auto"/>
          <w:sz w:val="28"/>
          <w:szCs w:val="28"/>
          <w:highlight w:val="none"/>
        </w:rPr>
        <w:t>社会影响</w:t>
      </w:r>
      <w:bookmarkEnd w:id="246"/>
      <w:r>
        <w:rPr>
          <w:rFonts w:hint="default" w:ascii="Times New Roman" w:hAnsi="Times New Roman" w:eastAsia="宋体" w:cs="Times New Roman"/>
          <w:color w:val="auto"/>
          <w:sz w:val="28"/>
          <w:szCs w:val="28"/>
          <w:highlight w:val="none"/>
        </w:rPr>
        <w:t>分析</w:t>
      </w:r>
      <w:bookmarkEnd w:id="247"/>
      <w:bookmarkEnd w:id="248"/>
      <w:bookmarkEnd w:id="249"/>
      <w:bookmarkEnd w:id="250"/>
    </w:p>
    <w:p w14:paraId="44B60998">
      <w:pPr>
        <w:pStyle w:val="4"/>
        <w:spacing w:before="120" w:after="240"/>
        <w:rPr>
          <w:rFonts w:hint="default" w:ascii="Times New Roman" w:hAnsi="Times New Roman" w:eastAsia="宋体" w:cs="Times New Roman"/>
          <w:color w:val="auto"/>
          <w:szCs w:val="24"/>
          <w:highlight w:val="none"/>
        </w:rPr>
      </w:pPr>
      <w:bookmarkStart w:id="251" w:name="_Toc58178882"/>
      <w:bookmarkStart w:id="252" w:name="_Toc24897"/>
      <w:bookmarkStart w:id="253" w:name="_Toc114673102"/>
      <w:r>
        <w:rPr>
          <w:rFonts w:hint="default" w:ascii="Times New Roman" w:hAnsi="Times New Roman" w:eastAsia="宋体" w:cs="Times New Roman"/>
          <w:color w:val="auto"/>
          <w:szCs w:val="24"/>
          <w:highlight w:val="none"/>
        </w:rPr>
        <w:t>社会风险</w:t>
      </w:r>
      <w:bookmarkEnd w:id="251"/>
      <w:r>
        <w:rPr>
          <w:rFonts w:hint="default" w:ascii="Times New Roman" w:hAnsi="Times New Roman" w:eastAsia="宋体" w:cs="Times New Roman"/>
          <w:color w:val="auto"/>
          <w:szCs w:val="24"/>
          <w:highlight w:val="none"/>
        </w:rPr>
        <w:t>等级综述</w:t>
      </w:r>
      <w:bookmarkEnd w:id="252"/>
      <w:bookmarkEnd w:id="253"/>
    </w:p>
    <w:p w14:paraId="62C7F78E">
      <w:pPr>
        <w:spacing w:before="120" w:after="120" w:line="300" w:lineRule="auto"/>
        <w:ind w:firstLine="480" w:firstLineChars="200"/>
        <w:jc w:val="both"/>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根据社会风险筛查和调查的结论，本节主要分析项目活动可能产生的社会风险和影响，包括负面影响/风险和正面效益，并结合公众参与提出相应的风险减缓措施和效益强化措施。本部分主要采用如下步骤对识别出主要社会风险和影响进行分析：</w:t>
      </w:r>
    </w:p>
    <w:p w14:paraId="0F3F66CC">
      <w:pPr>
        <w:spacing w:before="120" w:after="120" w:line="300" w:lineRule="auto"/>
        <w:ind w:firstLine="480" w:firstLineChars="200"/>
        <w:jc w:val="both"/>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首先，结合社会本底信息和公众参与结果对拟定的项目活动可能产生的影响和风险进行分析；</w:t>
      </w:r>
    </w:p>
    <w:p w14:paraId="6E95A2BB">
      <w:pPr>
        <w:spacing w:before="120" w:after="120" w:line="300" w:lineRule="auto"/>
        <w:ind w:firstLine="480" w:firstLineChars="200"/>
        <w:jc w:val="both"/>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其次，结合社会调查及社评过程中的各种公众参与活动结果，分析项目办和执行机构在项目实际管理和设计过程中已经采取的风险管理措施，评估社会绩效及可能存在的差距；</w:t>
      </w:r>
    </w:p>
    <w:p w14:paraId="60492D28">
      <w:pPr>
        <w:spacing w:before="120" w:after="120" w:line="300" w:lineRule="auto"/>
        <w:ind w:firstLine="480" w:firstLineChars="200"/>
        <w:jc w:val="both"/>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然后，根据相应环境和社会标准（ESSs）的要求，社评机构按照“减缓措施排序”（mitigation hierarchy）提出相应的缓解措施；</w:t>
      </w:r>
    </w:p>
    <w:p w14:paraId="4055DE99">
      <w:pPr>
        <w:spacing w:before="120" w:after="120" w:line="300" w:lineRule="auto"/>
        <w:ind w:firstLine="480" w:firstLineChars="200"/>
        <w:jc w:val="both"/>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最后，社评小组与项目办就本报告中提出的缓解措施进行磋商确认，明确内外部相关部门职责及措施实施时序安排。</w:t>
      </w:r>
    </w:p>
    <w:p w14:paraId="236FC9E8">
      <w:pPr>
        <w:pStyle w:val="4"/>
        <w:spacing w:before="120" w:after="240"/>
        <w:rPr>
          <w:rFonts w:hint="default" w:ascii="Times New Roman" w:hAnsi="Times New Roman" w:eastAsia="宋体" w:cs="Times New Roman"/>
          <w:color w:val="auto"/>
          <w:highlight w:val="none"/>
        </w:rPr>
      </w:pPr>
      <w:bookmarkStart w:id="254" w:name="_Toc98661769"/>
      <w:bookmarkEnd w:id="254"/>
      <w:bookmarkStart w:id="255" w:name="_Toc152083519"/>
      <w:bookmarkEnd w:id="255"/>
      <w:bookmarkStart w:id="256" w:name="_Toc98661096"/>
      <w:bookmarkEnd w:id="256"/>
      <w:bookmarkStart w:id="257" w:name="_Toc152083754"/>
      <w:bookmarkEnd w:id="257"/>
      <w:bookmarkStart w:id="258" w:name="_Toc113920975"/>
      <w:bookmarkEnd w:id="258"/>
      <w:bookmarkStart w:id="259" w:name="_Toc113923103"/>
      <w:bookmarkEnd w:id="259"/>
      <w:bookmarkStart w:id="260" w:name="_Toc98661436"/>
      <w:bookmarkEnd w:id="260"/>
      <w:bookmarkStart w:id="261" w:name="_Toc98662096"/>
      <w:bookmarkEnd w:id="261"/>
      <w:bookmarkStart w:id="262" w:name="_Toc113922897"/>
      <w:bookmarkEnd w:id="262"/>
      <w:bookmarkStart w:id="263" w:name="_Toc152083679"/>
      <w:bookmarkEnd w:id="263"/>
      <w:bookmarkStart w:id="264" w:name="_Toc24217"/>
      <w:bookmarkStart w:id="265" w:name="_Toc7340"/>
      <w:bookmarkStart w:id="266" w:name="_Toc57799732"/>
      <w:r>
        <w:rPr>
          <w:rFonts w:hint="default" w:ascii="Times New Roman" w:hAnsi="Times New Roman" w:eastAsia="宋体" w:cs="Times New Roman"/>
          <w:color w:val="auto"/>
          <w:highlight w:val="none"/>
        </w:rPr>
        <w:t>社会保障影响分析</w:t>
      </w:r>
      <w:bookmarkEnd w:id="264"/>
    </w:p>
    <w:p w14:paraId="1B34CC7C">
      <w:pPr>
        <w:pStyle w:val="5"/>
        <w:spacing w:before="120"/>
        <w:rPr>
          <w:rFonts w:hint="default" w:ascii="Times New Roman" w:hAnsi="Times New Roman" w:eastAsia="宋体" w:cs="Times New Roman"/>
          <w:color w:val="auto"/>
          <w:highlight w:val="none"/>
        </w:rPr>
      </w:pPr>
      <w:bookmarkStart w:id="267" w:name="_Toc28263"/>
      <w:r>
        <w:rPr>
          <w:rFonts w:hint="default" w:ascii="Times New Roman" w:hAnsi="Times New Roman" w:eastAsia="宋体" w:cs="Times New Roman"/>
          <w:color w:val="auto"/>
          <w:highlight w:val="none"/>
        </w:rPr>
        <w:t>弱势群体影响分析</w:t>
      </w:r>
      <w:bookmarkEnd w:id="267"/>
    </w:p>
    <w:p w14:paraId="7150EF98">
      <w:pPr>
        <w:spacing w:before="120" w:after="120" w:line="300" w:lineRule="auto"/>
        <w:ind w:firstLine="480" w:firstLineChars="200"/>
        <w:jc w:val="both"/>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rPr>
        <w:t>根据调查，受本项目直接影响的弱势群体主要是被征地的低保家庭，初步确定位16户低保家庭。相关分析及措施见</w:t>
      </w:r>
      <w:r>
        <w:rPr>
          <w:rFonts w:hint="default" w:ascii="Times New Roman" w:hAnsi="Times New Roman" w:eastAsia="宋体" w:cs="Times New Roman"/>
          <w:color w:val="auto"/>
          <w:highlight w:val="none"/>
          <w:u w:val="single"/>
        </w:rPr>
        <w:t>移民安置行动计划（RAP）。</w:t>
      </w:r>
    </w:p>
    <w:p w14:paraId="529C02B4">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受项目施工影响的弱势群体，主要是项目建设地周边村/社区的残疾人、非征地影响的低保户等。一般这些群体参与公众咨询活动的人数较少。因此，在项目设计和工程施工时，弱势群体有可能被排除在参与程序之外，导致他们的意见和建议不能纳入项目设计中，从而被排斥在项目之外。</w:t>
      </w:r>
    </w:p>
    <w:p w14:paraId="08E5ABFA">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项目制定了利益相关方参与计划，指导项目开展有意义的公众咨询，通过完善现有管理机制和程序，在设计和实施的过程中充分考虑弱势群体的发展机会和公平受益，以确保弱势群体的利益。</w:t>
      </w:r>
    </w:p>
    <w:p w14:paraId="4F15803C">
      <w:pPr>
        <w:pStyle w:val="5"/>
        <w:spacing w:before="120"/>
        <w:rPr>
          <w:rFonts w:hint="default" w:ascii="Times New Roman" w:hAnsi="Times New Roman" w:eastAsia="宋体" w:cs="Times New Roman"/>
          <w:color w:val="auto"/>
          <w:highlight w:val="none"/>
        </w:rPr>
      </w:pPr>
      <w:bookmarkStart w:id="268" w:name="_Toc18601"/>
      <w:r>
        <w:rPr>
          <w:rFonts w:hint="default" w:ascii="Times New Roman" w:hAnsi="Times New Roman" w:eastAsia="宋体" w:cs="Times New Roman"/>
          <w:color w:val="auto"/>
          <w:highlight w:val="none"/>
        </w:rPr>
        <w:t>性别影响分析</w:t>
      </w:r>
      <w:bookmarkEnd w:id="268"/>
    </w:p>
    <w:p w14:paraId="3C0E88B7">
      <w:pPr>
        <w:numPr>
          <w:ilvl w:val="0"/>
          <w:numId w:val="18"/>
        </w:numPr>
        <w:spacing w:before="120" w:beforeLines="50" w:after="120" w:afterLines="50" w:line="300" w:lineRule="auto"/>
        <w:ind w:firstLine="480" w:firstLineChars="20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项目区性别影响分析</w:t>
      </w:r>
    </w:p>
    <w:p w14:paraId="56C521F0">
      <w:pPr>
        <w:spacing w:before="120" w:beforeLines="50" w:after="120" w:afterLines="50" w:line="30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本次社会评价调查在项目实施地区11个村/社区为调查样本点，进行访谈和调查时为了充分听取女性的声音，在所有参与公众咨询活动的村民中女性占被调查者的41.4%。</w:t>
      </w:r>
    </w:p>
    <w:p w14:paraId="1659D79D">
      <w:pPr>
        <w:pStyle w:val="2"/>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性别调查显示，在决策方面，一般没有性别区分，基本上男性女性共同商量决策家庭事务。但是，受访女性参与公共事务和协商活动的人数与男性相比更少。原因是当地社会背景以及生活习惯，更多的农村家庭女性认为，需要决策的事务商量好后，应由男性成员在外代表家庭出席公共事务和协商活动，而自己更多的在家中处理家务事。这不仅限制了女性对相关信息的了解，而且还限制了她们在项目设计和实施方面的声音和需求。受访女性均表示没有家暴的经历，也很少听说当地家暴事件。</w:t>
      </w:r>
    </w:p>
    <w:p w14:paraId="2502F30B">
      <w:pPr>
        <w:pStyle w:val="2"/>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根据调查，项目区的男女参加正式工作的酬劳福利，基本上是同工同酬。但在按天结算的临时工（主要是小工等非技术体力劳动工作），女性和男性酬劳相差约50元/天。</w:t>
      </w:r>
    </w:p>
    <w:p w14:paraId="7FB4D28E">
      <w:pPr>
        <w:pStyle w:val="2"/>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此外，受访女性普遍认为，在项目建设和运营期间最有可能参与后勤保障、库管、厨师、文员、保洁及其他轻体力劳动的工作。受访女性也希望能免费参加实用技能培训，增加就业机会。</w:t>
      </w:r>
    </w:p>
    <w:p w14:paraId="784B5FB1">
      <w:pPr>
        <w:pStyle w:val="2"/>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基于对以上性别差异的弥补，将在社会管理计划中设置相应的措施：a.确保项目下各类用工男女同工同酬，b.加强女性公众咨询和协商活动的参与率，c.为女性提供参与技能培训的机会；d.项目建设和运营过程中，为女性提供合适的轻体力劳动岗位。</w:t>
      </w:r>
    </w:p>
    <w:p w14:paraId="1CB5229D">
      <w:pPr>
        <w:spacing w:before="120" w:beforeLines="50" w:after="120" w:afterLines="50" w:line="30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r>
        <w:rPr>
          <w:rFonts w:hint="default" w:ascii="Times New Roman" w:hAnsi="Times New Roman" w:eastAsia="宋体" w:cs="Times New Roman"/>
          <w:color w:val="auto"/>
          <w:highlight w:val="none"/>
          <w:u w:val="single"/>
        </w:rPr>
        <w:t>性剥削和性虐待/性骚扰的风险分析</w:t>
      </w:r>
    </w:p>
    <w:p w14:paraId="6B9E260D">
      <w:pPr>
        <w:spacing w:before="120" w:beforeLines="50" w:after="120" w:afterLines="50" w:line="30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中国和陕西省政府已经制定了全面的法规来预防性剥削和性虐待/性骚扰风险。地方政府不断加大执法力度，不断改善营商环境。</w:t>
      </w:r>
    </w:p>
    <w:p w14:paraId="3BB1C7A0">
      <w:pPr>
        <w:spacing w:before="120" w:beforeLines="50" w:after="120" w:afterLines="50" w:line="30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项目办致力于提供一个健康、有效的工作环境，在这种环境中，性骚扰是不被接受的，因其违反了法律和社会道德，是不能容忍的。</w:t>
      </w:r>
    </w:p>
    <w:p w14:paraId="5980B6FE">
      <w:pPr>
        <w:spacing w:before="120" w:beforeLines="50" w:after="120" w:afterLines="50" w:line="30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此外，相关公共服务提供方也提供现有的性剥削和性虐待/性骚扰预防服务。性剥削和性虐待/性骚扰预防服务提供方不仅在支持本项目处理可能出现的任何性剥削和性虐待/性骚扰案件方面至关重要，而且在协助本项目主动预防性剥削和性虐待/性骚扰事件方面也至关重要。包括：</w:t>
      </w:r>
    </w:p>
    <w:p w14:paraId="038F2FC7">
      <w:pPr>
        <w:spacing w:before="120" w:beforeLines="50" w:after="120" w:afterLines="50" w:line="30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•卫生服务机构：社区医院、妇幼保健院。</w:t>
      </w:r>
    </w:p>
    <w:p w14:paraId="20FDFB75">
      <w:pPr>
        <w:spacing w:before="120" w:beforeLines="50" w:after="120" w:afterLines="50" w:line="30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•司法服务机构：社区派出所；公安局、区法院。</w:t>
      </w:r>
    </w:p>
    <w:p w14:paraId="3901B3CE">
      <w:pPr>
        <w:spacing w:before="120" w:beforeLines="50" w:after="120" w:afterLines="50" w:line="30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•社会服务提供者：区法律援助中心、区妇联、社区女干部。</w:t>
      </w:r>
    </w:p>
    <w:p w14:paraId="41C70D1B">
      <w:pPr>
        <w:spacing w:before="120" w:beforeLines="50" w:after="120" w:afterLines="50" w:line="30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根据社会调查和妇联的反馈，项目区以前没有发生过性剥削和性虐待/性骚扰。因此，对工人的性剥削和性虐待/性骚扰风险较低。</w:t>
      </w:r>
    </w:p>
    <w:p w14:paraId="790EFDA3">
      <w:pPr>
        <w:pStyle w:val="5"/>
        <w:spacing w:before="120"/>
        <w:rPr>
          <w:rFonts w:hint="default" w:ascii="Times New Roman" w:hAnsi="Times New Roman" w:eastAsia="宋体" w:cs="Times New Roman"/>
          <w:color w:val="auto"/>
          <w:highlight w:val="none"/>
        </w:rPr>
      </w:pPr>
      <w:bookmarkStart w:id="269" w:name="_Toc31056"/>
      <w:bookmarkStart w:id="270" w:name="_Toc114673115"/>
      <w:r>
        <w:rPr>
          <w:rFonts w:hint="default" w:ascii="Times New Roman" w:hAnsi="Times New Roman" w:eastAsia="宋体" w:cs="Times New Roman"/>
          <w:color w:val="auto"/>
          <w:highlight w:val="none"/>
        </w:rPr>
        <w:t>征地与移民风险分析</w:t>
      </w:r>
      <w:bookmarkEnd w:id="269"/>
      <w:bookmarkEnd w:id="270"/>
    </w:p>
    <w:p w14:paraId="5727B21D">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本项目下有13个子项目涉及征收集体土地，其中有10个子项目涉及征地和拆迁影响。这些项目活动主要是道路工程、停车场及公园建设、防护工程、信息中心建设等。</w:t>
      </w:r>
    </w:p>
    <w:p w14:paraId="1E5F8B91">
      <w:pPr>
        <w:adjustRightInd w:val="0"/>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w:t>
      </w:r>
      <w:r>
        <w:rPr>
          <w:rFonts w:hint="eastAsia" w:ascii="Times New Roman" w:hAnsi="Times New Roman" w:cs="Times New Roman"/>
          <w:color w:val="auto"/>
          <w:highlight w:val="none"/>
        </w:rPr>
        <w:t>可行性研究阶段的初步</w:t>
      </w:r>
      <w:r>
        <w:rPr>
          <w:rFonts w:ascii="Times New Roman" w:hAnsi="Times New Roman" w:cs="Times New Roman"/>
          <w:color w:val="auto"/>
          <w:highlight w:val="none"/>
        </w:rPr>
        <w:t>调查</w:t>
      </w:r>
      <w:r>
        <w:rPr>
          <w:rFonts w:hint="default" w:ascii="Times New Roman" w:hAnsi="Times New Roman" w:eastAsia="宋体" w:cs="Times New Roman"/>
          <w:color w:val="auto"/>
          <w:highlight w:val="none"/>
        </w:rPr>
        <w:t>，本项目占地437</w:t>
      </w:r>
      <w:r>
        <w:rPr>
          <w:rFonts w:hint="eastAsia" w:ascii="Times New Roman" w:hAnsi="Times New Roman" w:cs="Times New Roman"/>
          <w:color w:val="auto"/>
          <w:highlight w:val="none"/>
          <w:lang w:val="en-US" w:eastAsia="zh-CN"/>
        </w:rPr>
        <w:t>8.92</w:t>
      </w:r>
      <w:r>
        <w:rPr>
          <w:rFonts w:hint="default" w:ascii="Times New Roman" w:hAnsi="Times New Roman" w:eastAsia="宋体" w:cs="Times New Roman"/>
          <w:color w:val="auto"/>
          <w:highlight w:val="none"/>
        </w:rPr>
        <w:t>亩（不含水域面积），共涉及张滩镇、石梯镇及新城街办的12个行政村/社区，其中：</w:t>
      </w:r>
      <w:r>
        <w:rPr>
          <w:rFonts w:hint="default" w:ascii="Times New Roman" w:hAnsi="Times New Roman" w:eastAsia="宋体" w:cs="Times New Roman"/>
          <w:color w:val="auto"/>
          <w:highlight w:val="none"/>
          <w:u w:val="single"/>
        </w:rPr>
        <w:t>拟征收集体土地109</w:t>
      </w:r>
      <w:r>
        <w:rPr>
          <w:rFonts w:hint="eastAsia" w:ascii="Times New Roman" w:hAnsi="Times New Roman" w:cs="Times New Roman"/>
          <w:color w:val="auto"/>
          <w:highlight w:val="none"/>
          <w:u w:val="single"/>
          <w:lang w:val="en-US" w:eastAsia="zh-CN"/>
        </w:rPr>
        <w:t>3.61</w:t>
      </w:r>
      <w:r>
        <w:rPr>
          <w:rFonts w:hint="default" w:ascii="Times New Roman" w:hAnsi="Times New Roman" w:eastAsia="宋体" w:cs="Times New Roman"/>
          <w:color w:val="auto"/>
          <w:highlight w:val="none"/>
          <w:u w:val="single"/>
        </w:rPr>
        <w:t>亩</w:t>
      </w:r>
      <w:r>
        <w:rPr>
          <w:rFonts w:hint="default" w:ascii="Times New Roman" w:hAnsi="Times New Roman" w:eastAsia="宋体" w:cs="Times New Roman"/>
          <w:color w:val="auto"/>
          <w:highlight w:val="none"/>
        </w:rPr>
        <w:t>，涉及张滩镇1个社区和8个行政村的109</w:t>
      </w:r>
      <w:r>
        <w:rPr>
          <w:rFonts w:hint="eastAsia"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rPr>
        <w:t>户39</w:t>
      </w:r>
      <w:r>
        <w:rPr>
          <w:rFonts w:hint="eastAsia" w:ascii="Times New Roman" w:hAnsi="Times New Roman" w:cs="Times New Roman"/>
          <w:color w:val="auto"/>
          <w:highlight w:val="none"/>
          <w:lang w:val="en-US" w:eastAsia="zh-CN"/>
        </w:rPr>
        <w:t>43</w:t>
      </w:r>
      <w:r>
        <w:rPr>
          <w:rFonts w:hint="default" w:ascii="Times New Roman" w:hAnsi="Times New Roman" w:eastAsia="宋体" w:cs="Times New Roman"/>
          <w:color w:val="auto"/>
          <w:highlight w:val="none"/>
        </w:rPr>
        <w:t>人；</w:t>
      </w:r>
      <w:r>
        <w:rPr>
          <w:rFonts w:hint="default" w:ascii="Times New Roman" w:hAnsi="Times New Roman" w:eastAsia="宋体" w:cs="Times New Roman"/>
          <w:color w:val="auto"/>
          <w:highlight w:val="none"/>
          <w:u w:val="single"/>
        </w:rPr>
        <w:t>已获得土地面积（已完成的征地面积）232.01亩</w:t>
      </w:r>
      <w:r>
        <w:rPr>
          <w:rFonts w:hint="default" w:ascii="Times New Roman" w:hAnsi="Times New Roman" w:eastAsia="宋体" w:cs="Times New Roman"/>
          <w:color w:val="auto"/>
          <w:highlight w:val="none"/>
        </w:rPr>
        <w:t>，涉及张滩镇4个行政村；</w:t>
      </w:r>
      <w:r>
        <w:rPr>
          <w:rFonts w:hint="default" w:ascii="Times New Roman" w:hAnsi="Times New Roman" w:eastAsia="宋体" w:cs="Times New Roman"/>
          <w:color w:val="auto"/>
          <w:highlight w:val="none"/>
          <w:u w:val="single"/>
        </w:rPr>
        <w:t>拟流转土地面积3053.3亩</w:t>
      </w:r>
      <w:r>
        <w:rPr>
          <w:rFonts w:hint="default" w:ascii="Times New Roman" w:hAnsi="Times New Roman" w:eastAsia="宋体" w:cs="Times New Roman"/>
          <w:color w:val="auto"/>
          <w:highlight w:val="none"/>
        </w:rPr>
        <w:t>，涉及张滩镇、石梯镇及新城街办的8个村/社区的1430户，5233人。</w:t>
      </w:r>
    </w:p>
    <w:p w14:paraId="12C37897">
      <w:pPr>
        <w:pStyle w:val="2"/>
        <w:adjustRightInd w:val="0"/>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本项目房屋拆迁影响涉及张滩镇6个行政村的</w:t>
      </w:r>
      <w:r>
        <w:rPr>
          <w:rFonts w:hint="default" w:ascii="Times New Roman" w:hAnsi="Times New Roman" w:eastAsia="宋体" w:cs="Times New Roman"/>
          <w:color w:val="auto"/>
          <w:szCs w:val="24"/>
          <w:highlight w:val="none"/>
        </w:rPr>
        <w:t>325</w:t>
      </w:r>
      <w:r>
        <w:rPr>
          <w:rFonts w:hint="default" w:ascii="Times New Roman" w:hAnsi="Times New Roman" w:eastAsia="宋体" w:cs="Times New Roman"/>
          <w:color w:val="auto"/>
          <w:highlight w:val="none"/>
        </w:rPr>
        <w:t>户</w:t>
      </w:r>
      <w:r>
        <w:rPr>
          <w:rFonts w:hint="default" w:ascii="Times New Roman" w:hAnsi="Times New Roman" w:eastAsia="宋体" w:cs="Times New Roman"/>
          <w:color w:val="auto"/>
          <w:szCs w:val="24"/>
          <w:highlight w:val="none"/>
        </w:rPr>
        <w:t>1192</w:t>
      </w:r>
      <w:r>
        <w:rPr>
          <w:rFonts w:hint="default" w:ascii="Times New Roman" w:hAnsi="Times New Roman" w:eastAsia="宋体" w:cs="Times New Roman"/>
          <w:color w:val="auto"/>
          <w:highlight w:val="none"/>
        </w:rPr>
        <w:t>人，即奠安村、立石村、王湾村、双井村、后堰村和邹坡村，拆迁农村房屋共</w:t>
      </w:r>
      <w:r>
        <w:rPr>
          <w:rFonts w:hint="default" w:ascii="Times New Roman" w:hAnsi="Times New Roman" w:eastAsia="宋体" w:cs="Times New Roman"/>
          <w:color w:val="auto"/>
          <w:szCs w:val="24"/>
          <w:highlight w:val="none"/>
        </w:rPr>
        <w:t>86075</w:t>
      </w:r>
      <w:r>
        <w:rPr>
          <w:rFonts w:hint="default" w:ascii="Times New Roman" w:hAnsi="Times New Roman" w:eastAsia="宋体" w:cs="Times New Roman"/>
          <w:color w:val="auto"/>
          <w:highlight w:val="none"/>
        </w:rPr>
        <w:t>平方米，其中居住用房屋</w:t>
      </w:r>
      <w:r>
        <w:rPr>
          <w:rFonts w:hint="default" w:ascii="Times New Roman" w:hAnsi="Times New Roman" w:eastAsia="宋体" w:cs="Times New Roman"/>
          <w:color w:val="auto"/>
          <w:szCs w:val="24"/>
          <w:highlight w:val="none"/>
        </w:rPr>
        <w:t>54025</w:t>
      </w:r>
      <w:r>
        <w:rPr>
          <w:rFonts w:hint="default" w:ascii="Times New Roman" w:hAnsi="Times New Roman" w:eastAsia="宋体" w:cs="Times New Roman"/>
          <w:color w:val="auto"/>
          <w:highlight w:val="none"/>
        </w:rPr>
        <w:t>平方米，经营用房屋32050平方米（其中包括无证建筑约12000平方米</w:t>
      </w:r>
      <w:r>
        <w:rPr>
          <w:rStyle w:val="50"/>
          <w:rFonts w:hint="default" w:ascii="Times New Roman" w:hAnsi="Times New Roman" w:eastAsia="宋体" w:cs="Times New Roman"/>
          <w:color w:val="auto"/>
          <w:highlight w:val="none"/>
        </w:rPr>
        <w:footnoteReference w:id="7"/>
      </w:r>
      <w:r>
        <w:rPr>
          <w:rFonts w:hint="default" w:ascii="Times New Roman" w:hAnsi="Times New Roman" w:eastAsia="宋体" w:cs="Times New Roman"/>
          <w:color w:val="auto"/>
          <w:highlight w:val="none"/>
        </w:rPr>
        <w:t>）。征地拆迁详情见移民安置计划（RP）中的描述。</w:t>
      </w:r>
    </w:p>
    <w:p w14:paraId="502689AC">
      <w:pPr>
        <w:pStyle w:val="2"/>
        <w:adjustRightInd w:val="0"/>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本项目征迁量相对较大，影响人口相对较多，用地风险相对较高。汉滨区自然资源局已经对城东新区规划区内的部分土地进行了报批，且已经获得653.01亩土地的相关土地批复件，具体见</w:t>
      </w:r>
      <w:r>
        <w:rPr>
          <w:rFonts w:hint="default" w:ascii="Times New Roman" w:hAnsi="Times New Roman" w:eastAsia="宋体" w:cs="Times New Roman"/>
          <w:color w:val="auto"/>
          <w:highlight w:val="none"/>
          <w:u w:val="single"/>
        </w:rPr>
        <w:t>移民安置计划第9章表9-1</w:t>
      </w:r>
      <w:r>
        <w:rPr>
          <w:rFonts w:hint="default" w:ascii="Times New Roman" w:hAnsi="Times New Roman" w:eastAsia="宋体" w:cs="Times New Roman"/>
          <w:color w:val="auto"/>
          <w:highlight w:val="none"/>
        </w:rPr>
        <w:t>。</w:t>
      </w:r>
    </w:p>
    <w:p w14:paraId="27C1B74C">
      <w:pPr>
        <w:pStyle w:val="2"/>
        <w:adjustRightInd w:val="0"/>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u w:val="single"/>
        </w:rPr>
        <w:t>项目用地风险减缓措施</w:t>
      </w:r>
      <w:r>
        <w:rPr>
          <w:rFonts w:hint="default" w:ascii="Times New Roman" w:hAnsi="Times New Roman" w:eastAsia="宋体" w:cs="Times New Roman"/>
          <w:color w:val="auto"/>
          <w:highlight w:val="none"/>
        </w:rPr>
        <w:t>如下：</w:t>
      </w:r>
    </w:p>
    <w:p w14:paraId="319CDA0E">
      <w:pPr>
        <w:pStyle w:val="2"/>
        <w:numPr>
          <w:ilvl w:val="0"/>
          <w:numId w:val="19"/>
        </w:numPr>
        <w:adjustRightIn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随着项目设计的深入，优化的方案将尽可能的避免和减少土地征收及移民影响。对于不可避免的土地征收及移民安置，项目活动按照亚投行标准ESS2及中国相应的法律法规制定了本项目的移民安置计划。项目办将按照移民行动计划实施土地征收及移民补偿相关活动。</w:t>
      </w:r>
    </w:p>
    <w:p w14:paraId="2167CC20">
      <w:pPr>
        <w:pStyle w:val="2"/>
        <w:numPr>
          <w:ilvl w:val="0"/>
          <w:numId w:val="19"/>
        </w:numPr>
        <w:adjustRightIn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项目办将聘请第三方移民外部监测机构对移民实施情况进行监督和评估，以确保项目活动移民安置目标的实施。</w:t>
      </w:r>
    </w:p>
    <w:p w14:paraId="5D85F400">
      <w:pPr>
        <w:pStyle w:val="2"/>
        <w:rPr>
          <w:rFonts w:hint="default" w:ascii="Times New Roman" w:hAnsi="Times New Roman" w:eastAsia="宋体" w:cs="Times New Roman"/>
          <w:color w:val="auto"/>
          <w:highlight w:val="none"/>
        </w:rPr>
        <w:sectPr>
          <w:pgSz w:w="11906" w:h="16838"/>
          <w:pgMar w:top="1440" w:right="1800" w:bottom="1440" w:left="1800" w:header="851" w:footer="992" w:gutter="0"/>
          <w:cols w:space="720" w:num="1"/>
          <w:docGrid w:linePitch="326" w:charSpace="0"/>
        </w:sectPr>
      </w:pPr>
    </w:p>
    <w:p w14:paraId="1811F4F5">
      <w:pPr>
        <w:jc w:val="center"/>
        <w:rPr>
          <w:rFonts w:hint="default" w:ascii="Times New Roman" w:hAnsi="Times New Roman" w:eastAsia="宋体" w:cs="Times New Roman"/>
          <w:b/>
          <w:bCs/>
          <w:color w:val="auto"/>
          <w:highlight w:val="none"/>
        </w:rPr>
      </w:pPr>
      <w:bookmarkStart w:id="271" w:name="_Toc113946506"/>
      <w:r>
        <w:rPr>
          <w:rFonts w:hint="default" w:ascii="Times New Roman" w:hAnsi="Times New Roman" w:eastAsia="宋体" w:cs="Times New Roman"/>
          <w:b/>
          <w:bCs/>
          <w:color w:val="auto"/>
          <w:highlight w:val="none"/>
        </w:rPr>
        <w:t xml:space="preserve">表 </w:t>
      </w:r>
      <w:r>
        <w:rPr>
          <w:rFonts w:hint="default" w:ascii="Times New Roman" w:hAnsi="Times New Roman" w:eastAsia="宋体" w:cs="Times New Roman"/>
          <w:b/>
          <w:bCs/>
          <w:color w:val="auto"/>
          <w:highlight w:val="none"/>
        </w:rPr>
        <w:fldChar w:fldCharType="begin"/>
      </w:r>
      <w:r>
        <w:rPr>
          <w:rFonts w:hint="default" w:ascii="Times New Roman" w:hAnsi="Times New Roman" w:eastAsia="宋体" w:cs="Times New Roman"/>
          <w:b/>
          <w:bCs/>
          <w:color w:val="auto"/>
          <w:highlight w:val="none"/>
        </w:rPr>
        <w:instrText xml:space="preserve"> STYLEREF 1 \s </w:instrText>
      </w:r>
      <w:r>
        <w:rPr>
          <w:rFonts w:hint="default" w:ascii="Times New Roman" w:hAnsi="Times New Roman" w:eastAsia="宋体" w:cs="Times New Roman"/>
          <w:b/>
          <w:bCs/>
          <w:color w:val="auto"/>
          <w:highlight w:val="none"/>
        </w:rPr>
        <w:fldChar w:fldCharType="separate"/>
      </w:r>
      <w:r>
        <w:rPr>
          <w:rFonts w:hint="default" w:ascii="Times New Roman" w:hAnsi="Times New Roman" w:eastAsia="宋体" w:cs="Times New Roman"/>
          <w:b/>
          <w:bCs/>
          <w:color w:val="auto"/>
          <w:highlight w:val="none"/>
        </w:rPr>
        <w:t>5</w:t>
      </w:r>
      <w:r>
        <w:rPr>
          <w:rFonts w:hint="default" w:ascii="Times New Roman" w:hAnsi="Times New Roman" w:eastAsia="宋体" w:cs="Times New Roman"/>
          <w:b/>
          <w:bCs/>
          <w:color w:val="auto"/>
          <w:highlight w:val="none"/>
        </w:rPr>
        <w:fldChar w:fldCharType="end"/>
      </w:r>
      <w:r>
        <w:rPr>
          <w:rFonts w:hint="default" w:ascii="Times New Roman" w:hAnsi="Times New Roman" w:eastAsia="宋体" w:cs="Times New Roman"/>
          <w:b/>
          <w:bCs/>
          <w:color w:val="auto"/>
          <w:highlight w:val="none"/>
        </w:rPr>
        <w:noBreakHyphen/>
      </w:r>
      <w:r>
        <w:rPr>
          <w:rFonts w:hint="default" w:ascii="Times New Roman" w:hAnsi="Times New Roman" w:eastAsia="宋体" w:cs="Times New Roman"/>
          <w:b/>
          <w:bCs/>
          <w:color w:val="auto"/>
          <w:highlight w:val="none"/>
        </w:rPr>
        <w:fldChar w:fldCharType="begin"/>
      </w:r>
      <w:r>
        <w:rPr>
          <w:rFonts w:hint="default" w:ascii="Times New Roman" w:hAnsi="Times New Roman" w:eastAsia="宋体" w:cs="Times New Roman"/>
          <w:b/>
          <w:bCs/>
          <w:color w:val="auto"/>
          <w:highlight w:val="none"/>
        </w:rPr>
        <w:instrText xml:space="preserve"> SEQ 表 \* ARABIC \s 1 </w:instrText>
      </w:r>
      <w:r>
        <w:rPr>
          <w:rFonts w:hint="default" w:ascii="Times New Roman" w:hAnsi="Times New Roman" w:eastAsia="宋体" w:cs="Times New Roman"/>
          <w:b/>
          <w:bCs/>
          <w:color w:val="auto"/>
          <w:highlight w:val="none"/>
        </w:rPr>
        <w:fldChar w:fldCharType="separate"/>
      </w:r>
      <w:r>
        <w:rPr>
          <w:rFonts w:hint="default" w:ascii="Times New Roman" w:hAnsi="Times New Roman" w:eastAsia="宋体" w:cs="Times New Roman"/>
          <w:b/>
          <w:bCs/>
          <w:color w:val="auto"/>
          <w:highlight w:val="none"/>
        </w:rPr>
        <w:t>1</w:t>
      </w:r>
      <w:r>
        <w:rPr>
          <w:rFonts w:hint="default" w:ascii="Times New Roman" w:hAnsi="Times New Roman" w:eastAsia="宋体" w:cs="Times New Roman"/>
          <w:b/>
          <w:bCs/>
          <w:color w:val="auto"/>
          <w:highlight w:val="none"/>
        </w:rPr>
        <w:fldChar w:fldCharType="end"/>
      </w:r>
      <w:bookmarkStart w:id="272" w:name="_Toc14604"/>
      <w:r>
        <w:rPr>
          <w:rFonts w:hint="default" w:ascii="Times New Roman" w:hAnsi="Times New Roman" w:eastAsia="宋体" w:cs="Times New Roman"/>
          <w:b/>
          <w:bCs/>
          <w:color w:val="auto"/>
          <w:highlight w:val="none"/>
        </w:rPr>
        <w:t>各子项目征地拆迁一览表</w:t>
      </w:r>
      <w:bookmarkEnd w:id="271"/>
      <w:bookmarkEnd w:id="272"/>
    </w:p>
    <w:tbl>
      <w:tblPr>
        <w:tblStyle w:val="43"/>
        <w:tblW w:w="4996"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761"/>
        <w:gridCol w:w="2798"/>
        <w:gridCol w:w="1079"/>
        <w:gridCol w:w="1827"/>
        <w:gridCol w:w="1620"/>
        <w:gridCol w:w="1464"/>
        <w:gridCol w:w="1413"/>
        <w:gridCol w:w="1572"/>
        <w:gridCol w:w="1629"/>
      </w:tblGrid>
      <w:tr w14:paraId="265F50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67" w:hRule="atLeast"/>
          <w:tblHeader/>
        </w:trPr>
        <w:tc>
          <w:tcPr>
            <w:tcW w:w="268" w:type="pct"/>
            <w:tcBorders>
              <w:tl2br w:val="nil"/>
              <w:tr2bl w:val="nil"/>
            </w:tcBorders>
            <w:shd w:val="clear" w:color="auto" w:fill="D7D7D7"/>
            <w:noWrap/>
            <w:vAlign w:val="center"/>
          </w:tcPr>
          <w:p w14:paraId="321D5BDF">
            <w:pPr>
              <w:jc w:val="center"/>
              <w:textAlignment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序号</w:t>
            </w:r>
          </w:p>
        </w:tc>
        <w:tc>
          <w:tcPr>
            <w:tcW w:w="987" w:type="pct"/>
            <w:tcBorders>
              <w:tl2br w:val="nil"/>
              <w:tr2bl w:val="nil"/>
            </w:tcBorders>
            <w:shd w:val="clear" w:color="auto" w:fill="D7D7D7"/>
            <w:vAlign w:val="center"/>
          </w:tcPr>
          <w:p w14:paraId="26BACC44">
            <w:pPr>
              <w:jc w:val="center"/>
              <w:textAlignment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子项目</w:t>
            </w:r>
          </w:p>
        </w:tc>
        <w:tc>
          <w:tcPr>
            <w:tcW w:w="380" w:type="pct"/>
            <w:tcBorders>
              <w:tl2br w:val="nil"/>
              <w:tr2bl w:val="nil"/>
            </w:tcBorders>
            <w:shd w:val="clear" w:color="auto" w:fill="D7D7D7"/>
            <w:vAlign w:val="center"/>
          </w:tcPr>
          <w:p w14:paraId="06ECFF84">
            <w:pPr>
              <w:jc w:val="center"/>
              <w:textAlignment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乡镇/街道</w:t>
            </w:r>
          </w:p>
        </w:tc>
        <w:tc>
          <w:tcPr>
            <w:tcW w:w="644" w:type="pct"/>
            <w:tcBorders>
              <w:tl2br w:val="nil"/>
              <w:tr2bl w:val="nil"/>
            </w:tcBorders>
            <w:shd w:val="clear" w:color="auto" w:fill="D7D7D7"/>
            <w:vAlign w:val="center"/>
          </w:tcPr>
          <w:p w14:paraId="76F1138C">
            <w:pPr>
              <w:jc w:val="center"/>
              <w:textAlignment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村/社区</w:t>
            </w:r>
          </w:p>
        </w:tc>
        <w:tc>
          <w:tcPr>
            <w:tcW w:w="571" w:type="pct"/>
            <w:tcBorders>
              <w:tl2br w:val="nil"/>
              <w:tr2bl w:val="nil"/>
            </w:tcBorders>
            <w:shd w:val="clear" w:color="auto" w:fill="D7D7D7"/>
            <w:vAlign w:val="center"/>
          </w:tcPr>
          <w:p w14:paraId="23421A86">
            <w:pPr>
              <w:jc w:val="center"/>
              <w:textAlignment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占地总面积（亩）</w:t>
            </w:r>
          </w:p>
        </w:tc>
        <w:tc>
          <w:tcPr>
            <w:tcW w:w="516" w:type="pct"/>
            <w:tcBorders>
              <w:tl2br w:val="nil"/>
              <w:tr2bl w:val="nil"/>
            </w:tcBorders>
            <w:shd w:val="clear" w:color="auto" w:fill="D7D7D7"/>
            <w:vAlign w:val="center"/>
          </w:tcPr>
          <w:p w14:paraId="05D3FA09">
            <w:pPr>
              <w:jc w:val="center"/>
              <w:textAlignment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拟征地面积（亩）</w:t>
            </w:r>
          </w:p>
        </w:tc>
        <w:tc>
          <w:tcPr>
            <w:tcW w:w="498" w:type="pct"/>
            <w:tcBorders>
              <w:tl2br w:val="nil"/>
              <w:tr2bl w:val="nil"/>
            </w:tcBorders>
            <w:shd w:val="clear" w:color="auto" w:fill="D7D7D7"/>
            <w:vAlign w:val="center"/>
          </w:tcPr>
          <w:p w14:paraId="44891219">
            <w:pPr>
              <w:jc w:val="center"/>
              <w:textAlignment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已获得土地面积（亩）</w:t>
            </w:r>
          </w:p>
        </w:tc>
        <w:tc>
          <w:tcPr>
            <w:tcW w:w="554" w:type="pct"/>
            <w:tcBorders>
              <w:tl2br w:val="nil"/>
              <w:tr2bl w:val="nil"/>
            </w:tcBorders>
            <w:shd w:val="clear" w:color="auto" w:fill="D7D7D7"/>
            <w:vAlign w:val="center"/>
          </w:tcPr>
          <w:p w14:paraId="2336B1B9">
            <w:pPr>
              <w:jc w:val="center"/>
              <w:textAlignment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拟土地流转面积（亩）</w:t>
            </w:r>
          </w:p>
        </w:tc>
        <w:tc>
          <w:tcPr>
            <w:tcW w:w="575" w:type="pct"/>
            <w:tcBorders>
              <w:tl2br w:val="nil"/>
              <w:tr2bl w:val="nil"/>
            </w:tcBorders>
            <w:shd w:val="clear" w:color="auto" w:fill="D7D7D7"/>
            <w:vAlign w:val="center"/>
          </w:tcPr>
          <w:p w14:paraId="59E5E312">
            <w:pPr>
              <w:jc w:val="center"/>
              <w:textAlignment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拟拆迁面积（㎡）</w:t>
            </w:r>
          </w:p>
        </w:tc>
      </w:tr>
      <w:tr w14:paraId="5F4B60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91" w:hRule="atLeast"/>
        </w:trPr>
        <w:tc>
          <w:tcPr>
            <w:tcW w:w="268" w:type="pct"/>
            <w:tcBorders>
              <w:tl2br w:val="nil"/>
              <w:tr2bl w:val="nil"/>
            </w:tcBorders>
            <w:shd w:val="clear" w:color="auto" w:fill="auto"/>
            <w:noWrap/>
            <w:vAlign w:val="center"/>
          </w:tcPr>
          <w:p w14:paraId="706261D4">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w:t>
            </w:r>
          </w:p>
        </w:tc>
        <w:tc>
          <w:tcPr>
            <w:tcW w:w="987" w:type="pct"/>
            <w:tcBorders>
              <w:tl2br w:val="nil"/>
              <w:tr2bl w:val="nil"/>
            </w:tcBorders>
            <w:shd w:val="clear" w:color="auto" w:fill="auto"/>
            <w:vAlign w:val="center"/>
          </w:tcPr>
          <w:p w14:paraId="1F7DFB18">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振兴路</w:t>
            </w:r>
          </w:p>
        </w:tc>
        <w:tc>
          <w:tcPr>
            <w:tcW w:w="380" w:type="pct"/>
            <w:tcBorders>
              <w:tl2br w:val="nil"/>
              <w:tr2bl w:val="nil"/>
            </w:tcBorders>
            <w:shd w:val="clear" w:color="auto" w:fill="auto"/>
            <w:vAlign w:val="center"/>
          </w:tcPr>
          <w:p w14:paraId="6B739C40">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张滩</w:t>
            </w:r>
          </w:p>
        </w:tc>
        <w:tc>
          <w:tcPr>
            <w:tcW w:w="644" w:type="pct"/>
            <w:tcBorders>
              <w:tl2br w:val="nil"/>
              <w:tr2bl w:val="nil"/>
            </w:tcBorders>
            <w:shd w:val="clear" w:color="auto" w:fill="auto"/>
            <w:vAlign w:val="center"/>
          </w:tcPr>
          <w:p w14:paraId="27389C8C">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奠安、立石、邹坡</w:t>
            </w:r>
          </w:p>
        </w:tc>
        <w:tc>
          <w:tcPr>
            <w:tcW w:w="571" w:type="pct"/>
            <w:tcBorders>
              <w:tl2br w:val="nil"/>
              <w:tr2bl w:val="nil"/>
            </w:tcBorders>
            <w:shd w:val="clear" w:color="auto" w:fill="auto"/>
            <w:noWrap/>
            <w:vAlign w:val="center"/>
          </w:tcPr>
          <w:p w14:paraId="7725DDCB">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104.1</w:t>
            </w:r>
          </w:p>
        </w:tc>
        <w:tc>
          <w:tcPr>
            <w:tcW w:w="1464" w:type="dxa"/>
            <w:tcBorders>
              <w:tl2br w:val="nil"/>
              <w:tr2bl w:val="nil"/>
            </w:tcBorders>
            <w:shd w:val="clear" w:color="auto" w:fill="auto"/>
            <w:noWrap/>
            <w:vAlign w:val="center"/>
          </w:tcPr>
          <w:p w14:paraId="413482B6">
            <w:pPr>
              <w:jc w:val="center"/>
              <w:textAlignment w:val="center"/>
              <w:rPr>
                <w:rFonts w:hint="default" w:ascii="Times New Roman" w:hAnsi="Times New Roman" w:eastAsia="宋体" w:cs="Times New Roman"/>
                <w:color w:val="auto"/>
                <w:sz w:val="22"/>
                <w:szCs w:val="22"/>
                <w:highlight w:val="none"/>
              </w:rPr>
            </w:pPr>
            <w:r>
              <w:rPr>
                <w:rFonts w:ascii="Times New Roman" w:hAnsi="Times New Roman" w:eastAsia="等线" w:cs="Times New Roman"/>
                <w:color w:val="auto"/>
                <w:sz w:val="22"/>
                <w:szCs w:val="22"/>
                <w:highlight w:val="none"/>
                <w:lang w:bidi="ar"/>
              </w:rPr>
              <w:t>104.1</w:t>
            </w:r>
          </w:p>
        </w:tc>
        <w:tc>
          <w:tcPr>
            <w:tcW w:w="498" w:type="pct"/>
            <w:tcBorders>
              <w:tl2br w:val="nil"/>
              <w:tr2bl w:val="nil"/>
            </w:tcBorders>
            <w:shd w:val="clear" w:color="auto" w:fill="auto"/>
            <w:noWrap/>
            <w:vAlign w:val="center"/>
          </w:tcPr>
          <w:p w14:paraId="799077B6">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0</w:t>
            </w:r>
          </w:p>
        </w:tc>
        <w:tc>
          <w:tcPr>
            <w:tcW w:w="554" w:type="pct"/>
            <w:tcBorders>
              <w:tl2br w:val="nil"/>
              <w:tr2bl w:val="nil"/>
            </w:tcBorders>
            <w:shd w:val="clear" w:color="auto" w:fill="auto"/>
            <w:noWrap/>
            <w:vAlign w:val="center"/>
          </w:tcPr>
          <w:p w14:paraId="5765EF53">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0</w:t>
            </w:r>
          </w:p>
        </w:tc>
        <w:tc>
          <w:tcPr>
            <w:tcW w:w="575" w:type="pct"/>
            <w:tcBorders>
              <w:tl2br w:val="nil"/>
              <w:tr2bl w:val="nil"/>
            </w:tcBorders>
            <w:shd w:val="clear" w:color="auto" w:fill="auto"/>
            <w:vAlign w:val="center"/>
          </w:tcPr>
          <w:p w14:paraId="4C4F1EDA">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8260</w:t>
            </w:r>
          </w:p>
        </w:tc>
      </w:tr>
      <w:tr w14:paraId="78113A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268" w:type="pct"/>
            <w:tcBorders>
              <w:tl2br w:val="nil"/>
              <w:tr2bl w:val="nil"/>
            </w:tcBorders>
            <w:shd w:val="clear" w:color="auto" w:fill="auto"/>
            <w:noWrap/>
            <w:vAlign w:val="center"/>
          </w:tcPr>
          <w:p w14:paraId="6746EC59">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2</w:t>
            </w:r>
          </w:p>
        </w:tc>
        <w:tc>
          <w:tcPr>
            <w:tcW w:w="987" w:type="pct"/>
            <w:tcBorders>
              <w:tl2br w:val="nil"/>
              <w:tr2bl w:val="nil"/>
            </w:tcBorders>
            <w:shd w:val="clear" w:color="auto" w:fill="auto"/>
            <w:vAlign w:val="center"/>
          </w:tcPr>
          <w:p w14:paraId="329908C5">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环塔路</w:t>
            </w:r>
          </w:p>
        </w:tc>
        <w:tc>
          <w:tcPr>
            <w:tcW w:w="380" w:type="pct"/>
            <w:tcBorders>
              <w:tl2br w:val="nil"/>
              <w:tr2bl w:val="nil"/>
            </w:tcBorders>
            <w:shd w:val="clear" w:color="auto" w:fill="auto"/>
            <w:vAlign w:val="center"/>
          </w:tcPr>
          <w:p w14:paraId="6E1C5DFC">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张滩</w:t>
            </w:r>
          </w:p>
        </w:tc>
        <w:tc>
          <w:tcPr>
            <w:tcW w:w="644" w:type="pct"/>
            <w:tcBorders>
              <w:tl2br w:val="nil"/>
              <w:tr2bl w:val="nil"/>
            </w:tcBorders>
            <w:shd w:val="clear" w:color="auto" w:fill="auto"/>
            <w:vAlign w:val="center"/>
          </w:tcPr>
          <w:p w14:paraId="6C1336B5">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双井</w:t>
            </w:r>
          </w:p>
        </w:tc>
        <w:tc>
          <w:tcPr>
            <w:tcW w:w="571" w:type="pct"/>
            <w:tcBorders>
              <w:tl2br w:val="nil"/>
              <w:tr2bl w:val="nil"/>
            </w:tcBorders>
            <w:shd w:val="clear" w:color="auto" w:fill="auto"/>
            <w:noWrap/>
            <w:vAlign w:val="center"/>
          </w:tcPr>
          <w:p w14:paraId="2F6E3F2B">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34.8</w:t>
            </w:r>
          </w:p>
        </w:tc>
        <w:tc>
          <w:tcPr>
            <w:tcW w:w="1464" w:type="dxa"/>
            <w:tcBorders>
              <w:tl2br w:val="nil"/>
              <w:tr2bl w:val="nil"/>
            </w:tcBorders>
            <w:shd w:val="clear" w:color="auto" w:fill="auto"/>
            <w:noWrap/>
            <w:vAlign w:val="center"/>
          </w:tcPr>
          <w:p w14:paraId="032AA337">
            <w:pPr>
              <w:jc w:val="center"/>
              <w:textAlignment w:val="center"/>
              <w:rPr>
                <w:rFonts w:hint="default" w:ascii="Times New Roman" w:hAnsi="Times New Roman" w:eastAsia="宋体" w:cs="Times New Roman"/>
                <w:color w:val="auto"/>
                <w:sz w:val="22"/>
                <w:szCs w:val="22"/>
                <w:highlight w:val="none"/>
              </w:rPr>
            </w:pPr>
            <w:r>
              <w:rPr>
                <w:rFonts w:ascii="Times New Roman" w:hAnsi="Times New Roman" w:eastAsia="等线" w:cs="Times New Roman"/>
                <w:color w:val="auto"/>
                <w:sz w:val="22"/>
                <w:szCs w:val="22"/>
                <w:highlight w:val="none"/>
                <w:lang w:bidi="ar"/>
              </w:rPr>
              <w:t>34.8</w:t>
            </w:r>
          </w:p>
        </w:tc>
        <w:tc>
          <w:tcPr>
            <w:tcW w:w="498" w:type="pct"/>
            <w:tcBorders>
              <w:tl2br w:val="nil"/>
              <w:tr2bl w:val="nil"/>
            </w:tcBorders>
            <w:shd w:val="clear" w:color="auto" w:fill="auto"/>
            <w:noWrap/>
            <w:vAlign w:val="center"/>
          </w:tcPr>
          <w:p w14:paraId="7984980E">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0</w:t>
            </w:r>
          </w:p>
        </w:tc>
        <w:tc>
          <w:tcPr>
            <w:tcW w:w="554" w:type="pct"/>
            <w:tcBorders>
              <w:tl2br w:val="nil"/>
              <w:tr2bl w:val="nil"/>
            </w:tcBorders>
            <w:shd w:val="clear" w:color="auto" w:fill="auto"/>
            <w:noWrap/>
            <w:vAlign w:val="center"/>
          </w:tcPr>
          <w:p w14:paraId="31D917C4">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0</w:t>
            </w:r>
          </w:p>
        </w:tc>
        <w:tc>
          <w:tcPr>
            <w:tcW w:w="575" w:type="pct"/>
            <w:tcBorders>
              <w:tl2br w:val="nil"/>
              <w:tr2bl w:val="nil"/>
            </w:tcBorders>
            <w:shd w:val="clear" w:color="auto" w:fill="auto"/>
            <w:vAlign w:val="center"/>
          </w:tcPr>
          <w:p w14:paraId="10CD2A17">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10650</w:t>
            </w:r>
          </w:p>
        </w:tc>
      </w:tr>
      <w:tr w14:paraId="087786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268" w:type="pct"/>
            <w:tcBorders>
              <w:tl2br w:val="nil"/>
              <w:tr2bl w:val="nil"/>
            </w:tcBorders>
            <w:shd w:val="clear" w:color="auto" w:fill="auto"/>
            <w:noWrap/>
            <w:vAlign w:val="center"/>
          </w:tcPr>
          <w:p w14:paraId="3B6260B2">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3</w:t>
            </w:r>
          </w:p>
        </w:tc>
        <w:tc>
          <w:tcPr>
            <w:tcW w:w="987" w:type="pct"/>
            <w:tcBorders>
              <w:tl2br w:val="nil"/>
              <w:tr2bl w:val="nil"/>
            </w:tcBorders>
            <w:shd w:val="clear" w:color="auto" w:fill="auto"/>
            <w:vAlign w:val="center"/>
          </w:tcPr>
          <w:p w14:paraId="1899C417">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绿苑路</w:t>
            </w:r>
          </w:p>
        </w:tc>
        <w:tc>
          <w:tcPr>
            <w:tcW w:w="380" w:type="pct"/>
            <w:tcBorders>
              <w:tl2br w:val="nil"/>
              <w:tr2bl w:val="nil"/>
            </w:tcBorders>
            <w:shd w:val="clear" w:color="auto" w:fill="auto"/>
            <w:vAlign w:val="center"/>
          </w:tcPr>
          <w:p w14:paraId="7034DE15">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张滩</w:t>
            </w:r>
          </w:p>
        </w:tc>
        <w:tc>
          <w:tcPr>
            <w:tcW w:w="644" w:type="pct"/>
            <w:tcBorders>
              <w:tl2br w:val="nil"/>
              <w:tr2bl w:val="nil"/>
            </w:tcBorders>
            <w:shd w:val="clear" w:color="auto" w:fill="auto"/>
            <w:vAlign w:val="center"/>
          </w:tcPr>
          <w:p w14:paraId="6B620A9D">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立石</w:t>
            </w:r>
          </w:p>
        </w:tc>
        <w:tc>
          <w:tcPr>
            <w:tcW w:w="571" w:type="pct"/>
            <w:tcBorders>
              <w:tl2br w:val="nil"/>
              <w:tr2bl w:val="nil"/>
            </w:tcBorders>
            <w:shd w:val="clear" w:color="auto" w:fill="auto"/>
            <w:noWrap/>
            <w:vAlign w:val="center"/>
          </w:tcPr>
          <w:p w14:paraId="4A2D844C">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6.9</w:t>
            </w:r>
          </w:p>
        </w:tc>
        <w:tc>
          <w:tcPr>
            <w:tcW w:w="1464" w:type="dxa"/>
            <w:tcBorders>
              <w:tl2br w:val="nil"/>
              <w:tr2bl w:val="nil"/>
            </w:tcBorders>
            <w:shd w:val="clear" w:color="auto" w:fill="auto"/>
            <w:noWrap/>
            <w:vAlign w:val="center"/>
          </w:tcPr>
          <w:p w14:paraId="12D931E7">
            <w:pPr>
              <w:jc w:val="center"/>
              <w:textAlignment w:val="center"/>
              <w:rPr>
                <w:rFonts w:hint="default" w:ascii="Times New Roman" w:hAnsi="Times New Roman" w:eastAsia="宋体" w:cs="Times New Roman"/>
                <w:color w:val="auto"/>
                <w:sz w:val="22"/>
                <w:szCs w:val="22"/>
                <w:highlight w:val="none"/>
              </w:rPr>
            </w:pPr>
            <w:r>
              <w:rPr>
                <w:rFonts w:ascii="Times New Roman" w:hAnsi="Times New Roman" w:eastAsia="等线" w:cs="Times New Roman"/>
                <w:color w:val="auto"/>
                <w:sz w:val="22"/>
                <w:szCs w:val="22"/>
                <w:highlight w:val="none"/>
                <w:lang w:bidi="ar"/>
              </w:rPr>
              <w:t>6.9</w:t>
            </w:r>
          </w:p>
        </w:tc>
        <w:tc>
          <w:tcPr>
            <w:tcW w:w="498" w:type="pct"/>
            <w:tcBorders>
              <w:tl2br w:val="nil"/>
              <w:tr2bl w:val="nil"/>
            </w:tcBorders>
            <w:shd w:val="clear" w:color="auto" w:fill="auto"/>
            <w:noWrap/>
            <w:vAlign w:val="center"/>
          </w:tcPr>
          <w:p w14:paraId="1885A789">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0</w:t>
            </w:r>
          </w:p>
        </w:tc>
        <w:tc>
          <w:tcPr>
            <w:tcW w:w="554" w:type="pct"/>
            <w:tcBorders>
              <w:tl2br w:val="nil"/>
              <w:tr2bl w:val="nil"/>
            </w:tcBorders>
            <w:shd w:val="clear" w:color="auto" w:fill="auto"/>
            <w:noWrap/>
            <w:vAlign w:val="center"/>
          </w:tcPr>
          <w:p w14:paraId="6C02431F">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0</w:t>
            </w:r>
          </w:p>
        </w:tc>
        <w:tc>
          <w:tcPr>
            <w:tcW w:w="575" w:type="pct"/>
            <w:tcBorders>
              <w:tl2br w:val="nil"/>
              <w:tr2bl w:val="nil"/>
            </w:tcBorders>
            <w:shd w:val="clear" w:color="auto" w:fill="auto"/>
            <w:vAlign w:val="center"/>
          </w:tcPr>
          <w:p w14:paraId="1B546402">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1680</w:t>
            </w:r>
          </w:p>
        </w:tc>
      </w:tr>
      <w:tr w14:paraId="201692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268" w:type="pct"/>
            <w:tcBorders>
              <w:tl2br w:val="nil"/>
              <w:tr2bl w:val="nil"/>
            </w:tcBorders>
            <w:shd w:val="clear" w:color="auto" w:fill="auto"/>
            <w:noWrap/>
            <w:vAlign w:val="center"/>
          </w:tcPr>
          <w:p w14:paraId="59A34CDB">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4</w:t>
            </w:r>
          </w:p>
        </w:tc>
        <w:tc>
          <w:tcPr>
            <w:tcW w:w="987" w:type="pct"/>
            <w:tcBorders>
              <w:tl2br w:val="nil"/>
              <w:tr2bl w:val="nil"/>
            </w:tcBorders>
            <w:shd w:val="clear" w:color="auto" w:fill="auto"/>
            <w:vAlign w:val="center"/>
          </w:tcPr>
          <w:p w14:paraId="2AE4602D">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春林路</w:t>
            </w:r>
          </w:p>
        </w:tc>
        <w:tc>
          <w:tcPr>
            <w:tcW w:w="380" w:type="pct"/>
            <w:tcBorders>
              <w:tl2br w:val="nil"/>
              <w:tr2bl w:val="nil"/>
            </w:tcBorders>
            <w:shd w:val="clear" w:color="auto" w:fill="auto"/>
            <w:vAlign w:val="center"/>
          </w:tcPr>
          <w:p w14:paraId="6A7106B2">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张滩</w:t>
            </w:r>
          </w:p>
        </w:tc>
        <w:tc>
          <w:tcPr>
            <w:tcW w:w="644" w:type="pct"/>
            <w:tcBorders>
              <w:tl2br w:val="nil"/>
              <w:tr2bl w:val="nil"/>
            </w:tcBorders>
            <w:shd w:val="clear" w:color="auto" w:fill="auto"/>
            <w:vAlign w:val="center"/>
          </w:tcPr>
          <w:p w14:paraId="7144F1CF">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立石</w:t>
            </w:r>
          </w:p>
        </w:tc>
        <w:tc>
          <w:tcPr>
            <w:tcW w:w="571" w:type="pct"/>
            <w:tcBorders>
              <w:tl2br w:val="nil"/>
              <w:tr2bl w:val="nil"/>
            </w:tcBorders>
            <w:shd w:val="clear" w:color="auto" w:fill="auto"/>
            <w:noWrap/>
            <w:vAlign w:val="center"/>
          </w:tcPr>
          <w:p w14:paraId="2033E916">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8.4</w:t>
            </w:r>
          </w:p>
        </w:tc>
        <w:tc>
          <w:tcPr>
            <w:tcW w:w="1464" w:type="dxa"/>
            <w:tcBorders>
              <w:tl2br w:val="nil"/>
              <w:tr2bl w:val="nil"/>
            </w:tcBorders>
            <w:shd w:val="clear" w:color="auto" w:fill="auto"/>
            <w:noWrap/>
            <w:vAlign w:val="center"/>
          </w:tcPr>
          <w:p w14:paraId="5C78261A">
            <w:pPr>
              <w:jc w:val="center"/>
              <w:textAlignment w:val="center"/>
              <w:rPr>
                <w:rFonts w:hint="default" w:ascii="Times New Roman" w:hAnsi="Times New Roman" w:eastAsia="宋体" w:cs="Times New Roman"/>
                <w:color w:val="auto"/>
                <w:sz w:val="22"/>
                <w:szCs w:val="22"/>
                <w:highlight w:val="none"/>
              </w:rPr>
            </w:pPr>
            <w:r>
              <w:rPr>
                <w:rFonts w:ascii="Times New Roman" w:hAnsi="Times New Roman" w:eastAsia="等线" w:cs="Times New Roman"/>
                <w:color w:val="auto"/>
                <w:sz w:val="22"/>
                <w:szCs w:val="22"/>
                <w:highlight w:val="none"/>
                <w:lang w:bidi="ar"/>
              </w:rPr>
              <w:t>8.4</w:t>
            </w:r>
          </w:p>
        </w:tc>
        <w:tc>
          <w:tcPr>
            <w:tcW w:w="498" w:type="pct"/>
            <w:tcBorders>
              <w:tl2br w:val="nil"/>
              <w:tr2bl w:val="nil"/>
            </w:tcBorders>
            <w:shd w:val="clear" w:color="auto" w:fill="auto"/>
            <w:noWrap/>
            <w:vAlign w:val="center"/>
          </w:tcPr>
          <w:p w14:paraId="46BDC675">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0</w:t>
            </w:r>
          </w:p>
        </w:tc>
        <w:tc>
          <w:tcPr>
            <w:tcW w:w="554" w:type="pct"/>
            <w:tcBorders>
              <w:tl2br w:val="nil"/>
              <w:tr2bl w:val="nil"/>
            </w:tcBorders>
            <w:shd w:val="clear" w:color="auto" w:fill="auto"/>
            <w:noWrap/>
            <w:vAlign w:val="center"/>
          </w:tcPr>
          <w:p w14:paraId="251D63B3">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0</w:t>
            </w:r>
          </w:p>
        </w:tc>
        <w:tc>
          <w:tcPr>
            <w:tcW w:w="575" w:type="pct"/>
            <w:tcBorders>
              <w:tl2br w:val="nil"/>
              <w:tr2bl w:val="nil"/>
            </w:tcBorders>
            <w:shd w:val="clear" w:color="auto" w:fill="auto"/>
            <w:vAlign w:val="center"/>
          </w:tcPr>
          <w:p w14:paraId="6A9122A9">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0</w:t>
            </w:r>
          </w:p>
        </w:tc>
      </w:tr>
      <w:tr w14:paraId="6CCF87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268" w:type="pct"/>
            <w:tcBorders>
              <w:tl2br w:val="nil"/>
              <w:tr2bl w:val="nil"/>
            </w:tcBorders>
            <w:shd w:val="clear" w:color="auto" w:fill="auto"/>
            <w:noWrap/>
            <w:vAlign w:val="center"/>
          </w:tcPr>
          <w:p w14:paraId="16717B6A">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5</w:t>
            </w:r>
          </w:p>
        </w:tc>
        <w:tc>
          <w:tcPr>
            <w:tcW w:w="987" w:type="pct"/>
            <w:tcBorders>
              <w:tl2br w:val="nil"/>
              <w:tr2bl w:val="nil"/>
            </w:tcBorders>
            <w:shd w:val="clear" w:color="auto" w:fill="auto"/>
            <w:vAlign w:val="center"/>
          </w:tcPr>
          <w:p w14:paraId="2681403E">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永安路北段</w:t>
            </w:r>
          </w:p>
        </w:tc>
        <w:tc>
          <w:tcPr>
            <w:tcW w:w="380" w:type="pct"/>
            <w:tcBorders>
              <w:tl2br w:val="nil"/>
              <w:tr2bl w:val="nil"/>
            </w:tcBorders>
            <w:shd w:val="clear" w:color="auto" w:fill="auto"/>
            <w:vAlign w:val="center"/>
          </w:tcPr>
          <w:p w14:paraId="0558BEAB">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张滩</w:t>
            </w:r>
          </w:p>
        </w:tc>
        <w:tc>
          <w:tcPr>
            <w:tcW w:w="644" w:type="pct"/>
            <w:tcBorders>
              <w:tl2br w:val="nil"/>
              <w:tr2bl w:val="nil"/>
            </w:tcBorders>
            <w:shd w:val="clear" w:color="auto" w:fill="auto"/>
            <w:vAlign w:val="center"/>
          </w:tcPr>
          <w:p w14:paraId="4D519F6C">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邹坡</w:t>
            </w:r>
          </w:p>
        </w:tc>
        <w:tc>
          <w:tcPr>
            <w:tcW w:w="571" w:type="pct"/>
            <w:tcBorders>
              <w:tl2br w:val="nil"/>
              <w:tr2bl w:val="nil"/>
            </w:tcBorders>
            <w:shd w:val="clear" w:color="auto" w:fill="auto"/>
            <w:noWrap/>
            <w:vAlign w:val="center"/>
          </w:tcPr>
          <w:p w14:paraId="303BC8BC">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34.7</w:t>
            </w:r>
          </w:p>
        </w:tc>
        <w:tc>
          <w:tcPr>
            <w:tcW w:w="1464" w:type="dxa"/>
            <w:tcBorders>
              <w:tl2br w:val="nil"/>
              <w:tr2bl w:val="nil"/>
            </w:tcBorders>
            <w:shd w:val="clear" w:color="auto" w:fill="auto"/>
            <w:noWrap/>
            <w:vAlign w:val="center"/>
          </w:tcPr>
          <w:p w14:paraId="1D9915F0">
            <w:pPr>
              <w:jc w:val="center"/>
              <w:textAlignment w:val="center"/>
              <w:rPr>
                <w:rFonts w:hint="default" w:ascii="Times New Roman" w:hAnsi="Times New Roman" w:eastAsia="宋体" w:cs="Times New Roman"/>
                <w:color w:val="auto"/>
                <w:sz w:val="22"/>
                <w:szCs w:val="22"/>
                <w:highlight w:val="none"/>
              </w:rPr>
            </w:pPr>
            <w:r>
              <w:rPr>
                <w:rFonts w:ascii="Times New Roman" w:hAnsi="Times New Roman" w:eastAsia="等线" w:cs="Times New Roman"/>
                <w:color w:val="auto"/>
                <w:sz w:val="22"/>
                <w:szCs w:val="22"/>
                <w:highlight w:val="none"/>
                <w:lang w:bidi="ar"/>
              </w:rPr>
              <w:t>34.7</w:t>
            </w:r>
          </w:p>
        </w:tc>
        <w:tc>
          <w:tcPr>
            <w:tcW w:w="498" w:type="pct"/>
            <w:tcBorders>
              <w:tl2br w:val="nil"/>
              <w:tr2bl w:val="nil"/>
            </w:tcBorders>
            <w:shd w:val="clear" w:color="auto" w:fill="auto"/>
            <w:noWrap/>
            <w:vAlign w:val="center"/>
          </w:tcPr>
          <w:p w14:paraId="082D7FE7">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0</w:t>
            </w:r>
          </w:p>
        </w:tc>
        <w:tc>
          <w:tcPr>
            <w:tcW w:w="554" w:type="pct"/>
            <w:tcBorders>
              <w:tl2br w:val="nil"/>
              <w:tr2bl w:val="nil"/>
            </w:tcBorders>
            <w:shd w:val="clear" w:color="auto" w:fill="auto"/>
            <w:noWrap/>
            <w:vAlign w:val="center"/>
          </w:tcPr>
          <w:p w14:paraId="64702250">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0</w:t>
            </w:r>
          </w:p>
        </w:tc>
        <w:tc>
          <w:tcPr>
            <w:tcW w:w="575" w:type="pct"/>
            <w:tcBorders>
              <w:tl2br w:val="nil"/>
              <w:tr2bl w:val="nil"/>
            </w:tcBorders>
            <w:shd w:val="clear" w:color="auto" w:fill="auto"/>
            <w:vAlign w:val="center"/>
          </w:tcPr>
          <w:p w14:paraId="5405AA6A">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3998</w:t>
            </w:r>
          </w:p>
        </w:tc>
      </w:tr>
      <w:tr w14:paraId="134D0B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79" w:hRule="atLeast"/>
        </w:trPr>
        <w:tc>
          <w:tcPr>
            <w:tcW w:w="268" w:type="pct"/>
            <w:tcBorders>
              <w:tl2br w:val="nil"/>
              <w:tr2bl w:val="nil"/>
            </w:tcBorders>
            <w:shd w:val="clear" w:color="auto" w:fill="auto"/>
            <w:noWrap/>
            <w:vAlign w:val="center"/>
          </w:tcPr>
          <w:p w14:paraId="4E86FD4B">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6</w:t>
            </w:r>
          </w:p>
        </w:tc>
        <w:tc>
          <w:tcPr>
            <w:tcW w:w="987" w:type="pct"/>
            <w:tcBorders>
              <w:tl2br w:val="nil"/>
              <w:tr2bl w:val="nil"/>
            </w:tcBorders>
            <w:shd w:val="clear" w:color="auto" w:fill="auto"/>
            <w:vAlign w:val="center"/>
          </w:tcPr>
          <w:p w14:paraId="0BF8A08C">
            <w:pPr>
              <w:jc w:val="center"/>
              <w:textAlignment w:val="center"/>
              <w:rPr>
                <w:rFonts w:hint="eastAsia" w:ascii="Times New Roman" w:hAnsi="Times New Roman" w:eastAsia="宋体" w:cs="Times New Roman"/>
                <w:color w:val="auto"/>
                <w:sz w:val="22"/>
                <w:szCs w:val="22"/>
                <w:highlight w:val="none"/>
                <w:lang w:eastAsia="zh-CN"/>
              </w:rPr>
            </w:pPr>
            <w:r>
              <w:rPr>
                <w:rFonts w:hint="eastAsia" w:ascii="Times New Roman" w:hAnsi="Times New Roman" w:cs="Times New Roman"/>
                <w:color w:val="auto"/>
                <w:sz w:val="22"/>
                <w:szCs w:val="22"/>
                <w:highlight w:val="none"/>
                <w:lang w:eastAsia="zh-CN" w:bidi="ar"/>
              </w:rPr>
              <w:t>安康关庙至黄洋河（环城干道东段）改建工程</w:t>
            </w:r>
          </w:p>
        </w:tc>
        <w:tc>
          <w:tcPr>
            <w:tcW w:w="380" w:type="pct"/>
            <w:tcBorders>
              <w:tl2br w:val="nil"/>
              <w:tr2bl w:val="nil"/>
            </w:tcBorders>
            <w:shd w:val="clear" w:color="auto" w:fill="auto"/>
            <w:vAlign w:val="center"/>
          </w:tcPr>
          <w:p w14:paraId="64D91215">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张滩</w:t>
            </w:r>
          </w:p>
        </w:tc>
        <w:tc>
          <w:tcPr>
            <w:tcW w:w="644" w:type="pct"/>
            <w:tcBorders>
              <w:tl2br w:val="nil"/>
              <w:tr2bl w:val="nil"/>
            </w:tcBorders>
            <w:shd w:val="clear" w:color="auto" w:fill="auto"/>
            <w:vAlign w:val="center"/>
          </w:tcPr>
          <w:p w14:paraId="6062E86A">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奠安、双井、王湾</w:t>
            </w:r>
          </w:p>
        </w:tc>
        <w:tc>
          <w:tcPr>
            <w:tcW w:w="571" w:type="pct"/>
            <w:tcBorders>
              <w:tl2br w:val="nil"/>
              <w:tr2bl w:val="nil"/>
            </w:tcBorders>
            <w:shd w:val="clear" w:color="auto" w:fill="auto"/>
            <w:noWrap/>
            <w:vAlign w:val="center"/>
          </w:tcPr>
          <w:p w14:paraId="08F406AD">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108.5</w:t>
            </w:r>
          </w:p>
        </w:tc>
        <w:tc>
          <w:tcPr>
            <w:tcW w:w="1464" w:type="dxa"/>
            <w:tcBorders>
              <w:tl2br w:val="nil"/>
              <w:tr2bl w:val="nil"/>
            </w:tcBorders>
            <w:shd w:val="clear" w:color="auto" w:fill="auto"/>
            <w:noWrap/>
            <w:vAlign w:val="center"/>
          </w:tcPr>
          <w:p w14:paraId="62EA3196">
            <w:pPr>
              <w:jc w:val="center"/>
              <w:textAlignment w:val="center"/>
              <w:rPr>
                <w:rFonts w:hint="default" w:ascii="Times New Roman" w:hAnsi="Times New Roman" w:eastAsia="宋体" w:cs="Times New Roman"/>
                <w:color w:val="auto"/>
                <w:sz w:val="22"/>
                <w:szCs w:val="22"/>
                <w:highlight w:val="none"/>
              </w:rPr>
            </w:pPr>
            <w:r>
              <w:rPr>
                <w:rFonts w:ascii="Times New Roman" w:hAnsi="Times New Roman" w:eastAsia="等线" w:cs="Times New Roman"/>
                <w:color w:val="auto"/>
                <w:sz w:val="22"/>
                <w:szCs w:val="22"/>
                <w:highlight w:val="none"/>
                <w:lang w:bidi="ar"/>
              </w:rPr>
              <w:t>86.1</w:t>
            </w:r>
          </w:p>
        </w:tc>
        <w:tc>
          <w:tcPr>
            <w:tcW w:w="498" w:type="pct"/>
            <w:tcBorders>
              <w:tl2br w:val="nil"/>
              <w:tr2bl w:val="nil"/>
            </w:tcBorders>
            <w:shd w:val="clear" w:color="auto" w:fill="auto"/>
            <w:noWrap/>
            <w:vAlign w:val="center"/>
          </w:tcPr>
          <w:p w14:paraId="7A1EB47E">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22.4</w:t>
            </w:r>
          </w:p>
        </w:tc>
        <w:tc>
          <w:tcPr>
            <w:tcW w:w="554" w:type="pct"/>
            <w:tcBorders>
              <w:tl2br w:val="nil"/>
              <w:tr2bl w:val="nil"/>
            </w:tcBorders>
            <w:shd w:val="clear" w:color="auto" w:fill="auto"/>
            <w:noWrap/>
            <w:vAlign w:val="center"/>
          </w:tcPr>
          <w:p w14:paraId="080A19F0">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0</w:t>
            </w:r>
          </w:p>
        </w:tc>
        <w:tc>
          <w:tcPr>
            <w:tcW w:w="575" w:type="pct"/>
            <w:tcBorders>
              <w:tl2br w:val="nil"/>
              <w:tr2bl w:val="nil"/>
            </w:tcBorders>
            <w:shd w:val="clear" w:color="auto" w:fill="auto"/>
            <w:vAlign w:val="center"/>
          </w:tcPr>
          <w:p w14:paraId="5D0A7766">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52077</w:t>
            </w:r>
          </w:p>
        </w:tc>
      </w:tr>
      <w:tr w14:paraId="18A699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91" w:hRule="atLeast"/>
        </w:trPr>
        <w:tc>
          <w:tcPr>
            <w:tcW w:w="268" w:type="pct"/>
            <w:tcBorders>
              <w:tl2br w:val="nil"/>
              <w:tr2bl w:val="nil"/>
            </w:tcBorders>
            <w:shd w:val="clear" w:color="auto" w:fill="auto"/>
            <w:noWrap/>
            <w:vAlign w:val="center"/>
          </w:tcPr>
          <w:p w14:paraId="6C5D9595">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7</w:t>
            </w:r>
          </w:p>
        </w:tc>
        <w:tc>
          <w:tcPr>
            <w:tcW w:w="987" w:type="pct"/>
            <w:tcBorders>
              <w:tl2br w:val="nil"/>
              <w:tr2bl w:val="nil"/>
            </w:tcBorders>
            <w:shd w:val="clear" w:color="auto" w:fill="auto"/>
            <w:vAlign w:val="center"/>
          </w:tcPr>
          <w:p w14:paraId="03067223">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安康城东新区核心片区绿色公共停车场项目</w:t>
            </w:r>
          </w:p>
        </w:tc>
        <w:tc>
          <w:tcPr>
            <w:tcW w:w="380" w:type="pct"/>
            <w:tcBorders>
              <w:tl2br w:val="nil"/>
              <w:tr2bl w:val="nil"/>
            </w:tcBorders>
            <w:shd w:val="clear" w:color="auto" w:fill="auto"/>
            <w:vAlign w:val="center"/>
          </w:tcPr>
          <w:p w14:paraId="5A99A2E8">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张滩</w:t>
            </w:r>
          </w:p>
        </w:tc>
        <w:tc>
          <w:tcPr>
            <w:tcW w:w="644" w:type="pct"/>
            <w:tcBorders>
              <w:tl2br w:val="nil"/>
              <w:tr2bl w:val="nil"/>
            </w:tcBorders>
            <w:shd w:val="clear" w:color="auto" w:fill="auto"/>
            <w:vAlign w:val="center"/>
          </w:tcPr>
          <w:p w14:paraId="66D12D66">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邹坡、双井、立石</w:t>
            </w:r>
          </w:p>
        </w:tc>
        <w:tc>
          <w:tcPr>
            <w:tcW w:w="571" w:type="pct"/>
            <w:tcBorders>
              <w:tl2br w:val="nil"/>
              <w:tr2bl w:val="nil"/>
            </w:tcBorders>
            <w:shd w:val="clear" w:color="auto" w:fill="auto"/>
            <w:noWrap/>
            <w:vAlign w:val="center"/>
          </w:tcPr>
          <w:p w14:paraId="2265A2EB">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38.2</w:t>
            </w:r>
          </w:p>
        </w:tc>
        <w:tc>
          <w:tcPr>
            <w:tcW w:w="1464" w:type="dxa"/>
            <w:tcBorders>
              <w:tl2br w:val="nil"/>
              <w:tr2bl w:val="nil"/>
            </w:tcBorders>
            <w:shd w:val="clear" w:color="auto" w:fill="auto"/>
            <w:noWrap/>
            <w:vAlign w:val="center"/>
          </w:tcPr>
          <w:p w14:paraId="602140A4">
            <w:pPr>
              <w:jc w:val="center"/>
              <w:textAlignment w:val="center"/>
              <w:rPr>
                <w:rFonts w:hint="default" w:ascii="Times New Roman" w:hAnsi="Times New Roman" w:eastAsia="宋体" w:cs="Times New Roman"/>
                <w:color w:val="auto"/>
                <w:sz w:val="22"/>
                <w:szCs w:val="22"/>
                <w:highlight w:val="none"/>
              </w:rPr>
            </w:pPr>
            <w:r>
              <w:rPr>
                <w:rFonts w:ascii="Times New Roman" w:hAnsi="Times New Roman" w:eastAsia="等线" w:cs="Times New Roman"/>
                <w:color w:val="auto"/>
                <w:sz w:val="22"/>
                <w:szCs w:val="22"/>
                <w:highlight w:val="none"/>
                <w:lang w:bidi="ar"/>
              </w:rPr>
              <w:t>20.6</w:t>
            </w:r>
          </w:p>
        </w:tc>
        <w:tc>
          <w:tcPr>
            <w:tcW w:w="498" w:type="pct"/>
            <w:tcBorders>
              <w:tl2br w:val="nil"/>
              <w:tr2bl w:val="nil"/>
            </w:tcBorders>
            <w:shd w:val="clear" w:color="auto" w:fill="auto"/>
            <w:noWrap/>
            <w:vAlign w:val="center"/>
          </w:tcPr>
          <w:p w14:paraId="72B35523">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17.6</w:t>
            </w:r>
          </w:p>
        </w:tc>
        <w:tc>
          <w:tcPr>
            <w:tcW w:w="554" w:type="pct"/>
            <w:tcBorders>
              <w:tl2br w:val="nil"/>
              <w:tr2bl w:val="nil"/>
            </w:tcBorders>
            <w:shd w:val="clear" w:color="auto" w:fill="auto"/>
            <w:noWrap/>
            <w:vAlign w:val="center"/>
          </w:tcPr>
          <w:p w14:paraId="500712BA">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0</w:t>
            </w:r>
          </w:p>
        </w:tc>
        <w:tc>
          <w:tcPr>
            <w:tcW w:w="575" w:type="pct"/>
            <w:tcBorders>
              <w:tl2br w:val="nil"/>
              <w:tr2bl w:val="nil"/>
            </w:tcBorders>
            <w:shd w:val="clear" w:color="auto" w:fill="auto"/>
            <w:vAlign w:val="center"/>
          </w:tcPr>
          <w:p w14:paraId="1F87A410">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0</w:t>
            </w:r>
          </w:p>
        </w:tc>
      </w:tr>
      <w:tr w14:paraId="5A215D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55" w:hRule="atLeast"/>
        </w:trPr>
        <w:tc>
          <w:tcPr>
            <w:tcW w:w="268" w:type="pct"/>
            <w:tcBorders>
              <w:tl2br w:val="nil"/>
              <w:tr2bl w:val="nil"/>
            </w:tcBorders>
            <w:shd w:val="clear" w:color="auto" w:fill="auto"/>
            <w:noWrap/>
            <w:vAlign w:val="center"/>
          </w:tcPr>
          <w:p w14:paraId="602CF010">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8</w:t>
            </w:r>
          </w:p>
        </w:tc>
        <w:tc>
          <w:tcPr>
            <w:tcW w:w="987" w:type="pct"/>
            <w:tcBorders>
              <w:tl2br w:val="nil"/>
              <w:tr2bl w:val="nil"/>
            </w:tcBorders>
            <w:shd w:val="clear" w:color="auto" w:fill="auto"/>
            <w:vAlign w:val="center"/>
          </w:tcPr>
          <w:p w14:paraId="701FD9F4">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汉江修复和沿岸绿廊项目（一期）</w:t>
            </w:r>
          </w:p>
        </w:tc>
        <w:tc>
          <w:tcPr>
            <w:tcW w:w="380" w:type="pct"/>
            <w:tcBorders>
              <w:tl2br w:val="nil"/>
              <w:tr2bl w:val="nil"/>
            </w:tcBorders>
            <w:shd w:val="clear" w:color="auto" w:fill="auto"/>
            <w:vAlign w:val="center"/>
          </w:tcPr>
          <w:p w14:paraId="243FAB29">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张滩</w:t>
            </w:r>
          </w:p>
        </w:tc>
        <w:tc>
          <w:tcPr>
            <w:tcW w:w="644" w:type="pct"/>
            <w:tcBorders>
              <w:tl2br w:val="nil"/>
              <w:tr2bl w:val="nil"/>
            </w:tcBorders>
            <w:shd w:val="clear" w:color="auto" w:fill="auto"/>
            <w:vAlign w:val="center"/>
          </w:tcPr>
          <w:p w14:paraId="69A5C00C">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立石、汪岭、兰沟、奠安、九条沟、杨寇</w:t>
            </w:r>
          </w:p>
        </w:tc>
        <w:tc>
          <w:tcPr>
            <w:tcW w:w="571" w:type="pct"/>
            <w:tcBorders>
              <w:tl2br w:val="nil"/>
              <w:tr2bl w:val="nil"/>
            </w:tcBorders>
            <w:shd w:val="clear" w:color="auto" w:fill="auto"/>
            <w:noWrap/>
            <w:vAlign w:val="center"/>
          </w:tcPr>
          <w:p w14:paraId="4E073359">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1491.6</w:t>
            </w:r>
          </w:p>
        </w:tc>
        <w:tc>
          <w:tcPr>
            <w:tcW w:w="1464" w:type="dxa"/>
            <w:tcBorders>
              <w:tl2br w:val="nil"/>
              <w:tr2bl w:val="nil"/>
            </w:tcBorders>
            <w:shd w:val="clear" w:color="auto" w:fill="auto"/>
            <w:noWrap/>
            <w:vAlign w:val="center"/>
          </w:tcPr>
          <w:p w14:paraId="493F128A">
            <w:pPr>
              <w:jc w:val="center"/>
              <w:textAlignment w:val="center"/>
              <w:rPr>
                <w:rFonts w:hint="default" w:ascii="Times New Roman" w:hAnsi="Times New Roman" w:eastAsia="宋体" w:cs="Times New Roman"/>
                <w:color w:val="auto"/>
                <w:sz w:val="22"/>
                <w:szCs w:val="22"/>
                <w:highlight w:val="none"/>
              </w:rPr>
            </w:pPr>
            <w:r>
              <w:rPr>
                <w:rFonts w:ascii="Times New Roman" w:hAnsi="Times New Roman" w:eastAsia="等线" w:cs="Times New Roman"/>
                <w:color w:val="auto"/>
                <w:sz w:val="22"/>
                <w:szCs w:val="22"/>
                <w:highlight w:val="none"/>
                <w:lang w:bidi="ar"/>
              </w:rPr>
              <w:t>455.9</w:t>
            </w:r>
          </w:p>
        </w:tc>
        <w:tc>
          <w:tcPr>
            <w:tcW w:w="498" w:type="pct"/>
            <w:tcBorders>
              <w:tl2br w:val="nil"/>
              <w:tr2bl w:val="nil"/>
            </w:tcBorders>
            <w:shd w:val="clear" w:color="auto" w:fill="auto"/>
            <w:noWrap/>
            <w:vAlign w:val="center"/>
          </w:tcPr>
          <w:p w14:paraId="6B2CB50A">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0</w:t>
            </w:r>
          </w:p>
        </w:tc>
        <w:tc>
          <w:tcPr>
            <w:tcW w:w="554" w:type="pct"/>
            <w:tcBorders>
              <w:tl2br w:val="nil"/>
              <w:tr2bl w:val="nil"/>
            </w:tcBorders>
            <w:shd w:val="clear" w:color="auto" w:fill="auto"/>
            <w:noWrap/>
            <w:vAlign w:val="center"/>
          </w:tcPr>
          <w:p w14:paraId="7E0A8129">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1035.7</w:t>
            </w:r>
          </w:p>
        </w:tc>
        <w:tc>
          <w:tcPr>
            <w:tcW w:w="575" w:type="pct"/>
            <w:tcBorders>
              <w:tl2br w:val="nil"/>
              <w:tr2bl w:val="nil"/>
            </w:tcBorders>
            <w:shd w:val="clear" w:color="auto" w:fill="auto"/>
            <w:vAlign w:val="center"/>
          </w:tcPr>
          <w:p w14:paraId="3F4C3D35">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3070</w:t>
            </w:r>
          </w:p>
        </w:tc>
      </w:tr>
      <w:tr w14:paraId="393118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91" w:hRule="atLeast"/>
        </w:trPr>
        <w:tc>
          <w:tcPr>
            <w:tcW w:w="268" w:type="pct"/>
            <w:tcBorders>
              <w:tl2br w:val="nil"/>
              <w:tr2bl w:val="nil"/>
            </w:tcBorders>
            <w:shd w:val="clear" w:color="auto" w:fill="auto"/>
            <w:noWrap/>
            <w:vAlign w:val="center"/>
          </w:tcPr>
          <w:p w14:paraId="5A515879">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9</w:t>
            </w:r>
          </w:p>
        </w:tc>
        <w:tc>
          <w:tcPr>
            <w:tcW w:w="987" w:type="pct"/>
            <w:tcBorders>
              <w:tl2br w:val="nil"/>
              <w:tr2bl w:val="nil"/>
            </w:tcBorders>
            <w:shd w:val="clear" w:color="auto" w:fill="auto"/>
            <w:vAlign w:val="center"/>
          </w:tcPr>
          <w:p w14:paraId="532C7A3C">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黄洋河水环境治理和生态公园项目</w:t>
            </w:r>
          </w:p>
        </w:tc>
        <w:tc>
          <w:tcPr>
            <w:tcW w:w="380" w:type="pct"/>
            <w:tcBorders>
              <w:tl2br w:val="nil"/>
              <w:tr2bl w:val="nil"/>
            </w:tcBorders>
            <w:shd w:val="clear" w:color="auto" w:fill="auto"/>
            <w:vAlign w:val="center"/>
          </w:tcPr>
          <w:p w14:paraId="60AF49F5">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张滩、新城街办</w:t>
            </w:r>
          </w:p>
        </w:tc>
        <w:tc>
          <w:tcPr>
            <w:tcW w:w="644" w:type="pct"/>
            <w:tcBorders>
              <w:tl2br w:val="nil"/>
              <w:tr2bl w:val="nil"/>
            </w:tcBorders>
            <w:shd w:val="clear" w:color="auto" w:fill="auto"/>
            <w:noWrap/>
            <w:vAlign w:val="center"/>
          </w:tcPr>
          <w:p w14:paraId="78EDA679">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双井、王湾、张滩社区、立石</w:t>
            </w:r>
          </w:p>
        </w:tc>
        <w:tc>
          <w:tcPr>
            <w:tcW w:w="571" w:type="pct"/>
            <w:tcBorders>
              <w:tl2br w:val="nil"/>
              <w:tr2bl w:val="nil"/>
            </w:tcBorders>
            <w:shd w:val="clear" w:color="auto" w:fill="auto"/>
            <w:noWrap/>
            <w:vAlign w:val="center"/>
          </w:tcPr>
          <w:p w14:paraId="6F10AA24">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2017.6</w:t>
            </w:r>
          </w:p>
        </w:tc>
        <w:tc>
          <w:tcPr>
            <w:tcW w:w="1464" w:type="dxa"/>
            <w:tcBorders>
              <w:tl2br w:val="nil"/>
              <w:tr2bl w:val="nil"/>
            </w:tcBorders>
            <w:shd w:val="clear" w:color="auto" w:fill="auto"/>
            <w:noWrap/>
            <w:vAlign w:val="center"/>
          </w:tcPr>
          <w:p w14:paraId="1F459EBC">
            <w:pPr>
              <w:jc w:val="center"/>
              <w:textAlignment w:val="center"/>
              <w:rPr>
                <w:rFonts w:hint="default" w:ascii="Times New Roman" w:hAnsi="Times New Roman" w:eastAsia="宋体" w:cs="Times New Roman"/>
                <w:color w:val="auto"/>
                <w:sz w:val="22"/>
                <w:szCs w:val="22"/>
                <w:highlight w:val="none"/>
              </w:rPr>
            </w:pPr>
            <w:r>
              <w:rPr>
                <w:rFonts w:ascii="Times New Roman" w:hAnsi="Times New Roman" w:eastAsia="等线" w:cs="Times New Roman"/>
                <w:color w:val="auto"/>
                <w:sz w:val="22"/>
                <w:szCs w:val="22"/>
                <w:highlight w:val="none"/>
                <w:lang w:bidi="ar"/>
              </w:rPr>
              <w:t>0</w:t>
            </w:r>
          </w:p>
        </w:tc>
        <w:tc>
          <w:tcPr>
            <w:tcW w:w="498" w:type="pct"/>
            <w:tcBorders>
              <w:tl2br w:val="nil"/>
              <w:tr2bl w:val="nil"/>
            </w:tcBorders>
            <w:shd w:val="clear" w:color="auto" w:fill="auto"/>
            <w:noWrap/>
            <w:vAlign w:val="center"/>
          </w:tcPr>
          <w:p w14:paraId="337C23AB">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0</w:t>
            </w:r>
          </w:p>
        </w:tc>
        <w:tc>
          <w:tcPr>
            <w:tcW w:w="554" w:type="pct"/>
            <w:tcBorders>
              <w:tl2br w:val="nil"/>
              <w:tr2bl w:val="nil"/>
            </w:tcBorders>
            <w:shd w:val="clear" w:color="auto" w:fill="auto"/>
            <w:noWrap/>
            <w:vAlign w:val="center"/>
          </w:tcPr>
          <w:p w14:paraId="63AB42C7">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2017.6</w:t>
            </w:r>
          </w:p>
        </w:tc>
        <w:tc>
          <w:tcPr>
            <w:tcW w:w="575" w:type="pct"/>
            <w:tcBorders>
              <w:tl2br w:val="nil"/>
              <w:tr2bl w:val="nil"/>
            </w:tcBorders>
            <w:shd w:val="clear" w:color="auto" w:fill="auto"/>
            <w:vAlign w:val="center"/>
          </w:tcPr>
          <w:p w14:paraId="590E5D91">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0</w:t>
            </w:r>
          </w:p>
        </w:tc>
      </w:tr>
      <w:tr w14:paraId="62A516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79" w:hRule="atLeast"/>
        </w:trPr>
        <w:tc>
          <w:tcPr>
            <w:tcW w:w="268" w:type="pct"/>
            <w:tcBorders>
              <w:tl2br w:val="nil"/>
              <w:tr2bl w:val="nil"/>
            </w:tcBorders>
            <w:shd w:val="clear" w:color="auto" w:fill="auto"/>
            <w:noWrap/>
            <w:vAlign w:val="center"/>
          </w:tcPr>
          <w:p w14:paraId="5FEF4D2A">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10</w:t>
            </w:r>
          </w:p>
        </w:tc>
        <w:tc>
          <w:tcPr>
            <w:tcW w:w="987" w:type="pct"/>
            <w:tcBorders>
              <w:tl2br w:val="nil"/>
              <w:tr2bl w:val="nil"/>
            </w:tcBorders>
            <w:shd w:val="clear" w:color="auto" w:fill="auto"/>
            <w:vAlign w:val="center"/>
          </w:tcPr>
          <w:p w14:paraId="7B9E036E">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汉江综合整治项目张滩集镇段防护工程防护一区</w:t>
            </w:r>
          </w:p>
        </w:tc>
        <w:tc>
          <w:tcPr>
            <w:tcW w:w="380" w:type="pct"/>
            <w:tcBorders>
              <w:tl2br w:val="nil"/>
              <w:tr2bl w:val="nil"/>
            </w:tcBorders>
            <w:shd w:val="clear" w:color="auto" w:fill="auto"/>
            <w:vAlign w:val="center"/>
          </w:tcPr>
          <w:p w14:paraId="16017249">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张滩</w:t>
            </w:r>
          </w:p>
        </w:tc>
        <w:tc>
          <w:tcPr>
            <w:tcW w:w="644" w:type="pct"/>
            <w:tcBorders>
              <w:tl2br w:val="nil"/>
              <w:tr2bl w:val="nil"/>
            </w:tcBorders>
            <w:shd w:val="clear" w:color="auto" w:fill="auto"/>
            <w:vAlign w:val="center"/>
          </w:tcPr>
          <w:p w14:paraId="01AD3BEE">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后堰</w:t>
            </w:r>
          </w:p>
        </w:tc>
        <w:tc>
          <w:tcPr>
            <w:tcW w:w="571" w:type="pct"/>
            <w:tcBorders>
              <w:tl2br w:val="nil"/>
              <w:tr2bl w:val="nil"/>
            </w:tcBorders>
            <w:shd w:val="clear" w:color="auto" w:fill="auto"/>
            <w:noWrap/>
            <w:vAlign w:val="center"/>
          </w:tcPr>
          <w:p w14:paraId="5BC3EDDF">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215.3</w:t>
            </w:r>
          </w:p>
        </w:tc>
        <w:tc>
          <w:tcPr>
            <w:tcW w:w="1464" w:type="dxa"/>
            <w:tcBorders>
              <w:tl2br w:val="nil"/>
              <w:tr2bl w:val="nil"/>
            </w:tcBorders>
            <w:shd w:val="clear" w:color="auto" w:fill="auto"/>
            <w:noWrap/>
            <w:vAlign w:val="center"/>
          </w:tcPr>
          <w:p w14:paraId="70CB2D18">
            <w:pPr>
              <w:jc w:val="center"/>
              <w:textAlignment w:val="center"/>
              <w:rPr>
                <w:rFonts w:hint="default" w:ascii="Times New Roman" w:hAnsi="Times New Roman" w:eastAsia="宋体" w:cs="Times New Roman"/>
                <w:color w:val="auto"/>
                <w:sz w:val="22"/>
                <w:szCs w:val="22"/>
                <w:highlight w:val="none"/>
              </w:rPr>
            </w:pPr>
            <w:r>
              <w:rPr>
                <w:rFonts w:ascii="Times New Roman" w:hAnsi="Times New Roman" w:eastAsia="等线" w:cs="Times New Roman"/>
                <w:color w:val="auto"/>
                <w:sz w:val="22"/>
                <w:szCs w:val="22"/>
                <w:highlight w:val="none"/>
                <w:lang w:bidi="ar"/>
              </w:rPr>
              <w:t>215.3</w:t>
            </w:r>
          </w:p>
        </w:tc>
        <w:tc>
          <w:tcPr>
            <w:tcW w:w="498" w:type="pct"/>
            <w:tcBorders>
              <w:tl2br w:val="nil"/>
              <w:tr2bl w:val="nil"/>
            </w:tcBorders>
            <w:shd w:val="clear" w:color="auto" w:fill="auto"/>
            <w:noWrap/>
            <w:vAlign w:val="center"/>
          </w:tcPr>
          <w:p w14:paraId="27ECC520">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0</w:t>
            </w:r>
          </w:p>
        </w:tc>
        <w:tc>
          <w:tcPr>
            <w:tcW w:w="554" w:type="pct"/>
            <w:tcBorders>
              <w:tl2br w:val="nil"/>
              <w:tr2bl w:val="nil"/>
            </w:tcBorders>
            <w:shd w:val="clear" w:color="auto" w:fill="auto"/>
            <w:noWrap/>
            <w:vAlign w:val="center"/>
          </w:tcPr>
          <w:p w14:paraId="4A308B8A">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0</w:t>
            </w:r>
          </w:p>
        </w:tc>
        <w:tc>
          <w:tcPr>
            <w:tcW w:w="575" w:type="pct"/>
            <w:tcBorders>
              <w:tl2br w:val="nil"/>
              <w:tr2bl w:val="nil"/>
            </w:tcBorders>
            <w:shd w:val="clear" w:color="auto" w:fill="auto"/>
            <w:vAlign w:val="center"/>
          </w:tcPr>
          <w:p w14:paraId="49992794">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0</w:t>
            </w:r>
          </w:p>
        </w:tc>
      </w:tr>
      <w:tr w14:paraId="130251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91" w:hRule="atLeast"/>
        </w:trPr>
        <w:tc>
          <w:tcPr>
            <w:tcW w:w="268" w:type="pct"/>
            <w:tcBorders>
              <w:tl2br w:val="nil"/>
              <w:tr2bl w:val="nil"/>
            </w:tcBorders>
            <w:shd w:val="clear" w:color="auto" w:fill="auto"/>
            <w:noWrap/>
            <w:vAlign w:val="center"/>
          </w:tcPr>
          <w:p w14:paraId="422610B9">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11</w:t>
            </w:r>
          </w:p>
        </w:tc>
        <w:tc>
          <w:tcPr>
            <w:tcW w:w="987" w:type="pct"/>
            <w:tcBorders>
              <w:tl2br w:val="nil"/>
              <w:tr2bl w:val="nil"/>
            </w:tcBorders>
            <w:shd w:val="clear" w:color="auto" w:fill="auto"/>
            <w:vAlign w:val="center"/>
          </w:tcPr>
          <w:p w14:paraId="73DFEF40">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安康城东体育公园</w:t>
            </w:r>
          </w:p>
        </w:tc>
        <w:tc>
          <w:tcPr>
            <w:tcW w:w="380" w:type="pct"/>
            <w:tcBorders>
              <w:tl2br w:val="nil"/>
              <w:tr2bl w:val="nil"/>
            </w:tcBorders>
            <w:shd w:val="clear" w:color="auto" w:fill="auto"/>
            <w:vAlign w:val="center"/>
          </w:tcPr>
          <w:p w14:paraId="28E60BA2">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张滩</w:t>
            </w:r>
          </w:p>
        </w:tc>
        <w:tc>
          <w:tcPr>
            <w:tcW w:w="644" w:type="pct"/>
            <w:tcBorders>
              <w:tl2br w:val="nil"/>
              <w:tr2bl w:val="nil"/>
            </w:tcBorders>
            <w:shd w:val="clear" w:color="auto" w:fill="auto"/>
            <w:vAlign w:val="center"/>
          </w:tcPr>
          <w:p w14:paraId="7B8F7550">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立石、邹坡</w:t>
            </w:r>
          </w:p>
        </w:tc>
        <w:tc>
          <w:tcPr>
            <w:tcW w:w="571" w:type="pct"/>
            <w:tcBorders>
              <w:tl2br w:val="nil"/>
              <w:tr2bl w:val="nil"/>
            </w:tcBorders>
            <w:shd w:val="clear" w:color="auto" w:fill="auto"/>
            <w:noWrap/>
            <w:vAlign w:val="center"/>
          </w:tcPr>
          <w:p w14:paraId="6A03D497">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263.3</w:t>
            </w:r>
          </w:p>
        </w:tc>
        <w:tc>
          <w:tcPr>
            <w:tcW w:w="1464" w:type="dxa"/>
            <w:tcBorders>
              <w:tl2br w:val="nil"/>
              <w:tr2bl w:val="nil"/>
            </w:tcBorders>
            <w:shd w:val="clear" w:color="auto" w:fill="auto"/>
            <w:noWrap/>
            <w:vAlign w:val="center"/>
          </w:tcPr>
          <w:p w14:paraId="005ADE03">
            <w:pPr>
              <w:jc w:val="center"/>
              <w:textAlignment w:val="center"/>
              <w:rPr>
                <w:rFonts w:hint="default" w:ascii="Times New Roman" w:hAnsi="Times New Roman" w:eastAsia="宋体" w:cs="Times New Roman"/>
                <w:color w:val="auto"/>
                <w:sz w:val="22"/>
                <w:szCs w:val="22"/>
                <w:highlight w:val="none"/>
              </w:rPr>
            </w:pPr>
            <w:r>
              <w:rPr>
                <w:rFonts w:ascii="Times New Roman" w:hAnsi="Times New Roman" w:eastAsia="等线" w:cs="Times New Roman"/>
                <w:color w:val="auto"/>
                <w:sz w:val="22"/>
                <w:szCs w:val="22"/>
                <w:highlight w:val="none"/>
                <w:lang w:bidi="ar"/>
              </w:rPr>
              <w:t>90.93</w:t>
            </w:r>
          </w:p>
        </w:tc>
        <w:tc>
          <w:tcPr>
            <w:tcW w:w="498" w:type="pct"/>
            <w:tcBorders>
              <w:tl2br w:val="nil"/>
              <w:tr2bl w:val="nil"/>
            </w:tcBorders>
            <w:shd w:val="clear" w:color="auto" w:fill="auto"/>
            <w:noWrap/>
            <w:vAlign w:val="center"/>
          </w:tcPr>
          <w:p w14:paraId="3F7AB3D6">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172.37</w:t>
            </w:r>
          </w:p>
        </w:tc>
        <w:tc>
          <w:tcPr>
            <w:tcW w:w="554" w:type="pct"/>
            <w:tcBorders>
              <w:tl2br w:val="nil"/>
              <w:tr2bl w:val="nil"/>
            </w:tcBorders>
            <w:shd w:val="clear" w:color="auto" w:fill="auto"/>
            <w:noWrap/>
            <w:vAlign w:val="center"/>
          </w:tcPr>
          <w:p w14:paraId="54C91AC0">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0</w:t>
            </w:r>
          </w:p>
        </w:tc>
        <w:tc>
          <w:tcPr>
            <w:tcW w:w="575" w:type="pct"/>
            <w:tcBorders>
              <w:tl2br w:val="nil"/>
              <w:tr2bl w:val="nil"/>
            </w:tcBorders>
            <w:shd w:val="clear" w:color="auto" w:fill="auto"/>
            <w:vAlign w:val="center"/>
          </w:tcPr>
          <w:p w14:paraId="336453C1">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2580</w:t>
            </w:r>
          </w:p>
        </w:tc>
      </w:tr>
      <w:tr w14:paraId="7373F6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91" w:hRule="atLeast"/>
        </w:trPr>
        <w:tc>
          <w:tcPr>
            <w:tcW w:w="268" w:type="pct"/>
            <w:tcBorders>
              <w:tl2br w:val="nil"/>
              <w:tr2bl w:val="nil"/>
            </w:tcBorders>
            <w:shd w:val="clear" w:color="auto" w:fill="auto"/>
            <w:noWrap/>
            <w:vAlign w:val="center"/>
          </w:tcPr>
          <w:p w14:paraId="3B90CFB6">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12</w:t>
            </w:r>
          </w:p>
        </w:tc>
        <w:tc>
          <w:tcPr>
            <w:tcW w:w="987" w:type="pct"/>
            <w:tcBorders>
              <w:tl2br w:val="nil"/>
              <w:tr2bl w:val="nil"/>
            </w:tcBorders>
            <w:shd w:val="clear" w:color="auto" w:fill="auto"/>
            <w:vAlign w:val="center"/>
          </w:tcPr>
          <w:p w14:paraId="482B2709">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社区生态公园项目</w:t>
            </w:r>
          </w:p>
        </w:tc>
        <w:tc>
          <w:tcPr>
            <w:tcW w:w="380" w:type="pct"/>
            <w:tcBorders>
              <w:tl2br w:val="nil"/>
              <w:tr2bl w:val="nil"/>
            </w:tcBorders>
            <w:shd w:val="clear" w:color="auto" w:fill="auto"/>
            <w:vAlign w:val="center"/>
          </w:tcPr>
          <w:p w14:paraId="69880E22">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张滩</w:t>
            </w:r>
          </w:p>
        </w:tc>
        <w:tc>
          <w:tcPr>
            <w:tcW w:w="644" w:type="pct"/>
            <w:tcBorders>
              <w:tl2br w:val="nil"/>
              <w:tr2bl w:val="nil"/>
            </w:tcBorders>
            <w:shd w:val="clear" w:color="auto" w:fill="auto"/>
            <w:vAlign w:val="center"/>
          </w:tcPr>
          <w:p w14:paraId="6DC4BD1F">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邹坡、王湾</w:t>
            </w:r>
          </w:p>
        </w:tc>
        <w:tc>
          <w:tcPr>
            <w:tcW w:w="571" w:type="pct"/>
            <w:tcBorders>
              <w:tl2br w:val="nil"/>
              <w:tr2bl w:val="nil"/>
            </w:tcBorders>
            <w:shd w:val="clear" w:color="auto" w:fill="auto"/>
            <w:noWrap/>
            <w:vAlign w:val="center"/>
          </w:tcPr>
          <w:p w14:paraId="75532857">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35.88</w:t>
            </w:r>
          </w:p>
        </w:tc>
        <w:tc>
          <w:tcPr>
            <w:tcW w:w="1464" w:type="dxa"/>
            <w:tcBorders>
              <w:tl2br w:val="nil"/>
              <w:tr2bl w:val="nil"/>
            </w:tcBorders>
            <w:shd w:val="clear" w:color="auto" w:fill="auto"/>
            <w:noWrap/>
            <w:vAlign w:val="center"/>
          </w:tcPr>
          <w:p w14:paraId="554D8E19">
            <w:pPr>
              <w:jc w:val="center"/>
              <w:textAlignment w:val="center"/>
              <w:rPr>
                <w:rFonts w:hint="default" w:ascii="Times New Roman" w:hAnsi="Times New Roman" w:eastAsia="宋体" w:cs="Times New Roman"/>
                <w:color w:val="auto"/>
                <w:sz w:val="22"/>
                <w:szCs w:val="22"/>
                <w:highlight w:val="none"/>
              </w:rPr>
            </w:pPr>
            <w:r>
              <w:rPr>
                <w:rFonts w:ascii="Times New Roman" w:hAnsi="Times New Roman" w:eastAsia="等线" w:cs="Times New Roman"/>
                <w:color w:val="auto"/>
                <w:sz w:val="22"/>
                <w:szCs w:val="22"/>
                <w:highlight w:val="none"/>
                <w:lang w:bidi="ar"/>
              </w:rPr>
              <w:t>35.88</w:t>
            </w:r>
          </w:p>
        </w:tc>
        <w:tc>
          <w:tcPr>
            <w:tcW w:w="498" w:type="pct"/>
            <w:tcBorders>
              <w:tl2br w:val="nil"/>
              <w:tr2bl w:val="nil"/>
            </w:tcBorders>
            <w:shd w:val="clear" w:color="auto" w:fill="auto"/>
            <w:noWrap/>
            <w:vAlign w:val="center"/>
          </w:tcPr>
          <w:p w14:paraId="5BAFD88A">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0</w:t>
            </w:r>
          </w:p>
        </w:tc>
        <w:tc>
          <w:tcPr>
            <w:tcW w:w="554" w:type="pct"/>
            <w:tcBorders>
              <w:tl2br w:val="nil"/>
              <w:tr2bl w:val="nil"/>
            </w:tcBorders>
            <w:shd w:val="clear" w:color="auto" w:fill="auto"/>
            <w:noWrap/>
            <w:vAlign w:val="center"/>
          </w:tcPr>
          <w:p w14:paraId="0C5DD965">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0</w:t>
            </w:r>
          </w:p>
        </w:tc>
        <w:tc>
          <w:tcPr>
            <w:tcW w:w="575" w:type="pct"/>
            <w:tcBorders>
              <w:tl2br w:val="nil"/>
              <w:tr2bl w:val="nil"/>
            </w:tcBorders>
            <w:shd w:val="clear" w:color="auto" w:fill="auto"/>
            <w:vAlign w:val="center"/>
          </w:tcPr>
          <w:p w14:paraId="7715654A">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3760</w:t>
            </w:r>
          </w:p>
        </w:tc>
      </w:tr>
      <w:tr w14:paraId="3613AD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91" w:hRule="atLeast"/>
        </w:trPr>
        <w:tc>
          <w:tcPr>
            <w:tcW w:w="268" w:type="pct"/>
            <w:tcBorders>
              <w:tl2br w:val="nil"/>
              <w:tr2bl w:val="nil"/>
            </w:tcBorders>
            <w:shd w:val="clear" w:color="auto" w:fill="auto"/>
            <w:noWrap/>
            <w:vAlign w:val="center"/>
          </w:tcPr>
          <w:p w14:paraId="68467AC3">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13</w:t>
            </w:r>
          </w:p>
        </w:tc>
        <w:tc>
          <w:tcPr>
            <w:tcW w:w="987" w:type="pct"/>
            <w:tcBorders>
              <w:tl2br w:val="nil"/>
              <w:tr2bl w:val="nil"/>
            </w:tcBorders>
            <w:shd w:val="clear" w:color="auto" w:fill="auto"/>
            <w:vAlign w:val="center"/>
          </w:tcPr>
          <w:p w14:paraId="63966A52">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绿色低碳城市运营管理和数据中心</w:t>
            </w:r>
          </w:p>
        </w:tc>
        <w:tc>
          <w:tcPr>
            <w:tcW w:w="380" w:type="pct"/>
            <w:tcBorders>
              <w:tl2br w:val="nil"/>
              <w:tr2bl w:val="nil"/>
            </w:tcBorders>
            <w:shd w:val="clear" w:color="auto" w:fill="auto"/>
            <w:vAlign w:val="center"/>
          </w:tcPr>
          <w:p w14:paraId="23CDA867">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张滩</w:t>
            </w:r>
          </w:p>
        </w:tc>
        <w:tc>
          <w:tcPr>
            <w:tcW w:w="644" w:type="pct"/>
            <w:tcBorders>
              <w:tl2br w:val="nil"/>
              <w:tr2bl w:val="nil"/>
            </w:tcBorders>
            <w:shd w:val="clear" w:color="auto" w:fill="auto"/>
            <w:noWrap/>
            <w:vAlign w:val="center"/>
          </w:tcPr>
          <w:p w14:paraId="77A44B69">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双井</w:t>
            </w:r>
          </w:p>
        </w:tc>
        <w:tc>
          <w:tcPr>
            <w:tcW w:w="571" w:type="pct"/>
            <w:tcBorders>
              <w:tl2br w:val="nil"/>
              <w:tr2bl w:val="nil"/>
            </w:tcBorders>
            <w:shd w:val="clear" w:color="auto" w:fill="auto"/>
            <w:noWrap/>
            <w:vAlign w:val="center"/>
          </w:tcPr>
          <w:p w14:paraId="68818E76">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19.64</w:t>
            </w:r>
          </w:p>
        </w:tc>
        <w:tc>
          <w:tcPr>
            <w:tcW w:w="1464" w:type="dxa"/>
            <w:tcBorders>
              <w:tl2br w:val="nil"/>
              <w:tr2bl w:val="nil"/>
            </w:tcBorders>
            <w:shd w:val="clear" w:color="auto" w:fill="auto"/>
            <w:noWrap/>
            <w:vAlign w:val="center"/>
          </w:tcPr>
          <w:p w14:paraId="377AB5E4">
            <w:pPr>
              <w:jc w:val="center"/>
              <w:textAlignment w:val="center"/>
              <w:rPr>
                <w:rFonts w:hint="default" w:ascii="Times New Roman" w:hAnsi="Times New Roman" w:eastAsia="宋体" w:cs="Times New Roman"/>
                <w:color w:val="auto"/>
                <w:sz w:val="22"/>
                <w:szCs w:val="22"/>
                <w:highlight w:val="none"/>
              </w:rPr>
            </w:pPr>
            <w:r>
              <w:rPr>
                <w:rFonts w:ascii="Times New Roman" w:hAnsi="Times New Roman" w:eastAsia="等线" w:cs="Times New Roman"/>
                <w:color w:val="auto"/>
                <w:sz w:val="22"/>
                <w:szCs w:val="22"/>
                <w:highlight w:val="none"/>
                <w:lang w:bidi="ar"/>
              </w:rPr>
              <w:t>0</w:t>
            </w:r>
          </w:p>
        </w:tc>
        <w:tc>
          <w:tcPr>
            <w:tcW w:w="498" w:type="pct"/>
            <w:tcBorders>
              <w:tl2br w:val="nil"/>
              <w:tr2bl w:val="nil"/>
            </w:tcBorders>
            <w:shd w:val="clear" w:color="auto" w:fill="auto"/>
            <w:noWrap/>
            <w:vAlign w:val="center"/>
          </w:tcPr>
          <w:p w14:paraId="370A8847">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19.64</w:t>
            </w:r>
          </w:p>
        </w:tc>
        <w:tc>
          <w:tcPr>
            <w:tcW w:w="554" w:type="pct"/>
            <w:tcBorders>
              <w:tl2br w:val="nil"/>
              <w:tr2bl w:val="nil"/>
            </w:tcBorders>
            <w:shd w:val="clear" w:color="auto" w:fill="auto"/>
            <w:noWrap/>
            <w:vAlign w:val="center"/>
          </w:tcPr>
          <w:p w14:paraId="0E3926C0">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0</w:t>
            </w:r>
          </w:p>
        </w:tc>
        <w:tc>
          <w:tcPr>
            <w:tcW w:w="575" w:type="pct"/>
            <w:tcBorders>
              <w:tl2br w:val="nil"/>
              <w:tr2bl w:val="nil"/>
            </w:tcBorders>
            <w:shd w:val="clear" w:color="auto" w:fill="auto"/>
            <w:vAlign w:val="center"/>
          </w:tcPr>
          <w:p w14:paraId="390FDD9C">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0</w:t>
            </w:r>
          </w:p>
        </w:tc>
      </w:tr>
      <w:tr w14:paraId="3CCDF9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2282" w:type="pct"/>
            <w:gridSpan w:val="4"/>
            <w:tcBorders>
              <w:tl2br w:val="nil"/>
              <w:tr2bl w:val="nil"/>
            </w:tcBorders>
            <w:shd w:val="clear" w:color="auto" w:fill="auto"/>
            <w:noWrap/>
            <w:vAlign w:val="center"/>
          </w:tcPr>
          <w:p w14:paraId="06BAE88F">
            <w:pPr>
              <w:jc w:val="center"/>
              <w:textAlignment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合计</w:t>
            </w:r>
          </w:p>
        </w:tc>
        <w:tc>
          <w:tcPr>
            <w:tcW w:w="571" w:type="pct"/>
            <w:tcBorders>
              <w:tl2br w:val="nil"/>
              <w:tr2bl w:val="nil"/>
            </w:tcBorders>
            <w:shd w:val="clear" w:color="auto" w:fill="auto"/>
            <w:noWrap/>
            <w:vAlign w:val="center"/>
          </w:tcPr>
          <w:p w14:paraId="115E0283">
            <w:pPr>
              <w:jc w:val="center"/>
              <w:textAlignment w:val="center"/>
              <w:rPr>
                <w:rFonts w:hint="default" w:ascii="Times New Roman" w:hAnsi="Times New Roman" w:eastAsia="宋体" w:cs="Times New Roman"/>
                <w:b/>
                <w:bCs/>
                <w:color w:val="auto"/>
                <w:sz w:val="22"/>
                <w:szCs w:val="22"/>
                <w:highlight w:val="none"/>
                <w:lang w:val="en-US" w:eastAsia="zh-CN"/>
              </w:rPr>
            </w:pPr>
            <w:r>
              <w:rPr>
                <w:rFonts w:hint="default" w:ascii="Times New Roman" w:hAnsi="Times New Roman" w:eastAsia="宋体" w:cs="Times New Roman"/>
                <w:b/>
                <w:bCs/>
                <w:color w:val="auto"/>
                <w:sz w:val="22"/>
                <w:szCs w:val="22"/>
                <w:highlight w:val="none"/>
                <w:lang w:bidi="ar"/>
              </w:rPr>
              <w:t>437</w:t>
            </w:r>
            <w:r>
              <w:rPr>
                <w:rFonts w:hint="eastAsia" w:ascii="Times New Roman" w:hAnsi="Times New Roman" w:cs="Times New Roman"/>
                <w:b/>
                <w:bCs/>
                <w:color w:val="auto"/>
                <w:sz w:val="22"/>
                <w:szCs w:val="22"/>
                <w:highlight w:val="none"/>
                <w:lang w:val="en-US" w:eastAsia="zh-CN" w:bidi="ar"/>
              </w:rPr>
              <w:t>8.92</w:t>
            </w:r>
          </w:p>
        </w:tc>
        <w:tc>
          <w:tcPr>
            <w:tcW w:w="516" w:type="pct"/>
            <w:tcBorders>
              <w:tl2br w:val="nil"/>
              <w:tr2bl w:val="nil"/>
            </w:tcBorders>
            <w:shd w:val="clear" w:color="auto" w:fill="auto"/>
            <w:noWrap/>
            <w:vAlign w:val="center"/>
          </w:tcPr>
          <w:p w14:paraId="2CEDCFB5">
            <w:pPr>
              <w:jc w:val="center"/>
              <w:textAlignment w:val="center"/>
              <w:rPr>
                <w:rFonts w:hint="default" w:ascii="Times New Roman" w:hAnsi="Times New Roman" w:eastAsia="宋体" w:cs="Times New Roman"/>
                <w:b/>
                <w:bCs/>
                <w:color w:val="auto"/>
                <w:sz w:val="22"/>
                <w:szCs w:val="22"/>
                <w:highlight w:val="none"/>
                <w:lang w:val="en-US" w:eastAsia="zh-CN"/>
              </w:rPr>
            </w:pPr>
            <w:r>
              <w:rPr>
                <w:rFonts w:hint="default" w:ascii="Times New Roman" w:hAnsi="Times New Roman" w:eastAsia="宋体" w:cs="Times New Roman"/>
                <w:b/>
                <w:bCs/>
                <w:color w:val="auto"/>
                <w:sz w:val="22"/>
                <w:szCs w:val="22"/>
                <w:highlight w:val="none"/>
                <w:lang w:bidi="ar"/>
              </w:rPr>
              <w:t>1093.</w:t>
            </w:r>
            <w:r>
              <w:rPr>
                <w:rFonts w:hint="eastAsia" w:ascii="Times New Roman" w:hAnsi="Times New Roman" w:cs="Times New Roman"/>
                <w:b/>
                <w:bCs/>
                <w:color w:val="auto"/>
                <w:sz w:val="22"/>
                <w:szCs w:val="22"/>
                <w:highlight w:val="none"/>
                <w:lang w:val="en-US" w:eastAsia="zh-CN" w:bidi="ar"/>
              </w:rPr>
              <w:t>61</w:t>
            </w:r>
          </w:p>
        </w:tc>
        <w:tc>
          <w:tcPr>
            <w:tcW w:w="498" w:type="pct"/>
            <w:tcBorders>
              <w:tl2br w:val="nil"/>
              <w:tr2bl w:val="nil"/>
            </w:tcBorders>
            <w:shd w:val="clear" w:color="auto" w:fill="auto"/>
            <w:noWrap/>
            <w:vAlign w:val="center"/>
          </w:tcPr>
          <w:p w14:paraId="65D2A793">
            <w:pPr>
              <w:jc w:val="center"/>
              <w:textAlignment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232.01</w:t>
            </w:r>
          </w:p>
        </w:tc>
        <w:tc>
          <w:tcPr>
            <w:tcW w:w="554" w:type="pct"/>
            <w:tcBorders>
              <w:tl2br w:val="nil"/>
              <w:tr2bl w:val="nil"/>
            </w:tcBorders>
            <w:shd w:val="clear" w:color="auto" w:fill="auto"/>
            <w:noWrap/>
            <w:vAlign w:val="center"/>
          </w:tcPr>
          <w:p w14:paraId="584028C5">
            <w:pPr>
              <w:jc w:val="center"/>
              <w:textAlignment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3053.3</w:t>
            </w:r>
          </w:p>
        </w:tc>
        <w:tc>
          <w:tcPr>
            <w:tcW w:w="575" w:type="pct"/>
            <w:tcBorders>
              <w:tl2br w:val="nil"/>
              <w:tr2bl w:val="nil"/>
            </w:tcBorders>
            <w:shd w:val="clear" w:color="auto" w:fill="auto"/>
            <w:noWrap/>
            <w:vAlign w:val="center"/>
          </w:tcPr>
          <w:p w14:paraId="3FA93939">
            <w:pPr>
              <w:jc w:val="center"/>
              <w:textAlignment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lang w:bidi="ar"/>
              </w:rPr>
              <w:t>86075</w:t>
            </w:r>
          </w:p>
        </w:tc>
      </w:tr>
    </w:tbl>
    <w:p w14:paraId="50D2F7F4">
      <w:pPr>
        <w:pStyle w:val="25"/>
        <w:spacing w:after="120" w:line="300" w:lineRule="auto"/>
        <w:ind w:left="0"/>
        <w:jc w:val="both"/>
        <w:rPr>
          <w:rFonts w:hint="default" w:ascii="Times New Roman" w:hAnsi="Times New Roman" w:eastAsia="宋体" w:cs="Times New Roman"/>
          <w:b/>
          <w:bCs/>
          <w:color w:val="auto"/>
          <w:highlight w:val="none"/>
        </w:rPr>
        <w:sectPr>
          <w:pgSz w:w="16838" w:h="11906" w:orient="landscape"/>
          <w:pgMar w:top="1800" w:right="1440" w:bottom="1800" w:left="1440" w:header="851" w:footer="992" w:gutter="0"/>
          <w:cols w:space="720" w:num="1"/>
          <w:docGrid w:linePitch="326" w:charSpace="0"/>
        </w:sectPr>
      </w:pPr>
      <w:r>
        <w:rPr>
          <w:rFonts w:hint="default" w:ascii="Times New Roman" w:hAnsi="Times New Roman" w:eastAsia="宋体" w:cs="Times New Roman"/>
          <w:b/>
          <w:bCs/>
          <w:color w:val="auto"/>
          <w:highlight w:val="none"/>
        </w:rPr>
        <w:t>数据来源：</w:t>
      </w:r>
      <w:r>
        <w:rPr>
          <w:rFonts w:hint="default" w:ascii="Times New Roman" w:hAnsi="Times New Roman" w:eastAsia="宋体" w:cs="Times New Roman"/>
          <w:color w:val="auto"/>
          <w:highlight w:val="none"/>
        </w:rPr>
        <w:t>项目可行性研究报告及现场调查</w:t>
      </w:r>
    </w:p>
    <w:p w14:paraId="7D33297E">
      <w:pPr>
        <w:pStyle w:val="4"/>
        <w:spacing w:before="120" w:after="240"/>
        <w:rPr>
          <w:rFonts w:hint="default" w:ascii="Times New Roman" w:hAnsi="Times New Roman" w:eastAsia="宋体" w:cs="Times New Roman"/>
          <w:color w:val="auto"/>
          <w:szCs w:val="24"/>
          <w:highlight w:val="none"/>
        </w:rPr>
      </w:pPr>
      <w:bookmarkStart w:id="273" w:name="_Toc98661604"/>
      <w:bookmarkEnd w:id="273"/>
      <w:bookmarkStart w:id="274" w:name="_Toc98661264"/>
      <w:bookmarkEnd w:id="274"/>
      <w:bookmarkStart w:id="275" w:name="_Toc98661937"/>
      <w:bookmarkEnd w:id="275"/>
      <w:bookmarkStart w:id="276" w:name="_Toc98662264"/>
      <w:bookmarkEnd w:id="276"/>
      <w:bookmarkStart w:id="277" w:name="_Toc114673109"/>
      <w:bookmarkStart w:id="278" w:name="_Toc21449"/>
      <w:bookmarkStart w:id="279" w:name="_Toc110846318"/>
      <w:bookmarkStart w:id="280" w:name="_Toc57799740"/>
      <w:r>
        <w:rPr>
          <w:rFonts w:hint="default" w:ascii="Times New Roman" w:hAnsi="Times New Roman" w:eastAsia="宋体" w:cs="Times New Roman"/>
          <w:color w:val="auto"/>
          <w:szCs w:val="24"/>
          <w:highlight w:val="none"/>
        </w:rPr>
        <w:t>健康与安全</w:t>
      </w:r>
      <w:bookmarkEnd w:id="277"/>
      <w:bookmarkEnd w:id="278"/>
      <w:bookmarkEnd w:id="279"/>
    </w:p>
    <w:p w14:paraId="758CCF97">
      <w:pPr>
        <w:pStyle w:val="5"/>
        <w:spacing w:before="120"/>
        <w:rPr>
          <w:rFonts w:hint="default" w:ascii="Times New Roman" w:hAnsi="Times New Roman" w:eastAsia="宋体" w:cs="Times New Roman"/>
          <w:color w:val="auto"/>
          <w:highlight w:val="none"/>
        </w:rPr>
      </w:pPr>
      <w:bookmarkStart w:id="281" w:name="_Toc16129"/>
      <w:bookmarkStart w:id="282" w:name="_Toc114673105"/>
      <w:r>
        <w:rPr>
          <w:rFonts w:hint="default" w:ascii="Times New Roman" w:hAnsi="Times New Roman" w:eastAsia="宋体" w:cs="Times New Roman"/>
          <w:color w:val="auto"/>
          <w:highlight w:val="none"/>
        </w:rPr>
        <w:t>劳动者健康与安全</w:t>
      </w:r>
      <w:bookmarkEnd w:id="281"/>
      <w:bookmarkEnd w:id="282"/>
    </w:p>
    <w:p w14:paraId="2108F442">
      <w:pPr>
        <w:widowControl w:val="0"/>
        <w:snapToGrid w:val="0"/>
        <w:spacing w:before="12" w:after="12"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本项目的项目办和执行机构，在准备期和建设期负责具体实施工作；</w:t>
      </w:r>
      <w:r>
        <w:rPr>
          <w:rFonts w:hint="default" w:ascii="Times New Roman" w:hAnsi="Times New Roman" w:eastAsia="宋体" w:cs="Times New Roman"/>
          <w:color w:val="auto"/>
          <w:highlight w:val="none"/>
          <w:u w:val="single"/>
        </w:rPr>
        <w:t>汉滨区五里工业集中区（安康城东新区）管委会（以下简称“城东管委会”）</w:t>
      </w:r>
      <w:r>
        <w:rPr>
          <w:rFonts w:hint="default" w:ascii="Times New Roman" w:hAnsi="Times New Roman" w:eastAsia="宋体" w:cs="Times New Roman"/>
          <w:color w:val="auto"/>
          <w:highlight w:val="none"/>
        </w:rPr>
        <w:t>将在项目建成使用后负责具体运营。本项目建设和运营期间涉及的工人类型主要包括直接工人、承包商工人。其中:</w:t>
      </w:r>
    </w:p>
    <w:p w14:paraId="78F159A2">
      <w:pPr>
        <w:pStyle w:val="39"/>
        <w:numPr>
          <w:ilvl w:val="0"/>
          <w:numId w:val="20"/>
        </w:numPr>
        <w:adjustRightInd w:val="0"/>
        <w:snapToGrid w:val="0"/>
        <w:spacing w:before="12" w:after="12" w:line="300" w:lineRule="auto"/>
        <w:ind w:left="816"/>
        <w:jc w:val="both"/>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直接工人</w:t>
      </w:r>
      <w:r>
        <w:rPr>
          <w:rFonts w:hint="default" w:ascii="Times New Roman" w:hAnsi="Times New Roman" w:eastAsia="宋体" w:cs="Times New Roman"/>
          <w:color w:val="auto"/>
          <w:highlight w:val="none"/>
        </w:rPr>
        <w:t>是项目办（执行机构）及运营机构直接雇佣专门从事项目或活动的相关工作人员，主要负责本项目的建设及运营；</w:t>
      </w:r>
    </w:p>
    <w:p w14:paraId="25128C2D">
      <w:pPr>
        <w:pStyle w:val="39"/>
        <w:numPr>
          <w:ilvl w:val="0"/>
          <w:numId w:val="20"/>
        </w:numPr>
        <w:adjustRightInd w:val="0"/>
        <w:snapToGrid w:val="0"/>
        <w:spacing w:before="12" w:after="12" w:line="300" w:lineRule="auto"/>
        <w:ind w:left="816"/>
        <w:jc w:val="both"/>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承包商工人</w:t>
      </w:r>
      <w:r>
        <w:rPr>
          <w:rFonts w:hint="default" w:ascii="Times New Roman" w:hAnsi="Times New Roman" w:eastAsia="宋体" w:cs="Times New Roman"/>
          <w:color w:val="auto"/>
          <w:highlight w:val="none"/>
        </w:rPr>
        <w:t>是第三方（承包商、分包商等）雇用从事与项目核心功能相关工作的人员。本项目下，承包商工人主要是未来项目建设施工单位的所有相关工人。</w:t>
      </w:r>
    </w:p>
    <w:p w14:paraId="4564FC59">
      <w:pPr>
        <w:pStyle w:val="39"/>
        <w:numPr>
          <w:ilvl w:val="0"/>
          <w:numId w:val="20"/>
        </w:numPr>
        <w:adjustRightInd w:val="0"/>
        <w:snapToGrid w:val="0"/>
        <w:spacing w:before="12" w:after="12" w:line="300" w:lineRule="auto"/>
        <w:ind w:left="816"/>
        <w:jc w:val="both"/>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主要供应商工人</w:t>
      </w:r>
      <w:r>
        <w:rPr>
          <w:rFonts w:hint="default" w:ascii="Times New Roman" w:hAnsi="Times New Roman" w:eastAsia="宋体" w:cs="Times New Roman"/>
          <w:color w:val="auto"/>
          <w:highlight w:val="none"/>
        </w:rPr>
        <w:t>在本项目下，主要是采购的货物及设备的代理商、生产厂商等所雇佣的工人，如光伏设备等。</w:t>
      </w:r>
    </w:p>
    <w:p w14:paraId="009DCFC9">
      <w:pPr>
        <w:widowControl w:val="0"/>
        <w:snapToGrid w:val="0"/>
        <w:spacing w:before="12" w:after="12"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根据调查，并结合项目新建类工程以及对提升扩建类工程的相关内容，本项目劳动者风险主要集中在工作条款及条件和职业健康安全等方面。以下按照不同设施对劳动者潜在的主要风险与影响进行分析。</w:t>
      </w:r>
    </w:p>
    <w:p w14:paraId="74D59F59">
      <w:pPr>
        <w:pStyle w:val="39"/>
        <w:adjustRightInd w:val="0"/>
        <w:snapToGrid w:val="0"/>
        <w:spacing w:before="12" w:after="12" w:line="300" w:lineRule="auto"/>
        <w:ind w:firstLine="482" w:firstLineChars="200"/>
        <w:jc w:val="both"/>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u w:val="single"/>
        </w:rPr>
        <w:t>A.建设期</w:t>
      </w:r>
    </w:p>
    <w:p w14:paraId="31BB00FF">
      <w:pPr>
        <w:adjustRightInd w:val="0"/>
        <w:snapToGrid w:val="0"/>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本项目建设过程中的工人主要包括负责道路施工、管道施工、建筑物主体施工、室内装修、配套设施施工及绿化的承包商工人和负责日常管理的管理人员（直接工人）。</w:t>
      </w:r>
    </w:p>
    <w:p w14:paraId="5AAC0520">
      <w:pPr>
        <w:adjustRightInd w:val="0"/>
        <w:snapToGrid w:val="0"/>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根据可研报告中的建设内容，结合类似工程项目的风险及社会调查，</w:t>
      </w:r>
      <w:r>
        <w:rPr>
          <w:rFonts w:hint="default" w:ascii="Times New Roman" w:hAnsi="Times New Roman" w:eastAsia="宋体" w:cs="Times New Roman"/>
          <w:color w:val="auto"/>
          <w:highlight w:val="none"/>
          <w:u w:val="single"/>
        </w:rPr>
        <w:t>承包商工人</w:t>
      </w:r>
      <w:r>
        <w:rPr>
          <w:rFonts w:hint="default" w:ascii="Times New Roman" w:hAnsi="Times New Roman" w:eastAsia="宋体" w:cs="Times New Roman"/>
          <w:color w:val="auto"/>
          <w:highlight w:val="none"/>
        </w:rPr>
        <w:t>在新建道路、道路提升改造、停车场建设及新能源路灯工程建设中，识别出的潜在风险主要为：</w:t>
      </w:r>
    </w:p>
    <w:p w14:paraId="2F70084A">
      <w:pPr>
        <w:pStyle w:val="39"/>
        <w:numPr>
          <w:ilvl w:val="0"/>
          <w:numId w:val="20"/>
        </w:numPr>
        <w:adjustRightInd w:val="0"/>
        <w:snapToGrid w:val="0"/>
        <w:spacing w:before="12" w:after="12" w:line="300" w:lineRule="auto"/>
        <w:ind w:left="816"/>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u w:val="single"/>
        </w:rPr>
        <w:t>机械/设备操作事故风险：</w:t>
      </w:r>
      <w:r>
        <w:rPr>
          <w:rFonts w:hint="default" w:ascii="Times New Roman" w:hAnsi="Times New Roman" w:eastAsia="宋体" w:cs="Times New Roman"/>
          <w:color w:val="auto"/>
          <w:highlight w:val="none"/>
        </w:rPr>
        <w:t>这类工程建设可能需要使用大型机械或设备，大型机械如挖土机、铺路机、吊车、顶管机械等，设备如电钻、电锤、焊接枪等。一般大型机械操作者必须持有专业的资格证，而一般设备的使用操作者为熟练的技术工，他们操作相对熟练，按照安全规程操作出现事故的风险极小。但操作者可能由于长时间工作，安全意识出现疏忽，造成意外伤害或安全事故。</w:t>
      </w:r>
    </w:p>
    <w:p w14:paraId="6751BEA0">
      <w:pPr>
        <w:pStyle w:val="39"/>
        <w:numPr>
          <w:ilvl w:val="0"/>
          <w:numId w:val="20"/>
        </w:numPr>
        <w:adjustRightInd w:val="0"/>
        <w:snapToGrid w:val="0"/>
        <w:spacing w:before="12" w:after="12" w:line="300" w:lineRule="auto"/>
        <w:ind w:left="816"/>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u w:val="single"/>
        </w:rPr>
        <w:t>运输车辆的道路安全风险：</w:t>
      </w:r>
      <w:r>
        <w:rPr>
          <w:rFonts w:hint="default" w:ascii="Times New Roman" w:hAnsi="Times New Roman" w:eastAsia="宋体" w:cs="Times New Roman"/>
          <w:color w:val="auto"/>
          <w:highlight w:val="none"/>
        </w:rPr>
        <w:t>本项目建设工程需要对材料和土方进行运输，运输车辆一般为承载吨位较大的卡车。在运输途中以及进出施工场地时，存在一定的道路安全风险。</w:t>
      </w:r>
    </w:p>
    <w:p w14:paraId="126785D4">
      <w:pPr>
        <w:pStyle w:val="39"/>
        <w:numPr>
          <w:ilvl w:val="0"/>
          <w:numId w:val="20"/>
        </w:numPr>
        <w:adjustRightInd w:val="0"/>
        <w:snapToGrid w:val="0"/>
        <w:spacing w:before="12" w:after="12" w:line="300" w:lineRule="auto"/>
        <w:ind w:left="816"/>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u w:val="single"/>
        </w:rPr>
        <w:t>室内装修时粉尘、异味等风险</w:t>
      </w:r>
      <w:r>
        <w:rPr>
          <w:rFonts w:hint="default" w:ascii="Times New Roman" w:hAnsi="Times New Roman" w:eastAsia="宋体" w:cs="Times New Roman"/>
          <w:color w:val="auto"/>
          <w:highlight w:val="none"/>
        </w:rPr>
        <w:t>：在信息中心及场馆内部装修时，粉刷墙面、铺装地面、粉刷油漆可能对工人造成粉尘、刺鼻的油漆味等影响。</w:t>
      </w:r>
    </w:p>
    <w:p w14:paraId="73103F97">
      <w:pPr>
        <w:pStyle w:val="39"/>
        <w:numPr>
          <w:ilvl w:val="0"/>
          <w:numId w:val="20"/>
        </w:numPr>
        <w:adjustRightInd w:val="0"/>
        <w:snapToGrid w:val="0"/>
        <w:spacing w:before="12" w:after="12" w:line="300" w:lineRule="auto"/>
        <w:ind w:left="816"/>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u w:val="single"/>
        </w:rPr>
        <w:t>施工场地上的意外伤害风险</w:t>
      </w:r>
      <w:r>
        <w:rPr>
          <w:rFonts w:hint="default" w:ascii="Times New Roman" w:hAnsi="Times New Roman" w:eastAsia="宋体" w:cs="Times New Roman"/>
          <w:color w:val="auto"/>
          <w:highlight w:val="none"/>
        </w:rPr>
        <w:t>：施工工人可能因在工作中疏忽户或操作不当造成的意外伤害，如铁件掉落砸伤、尖锐物刺伤、触电、烫伤、意外坠落等。</w:t>
      </w:r>
    </w:p>
    <w:p w14:paraId="4D8D088E">
      <w:pPr>
        <w:pStyle w:val="39"/>
        <w:numPr>
          <w:ilvl w:val="0"/>
          <w:numId w:val="20"/>
        </w:numPr>
        <w:adjustRightInd w:val="0"/>
        <w:snapToGrid w:val="0"/>
        <w:spacing w:before="12" w:after="12" w:line="300" w:lineRule="auto"/>
        <w:ind w:left="816"/>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传染病感染风险：根据本项目工程规模，施工人员可能相对较多，流动性较强，可能存在传染病感染的风险。</w:t>
      </w:r>
    </w:p>
    <w:p w14:paraId="5D7AE956">
      <w:pPr>
        <w:adjustRightInd w:val="0"/>
        <w:snapToGrid w:val="0"/>
        <w:spacing w:before="12" w:after="12"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u w:val="single"/>
        </w:rPr>
        <w:t>直接工人</w:t>
      </w:r>
      <w:r>
        <w:rPr>
          <w:rFonts w:hint="default" w:ascii="Times New Roman" w:hAnsi="Times New Roman" w:eastAsia="宋体" w:cs="Times New Roman"/>
          <w:color w:val="auto"/>
          <w:highlight w:val="none"/>
        </w:rPr>
        <w:t>涉及相关风险较低，主要是检查施工场地可能涉及的意外安全风险，他们一般都享有意外伤害险，加强安全意识培训和施工现场管理可避免这类风险。</w:t>
      </w:r>
    </w:p>
    <w:p w14:paraId="4D4C0FFE">
      <w:pPr>
        <w:adjustRightInd w:val="0"/>
        <w:snapToGrid w:val="0"/>
        <w:spacing w:before="12" w:after="12"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u w:val="single"/>
        </w:rPr>
        <w:t>主要供应商工人：</w:t>
      </w:r>
      <w:r>
        <w:rPr>
          <w:rFonts w:hint="default" w:ascii="Times New Roman" w:hAnsi="Times New Roman" w:eastAsia="宋体" w:cs="Times New Roman"/>
          <w:color w:val="auto"/>
          <w:highlight w:val="none"/>
        </w:rPr>
        <w:t>本项目采购的设备涉及生产厂家或代理商。在建设期，主要供应商工人的职业健康安全风险主要来自于生产设备时操作不当的风险。根据有关资料，一般手续齐全且具备一定规模的生产企业，具有较完善的管理制度和操作规程且能够严格执行。因此，发生生产事故的风险相对较小。</w:t>
      </w:r>
    </w:p>
    <w:p w14:paraId="1BB49DE5">
      <w:pPr>
        <w:rPr>
          <w:rFonts w:hint="default" w:ascii="Times New Roman" w:hAnsi="Times New Roman" w:eastAsia="宋体" w:cs="Times New Roman"/>
          <w:color w:val="auto"/>
          <w:highlight w:val="none"/>
        </w:rPr>
      </w:pPr>
    </w:p>
    <w:p w14:paraId="7C7FA0E7">
      <w:pPr>
        <w:pStyle w:val="39"/>
        <w:adjustRightInd w:val="0"/>
        <w:snapToGrid w:val="0"/>
        <w:spacing w:before="12" w:after="12" w:line="300" w:lineRule="auto"/>
        <w:jc w:val="both"/>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B.</w:t>
      </w:r>
      <w:r>
        <w:rPr>
          <w:rFonts w:hint="default" w:ascii="Times New Roman" w:hAnsi="Times New Roman" w:eastAsia="宋体" w:cs="Times New Roman"/>
          <w:b/>
          <w:bCs/>
          <w:color w:val="auto"/>
          <w:highlight w:val="none"/>
          <w:u w:val="single"/>
        </w:rPr>
        <w:t>运营期（建成使用）</w:t>
      </w:r>
    </w:p>
    <w:p w14:paraId="3E389814">
      <w:pPr>
        <w:adjustRightInd w:val="0"/>
        <w:snapToGrid w:val="0"/>
        <w:spacing w:before="12" w:after="12"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项目建成使用后，涉及的主要劳动者包括管理人员、信息中心各类工作人员，，市政道路及管道的维护人员，及公园保洁员、绿化工人和相关场馆或设施的维护人员。这些工人均为管委会的直接工人。</w:t>
      </w:r>
    </w:p>
    <w:p w14:paraId="120945EF">
      <w:pPr>
        <w:adjustRightInd w:val="0"/>
        <w:snapToGrid w:val="0"/>
        <w:spacing w:before="12" w:after="12"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根据可研报告中的建设内容，结合类似工程项目运营期风险及社会调查，运项目建成使用后工人面临的主要风险类似，包括：</w:t>
      </w:r>
    </w:p>
    <w:p w14:paraId="01F616BD">
      <w:pPr>
        <w:pStyle w:val="39"/>
        <w:numPr>
          <w:ilvl w:val="0"/>
          <w:numId w:val="20"/>
        </w:numPr>
        <w:adjustRightInd w:val="0"/>
        <w:snapToGrid w:val="0"/>
        <w:spacing w:before="12" w:after="12" w:line="300" w:lineRule="auto"/>
        <w:ind w:left="816"/>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运营期管理人员：涉及相关风险几乎可以忽略。</w:t>
      </w:r>
    </w:p>
    <w:p w14:paraId="5A4B8451">
      <w:pPr>
        <w:pStyle w:val="39"/>
        <w:numPr>
          <w:ilvl w:val="0"/>
          <w:numId w:val="20"/>
        </w:numPr>
        <w:adjustRightInd w:val="0"/>
        <w:snapToGrid w:val="0"/>
        <w:spacing w:before="12" w:after="12" w:line="300" w:lineRule="auto"/>
        <w:ind w:left="816"/>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u w:val="single"/>
        </w:rPr>
        <w:t>信息中心各类工作人员：</w:t>
      </w:r>
      <w:r>
        <w:rPr>
          <w:rFonts w:hint="default" w:ascii="Times New Roman" w:hAnsi="Times New Roman" w:eastAsia="宋体" w:cs="Times New Roman"/>
          <w:color w:val="auto"/>
          <w:highlight w:val="none"/>
        </w:rPr>
        <w:t>信息中心数据机房由于通信设备不间断工作，对长期在机房的工作人员产生一定的电磁辐射影响；电工存在触电的风险；其他工作人员涉及的相关风险较小。</w:t>
      </w:r>
    </w:p>
    <w:p w14:paraId="6C6825A3">
      <w:pPr>
        <w:pStyle w:val="39"/>
        <w:numPr>
          <w:ilvl w:val="0"/>
          <w:numId w:val="20"/>
        </w:numPr>
        <w:adjustRightInd w:val="0"/>
        <w:snapToGrid w:val="0"/>
        <w:spacing w:before="12" w:after="12" w:line="300" w:lineRule="auto"/>
        <w:ind w:left="816"/>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u w:val="single"/>
        </w:rPr>
        <w:t>停车场工作人员</w:t>
      </w:r>
      <w:r>
        <w:rPr>
          <w:rFonts w:hint="default" w:ascii="Times New Roman" w:hAnsi="Times New Roman" w:eastAsia="宋体" w:cs="Times New Roman"/>
          <w:color w:val="auto"/>
          <w:highlight w:val="none"/>
        </w:rPr>
        <w:t>：停车场车辆出入时可能会造成工作人员的交通意外伤害风险，风险较低。</w:t>
      </w:r>
    </w:p>
    <w:p w14:paraId="3EF6B2FA">
      <w:pPr>
        <w:pStyle w:val="39"/>
        <w:numPr>
          <w:ilvl w:val="0"/>
          <w:numId w:val="20"/>
        </w:numPr>
        <w:adjustRightInd w:val="0"/>
        <w:snapToGrid w:val="0"/>
        <w:spacing w:before="12" w:after="12" w:line="300" w:lineRule="auto"/>
        <w:ind w:left="816"/>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u w:val="single"/>
        </w:rPr>
        <w:t>市政道路及管道的维护人员：</w:t>
      </w:r>
      <w:r>
        <w:rPr>
          <w:rFonts w:hint="default" w:ascii="Times New Roman" w:hAnsi="Times New Roman" w:eastAsia="宋体" w:cs="Times New Roman"/>
          <w:color w:val="auto"/>
          <w:highlight w:val="none"/>
        </w:rPr>
        <w:t>在养护道路和管道维护时，可能造成交通意外伤害风险，以及高温作业风险。</w:t>
      </w:r>
    </w:p>
    <w:p w14:paraId="3834DD28">
      <w:pPr>
        <w:pStyle w:val="39"/>
        <w:numPr>
          <w:ilvl w:val="0"/>
          <w:numId w:val="20"/>
        </w:numPr>
        <w:adjustRightInd w:val="0"/>
        <w:snapToGrid w:val="0"/>
        <w:spacing w:before="12" w:after="12" w:line="300" w:lineRule="auto"/>
        <w:ind w:left="816"/>
        <w:jc w:val="both"/>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公园保洁员、绿化工人和相关场馆或设施的维护人员：</w:t>
      </w:r>
      <w:r>
        <w:rPr>
          <w:rFonts w:hint="default" w:ascii="Times New Roman" w:hAnsi="Times New Roman" w:eastAsia="宋体" w:cs="Times New Roman"/>
          <w:color w:val="auto"/>
          <w:highlight w:val="none"/>
        </w:rPr>
        <w:t>保洁员主要涉及高温作业、因防护不足接触病原体导致的传染病感染风险；绿化工人在修剪植物是可能存在设备操作不当造成的意外伤害风险；设施维护人员存在触电、坠落等风险。</w:t>
      </w:r>
    </w:p>
    <w:p w14:paraId="75C0B87D">
      <w:pPr>
        <w:pStyle w:val="5"/>
        <w:spacing w:before="120"/>
        <w:rPr>
          <w:rFonts w:hint="default" w:ascii="Times New Roman" w:hAnsi="Times New Roman" w:eastAsia="宋体" w:cs="Times New Roman"/>
          <w:color w:val="auto"/>
          <w:highlight w:val="none"/>
        </w:rPr>
      </w:pPr>
      <w:bookmarkStart w:id="283" w:name="_Toc3490"/>
      <w:r>
        <w:rPr>
          <w:rFonts w:hint="default" w:ascii="Times New Roman" w:hAnsi="Times New Roman" w:eastAsia="宋体" w:cs="Times New Roman"/>
          <w:color w:val="auto"/>
          <w:highlight w:val="none"/>
        </w:rPr>
        <w:t>社区健康与安全影响</w:t>
      </w:r>
      <w:bookmarkEnd w:id="283"/>
    </w:p>
    <w:p w14:paraId="2306D8BF">
      <w:pPr>
        <w:spacing w:before="120" w:after="120" w:line="300" w:lineRule="auto"/>
        <w:ind w:firstLine="480" w:firstLineChars="200"/>
        <w:jc w:val="both"/>
        <w:rPr>
          <w:rFonts w:hint="default" w:ascii="Times New Roman" w:hAnsi="Times New Roman" w:eastAsia="宋体" w:cs="Times New Roman"/>
          <w:b/>
          <w:bCs/>
          <w:color w:val="auto"/>
          <w:highlight w:val="none"/>
        </w:rPr>
      </w:pPr>
      <w:r>
        <w:rPr>
          <w:rFonts w:hint="default" w:ascii="Times New Roman" w:hAnsi="Times New Roman" w:eastAsia="宋体" w:cs="Times New Roman"/>
          <w:color w:val="auto"/>
          <w:highlight w:val="none"/>
        </w:rPr>
        <w:t>根据项目活动内容，按照项目5个板块对项目周边社区健康与安全进行分析，其中第5板块机构能力提升和项目管理支持不涉及社区健康与安全影响。因此，主要对其他4个板块进行分析评估，具体如下：</w:t>
      </w:r>
    </w:p>
    <w:p w14:paraId="4A073551">
      <w:pPr>
        <w:rPr>
          <w:rFonts w:hint="default" w:ascii="Times New Roman" w:hAnsi="Times New Roman" w:eastAsia="宋体" w:cs="Times New Roman"/>
          <w:b/>
          <w:bCs/>
          <w:color w:val="auto"/>
          <w:highlight w:val="none"/>
          <w:u w:val="single"/>
        </w:rPr>
      </w:pPr>
      <w:r>
        <w:rPr>
          <w:rFonts w:hint="default" w:ascii="Times New Roman" w:hAnsi="Times New Roman" w:eastAsia="宋体" w:cs="Times New Roman"/>
          <w:b/>
          <w:bCs/>
          <w:color w:val="auto"/>
          <w:highlight w:val="none"/>
          <w:u w:val="single"/>
        </w:rPr>
        <w:t>A.建设期</w:t>
      </w:r>
    </w:p>
    <w:p w14:paraId="19449310">
      <w:pPr>
        <w:pStyle w:val="39"/>
        <w:numPr>
          <w:ilvl w:val="0"/>
          <w:numId w:val="21"/>
        </w:numPr>
        <w:snapToGrid w:val="0"/>
        <w:spacing w:before="120" w:after="120" w:line="30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施工活动对周边居民的扰动：</w:t>
      </w:r>
      <w:r>
        <w:rPr>
          <w:rFonts w:hint="default" w:ascii="Times New Roman" w:hAnsi="Times New Roman" w:eastAsia="宋体" w:cs="Times New Roman"/>
          <w:color w:val="auto"/>
          <w:highlight w:val="none"/>
        </w:rPr>
        <w:t>建设工程施工区域周边分散的居住着11个村/社区的村民，尤其是项目下</w:t>
      </w:r>
      <w:r>
        <w:rPr>
          <w:rFonts w:hint="default" w:ascii="Times New Roman" w:hAnsi="Times New Roman" w:eastAsia="宋体" w:cs="Times New Roman"/>
          <w:b/>
          <w:bCs/>
          <w:color w:val="auto"/>
          <w:highlight w:val="none"/>
        </w:rPr>
        <w:t>7条道路建设、公园建设、信息中心建设</w:t>
      </w:r>
      <w:r>
        <w:rPr>
          <w:rFonts w:hint="default" w:ascii="Times New Roman" w:hAnsi="Times New Roman" w:eastAsia="宋体" w:cs="Times New Roman"/>
          <w:color w:val="auto"/>
          <w:highlight w:val="none"/>
        </w:rPr>
        <w:t>时，施工产生的噪声、振动对周边社区的影响较大，村民交通出行也会收到影响。此外，开挖可能造成局部管线损坏，导致对附近村民临时停电、断网或停水的影响。</w:t>
      </w:r>
    </w:p>
    <w:p w14:paraId="0DCB3D35">
      <w:pPr>
        <w:pStyle w:val="39"/>
        <w:numPr>
          <w:ilvl w:val="0"/>
          <w:numId w:val="21"/>
        </w:numPr>
        <w:snapToGrid w:val="0"/>
        <w:spacing w:before="120" w:after="120" w:line="30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施工车辆的道路交通安全影响：</w:t>
      </w:r>
      <w:r>
        <w:rPr>
          <w:rFonts w:hint="default" w:ascii="Times New Roman" w:hAnsi="Times New Roman" w:eastAsia="宋体" w:cs="Times New Roman"/>
          <w:color w:val="auto"/>
          <w:highlight w:val="none"/>
        </w:rPr>
        <w:t>施工车辆大多为重型车辆，且道路建设工程有部分路段处于有坡度的弯道，可能存在视线有盲区，对沿线周边居民道路有一定的交通安全影响。</w:t>
      </w:r>
    </w:p>
    <w:p w14:paraId="3A4609CF">
      <w:pPr>
        <w:pStyle w:val="39"/>
        <w:numPr>
          <w:ilvl w:val="0"/>
          <w:numId w:val="21"/>
        </w:numPr>
        <w:snapToGrid w:val="0"/>
        <w:spacing w:before="120" w:after="120" w:line="30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外来劳动力对周边社区的影响：</w:t>
      </w:r>
      <w:r>
        <w:rPr>
          <w:rFonts w:hint="default" w:ascii="Times New Roman" w:hAnsi="Times New Roman" w:eastAsia="宋体" w:cs="Times New Roman"/>
          <w:color w:val="auto"/>
          <w:highlight w:val="none"/>
        </w:rPr>
        <w:t>本项目建设需要各类工人约450人。根据类似项目经验并结合项目建设内容估算，非技术工人数量大约是管理人员和技术性工人总和的3倍。管理人员和技术性工人更多的来自施工单位自身员工，非技术工人多在当地雇佣。因此，劳动力涌入风险较小。但是，由于施工人员相对较多，流动性较强，可能对周边社区存在传染病感染的风险。</w:t>
      </w:r>
    </w:p>
    <w:p w14:paraId="2902C3F0">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此外，项目办将要求施工工人居住在现场营地，而搭建营地的位置也将尽可能远离当地居民集中居住区，以避免对附近社区的干预。性剥削和性虐待/性骚扰对社区的风险较低。</w:t>
      </w:r>
    </w:p>
    <w:p w14:paraId="256E07BB">
      <w:pPr>
        <w:snapToGrid w:val="0"/>
        <w:spacing w:before="120" w:after="120" w:line="300" w:lineRule="auto"/>
        <w:contextualSpacing/>
        <w:jc w:val="both"/>
        <w:rPr>
          <w:rFonts w:hint="default" w:ascii="Times New Roman" w:hAnsi="Times New Roman" w:eastAsia="宋体" w:cs="Times New Roman"/>
          <w:b/>
          <w:bCs/>
          <w:color w:val="auto"/>
          <w:highlight w:val="none"/>
          <w:u w:val="single"/>
        </w:rPr>
      </w:pPr>
      <w:r>
        <w:rPr>
          <w:rFonts w:hint="default" w:ascii="Times New Roman" w:hAnsi="Times New Roman" w:eastAsia="宋体" w:cs="Times New Roman"/>
          <w:b/>
          <w:bCs/>
          <w:color w:val="auto"/>
          <w:highlight w:val="none"/>
          <w:u w:val="single"/>
        </w:rPr>
        <w:t>B.运营期</w:t>
      </w:r>
    </w:p>
    <w:p w14:paraId="7FAE712C">
      <w:pPr>
        <w:pStyle w:val="2"/>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u w:val="single"/>
        </w:rPr>
        <w:t>道路：</w:t>
      </w:r>
      <w:r>
        <w:rPr>
          <w:rFonts w:hint="default" w:ascii="Times New Roman" w:hAnsi="Times New Roman" w:eastAsia="宋体" w:cs="Times New Roman"/>
          <w:color w:val="auto"/>
          <w:highlight w:val="none"/>
        </w:rPr>
        <w:t>作为城东新区交通要道车流量相对较大，对周边社区存在一定的道路交通安全影响；</w:t>
      </w:r>
    </w:p>
    <w:p w14:paraId="236F23FD">
      <w:pPr>
        <w:pStyle w:val="2"/>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u w:val="single"/>
        </w:rPr>
        <w:t>公园和停车场：</w:t>
      </w:r>
      <w:r>
        <w:rPr>
          <w:rFonts w:hint="default" w:ascii="Times New Roman" w:hAnsi="Times New Roman" w:eastAsia="宋体" w:cs="Times New Roman"/>
          <w:color w:val="auto"/>
          <w:highlight w:val="none"/>
        </w:rPr>
        <w:t>对外开放，进出车辆可能对周边社区出行安全造成影响，但影响较小；</w:t>
      </w:r>
    </w:p>
    <w:p w14:paraId="61E11E0B">
      <w:pPr>
        <w:pStyle w:val="2"/>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u w:val="single"/>
        </w:rPr>
        <w:t>信息中心：</w:t>
      </w:r>
      <w:r>
        <w:rPr>
          <w:rFonts w:hint="default" w:ascii="Times New Roman" w:hAnsi="Times New Roman" w:eastAsia="宋体" w:cs="Times New Roman"/>
          <w:color w:val="auto"/>
          <w:highlight w:val="none"/>
        </w:rPr>
        <w:t>由汉滨区五里工业集中区（安康城东新区）管委会管理，作办公用，不对公众开放。进出车辆可能对周边社区出行安全造成影响，但影响很小。</w:t>
      </w:r>
    </w:p>
    <w:p w14:paraId="1C52CAAE">
      <w:pPr>
        <w:pStyle w:val="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此外，项目区还面临潜在的自然灾害风险，尤其是洪水风险影响。</w:t>
      </w:r>
    </w:p>
    <w:p w14:paraId="0747A621">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此外，极端天气，可能对参观游览公园、场所等公共设施的游客或附近居民有一定的影响。</w:t>
      </w:r>
    </w:p>
    <w:p w14:paraId="541E4F4D">
      <w:pPr>
        <w:pStyle w:val="5"/>
        <w:spacing w:before="120"/>
        <w:rPr>
          <w:rFonts w:hint="default" w:ascii="Times New Roman" w:hAnsi="Times New Roman" w:eastAsia="宋体" w:cs="Times New Roman"/>
          <w:b w:val="0"/>
          <w:bCs w:val="0"/>
          <w:color w:val="auto"/>
          <w:highlight w:val="none"/>
        </w:rPr>
      </w:pPr>
      <w:bookmarkStart w:id="284" w:name="_Toc114673113"/>
      <w:bookmarkStart w:id="285" w:name="_Toc12371"/>
      <w:r>
        <w:rPr>
          <w:rFonts w:hint="default" w:ascii="Times New Roman" w:hAnsi="Times New Roman" w:eastAsia="宋体" w:cs="Times New Roman"/>
          <w:color w:val="auto"/>
          <w:highlight w:val="none"/>
        </w:rPr>
        <w:t>健康与安全影响减缓措施</w:t>
      </w:r>
      <w:bookmarkEnd w:id="284"/>
      <w:bookmarkEnd w:id="285"/>
    </w:p>
    <w:p w14:paraId="35089802">
      <w:pPr>
        <w:adjustRightInd w:val="0"/>
        <w:snapToGrid w:val="0"/>
        <w:spacing w:before="120" w:after="120" w:line="30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根据社会影响评价识别出的风险因素，对社区健康和安全制定了如下的相关设计优化与缓解措施；详见下表。</w:t>
      </w:r>
    </w:p>
    <w:p w14:paraId="1D63A190">
      <w:pPr>
        <w:spacing w:line="276" w:lineRule="auto"/>
        <w:jc w:val="both"/>
        <w:rPr>
          <w:rFonts w:hint="default" w:ascii="Times New Roman" w:hAnsi="Times New Roman" w:eastAsia="宋体" w:cs="Times New Roman"/>
          <w:b/>
          <w:bCs/>
          <w:color w:val="auto"/>
          <w:highlight w:val="none"/>
        </w:rPr>
        <w:sectPr>
          <w:pgSz w:w="11906" w:h="16838"/>
          <w:pgMar w:top="1440" w:right="1800" w:bottom="1440" w:left="1800" w:header="851" w:footer="992" w:gutter="0"/>
          <w:cols w:space="720" w:num="1"/>
          <w:docGrid w:linePitch="326" w:charSpace="0"/>
        </w:sectPr>
      </w:pPr>
    </w:p>
    <w:p w14:paraId="41912339">
      <w:pPr>
        <w:pStyle w:val="13"/>
        <w:spacing w:after="120" w:line="276" w:lineRule="auto"/>
        <w:ind w:firstLine="482" w:firstLineChars="200"/>
        <w:rPr>
          <w:rFonts w:hint="default" w:ascii="Times New Roman" w:hAnsi="Times New Roman" w:eastAsia="宋体" w:cs="Times New Roman"/>
          <w:bCs/>
          <w:color w:val="auto"/>
          <w:szCs w:val="24"/>
          <w:highlight w:val="none"/>
        </w:rPr>
      </w:pPr>
      <w:bookmarkStart w:id="286" w:name="_Toc113946504"/>
      <w:r>
        <w:rPr>
          <w:rFonts w:hint="default" w:ascii="Times New Roman" w:hAnsi="Times New Roman" w:eastAsia="宋体" w:cs="Times New Roman"/>
          <w:bCs/>
          <w:color w:val="auto"/>
          <w:szCs w:val="24"/>
          <w:highlight w:val="none"/>
        </w:rPr>
        <w:t xml:space="preserve">表 </w:t>
      </w:r>
      <w:r>
        <w:rPr>
          <w:rFonts w:hint="default" w:ascii="Times New Roman" w:hAnsi="Times New Roman" w:eastAsia="宋体" w:cs="Times New Roman"/>
          <w:bCs/>
          <w:color w:val="auto"/>
          <w:szCs w:val="24"/>
          <w:highlight w:val="none"/>
        </w:rPr>
        <w:fldChar w:fldCharType="begin"/>
      </w:r>
      <w:r>
        <w:rPr>
          <w:rFonts w:hint="default" w:ascii="Times New Roman" w:hAnsi="Times New Roman" w:eastAsia="宋体" w:cs="Times New Roman"/>
          <w:bCs/>
          <w:color w:val="auto"/>
          <w:szCs w:val="24"/>
          <w:highlight w:val="none"/>
        </w:rPr>
        <w:instrText xml:space="preserve"> STYLEREF 1 \s </w:instrText>
      </w:r>
      <w:r>
        <w:rPr>
          <w:rFonts w:hint="default" w:ascii="Times New Roman" w:hAnsi="Times New Roman" w:eastAsia="宋体" w:cs="Times New Roman"/>
          <w:bCs/>
          <w:color w:val="auto"/>
          <w:szCs w:val="24"/>
          <w:highlight w:val="none"/>
        </w:rPr>
        <w:fldChar w:fldCharType="separate"/>
      </w:r>
      <w:r>
        <w:rPr>
          <w:rFonts w:hint="default" w:ascii="Times New Roman" w:hAnsi="Times New Roman" w:eastAsia="宋体" w:cs="Times New Roman"/>
          <w:bCs/>
          <w:color w:val="auto"/>
          <w:szCs w:val="24"/>
          <w:highlight w:val="none"/>
        </w:rPr>
        <w:t>5</w:t>
      </w:r>
      <w:r>
        <w:rPr>
          <w:rFonts w:hint="default" w:ascii="Times New Roman" w:hAnsi="Times New Roman" w:eastAsia="宋体" w:cs="Times New Roman"/>
          <w:bCs/>
          <w:color w:val="auto"/>
          <w:szCs w:val="24"/>
          <w:highlight w:val="none"/>
        </w:rPr>
        <w:fldChar w:fldCharType="end"/>
      </w:r>
      <w:r>
        <w:rPr>
          <w:rFonts w:hint="default" w:ascii="Times New Roman" w:hAnsi="Times New Roman" w:eastAsia="宋体" w:cs="Times New Roman"/>
          <w:bCs/>
          <w:color w:val="auto"/>
          <w:szCs w:val="24"/>
          <w:highlight w:val="none"/>
        </w:rPr>
        <w:t>-</w:t>
      </w:r>
      <w:r>
        <w:rPr>
          <w:rFonts w:hint="default" w:ascii="Times New Roman" w:hAnsi="Times New Roman" w:eastAsia="宋体" w:cs="Times New Roman"/>
          <w:bCs/>
          <w:color w:val="auto"/>
          <w:szCs w:val="24"/>
          <w:highlight w:val="none"/>
        </w:rPr>
        <w:fldChar w:fldCharType="begin"/>
      </w:r>
      <w:r>
        <w:rPr>
          <w:rFonts w:hint="default" w:ascii="Times New Roman" w:hAnsi="Times New Roman" w:eastAsia="宋体" w:cs="Times New Roman"/>
          <w:bCs/>
          <w:color w:val="auto"/>
          <w:szCs w:val="24"/>
          <w:highlight w:val="none"/>
        </w:rPr>
        <w:instrText xml:space="preserve"> SEQ 表 \* ARABIC \s 1 </w:instrText>
      </w:r>
      <w:r>
        <w:rPr>
          <w:rFonts w:hint="default" w:ascii="Times New Roman" w:hAnsi="Times New Roman" w:eastAsia="宋体" w:cs="Times New Roman"/>
          <w:bCs/>
          <w:color w:val="auto"/>
          <w:szCs w:val="24"/>
          <w:highlight w:val="none"/>
        </w:rPr>
        <w:fldChar w:fldCharType="separate"/>
      </w:r>
      <w:r>
        <w:rPr>
          <w:rFonts w:hint="default" w:ascii="Times New Roman" w:hAnsi="Times New Roman" w:eastAsia="宋体" w:cs="Times New Roman"/>
          <w:bCs/>
          <w:color w:val="auto"/>
          <w:szCs w:val="24"/>
          <w:highlight w:val="none"/>
        </w:rPr>
        <w:t>2</w:t>
      </w:r>
      <w:r>
        <w:rPr>
          <w:rFonts w:hint="default" w:ascii="Times New Roman" w:hAnsi="Times New Roman" w:eastAsia="宋体" w:cs="Times New Roman"/>
          <w:bCs/>
          <w:color w:val="auto"/>
          <w:szCs w:val="24"/>
          <w:highlight w:val="none"/>
        </w:rPr>
        <w:fldChar w:fldCharType="end"/>
      </w:r>
      <w:bookmarkStart w:id="287" w:name="_Toc5943"/>
      <w:r>
        <w:rPr>
          <w:rFonts w:hint="default" w:ascii="Times New Roman" w:hAnsi="Times New Roman" w:eastAsia="宋体" w:cs="Times New Roman"/>
          <w:bCs/>
          <w:color w:val="auto"/>
          <w:szCs w:val="24"/>
          <w:highlight w:val="none"/>
        </w:rPr>
        <w:t>健康和安全风险的减缓措施</w:t>
      </w:r>
      <w:bookmarkEnd w:id="286"/>
      <w:bookmarkEnd w:id="287"/>
    </w:p>
    <w:tbl>
      <w:tblPr>
        <w:tblStyle w:val="4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3"/>
        <w:gridCol w:w="2320"/>
        <w:gridCol w:w="7504"/>
        <w:gridCol w:w="1836"/>
      </w:tblGrid>
      <w:tr w14:paraId="5B9B9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884" w:type="pct"/>
            <w:shd w:val="clear" w:color="auto" w:fill="D9D9D9"/>
            <w:vAlign w:val="center"/>
          </w:tcPr>
          <w:p w14:paraId="1327E8FC">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阶段</w:t>
            </w:r>
          </w:p>
        </w:tc>
        <w:tc>
          <w:tcPr>
            <w:tcW w:w="819" w:type="pct"/>
            <w:shd w:val="clear" w:color="auto" w:fill="D9D9D9"/>
            <w:vAlign w:val="center"/>
          </w:tcPr>
          <w:p w14:paraId="172CB944">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责任主体</w:t>
            </w:r>
          </w:p>
        </w:tc>
        <w:tc>
          <w:tcPr>
            <w:tcW w:w="2649" w:type="pct"/>
            <w:shd w:val="clear" w:color="auto" w:fill="D9D9D9"/>
            <w:vAlign w:val="center"/>
          </w:tcPr>
          <w:p w14:paraId="36796EBC">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减缓措施</w:t>
            </w:r>
          </w:p>
        </w:tc>
        <w:tc>
          <w:tcPr>
            <w:tcW w:w="645" w:type="pct"/>
            <w:shd w:val="clear" w:color="auto" w:fill="D9D9D9"/>
            <w:vAlign w:val="center"/>
          </w:tcPr>
          <w:p w14:paraId="416D2789">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责任主体</w:t>
            </w:r>
          </w:p>
        </w:tc>
      </w:tr>
      <w:tr w14:paraId="7F6D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shd w:val="clear" w:color="auto" w:fill="F7CAAC" w:themeFill="accent2" w:themeFillTint="66"/>
            <w:vAlign w:val="center"/>
          </w:tcPr>
          <w:p w14:paraId="49B20267">
            <w:pP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工人健康与安全</w:t>
            </w:r>
          </w:p>
        </w:tc>
      </w:tr>
      <w:tr w14:paraId="609EC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shd w:val="clear" w:color="auto" w:fill="F7CAAC" w:themeFill="accent2" w:themeFillTint="66"/>
            <w:vAlign w:val="center"/>
          </w:tcPr>
          <w:p w14:paraId="08AA344B">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建设期</w:t>
            </w:r>
          </w:p>
        </w:tc>
        <w:tc>
          <w:tcPr>
            <w:tcW w:w="819" w:type="pct"/>
            <w:shd w:val="clear" w:color="auto" w:fill="F7CAAC" w:themeFill="accent2" w:themeFillTint="66"/>
            <w:vAlign w:val="center"/>
          </w:tcPr>
          <w:p w14:paraId="4AF5D7E9">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执行机构；</w:t>
            </w:r>
          </w:p>
          <w:p w14:paraId="503F6224">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街镇政府；</w:t>
            </w:r>
          </w:p>
          <w:p w14:paraId="446656B4">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承包商；</w:t>
            </w:r>
          </w:p>
          <w:p w14:paraId="57B33A02">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设计单位</w:t>
            </w:r>
          </w:p>
        </w:tc>
        <w:tc>
          <w:tcPr>
            <w:tcW w:w="2649" w:type="pct"/>
            <w:shd w:val="clear" w:color="auto" w:fill="F7CAAC" w:themeFill="accent2" w:themeFillTint="66"/>
            <w:vAlign w:val="center"/>
          </w:tcPr>
          <w:p w14:paraId="49F88DEC">
            <w:pPr>
              <w:pStyle w:val="2"/>
              <w:numPr>
                <w:ilvl w:val="0"/>
                <w:numId w:val="22"/>
              </w:numPr>
              <w:spacing w:after="0" w:line="240" w:lineRule="auto"/>
              <w:ind w:left="36" w:leftChars="1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加强运输车辆司机的道路交通安全培训和管理，提高安全意识，以避免和减少交通事故的发生。</w:t>
            </w:r>
          </w:p>
          <w:p w14:paraId="125704AD">
            <w:pPr>
              <w:pStyle w:val="2"/>
              <w:numPr>
                <w:ilvl w:val="0"/>
                <w:numId w:val="22"/>
              </w:numPr>
              <w:spacing w:after="0" w:line="240" w:lineRule="auto"/>
              <w:ind w:left="36" w:leftChars="1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车辆运输应该根据当地的实际情况并征求居民的建议进行合理安排，运输时间需避开交通高峰期。</w:t>
            </w:r>
          </w:p>
          <w:p w14:paraId="2CF22712">
            <w:pPr>
              <w:pStyle w:val="2"/>
              <w:numPr>
                <w:ilvl w:val="0"/>
                <w:numId w:val="22"/>
              </w:numPr>
              <w:spacing w:after="0" w:line="240" w:lineRule="auto"/>
              <w:ind w:left="36" w:leftChars="1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加强对施工人员安全规范施工的培训和管理，配备做够的安全员，监督工人安全施工规范。</w:t>
            </w:r>
          </w:p>
          <w:p w14:paraId="2ACCC1CA">
            <w:pPr>
              <w:pStyle w:val="2"/>
              <w:numPr>
                <w:ilvl w:val="0"/>
                <w:numId w:val="22"/>
              </w:numPr>
              <w:spacing w:after="0" w:line="240" w:lineRule="auto"/>
              <w:ind w:left="36" w:leftChars="1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应免费为施工工人配备劳保及安全防护用品，如安全帽、安全绳、防滑鞋、手套、防尘口罩等。</w:t>
            </w:r>
          </w:p>
          <w:p w14:paraId="581DB077">
            <w:pPr>
              <w:pStyle w:val="2"/>
              <w:numPr>
                <w:ilvl w:val="0"/>
                <w:numId w:val="22"/>
              </w:numPr>
              <w:spacing w:after="0" w:line="240" w:lineRule="auto"/>
              <w:ind w:left="36" w:leftChars="1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制定完整的应急预案，责任落实到人。</w:t>
            </w:r>
          </w:p>
          <w:p w14:paraId="24AF7534">
            <w:pPr>
              <w:pStyle w:val="2"/>
              <w:numPr>
                <w:ilvl w:val="0"/>
                <w:numId w:val="22"/>
              </w:numPr>
              <w:spacing w:after="0" w:line="240" w:lineRule="auto"/>
              <w:ind w:left="36" w:leftChars="1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对于传染病防控，应在区卫健委的指导下，落实相关措施，如场地灭鼠等。同时，组织工地相关人员及施工工人学习传染病防控知识和处理流程，并向工人分发传染病防控信息册。</w:t>
            </w:r>
          </w:p>
          <w:p w14:paraId="4F939053">
            <w:pPr>
              <w:pStyle w:val="2"/>
              <w:numPr>
                <w:ilvl w:val="0"/>
                <w:numId w:val="22"/>
              </w:numPr>
              <w:spacing w:after="0" w:line="240" w:lineRule="auto"/>
              <w:ind w:left="36" w:leftChars="1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对劳动者管理绩效监测和评估，并对劳动者管理程序进行持续改进。</w:t>
            </w:r>
          </w:p>
          <w:p w14:paraId="5AACF3A1">
            <w:pPr>
              <w:pStyle w:val="2"/>
              <w:numPr>
                <w:ilvl w:val="0"/>
                <w:numId w:val="22"/>
              </w:numPr>
              <w:spacing w:after="0" w:line="240" w:lineRule="auto"/>
              <w:ind w:left="36" w:leftChars="1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建立、采用有书面记录的申诉处理机制(GRM)，并将处理结果及时反馈给申诉人。</w:t>
            </w:r>
          </w:p>
        </w:tc>
        <w:tc>
          <w:tcPr>
            <w:tcW w:w="645" w:type="pct"/>
            <w:shd w:val="clear" w:color="auto" w:fill="F7CAAC" w:themeFill="accent2" w:themeFillTint="66"/>
            <w:vAlign w:val="center"/>
          </w:tcPr>
          <w:p w14:paraId="1FC050BD">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项目办、施工单位</w:t>
            </w:r>
          </w:p>
        </w:tc>
      </w:tr>
      <w:tr w14:paraId="5A56C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884" w:type="pct"/>
            <w:shd w:val="clear" w:color="auto" w:fill="F7CAAC" w:themeFill="accent2" w:themeFillTint="66"/>
            <w:vAlign w:val="center"/>
          </w:tcPr>
          <w:p w14:paraId="77D3203B">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运营期</w:t>
            </w:r>
          </w:p>
        </w:tc>
        <w:tc>
          <w:tcPr>
            <w:tcW w:w="819" w:type="pct"/>
            <w:shd w:val="clear" w:color="auto" w:fill="F7CAAC" w:themeFill="accent2" w:themeFillTint="66"/>
            <w:vAlign w:val="center"/>
          </w:tcPr>
          <w:p w14:paraId="77D60351">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执行机构；</w:t>
            </w:r>
          </w:p>
          <w:p w14:paraId="1D003E83">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街镇政府；</w:t>
            </w:r>
          </w:p>
          <w:p w14:paraId="5903A48D">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设计单位</w:t>
            </w:r>
          </w:p>
        </w:tc>
        <w:tc>
          <w:tcPr>
            <w:tcW w:w="2649" w:type="pct"/>
            <w:shd w:val="clear" w:color="auto" w:fill="F7CAAC" w:themeFill="accent2" w:themeFillTint="66"/>
            <w:vAlign w:val="center"/>
          </w:tcPr>
          <w:p w14:paraId="108E80ED">
            <w:pPr>
              <w:pStyle w:val="2"/>
              <w:numPr>
                <w:ilvl w:val="0"/>
                <w:numId w:val="22"/>
              </w:numPr>
              <w:spacing w:after="0" w:line="240" w:lineRule="auto"/>
              <w:ind w:left="36" w:leftChars="1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为信息中心机房设置较好的通风装置，机房各类设备应符合或优于国家标准。加强电工、市政养护人员、场馆维护人员安全作业的培训。</w:t>
            </w:r>
          </w:p>
          <w:p w14:paraId="4A1CF827">
            <w:pPr>
              <w:pStyle w:val="2"/>
              <w:numPr>
                <w:ilvl w:val="0"/>
                <w:numId w:val="22"/>
              </w:numPr>
              <w:spacing w:after="0" w:line="240" w:lineRule="auto"/>
              <w:ind w:left="36" w:leftChars="1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加强对各类工作人员进行交通安全培训。</w:t>
            </w:r>
          </w:p>
          <w:p w14:paraId="72312FAC">
            <w:pPr>
              <w:pStyle w:val="2"/>
              <w:numPr>
                <w:ilvl w:val="0"/>
                <w:numId w:val="22"/>
              </w:numPr>
              <w:spacing w:after="0" w:line="240" w:lineRule="auto"/>
              <w:ind w:left="36" w:leftChars="1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免费为各类工作人员配备足够的劳保用品。</w:t>
            </w:r>
          </w:p>
          <w:p w14:paraId="4279821B">
            <w:pPr>
              <w:pStyle w:val="2"/>
              <w:numPr>
                <w:ilvl w:val="0"/>
                <w:numId w:val="22"/>
              </w:numPr>
              <w:spacing w:after="0" w:line="240" w:lineRule="auto"/>
              <w:ind w:left="36" w:leftChars="1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对于公园保洁等需露天作业的人员，合理安排高温天气工作时间，避开一天中温度最高的时段。</w:t>
            </w:r>
          </w:p>
          <w:p w14:paraId="4469A361">
            <w:pPr>
              <w:pStyle w:val="2"/>
              <w:spacing w:after="0" w:line="240" w:lineRule="auto"/>
              <w:ind w:left="72" w:leftChars="30"/>
              <w:rPr>
                <w:rFonts w:hint="default" w:ascii="Times New Roman" w:hAnsi="Times New Roman" w:eastAsia="宋体" w:cs="Times New Roman"/>
                <w:color w:val="auto"/>
                <w:sz w:val="21"/>
                <w:szCs w:val="21"/>
                <w:highlight w:val="none"/>
              </w:rPr>
            </w:pPr>
          </w:p>
        </w:tc>
        <w:tc>
          <w:tcPr>
            <w:tcW w:w="645" w:type="pct"/>
            <w:shd w:val="clear" w:color="auto" w:fill="F7CAAC" w:themeFill="accent2" w:themeFillTint="66"/>
            <w:vAlign w:val="center"/>
          </w:tcPr>
          <w:p w14:paraId="275ABF27">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项目办、施工单位</w:t>
            </w:r>
          </w:p>
        </w:tc>
      </w:tr>
      <w:tr w14:paraId="58E49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000" w:type="pct"/>
            <w:gridSpan w:val="4"/>
            <w:shd w:val="clear" w:color="auto" w:fill="C5E0B3" w:themeFill="accent6" w:themeFillTint="66"/>
            <w:vAlign w:val="center"/>
          </w:tcPr>
          <w:p w14:paraId="3E8BE2F4">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社区健康与安全</w:t>
            </w:r>
          </w:p>
        </w:tc>
      </w:tr>
      <w:tr w14:paraId="606AB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shd w:val="clear" w:color="auto" w:fill="C5E0B3" w:themeFill="accent6" w:themeFillTint="66"/>
            <w:vAlign w:val="center"/>
          </w:tcPr>
          <w:p w14:paraId="5668A79C">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建设期</w:t>
            </w:r>
          </w:p>
        </w:tc>
        <w:tc>
          <w:tcPr>
            <w:tcW w:w="819" w:type="pct"/>
            <w:shd w:val="clear" w:color="auto" w:fill="C5E0B3" w:themeFill="accent6" w:themeFillTint="66"/>
            <w:vAlign w:val="center"/>
          </w:tcPr>
          <w:p w14:paraId="70039A18">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执行机构；</w:t>
            </w:r>
          </w:p>
          <w:p w14:paraId="72794B21">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乡镇政府；</w:t>
            </w:r>
          </w:p>
          <w:p w14:paraId="4CB85787">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设计单位、施工单位</w:t>
            </w:r>
          </w:p>
        </w:tc>
        <w:tc>
          <w:tcPr>
            <w:tcW w:w="2649" w:type="pct"/>
            <w:shd w:val="clear" w:color="auto" w:fill="C5E0B3" w:themeFill="accent6" w:themeFillTint="66"/>
            <w:vAlign w:val="center"/>
          </w:tcPr>
          <w:p w14:paraId="02F3FD5C">
            <w:pPr>
              <w:pStyle w:val="2"/>
              <w:numPr>
                <w:ilvl w:val="0"/>
                <w:numId w:val="22"/>
              </w:numPr>
              <w:spacing w:after="0" w:line="240" w:lineRule="auto"/>
              <w:ind w:left="36" w:leftChars="1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完善施工组织方案，合理安排施工工序和工期，尽量减少对施工对社区的影响；</w:t>
            </w:r>
          </w:p>
          <w:p w14:paraId="43E41E32">
            <w:pPr>
              <w:pStyle w:val="2"/>
              <w:numPr>
                <w:ilvl w:val="0"/>
                <w:numId w:val="22"/>
              </w:numPr>
              <w:spacing w:after="0" w:line="240" w:lineRule="auto"/>
              <w:ind w:left="72" w:leftChars="30" w:firstLine="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施工应尽量避开晚上9点以后的作业，尤其是启动或运行机械设备，以避免夜间对社区居民的噪声影响。</w:t>
            </w:r>
          </w:p>
          <w:p w14:paraId="2F886552">
            <w:pPr>
              <w:pStyle w:val="2"/>
              <w:numPr>
                <w:ilvl w:val="0"/>
                <w:numId w:val="22"/>
              </w:numPr>
              <w:spacing w:after="0" w:line="240" w:lineRule="auto"/>
              <w:ind w:left="72" w:leftChars="3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规范驾驶员和车辆管理，并进行运输路线优化，尽可能减少对社区的影响；</w:t>
            </w:r>
          </w:p>
          <w:p w14:paraId="17EB4A07">
            <w:pPr>
              <w:pStyle w:val="2"/>
              <w:numPr>
                <w:ilvl w:val="0"/>
                <w:numId w:val="22"/>
              </w:numPr>
              <w:spacing w:after="0" w:line="240" w:lineRule="auto"/>
              <w:ind w:left="72" w:leftChars="3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对当地居民（包括妇女、儿童、老人等）进行道路安全教育。</w:t>
            </w:r>
          </w:p>
          <w:p w14:paraId="64BB9240">
            <w:pPr>
              <w:pStyle w:val="2"/>
              <w:numPr>
                <w:ilvl w:val="0"/>
                <w:numId w:val="22"/>
              </w:numPr>
              <w:spacing w:line="240" w:lineRule="auto"/>
              <w:ind w:left="72" w:leftChars="3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对当地居民开展传染病防控知识的宣导，并发放信息手册。</w:t>
            </w:r>
          </w:p>
          <w:p w14:paraId="683E9B2A">
            <w:pPr>
              <w:pStyle w:val="2"/>
              <w:numPr>
                <w:ilvl w:val="0"/>
                <w:numId w:val="22"/>
              </w:numPr>
              <w:spacing w:line="240" w:lineRule="auto"/>
              <w:ind w:left="72" w:leftChars="3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szCs w:val="21"/>
                <w:highlight w:val="none"/>
              </w:rPr>
              <w:t>为当地居民开展洪涝等自然灾害防范与应急避险等方面的宣传教育或免费的知识培训活动。</w:t>
            </w:r>
          </w:p>
          <w:p w14:paraId="33D22D4A">
            <w:pPr>
              <w:pStyle w:val="2"/>
              <w:numPr>
                <w:ilvl w:val="0"/>
                <w:numId w:val="22"/>
              </w:numPr>
              <w:spacing w:after="0" w:line="240" w:lineRule="auto"/>
              <w:ind w:left="72" w:leftChars="3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建立、采用有书面记录的申诉处理机制(GRM)，主动对社区抱怨和建议进行处理，并将处理结果及时反馈给申诉人。</w:t>
            </w:r>
          </w:p>
        </w:tc>
        <w:tc>
          <w:tcPr>
            <w:tcW w:w="645" w:type="pct"/>
            <w:shd w:val="clear" w:color="auto" w:fill="C5E0B3" w:themeFill="accent6" w:themeFillTint="66"/>
            <w:vAlign w:val="center"/>
          </w:tcPr>
          <w:p w14:paraId="22D120C2">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项目办、镇政府、施工单位</w:t>
            </w:r>
          </w:p>
        </w:tc>
      </w:tr>
      <w:tr w14:paraId="24D13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shd w:val="clear" w:color="auto" w:fill="C5E0B3" w:themeFill="accent6" w:themeFillTint="66"/>
            <w:vAlign w:val="center"/>
          </w:tcPr>
          <w:p w14:paraId="1085ADF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运营期</w:t>
            </w:r>
          </w:p>
        </w:tc>
        <w:tc>
          <w:tcPr>
            <w:tcW w:w="819" w:type="pct"/>
            <w:shd w:val="clear" w:color="auto" w:fill="C5E0B3" w:themeFill="accent6" w:themeFillTint="66"/>
            <w:vAlign w:val="center"/>
          </w:tcPr>
          <w:p w14:paraId="418F5E3F">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执行机构；</w:t>
            </w:r>
          </w:p>
        </w:tc>
        <w:tc>
          <w:tcPr>
            <w:tcW w:w="2649" w:type="pct"/>
            <w:shd w:val="clear" w:color="auto" w:fill="C5E0B3" w:themeFill="accent6" w:themeFillTint="66"/>
            <w:vAlign w:val="center"/>
          </w:tcPr>
          <w:p w14:paraId="0C4F87D8">
            <w:pPr>
              <w:pStyle w:val="2"/>
              <w:numPr>
                <w:ilvl w:val="0"/>
                <w:numId w:val="22"/>
              </w:numPr>
              <w:spacing w:after="0" w:line="240" w:lineRule="auto"/>
              <w:ind w:left="72" w:leftChars="3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在社区出行的交通关键路段，设置明显的安全警示牌或标识标线，以及减速带。</w:t>
            </w:r>
          </w:p>
          <w:p w14:paraId="79CCE93F">
            <w:pPr>
              <w:pStyle w:val="2"/>
              <w:numPr>
                <w:ilvl w:val="0"/>
                <w:numId w:val="22"/>
              </w:numPr>
              <w:spacing w:after="0" w:line="240" w:lineRule="auto"/>
              <w:ind w:left="72" w:leftChars="3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szCs w:val="21"/>
                <w:highlight w:val="none"/>
              </w:rPr>
              <w:t>针对涉及汉江沿岸和黄洋河沿岸的子项目，制定汛期管理措施或应急预案，如极端天气时进行预警，公园等公共设施提前关闭或有限制的参观等。同时，在汛期安排专业部门或专人负责现场安全管理。</w:t>
            </w:r>
          </w:p>
        </w:tc>
        <w:tc>
          <w:tcPr>
            <w:tcW w:w="645" w:type="pct"/>
            <w:shd w:val="clear" w:color="auto" w:fill="C5E0B3" w:themeFill="accent6" w:themeFillTint="66"/>
            <w:vAlign w:val="center"/>
          </w:tcPr>
          <w:p w14:paraId="52446484">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项目办、镇政府、施工单位</w:t>
            </w:r>
          </w:p>
        </w:tc>
      </w:tr>
      <w:bookmarkEnd w:id="280"/>
    </w:tbl>
    <w:p w14:paraId="58FA3549">
      <w:pPr>
        <w:spacing w:before="120" w:after="120" w:line="300" w:lineRule="auto"/>
        <w:jc w:val="both"/>
        <w:rPr>
          <w:rFonts w:hint="default" w:ascii="Times New Roman" w:hAnsi="Times New Roman" w:eastAsia="宋体" w:cs="Times New Roman"/>
          <w:color w:val="auto"/>
          <w:highlight w:val="none"/>
        </w:rPr>
      </w:pPr>
    </w:p>
    <w:p w14:paraId="3A8E089C">
      <w:pPr>
        <w:pStyle w:val="2"/>
        <w:rPr>
          <w:rFonts w:hint="default" w:ascii="Times New Roman" w:hAnsi="Times New Roman" w:eastAsia="宋体" w:cs="Times New Roman"/>
          <w:color w:val="auto"/>
          <w:highlight w:val="none"/>
        </w:rPr>
        <w:sectPr>
          <w:pgSz w:w="16838" w:h="11906" w:orient="landscape"/>
          <w:pgMar w:top="1800" w:right="1440" w:bottom="1800" w:left="1440" w:header="851" w:footer="992" w:gutter="0"/>
          <w:cols w:space="720" w:num="1"/>
          <w:docGrid w:linePitch="326" w:charSpace="0"/>
        </w:sectPr>
      </w:pPr>
    </w:p>
    <w:bookmarkEnd w:id="265"/>
    <w:bookmarkEnd w:id="266"/>
    <w:p w14:paraId="1C60F22D">
      <w:pPr>
        <w:pStyle w:val="4"/>
        <w:spacing w:before="120" w:after="240"/>
        <w:rPr>
          <w:rFonts w:hint="default" w:ascii="Times New Roman" w:hAnsi="Times New Roman" w:eastAsia="宋体" w:cs="Times New Roman"/>
          <w:color w:val="auto"/>
          <w:szCs w:val="24"/>
          <w:highlight w:val="none"/>
        </w:rPr>
      </w:pPr>
      <w:bookmarkStart w:id="288" w:name="_Toc7731"/>
      <w:bookmarkStart w:id="289" w:name="_Toc114673114"/>
      <w:bookmarkStart w:id="290" w:name="_Toc110846313"/>
      <w:r>
        <w:rPr>
          <w:rFonts w:hint="default" w:ascii="Times New Roman" w:hAnsi="Times New Roman" w:eastAsia="宋体" w:cs="Times New Roman"/>
          <w:color w:val="auto"/>
          <w:szCs w:val="24"/>
          <w:highlight w:val="none"/>
        </w:rPr>
        <w:t>劳动及工作条件</w:t>
      </w:r>
      <w:bookmarkEnd w:id="288"/>
    </w:p>
    <w:p w14:paraId="6E075A3F">
      <w:pPr>
        <w:adjustRightInd w:val="0"/>
        <w:snapToGrid w:val="0"/>
        <w:spacing w:before="12" w:after="12"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根据调查，运营期工作人员由</w:t>
      </w:r>
      <w:r>
        <w:rPr>
          <w:rFonts w:hint="default" w:ascii="Times New Roman" w:hAnsi="Times New Roman" w:eastAsia="宋体" w:cs="Times New Roman"/>
          <w:color w:val="auto"/>
          <w:highlight w:val="none"/>
          <w:u w:val="single"/>
        </w:rPr>
        <w:t>城东管委会负责管理和招聘</w:t>
      </w:r>
      <w:r>
        <w:rPr>
          <w:rFonts w:hint="default" w:ascii="Times New Roman" w:hAnsi="Times New Roman" w:eastAsia="宋体" w:cs="Times New Roman"/>
          <w:color w:val="auto"/>
          <w:highlight w:val="none"/>
        </w:rPr>
        <w:t>，作为汉滨区政府下属机构，通常能较好地按照国家相关法律法规要求进行人事管理、安全作业和生产。</w:t>
      </w:r>
    </w:p>
    <w:p w14:paraId="75F742ED">
      <w:pPr>
        <w:adjustRightInd w:val="0"/>
        <w:snapToGrid w:val="0"/>
        <w:spacing w:before="12" w:after="12"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期施工工人均为承包商工人。通过社评单位走访调查发现，有村民曾经外出做建筑工人时，因为是临时性用工没有签订劳务合同或劳务协议，也没有意外伤害险。社评单位根据其他类似建设项目的情况，认为项目在建设期，施工单位可能在</w:t>
      </w:r>
      <w:r>
        <w:rPr>
          <w:rFonts w:hint="default" w:ascii="Times New Roman" w:hAnsi="Times New Roman" w:eastAsia="宋体" w:cs="Times New Roman"/>
          <w:color w:val="auto"/>
          <w:kern w:val="2"/>
          <w:highlight w:val="none"/>
        </w:rPr>
        <w:t>劳动合同、工人保险等方面，与中国的劳动法、劳动合同法以及亚投行ESS2的要求还存在差距</w:t>
      </w:r>
      <w:r>
        <w:rPr>
          <w:rFonts w:hint="default" w:ascii="Times New Roman" w:hAnsi="Times New Roman" w:eastAsia="宋体" w:cs="Times New Roman"/>
          <w:color w:val="auto"/>
          <w:highlight w:val="none"/>
        </w:rPr>
        <w:t>。</w:t>
      </w:r>
    </w:p>
    <w:p w14:paraId="5C3A7089">
      <w:pPr>
        <w:adjustRightInd w:val="0"/>
        <w:snapToGrid w:val="0"/>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上述风险因素，社评单位对劳动者工作条件从完善劳动合同、劳动报酬和劳动时间，完善申诉机制等方面制定了相关缓解措施。执行机构将落实专门部门并安排专人负责相关缓解措施的实施，并要求承包商/分包商、及主要供应商按照相应的要求进行劳动者的管理，项目办将对劳动者管理绩效进行监管。</w:t>
      </w:r>
      <w:r>
        <w:rPr>
          <w:rFonts w:hint="default" w:ascii="Times New Roman" w:hAnsi="Times New Roman" w:eastAsia="宋体" w:cs="Times New Roman"/>
          <w:b/>
          <w:bCs/>
          <w:color w:val="auto"/>
          <w:highlight w:val="none"/>
          <w:u w:val="single"/>
        </w:rPr>
        <w:t>缓解措施</w:t>
      </w:r>
      <w:r>
        <w:rPr>
          <w:rFonts w:hint="default" w:ascii="Times New Roman" w:hAnsi="Times New Roman" w:eastAsia="宋体" w:cs="Times New Roman"/>
          <w:color w:val="auto"/>
          <w:highlight w:val="none"/>
        </w:rPr>
        <w:t>如下：</w:t>
      </w:r>
    </w:p>
    <w:p w14:paraId="6514CE46">
      <w:pPr>
        <w:pStyle w:val="39"/>
        <w:numPr>
          <w:ilvl w:val="0"/>
          <w:numId w:val="20"/>
        </w:numPr>
        <w:adjustRightInd w:val="0"/>
        <w:snapToGrid w:val="0"/>
        <w:spacing w:before="12" w:after="12" w:line="300" w:lineRule="auto"/>
        <w:ind w:left="816"/>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确保工人的劳动者雇佣条款和条件、职业健康安全、申诉机制等得到有效保障；</w:t>
      </w:r>
    </w:p>
    <w:p w14:paraId="3E88B0E8">
      <w:pPr>
        <w:pStyle w:val="39"/>
        <w:numPr>
          <w:ilvl w:val="0"/>
          <w:numId w:val="20"/>
        </w:numPr>
        <w:adjustRightInd w:val="0"/>
        <w:snapToGrid w:val="0"/>
        <w:spacing w:before="12" w:after="12" w:line="300" w:lineRule="auto"/>
        <w:ind w:left="816"/>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针对承包商管理，在招标采购文件中落实承包商的劳动者管理要求，并纳入合同条款；在合同中还应明确相应的不合规补救措施，建立用于管理和监测第三方绩效的程序；对于临时工，还应确保签订劳务合同/协议，及第三方公司为工人购买意外险；</w:t>
      </w:r>
    </w:p>
    <w:p w14:paraId="5C867C58">
      <w:pPr>
        <w:pStyle w:val="39"/>
        <w:numPr>
          <w:ilvl w:val="0"/>
          <w:numId w:val="20"/>
        </w:numPr>
        <w:adjustRightInd w:val="0"/>
        <w:snapToGrid w:val="0"/>
        <w:spacing w:before="12" w:after="12" w:line="300" w:lineRule="auto"/>
        <w:ind w:left="816"/>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针对主要供应商管理，在招标采购文件中落实主要供应商的劳动者管理要求，并纳入合同条款；在合同中还应明确：①相应的不合规补救措施，及建立用于管理和监测第三方绩效的程序；②提交代理商、生产厂商关于劳动者管理的尽职调查报告，应包含代理商、生产厂商雇佣工人的合同管理、雇佣童工、同工同酬、性别歧视、强迫劳动等方面的内容。</w:t>
      </w:r>
    </w:p>
    <w:p w14:paraId="56943D98">
      <w:pPr>
        <w:pStyle w:val="39"/>
        <w:numPr>
          <w:ilvl w:val="0"/>
          <w:numId w:val="20"/>
        </w:numPr>
        <w:adjustRightInd w:val="0"/>
        <w:snapToGrid w:val="0"/>
        <w:spacing w:before="12" w:after="12" w:line="300" w:lineRule="auto"/>
        <w:ind w:left="816"/>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对劳动者管理绩效监测和评估，并对劳动者管理程序进行持续改进。</w:t>
      </w:r>
    </w:p>
    <w:bookmarkEnd w:id="289"/>
    <w:bookmarkEnd w:id="290"/>
    <w:p w14:paraId="084DE1EC">
      <w:pPr>
        <w:pStyle w:val="4"/>
        <w:spacing w:before="120"/>
        <w:rPr>
          <w:rFonts w:hint="default" w:ascii="Times New Roman" w:hAnsi="Times New Roman" w:eastAsia="宋体" w:cs="Times New Roman"/>
          <w:color w:val="auto"/>
          <w:highlight w:val="none"/>
        </w:rPr>
      </w:pPr>
      <w:bookmarkStart w:id="291" w:name="_Toc3500"/>
      <w:bookmarkStart w:id="292" w:name="_Toc114673122"/>
      <w:bookmarkStart w:id="293" w:name="_Toc86388622"/>
      <w:bookmarkStart w:id="294" w:name="_Toc110846320"/>
      <w:r>
        <w:rPr>
          <w:rFonts w:hint="default" w:ascii="Times New Roman" w:hAnsi="Times New Roman" w:eastAsia="宋体" w:cs="Times New Roman"/>
          <w:color w:val="auto"/>
          <w:highlight w:val="none"/>
        </w:rPr>
        <w:t>利益相关者参与不足的风险</w:t>
      </w:r>
      <w:bookmarkEnd w:id="291"/>
      <w:bookmarkEnd w:id="292"/>
    </w:p>
    <w:p w14:paraId="28C8BADE">
      <w:pPr>
        <w:pStyle w:val="5"/>
        <w:spacing w:before="120"/>
        <w:rPr>
          <w:rFonts w:hint="default" w:ascii="Times New Roman" w:hAnsi="Times New Roman" w:eastAsia="宋体" w:cs="Times New Roman"/>
          <w:color w:val="auto"/>
          <w:highlight w:val="none"/>
        </w:rPr>
      </w:pPr>
      <w:bookmarkStart w:id="295" w:name="_Toc8996"/>
      <w:bookmarkStart w:id="296" w:name="_Toc114673123"/>
      <w:r>
        <w:rPr>
          <w:rFonts w:hint="default" w:ascii="Times New Roman" w:hAnsi="Times New Roman" w:eastAsia="宋体" w:cs="Times New Roman"/>
          <w:color w:val="auto"/>
          <w:highlight w:val="none"/>
        </w:rPr>
        <w:t>项目区利益相关方参与分析</w:t>
      </w:r>
      <w:bookmarkEnd w:id="295"/>
      <w:bookmarkEnd w:id="296"/>
    </w:p>
    <w:p w14:paraId="6D458D01">
      <w:p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项目在项目准备、实施以及运营过程中信息公开与参与是实现项目目标的重要环节。</w:t>
      </w:r>
    </w:p>
    <w:p w14:paraId="5DF91884">
      <w:pPr>
        <w:spacing w:before="120" w:after="120" w:line="300" w:lineRule="auto"/>
        <w:ind w:firstLine="42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国、陕西省、安康市及汉滨区的法律法规对重大建设项目批准和实施过程、拟征地和征地补偿方案、政府资源配置等各项信息公开做了全面严格的要求，并且要求公众参与渠道畅通。另外，中国和陕西省建立了体系化的信访机制，公民、法人或者其他组织都可采用书信、电子邮件、传真、电话、走访等形式，向各级人民政府、区级以上人民政府工作部门反映情况，提出建议、意见或者投诉请求，依法由有关行政机关处理。然而，目前针对周边社区居民的信息披露和主动沟通机制存在不足。</w:t>
      </w:r>
    </w:p>
    <w:p w14:paraId="332EDC4D">
      <w:pPr>
        <w:pStyle w:val="5"/>
        <w:spacing w:before="120"/>
        <w:rPr>
          <w:rFonts w:hint="default" w:ascii="Times New Roman" w:hAnsi="Times New Roman" w:eastAsia="宋体" w:cs="Times New Roman"/>
          <w:color w:val="auto"/>
          <w:highlight w:val="none"/>
        </w:rPr>
      </w:pPr>
      <w:bookmarkStart w:id="297" w:name="_Toc114673126"/>
      <w:bookmarkStart w:id="298" w:name="_Toc18821"/>
      <w:r>
        <w:rPr>
          <w:rFonts w:hint="default" w:ascii="Times New Roman" w:hAnsi="Times New Roman" w:eastAsia="宋体" w:cs="Times New Roman"/>
          <w:color w:val="auto"/>
          <w:highlight w:val="none"/>
        </w:rPr>
        <w:t>利益相关方参与设计优化与减缓措施</w:t>
      </w:r>
      <w:bookmarkEnd w:id="297"/>
      <w:bookmarkEnd w:id="298"/>
    </w:p>
    <w:p w14:paraId="1646E4EC">
      <w:pPr>
        <w:snapToGrid w:val="0"/>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根据社会影响评价识别出的风险因素，提出了以下相关设计优化与缓解措施：</w:t>
      </w:r>
    </w:p>
    <w:p w14:paraId="6648E589">
      <w:pPr>
        <w:pStyle w:val="39"/>
        <w:numPr>
          <w:ilvl w:val="0"/>
          <w:numId w:val="21"/>
        </w:numPr>
        <w:snapToGrid w:val="0"/>
        <w:spacing w:before="120" w:after="120" w:line="30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优化设计方案应充分征求周边社区居民的意见和建议；</w:t>
      </w:r>
    </w:p>
    <w:p w14:paraId="60FE0AD5">
      <w:pPr>
        <w:pStyle w:val="39"/>
        <w:numPr>
          <w:ilvl w:val="0"/>
          <w:numId w:val="21"/>
        </w:numPr>
        <w:snapToGrid w:val="0"/>
        <w:spacing w:before="120" w:after="120" w:line="30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项目征地、拆迁安置、土地流转等应向社区居民披露并征求相关意见和建议；</w:t>
      </w:r>
    </w:p>
    <w:p w14:paraId="03D24E81">
      <w:pPr>
        <w:pStyle w:val="39"/>
        <w:numPr>
          <w:ilvl w:val="0"/>
          <w:numId w:val="21"/>
        </w:numPr>
        <w:snapToGrid w:val="0"/>
        <w:spacing w:before="120" w:after="120" w:line="30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按照利益相关方参与计划（SEP）以及确定的申诉机制（GRM）实施，提供足够资源确保相关机制有效运；</w:t>
      </w:r>
    </w:p>
    <w:p w14:paraId="513ADB9F">
      <w:pPr>
        <w:pStyle w:val="39"/>
        <w:numPr>
          <w:ilvl w:val="0"/>
          <w:numId w:val="21"/>
        </w:numPr>
        <w:snapToGrid w:val="0"/>
        <w:spacing w:before="120" w:after="120" w:line="30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提高弱势群体与女性的公众参与率，充分考虑其意见和建议；</w:t>
      </w:r>
    </w:p>
    <w:p w14:paraId="7ED93064">
      <w:pPr>
        <w:pStyle w:val="39"/>
        <w:numPr>
          <w:ilvl w:val="0"/>
          <w:numId w:val="21"/>
        </w:numPr>
        <w:snapToGrid w:val="0"/>
        <w:spacing w:before="120" w:after="120" w:line="30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建设及运营过程中的环境和社会监测信息及时对社区公布。</w:t>
      </w:r>
    </w:p>
    <w:p w14:paraId="6CD4F60D">
      <w:pPr>
        <w:snapToGrid w:val="0"/>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此外，本项目活动制定了</w:t>
      </w:r>
      <w:r>
        <w:rPr>
          <w:rFonts w:hint="default" w:ascii="Times New Roman" w:hAnsi="Times New Roman" w:eastAsia="宋体" w:cs="Times New Roman"/>
          <w:color w:val="auto"/>
          <w:highlight w:val="none"/>
          <w:u w:val="single"/>
        </w:rPr>
        <w:t>单独的利益相关方参与计划（SEP）</w:t>
      </w:r>
      <w:r>
        <w:rPr>
          <w:rFonts w:hint="default" w:ascii="Times New Roman" w:hAnsi="Times New Roman" w:eastAsia="宋体" w:cs="Times New Roman"/>
          <w:color w:val="auto"/>
          <w:highlight w:val="none"/>
        </w:rPr>
        <w:t>指导汉滨区人民政府及项目办在整个项目周期内开展有意义的利益相关方磋商。</w:t>
      </w:r>
      <w:bookmarkEnd w:id="293"/>
      <w:bookmarkEnd w:id="294"/>
      <w:bookmarkStart w:id="299" w:name="_Toc110846322"/>
      <w:bookmarkStart w:id="300" w:name="_Toc83326408"/>
      <w:bookmarkStart w:id="301" w:name="_Toc4503"/>
    </w:p>
    <w:p w14:paraId="0AF871EE">
      <w:pPr>
        <w:rPr>
          <w:rFonts w:hint="default" w:ascii="Times New Roman" w:hAnsi="Times New Roman" w:eastAsia="宋体" w:cs="Times New Roman"/>
          <w:color w:val="auto"/>
          <w:highlight w:val="none"/>
        </w:rPr>
      </w:pPr>
    </w:p>
    <w:p w14:paraId="51613A31">
      <w:pPr>
        <w:pStyle w:val="4"/>
        <w:spacing w:before="120" w:after="240"/>
        <w:rPr>
          <w:rFonts w:hint="default" w:ascii="Times New Roman" w:hAnsi="Times New Roman" w:eastAsia="宋体" w:cs="Times New Roman"/>
          <w:color w:val="auto"/>
          <w:szCs w:val="24"/>
          <w:highlight w:val="none"/>
        </w:rPr>
      </w:pPr>
      <w:bookmarkStart w:id="302" w:name="_Toc10931"/>
      <w:bookmarkStart w:id="303" w:name="_Toc83326406"/>
      <w:bookmarkStart w:id="304" w:name="_Toc110846311"/>
      <w:bookmarkStart w:id="305" w:name="_Toc114673137"/>
      <w:r>
        <w:rPr>
          <w:rFonts w:hint="default" w:ascii="Times New Roman" w:hAnsi="Times New Roman" w:eastAsia="宋体" w:cs="Times New Roman"/>
          <w:color w:val="auto"/>
          <w:szCs w:val="24"/>
          <w:highlight w:val="none"/>
        </w:rPr>
        <w:t>社会敏感点筛查</w:t>
      </w:r>
      <w:bookmarkEnd w:id="302"/>
    </w:p>
    <w:p w14:paraId="368EE7CB">
      <w:pPr>
        <w:tabs>
          <w:tab w:val="left" w:pos="3315"/>
        </w:tabs>
        <w:adjustRightInd w:val="0"/>
        <w:snapToGrid w:val="0"/>
        <w:spacing w:line="360" w:lineRule="auto"/>
        <w:ind w:firstLine="460" w:firstLineChars="192"/>
        <w:rPr>
          <w:rFonts w:hint="default" w:ascii="Times New Roman" w:hAnsi="Times New Roman" w:eastAsia="宋体" w:cs="Times New Roman"/>
          <w:bCs/>
          <w:color w:val="auto"/>
          <w:highlight w:val="none"/>
        </w:rPr>
      </w:pPr>
      <w:r>
        <w:rPr>
          <w:rFonts w:hint="default" w:ascii="Times New Roman" w:hAnsi="Times New Roman" w:eastAsia="宋体" w:cs="Times New Roman"/>
          <w:color w:val="auto"/>
          <w:highlight w:val="none"/>
        </w:rPr>
        <w:t>社评单位对项目建设地点周边社会敏感设施进行了筛查</w:t>
      </w:r>
      <w:r>
        <w:rPr>
          <w:rFonts w:hint="default" w:ascii="Times New Roman" w:hAnsi="Times New Roman" w:eastAsia="宋体" w:cs="Times New Roman"/>
          <w:bCs/>
          <w:color w:val="auto"/>
          <w:highlight w:val="none"/>
        </w:rPr>
        <w:t>。</w:t>
      </w:r>
      <w:r>
        <w:rPr>
          <w:rFonts w:hint="default" w:ascii="Times New Roman" w:hAnsi="Times New Roman" w:eastAsia="宋体" w:cs="Times New Roman"/>
          <w:color w:val="auto"/>
          <w:highlight w:val="none"/>
        </w:rPr>
        <w:t>根据实地调查，项目敏感设施有2个医院、1个幼儿园及1处文物。受到影响主要为施工期噪声、道路交通安全等问题。</w:t>
      </w:r>
    </w:p>
    <w:p w14:paraId="57E483EE">
      <w:pPr>
        <w:pStyle w:val="13"/>
        <w:adjustRightInd w:val="0"/>
        <w:snapToGrid w:val="0"/>
        <w:spacing w:after="120"/>
        <w:rPr>
          <w:rFonts w:hint="default" w:ascii="Times New Roman" w:hAnsi="Times New Roman" w:eastAsia="宋体" w:cs="Times New Roman"/>
          <w:color w:val="auto"/>
          <w:szCs w:val="24"/>
          <w:highlight w:val="none"/>
          <w:lang w:val="zh-CN"/>
        </w:rPr>
      </w:pPr>
      <w:r>
        <w:rPr>
          <w:rFonts w:hint="default" w:ascii="Times New Roman" w:hAnsi="Times New Roman" w:eastAsia="宋体" w:cs="Times New Roman"/>
          <w:bCs/>
          <w:color w:val="auto"/>
          <w:szCs w:val="24"/>
          <w:highlight w:val="none"/>
        </w:rPr>
        <w:t xml:space="preserve">表 </w:t>
      </w:r>
      <w:r>
        <w:rPr>
          <w:rFonts w:hint="default" w:ascii="Times New Roman" w:hAnsi="Times New Roman" w:eastAsia="宋体" w:cs="Times New Roman"/>
          <w:bCs/>
          <w:color w:val="auto"/>
          <w:szCs w:val="24"/>
          <w:highlight w:val="none"/>
        </w:rPr>
        <w:fldChar w:fldCharType="begin"/>
      </w:r>
      <w:r>
        <w:rPr>
          <w:rFonts w:hint="default" w:ascii="Times New Roman" w:hAnsi="Times New Roman" w:eastAsia="宋体" w:cs="Times New Roman"/>
          <w:bCs/>
          <w:color w:val="auto"/>
          <w:szCs w:val="24"/>
          <w:highlight w:val="none"/>
        </w:rPr>
        <w:instrText xml:space="preserve"> STYLEREF 1 \s </w:instrText>
      </w:r>
      <w:r>
        <w:rPr>
          <w:rFonts w:hint="default" w:ascii="Times New Roman" w:hAnsi="Times New Roman" w:eastAsia="宋体" w:cs="Times New Roman"/>
          <w:bCs/>
          <w:color w:val="auto"/>
          <w:szCs w:val="24"/>
          <w:highlight w:val="none"/>
        </w:rPr>
        <w:fldChar w:fldCharType="separate"/>
      </w:r>
      <w:r>
        <w:rPr>
          <w:rFonts w:hint="default" w:ascii="Times New Roman" w:hAnsi="Times New Roman" w:eastAsia="宋体" w:cs="Times New Roman"/>
          <w:bCs/>
          <w:color w:val="auto"/>
          <w:szCs w:val="24"/>
          <w:highlight w:val="none"/>
        </w:rPr>
        <w:t>5</w:t>
      </w:r>
      <w:r>
        <w:rPr>
          <w:rFonts w:hint="default" w:ascii="Times New Roman" w:hAnsi="Times New Roman" w:eastAsia="宋体" w:cs="Times New Roman"/>
          <w:bCs/>
          <w:color w:val="auto"/>
          <w:szCs w:val="24"/>
          <w:highlight w:val="none"/>
        </w:rPr>
        <w:fldChar w:fldCharType="end"/>
      </w:r>
      <w:r>
        <w:rPr>
          <w:rFonts w:hint="default" w:ascii="Times New Roman" w:hAnsi="Times New Roman" w:eastAsia="宋体" w:cs="Times New Roman"/>
          <w:bCs/>
          <w:color w:val="auto"/>
          <w:szCs w:val="24"/>
          <w:highlight w:val="none"/>
        </w:rPr>
        <w:t>-</w:t>
      </w:r>
      <w:r>
        <w:rPr>
          <w:rFonts w:hint="default" w:ascii="Times New Roman" w:hAnsi="Times New Roman" w:eastAsia="宋体" w:cs="Times New Roman"/>
          <w:bCs/>
          <w:color w:val="auto"/>
          <w:szCs w:val="24"/>
          <w:highlight w:val="none"/>
        </w:rPr>
        <w:fldChar w:fldCharType="begin"/>
      </w:r>
      <w:r>
        <w:rPr>
          <w:rFonts w:hint="default" w:ascii="Times New Roman" w:hAnsi="Times New Roman" w:eastAsia="宋体" w:cs="Times New Roman"/>
          <w:bCs/>
          <w:color w:val="auto"/>
          <w:szCs w:val="24"/>
          <w:highlight w:val="none"/>
        </w:rPr>
        <w:instrText xml:space="preserve"> SEQ 表 \* ARABIC \s 1 </w:instrText>
      </w:r>
      <w:r>
        <w:rPr>
          <w:rFonts w:hint="default" w:ascii="Times New Roman" w:hAnsi="Times New Roman" w:eastAsia="宋体" w:cs="Times New Roman"/>
          <w:bCs/>
          <w:color w:val="auto"/>
          <w:szCs w:val="24"/>
          <w:highlight w:val="none"/>
        </w:rPr>
        <w:fldChar w:fldCharType="separate"/>
      </w:r>
      <w:r>
        <w:rPr>
          <w:rFonts w:hint="default" w:ascii="Times New Roman" w:hAnsi="Times New Roman" w:eastAsia="宋体" w:cs="Times New Roman"/>
          <w:bCs/>
          <w:color w:val="auto"/>
          <w:szCs w:val="24"/>
          <w:highlight w:val="none"/>
        </w:rPr>
        <w:t>3</w:t>
      </w:r>
      <w:r>
        <w:rPr>
          <w:rFonts w:hint="default" w:ascii="Times New Roman" w:hAnsi="Times New Roman" w:eastAsia="宋体" w:cs="Times New Roman"/>
          <w:bCs/>
          <w:color w:val="auto"/>
          <w:szCs w:val="24"/>
          <w:highlight w:val="none"/>
        </w:rPr>
        <w:fldChar w:fldCharType="end"/>
      </w:r>
      <w:bookmarkStart w:id="306" w:name="_Toc18492"/>
      <w:r>
        <w:rPr>
          <w:rFonts w:hint="default" w:ascii="Times New Roman" w:hAnsi="Times New Roman" w:eastAsia="宋体" w:cs="Times New Roman"/>
          <w:bCs/>
          <w:color w:val="auto"/>
          <w:szCs w:val="24"/>
          <w:highlight w:val="none"/>
        </w:rPr>
        <w:t xml:space="preserve"> </w:t>
      </w:r>
      <w:r>
        <w:rPr>
          <w:rFonts w:hint="default" w:ascii="Times New Roman" w:hAnsi="Times New Roman" w:eastAsia="宋体" w:cs="Times New Roman"/>
          <w:color w:val="auto"/>
          <w:szCs w:val="24"/>
          <w:highlight w:val="none"/>
          <w:lang w:val="zh-CN"/>
        </w:rPr>
        <w:t>项目周边</w:t>
      </w:r>
      <w:r>
        <w:rPr>
          <w:rFonts w:hint="default" w:ascii="Times New Roman" w:hAnsi="Times New Roman" w:eastAsia="宋体" w:cs="Times New Roman"/>
          <w:color w:val="auto"/>
          <w:szCs w:val="24"/>
          <w:highlight w:val="none"/>
        </w:rPr>
        <w:t>社会敏感设施</w:t>
      </w:r>
      <w:r>
        <w:rPr>
          <w:rFonts w:hint="default" w:ascii="Times New Roman" w:hAnsi="Times New Roman" w:eastAsia="宋体" w:cs="Times New Roman"/>
          <w:color w:val="auto"/>
          <w:szCs w:val="24"/>
          <w:highlight w:val="none"/>
          <w:lang w:val="zh-CN"/>
        </w:rPr>
        <w:t>情况</w:t>
      </w:r>
      <w:bookmarkEnd w:id="306"/>
    </w:p>
    <w:tbl>
      <w:tblPr>
        <w:tblStyle w:val="43"/>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33"/>
        <w:gridCol w:w="2358"/>
        <w:gridCol w:w="2358"/>
        <w:gridCol w:w="2770"/>
      </w:tblGrid>
      <w:tr w14:paraId="4E9F2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606" w:type="pct"/>
            <w:shd w:val="clear" w:color="auto" w:fill="D9D9D9"/>
            <w:vAlign w:val="center"/>
          </w:tcPr>
          <w:p w14:paraId="4760470E">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乡镇</w:t>
            </w:r>
          </w:p>
        </w:tc>
        <w:tc>
          <w:tcPr>
            <w:tcW w:w="1383" w:type="pct"/>
            <w:shd w:val="clear" w:color="auto" w:fill="D9D9D9"/>
            <w:vAlign w:val="center"/>
          </w:tcPr>
          <w:p w14:paraId="4BC457F0">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位置</w:t>
            </w:r>
          </w:p>
        </w:tc>
        <w:tc>
          <w:tcPr>
            <w:tcW w:w="1383" w:type="pct"/>
            <w:shd w:val="clear" w:color="auto" w:fill="D9D9D9"/>
            <w:vAlign w:val="center"/>
          </w:tcPr>
          <w:p w14:paraId="00E0B714">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敏感设施</w:t>
            </w:r>
          </w:p>
        </w:tc>
        <w:tc>
          <w:tcPr>
            <w:tcW w:w="1625" w:type="pct"/>
            <w:shd w:val="clear" w:color="auto" w:fill="D9D9D9"/>
            <w:vAlign w:val="center"/>
          </w:tcPr>
          <w:p w14:paraId="7BEFD637">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与本项目的位置关系</w:t>
            </w:r>
          </w:p>
        </w:tc>
      </w:tr>
      <w:tr w14:paraId="20231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pct"/>
            <w:vAlign w:val="center"/>
          </w:tcPr>
          <w:p w14:paraId="109B581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张滩镇</w:t>
            </w:r>
          </w:p>
        </w:tc>
        <w:tc>
          <w:tcPr>
            <w:tcW w:w="1383" w:type="pct"/>
            <w:vAlign w:val="center"/>
          </w:tcPr>
          <w:p w14:paraId="4D54599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王湾村</w:t>
            </w:r>
          </w:p>
        </w:tc>
        <w:tc>
          <w:tcPr>
            <w:tcW w:w="1383" w:type="pct"/>
            <w:vAlign w:val="center"/>
          </w:tcPr>
          <w:p w14:paraId="3B006C9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新希望幼儿园</w:t>
            </w:r>
          </w:p>
        </w:tc>
        <w:tc>
          <w:tcPr>
            <w:tcW w:w="1625" w:type="pct"/>
            <w:vAlign w:val="center"/>
          </w:tcPr>
          <w:p w14:paraId="01E9F83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国道G211</w:t>
            </w:r>
            <w:r>
              <w:rPr>
                <w:rFonts w:hint="eastAsia" w:ascii="Times New Roman" w:hAnsi="Times New Roman" w:cs="Times New Roman"/>
                <w:color w:val="auto"/>
                <w:sz w:val="21"/>
                <w:szCs w:val="21"/>
                <w:highlight w:val="none"/>
                <w:lang w:eastAsia="zh-CN"/>
              </w:rPr>
              <w:t>安康关庙至黄洋河（环城干道东段）改建工程</w:t>
            </w:r>
            <w:r>
              <w:rPr>
                <w:rFonts w:hint="default" w:ascii="Times New Roman" w:hAnsi="Times New Roman" w:eastAsia="宋体" w:cs="Times New Roman"/>
                <w:color w:val="auto"/>
                <w:sz w:val="21"/>
                <w:szCs w:val="21"/>
                <w:highlight w:val="none"/>
              </w:rPr>
              <w:t>东侧20米处</w:t>
            </w:r>
          </w:p>
        </w:tc>
      </w:tr>
      <w:tr w14:paraId="2FBC54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pct"/>
            <w:vAlign w:val="center"/>
          </w:tcPr>
          <w:p w14:paraId="0BEC167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张滩镇</w:t>
            </w:r>
          </w:p>
        </w:tc>
        <w:tc>
          <w:tcPr>
            <w:tcW w:w="1383" w:type="pct"/>
            <w:vAlign w:val="center"/>
          </w:tcPr>
          <w:p w14:paraId="625BB7E0">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奠安村</w:t>
            </w:r>
          </w:p>
        </w:tc>
        <w:tc>
          <w:tcPr>
            <w:tcW w:w="1383" w:type="pct"/>
            <w:vAlign w:val="center"/>
          </w:tcPr>
          <w:p w14:paraId="070F82E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安康市中心医院第三医院（运营中）</w:t>
            </w:r>
          </w:p>
        </w:tc>
        <w:tc>
          <w:tcPr>
            <w:tcW w:w="1625" w:type="pct"/>
            <w:vAlign w:val="center"/>
          </w:tcPr>
          <w:p w14:paraId="674E88C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环塔路及国道G211</w:t>
            </w:r>
            <w:r>
              <w:rPr>
                <w:rFonts w:hint="eastAsia" w:ascii="Times New Roman" w:hAnsi="Times New Roman" w:cs="Times New Roman"/>
                <w:color w:val="auto"/>
                <w:sz w:val="21"/>
                <w:szCs w:val="21"/>
                <w:highlight w:val="none"/>
                <w:lang w:eastAsia="zh-CN"/>
              </w:rPr>
              <w:t>安康关庙至黄洋河（环城干道东段）改建工程</w:t>
            </w:r>
            <w:r>
              <w:rPr>
                <w:rFonts w:hint="default" w:ascii="Times New Roman" w:hAnsi="Times New Roman" w:eastAsia="宋体" w:cs="Times New Roman"/>
                <w:color w:val="auto"/>
                <w:sz w:val="21"/>
                <w:szCs w:val="21"/>
                <w:highlight w:val="none"/>
              </w:rPr>
              <w:t>（北）起点北侧30米处</w:t>
            </w:r>
          </w:p>
        </w:tc>
      </w:tr>
      <w:tr w14:paraId="5FABC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pct"/>
            <w:vAlign w:val="center"/>
          </w:tcPr>
          <w:p w14:paraId="75DB3DD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张滩镇</w:t>
            </w:r>
          </w:p>
        </w:tc>
        <w:tc>
          <w:tcPr>
            <w:tcW w:w="1383" w:type="pct"/>
            <w:vAlign w:val="center"/>
          </w:tcPr>
          <w:p w14:paraId="30005A2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立石村</w:t>
            </w:r>
          </w:p>
        </w:tc>
        <w:tc>
          <w:tcPr>
            <w:tcW w:w="1383" w:type="pct"/>
            <w:vAlign w:val="center"/>
          </w:tcPr>
          <w:p w14:paraId="24D0AF4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汉滨区中医医院（在建）</w:t>
            </w:r>
          </w:p>
        </w:tc>
        <w:tc>
          <w:tcPr>
            <w:tcW w:w="1625" w:type="pct"/>
            <w:vAlign w:val="center"/>
          </w:tcPr>
          <w:p w14:paraId="4FBCEFF6">
            <w:pPr>
              <w:adjustRightInd w:val="0"/>
              <w:snapToGrid w:val="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eastAsia="zh-CN"/>
              </w:rPr>
              <w:t>城东新区张滩北片区污水干管工程</w:t>
            </w:r>
            <w:r>
              <w:rPr>
                <w:rFonts w:hint="default" w:ascii="Times New Roman" w:hAnsi="Times New Roman" w:eastAsia="宋体" w:cs="Times New Roman"/>
                <w:color w:val="auto"/>
                <w:sz w:val="21"/>
                <w:szCs w:val="21"/>
                <w:highlight w:val="none"/>
              </w:rPr>
              <w:t>南侧50米处</w:t>
            </w:r>
          </w:p>
        </w:tc>
      </w:tr>
      <w:tr w14:paraId="62BD9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pct"/>
            <w:vAlign w:val="center"/>
          </w:tcPr>
          <w:p w14:paraId="5645A06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张滩镇</w:t>
            </w:r>
          </w:p>
        </w:tc>
        <w:tc>
          <w:tcPr>
            <w:tcW w:w="1383" w:type="pct"/>
            <w:vAlign w:val="center"/>
          </w:tcPr>
          <w:p w14:paraId="6C699F6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奠安村</w:t>
            </w:r>
          </w:p>
        </w:tc>
        <w:tc>
          <w:tcPr>
            <w:tcW w:w="1383" w:type="pct"/>
            <w:vAlign w:val="center"/>
          </w:tcPr>
          <w:p w14:paraId="04218D3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奠安塔</w:t>
            </w:r>
          </w:p>
        </w:tc>
        <w:tc>
          <w:tcPr>
            <w:tcW w:w="1625" w:type="pct"/>
            <w:vAlign w:val="center"/>
          </w:tcPr>
          <w:p w14:paraId="22D8CFA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环塔路距奠安塔约110m，不在奠安塔保护及建设控制区（塔基30米内）范围内</w:t>
            </w:r>
          </w:p>
        </w:tc>
      </w:tr>
    </w:tbl>
    <w:p w14:paraId="19EDAC9D">
      <w:pPr>
        <w:rPr>
          <w:rFonts w:hint="default" w:ascii="Times New Roman" w:hAnsi="Times New Roman" w:eastAsia="宋体" w:cs="Times New Roman"/>
          <w:color w:val="auto"/>
          <w:highlight w:val="none"/>
        </w:rPr>
      </w:pPr>
    </w:p>
    <w:p w14:paraId="5579ED93">
      <w:pPr>
        <w:spacing w:before="120" w:beforeLines="50" w:after="120" w:afterLines="50" w:line="30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根据影响，对敏感设施响减缓措施如下：</w:t>
      </w:r>
    </w:p>
    <w:p w14:paraId="66B38C00">
      <w:pPr>
        <w:numPr>
          <w:ilvl w:val="0"/>
          <w:numId w:val="23"/>
        </w:numPr>
        <w:spacing w:before="120" w:beforeLines="50" w:after="120" w:afterLines="50" w:line="30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施工期间应保留学生去学校、及病人去医院的安全通道，保证校车、救护车的进出。</w:t>
      </w:r>
    </w:p>
    <w:p w14:paraId="2093E3E5">
      <w:pPr>
        <w:numPr>
          <w:ilvl w:val="0"/>
          <w:numId w:val="23"/>
        </w:numPr>
        <w:spacing w:before="120" w:beforeLines="50" w:after="120" w:afterLines="50" w:line="30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施工期间注意避开幼儿园上下学时间，或者将该段施工期放在暑假期，减少可能对孩子们安全出行的威胁。</w:t>
      </w:r>
    </w:p>
    <w:p w14:paraId="6B3CBB39">
      <w:pPr>
        <w:numPr>
          <w:ilvl w:val="0"/>
          <w:numId w:val="23"/>
        </w:numPr>
        <w:spacing w:before="120" w:beforeLines="50" w:after="120" w:afterLines="50" w:line="30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高噪声设备夜间不得运行；运输车辆通过医院、幼儿园应减速慢行，减少运输噪声和扬尘。</w:t>
      </w:r>
    </w:p>
    <w:p w14:paraId="75DCF0E0">
      <w:pPr>
        <w:numPr>
          <w:ilvl w:val="0"/>
          <w:numId w:val="23"/>
        </w:numPr>
        <w:spacing w:before="120" w:beforeLines="50" w:after="120" w:afterLines="50" w:line="30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在施工现场安置告示牌，说明工程主要内容、施工时间，敬请公众谅解由于施工带来的不便，并在告示牌上注明联系人、投诉热线等。</w:t>
      </w:r>
    </w:p>
    <w:p w14:paraId="6EDDAC7A">
      <w:pPr>
        <w:numPr>
          <w:ilvl w:val="0"/>
          <w:numId w:val="23"/>
        </w:numPr>
        <w:spacing w:before="120" w:beforeLines="50" w:after="120" w:afterLines="50" w:line="30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施工过程中，设置相应的照明设施，足够的防护栏。</w:t>
      </w:r>
    </w:p>
    <w:p w14:paraId="3497341B">
      <w:pPr>
        <w:numPr>
          <w:ilvl w:val="0"/>
          <w:numId w:val="23"/>
        </w:numPr>
        <w:spacing w:before="120" w:beforeLines="50" w:after="120" w:afterLines="50" w:line="30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应加强对管理人员、施工人员在文物保护方面的教育和意识的培养。</w:t>
      </w:r>
    </w:p>
    <w:p w14:paraId="63477AA6">
      <w:pPr>
        <w:pStyle w:val="2"/>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筛查，本项目不会对文物古迹产生重大影响，也不会将文物古迹用作商业用途。但是陕西作为国家重点工程大省，有着3000多年的悠久历史，在施工期间可能会偶然发现文物古迹。因此，除上述措施外，本报告还拟定了相关措施来支持对偶然发现文物的保护：</w:t>
      </w:r>
    </w:p>
    <w:p w14:paraId="13D95FAF">
      <w:pPr>
        <w:pStyle w:val="2"/>
        <w:numPr>
          <w:ilvl w:val="0"/>
          <w:numId w:val="24"/>
        </w:num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对工程管理人员、施工人员进行相关文物保护知识的普及和培训，</w:t>
      </w:r>
    </w:p>
    <w:p w14:paraId="08302E3F">
      <w:pPr>
        <w:pStyle w:val="2"/>
        <w:numPr>
          <w:ilvl w:val="0"/>
          <w:numId w:val="24"/>
        </w:num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在施工过程中发现有文物古迹的情况，应立即停止施工活动，进行就地保护；</w:t>
      </w:r>
    </w:p>
    <w:p w14:paraId="049D6B49">
      <w:pPr>
        <w:pStyle w:val="2"/>
        <w:numPr>
          <w:ilvl w:val="0"/>
          <w:numId w:val="24"/>
        </w:num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发现文物古迹，应及时报告当地文物保护单位（文物局）。由文化遗产专家通知相关机构有关发现的物品或场所，用栅栏隔开物品或场所所在的区域，以避免进一步干扰，由文化遗产专家对发现的物品或场所进行评价；</w:t>
      </w:r>
    </w:p>
    <w:p w14:paraId="1835D991">
      <w:pPr>
        <w:pStyle w:val="2"/>
        <w:numPr>
          <w:ilvl w:val="0"/>
          <w:numId w:val="24"/>
        </w:numPr>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确定并实施与国家法律要求一致的行动措施。</w:t>
      </w:r>
    </w:p>
    <w:p w14:paraId="2838E5AE">
      <w:pPr>
        <w:pStyle w:val="4"/>
        <w:spacing w:before="120"/>
        <w:rPr>
          <w:rFonts w:hint="default" w:ascii="Times New Roman" w:hAnsi="Times New Roman" w:eastAsia="宋体" w:cs="Times New Roman"/>
          <w:color w:val="auto"/>
          <w:highlight w:val="none"/>
        </w:rPr>
      </w:pPr>
      <w:bookmarkStart w:id="307" w:name="_Toc12328"/>
      <w:r>
        <w:rPr>
          <w:rFonts w:hint="default" w:ascii="Times New Roman" w:hAnsi="Times New Roman" w:eastAsia="宋体" w:cs="Times New Roman"/>
          <w:color w:val="auto"/>
          <w:highlight w:val="none"/>
        </w:rPr>
        <w:t>项目社会效益</w:t>
      </w:r>
      <w:bookmarkEnd w:id="303"/>
      <w:bookmarkEnd w:id="304"/>
      <w:bookmarkEnd w:id="305"/>
      <w:r>
        <w:rPr>
          <w:rFonts w:hint="default" w:ascii="Times New Roman" w:hAnsi="Times New Roman" w:eastAsia="宋体" w:cs="Times New Roman"/>
          <w:color w:val="auto"/>
          <w:highlight w:val="none"/>
        </w:rPr>
        <w:t>分析</w:t>
      </w:r>
      <w:bookmarkEnd w:id="307"/>
    </w:p>
    <w:p w14:paraId="42B904EF">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本项目通过采用绿色低碳城市建设新理念、新技术，向社会普及绿色低碳生活理念，达到低碳城市协同共创的效果，进一步提升基础设施绿色发展水平，努力打造成绿色低碳城市建设样板。</w:t>
      </w:r>
    </w:p>
    <w:p w14:paraId="512FFA4F">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通过低碳道路项目的实施，完善安康市城东新区交通路网体系，缓解中心城区拥堵状况，并利用太阳能作为路灯的能源，从而降低能源消耗及碳排放。提升城市防洪排涝能力，有利于吸引投资，发展旅游、康养等第三产业，从而促进当地的经济发展，可以提高区域内经济活力。推广节能环保汽车、新能源公共交通、高效照明产品等，进一步提升节能家电市场占有率，鼓励建立绿色批发市场、绿色商场、节能超市等绿色流通主体。</w:t>
      </w:r>
    </w:p>
    <w:p w14:paraId="1B0F2F39">
      <w:pPr>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此外，根据可研单位的估计，项目在建设期和运营期，能为当地群众提供约360个就业机会，尤其是可以促进项目区弱势群体的家庭收入。</w:t>
      </w:r>
    </w:p>
    <w:p w14:paraId="7CC8EABB">
      <w:pPr>
        <w:pStyle w:val="13"/>
        <w:spacing w:after="120"/>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szCs w:val="24"/>
          <w:highlight w:val="none"/>
        </w:rPr>
        <w:t xml:space="preserve">表 </w:t>
      </w:r>
      <w:r>
        <w:rPr>
          <w:rFonts w:hint="default" w:ascii="Times New Roman" w:hAnsi="Times New Roman" w:eastAsia="宋体" w:cs="Times New Roman"/>
          <w:bCs/>
          <w:color w:val="auto"/>
          <w:szCs w:val="24"/>
          <w:highlight w:val="none"/>
        </w:rPr>
        <w:fldChar w:fldCharType="begin"/>
      </w:r>
      <w:r>
        <w:rPr>
          <w:rFonts w:hint="default" w:ascii="Times New Roman" w:hAnsi="Times New Roman" w:eastAsia="宋体" w:cs="Times New Roman"/>
          <w:bCs/>
          <w:color w:val="auto"/>
          <w:szCs w:val="24"/>
          <w:highlight w:val="none"/>
        </w:rPr>
        <w:instrText xml:space="preserve"> STYLEREF 1 \s </w:instrText>
      </w:r>
      <w:r>
        <w:rPr>
          <w:rFonts w:hint="default" w:ascii="Times New Roman" w:hAnsi="Times New Roman" w:eastAsia="宋体" w:cs="Times New Roman"/>
          <w:bCs/>
          <w:color w:val="auto"/>
          <w:szCs w:val="24"/>
          <w:highlight w:val="none"/>
        </w:rPr>
        <w:fldChar w:fldCharType="separate"/>
      </w:r>
      <w:r>
        <w:rPr>
          <w:rFonts w:hint="default" w:ascii="Times New Roman" w:hAnsi="Times New Roman" w:eastAsia="宋体" w:cs="Times New Roman"/>
          <w:bCs/>
          <w:color w:val="auto"/>
          <w:szCs w:val="24"/>
          <w:highlight w:val="none"/>
        </w:rPr>
        <w:t>5</w:t>
      </w:r>
      <w:r>
        <w:rPr>
          <w:rFonts w:hint="default" w:ascii="Times New Roman" w:hAnsi="Times New Roman" w:eastAsia="宋体" w:cs="Times New Roman"/>
          <w:bCs/>
          <w:color w:val="auto"/>
          <w:szCs w:val="24"/>
          <w:highlight w:val="none"/>
        </w:rPr>
        <w:fldChar w:fldCharType="end"/>
      </w:r>
      <w:r>
        <w:rPr>
          <w:rFonts w:hint="default" w:ascii="Times New Roman" w:hAnsi="Times New Roman" w:eastAsia="宋体" w:cs="Times New Roman"/>
          <w:bCs/>
          <w:color w:val="auto"/>
          <w:szCs w:val="24"/>
          <w:highlight w:val="none"/>
        </w:rPr>
        <w:t>-</w:t>
      </w:r>
      <w:r>
        <w:rPr>
          <w:rFonts w:hint="default" w:ascii="Times New Roman" w:hAnsi="Times New Roman" w:eastAsia="宋体" w:cs="Times New Roman"/>
          <w:bCs/>
          <w:color w:val="auto"/>
          <w:szCs w:val="24"/>
          <w:highlight w:val="none"/>
        </w:rPr>
        <w:fldChar w:fldCharType="begin"/>
      </w:r>
      <w:r>
        <w:rPr>
          <w:rFonts w:hint="default" w:ascii="Times New Roman" w:hAnsi="Times New Roman" w:eastAsia="宋体" w:cs="Times New Roman"/>
          <w:bCs/>
          <w:color w:val="auto"/>
          <w:szCs w:val="24"/>
          <w:highlight w:val="none"/>
        </w:rPr>
        <w:instrText xml:space="preserve"> SEQ 表 \* ARABIC \s 1 </w:instrText>
      </w:r>
      <w:r>
        <w:rPr>
          <w:rFonts w:hint="default" w:ascii="Times New Roman" w:hAnsi="Times New Roman" w:eastAsia="宋体" w:cs="Times New Roman"/>
          <w:bCs/>
          <w:color w:val="auto"/>
          <w:szCs w:val="24"/>
          <w:highlight w:val="none"/>
        </w:rPr>
        <w:fldChar w:fldCharType="separate"/>
      </w:r>
      <w:r>
        <w:rPr>
          <w:rFonts w:hint="default" w:ascii="Times New Roman" w:hAnsi="Times New Roman" w:eastAsia="宋体" w:cs="Times New Roman"/>
          <w:bCs/>
          <w:color w:val="auto"/>
          <w:szCs w:val="24"/>
          <w:highlight w:val="none"/>
        </w:rPr>
        <w:t>4</w:t>
      </w:r>
      <w:r>
        <w:rPr>
          <w:rFonts w:hint="default" w:ascii="Times New Roman" w:hAnsi="Times New Roman" w:eastAsia="宋体" w:cs="Times New Roman"/>
          <w:bCs/>
          <w:color w:val="auto"/>
          <w:szCs w:val="24"/>
          <w:highlight w:val="none"/>
        </w:rPr>
        <w:fldChar w:fldCharType="end"/>
      </w:r>
      <w:bookmarkStart w:id="308" w:name="_Toc21902"/>
      <w:r>
        <w:rPr>
          <w:rFonts w:hint="default" w:ascii="Times New Roman" w:hAnsi="Times New Roman" w:eastAsia="宋体" w:cs="Times New Roman"/>
          <w:bCs/>
          <w:color w:val="auto"/>
          <w:szCs w:val="24"/>
          <w:highlight w:val="none"/>
        </w:rPr>
        <w:t xml:space="preserve"> 本项目可为当地村民提供的工作岗位</w:t>
      </w:r>
      <w:bookmarkEnd w:id="308"/>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8"/>
        <w:gridCol w:w="2520"/>
        <w:gridCol w:w="2232"/>
        <w:gridCol w:w="2232"/>
      </w:tblGrid>
      <w:tr w14:paraId="4F92C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448" w:type="dxa"/>
            <w:shd w:val="clear" w:color="auto" w:fill="D7D7D7" w:themeFill="background1" w:themeFillShade="D8"/>
          </w:tcPr>
          <w:p w14:paraId="1D6EE7D4">
            <w:pPr>
              <w:pStyle w:val="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阶段</w:t>
            </w:r>
          </w:p>
        </w:tc>
        <w:tc>
          <w:tcPr>
            <w:tcW w:w="2520" w:type="dxa"/>
            <w:shd w:val="clear" w:color="auto" w:fill="D7D7D7" w:themeFill="background1" w:themeFillShade="D8"/>
          </w:tcPr>
          <w:p w14:paraId="388115FB">
            <w:pPr>
              <w:pStyle w:val="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岗位</w:t>
            </w:r>
          </w:p>
        </w:tc>
        <w:tc>
          <w:tcPr>
            <w:tcW w:w="2232" w:type="dxa"/>
            <w:shd w:val="clear" w:color="auto" w:fill="D7D7D7" w:themeFill="background1" w:themeFillShade="D8"/>
          </w:tcPr>
          <w:p w14:paraId="0F354341">
            <w:pPr>
              <w:pStyle w:val="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预估的用工人数</w:t>
            </w:r>
          </w:p>
        </w:tc>
        <w:tc>
          <w:tcPr>
            <w:tcW w:w="2232" w:type="dxa"/>
            <w:shd w:val="clear" w:color="auto" w:fill="D7D7D7" w:themeFill="background1" w:themeFillShade="D8"/>
          </w:tcPr>
          <w:p w14:paraId="4F7EF7B5">
            <w:pPr>
              <w:pStyle w:val="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预估的酬劳</w:t>
            </w:r>
          </w:p>
        </w:tc>
      </w:tr>
      <w:tr w14:paraId="04A02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8" w:type="dxa"/>
            <w:vMerge w:val="restart"/>
          </w:tcPr>
          <w:p w14:paraId="1CD4F671">
            <w:pPr>
              <w:pStyle w:val="2"/>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建设期</w:t>
            </w:r>
          </w:p>
        </w:tc>
        <w:tc>
          <w:tcPr>
            <w:tcW w:w="2520" w:type="dxa"/>
          </w:tcPr>
          <w:p w14:paraId="0CB0DDBA">
            <w:pPr>
              <w:pStyle w:val="2"/>
              <w:spacing w:after="0"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技术工，如钢筋工、架子工、卡车司机、文员等</w:t>
            </w:r>
          </w:p>
        </w:tc>
        <w:tc>
          <w:tcPr>
            <w:tcW w:w="2232" w:type="dxa"/>
          </w:tcPr>
          <w:p w14:paraId="15F4B189">
            <w:pPr>
              <w:pStyle w:val="2"/>
              <w:spacing w:after="0"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30人</w:t>
            </w:r>
          </w:p>
        </w:tc>
        <w:tc>
          <w:tcPr>
            <w:tcW w:w="2232" w:type="dxa"/>
          </w:tcPr>
          <w:p w14:paraId="263C31A0">
            <w:pPr>
              <w:pStyle w:val="2"/>
              <w:spacing w:after="0"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300~400元/天</w:t>
            </w:r>
          </w:p>
        </w:tc>
      </w:tr>
      <w:tr w14:paraId="2D510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8" w:type="dxa"/>
            <w:vMerge w:val="continue"/>
          </w:tcPr>
          <w:p w14:paraId="390CBF22">
            <w:pPr>
              <w:pStyle w:val="2"/>
              <w:spacing w:after="0" w:line="240" w:lineRule="auto"/>
              <w:jc w:val="center"/>
              <w:rPr>
                <w:rFonts w:hint="default" w:ascii="Times New Roman" w:hAnsi="Times New Roman" w:eastAsia="宋体" w:cs="Times New Roman"/>
                <w:color w:val="auto"/>
                <w:sz w:val="21"/>
                <w:szCs w:val="21"/>
                <w:highlight w:val="none"/>
              </w:rPr>
            </w:pPr>
          </w:p>
        </w:tc>
        <w:tc>
          <w:tcPr>
            <w:tcW w:w="2520" w:type="dxa"/>
          </w:tcPr>
          <w:p w14:paraId="58E5A57E">
            <w:pPr>
              <w:pStyle w:val="2"/>
              <w:spacing w:after="0"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非技术工，如物料管理员、搬运工、杂工、厨师、保洁等</w:t>
            </w:r>
          </w:p>
        </w:tc>
        <w:tc>
          <w:tcPr>
            <w:tcW w:w="2232" w:type="dxa"/>
          </w:tcPr>
          <w:p w14:paraId="186C4AF9">
            <w:pPr>
              <w:pStyle w:val="2"/>
              <w:spacing w:after="0"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170人</w:t>
            </w:r>
          </w:p>
        </w:tc>
        <w:tc>
          <w:tcPr>
            <w:tcW w:w="2232" w:type="dxa"/>
          </w:tcPr>
          <w:p w14:paraId="71F4BDB2">
            <w:pPr>
              <w:pStyle w:val="2"/>
              <w:spacing w:after="0"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150~200元/天</w:t>
            </w:r>
          </w:p>
        </w:tc>
      </w:tr>
      <w:tr w14:paraId="6E4AC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8" w:type="dxa"/>
          </w:tcPr>
          <w:p w14:paraId="1995B1FF">
            <w:pPr>
              <w:pStyle w:val="2"/>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运营期</w:t>
            </w:r>
          </w:p>
        </w:tc>
        <w:tc>
          <w:tcPr>
            <w:tcW w:w="2520" w:type="dxa"/>
          </w:tcPr>
          <w:p w14:paraId="653BFDE0">
            <w:pPr>
              <w:pStyle w:val="2"/>
              <w:spacing w:after="0"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保洁、绿化工、文员、保安、维护工、杂工等</w:t>
            </w:r>
          </w:p>
        </w:tc>
        <w:tc>
          <w:tcPr>
            <w:tcW w:w="2232" w:type="dxa"/>
          </w:tcPr>
          <w:p w14:paraId="60CF55F4">
            <w:pPr>
              <w:pStyle w:val="2"/>
              <w:spacing w:after="0"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160人</w:t>
            </w:r>
          </w:p>
        </w:tc>
        <w:tc>
          <w:tcPr>
            <w:tcW w:w="2232" w:type="dxa"/>
          </w:tcPr>
          <w:p w14:paraId="490AF8FD">
            <w:pPr>
              <w:pStyle w:val="2"/>
              <w:spacing w:after="0"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2000元/月~3000元/月</w:t>
            </w:r>
          </w:p>
        </w:tc>
      </w:tr>
      <w:tr w14:paraId="7B6E4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8" w:type="dxa"/>
            <w:gridSpan w:val="2"/>
          </w:tcPr>
          <w:p w14:paraId="60AE20B4">
            <w:pPr>
              <w:pStyle w:val="2"/>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2232" w:type="dxa"/>
          </w:tcPr>
          <w:p w14:paraId="19A7E891">
            <w:pPr>
              <w:pStyle w:val="2"/>
              <w:spacing w:after="0"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360人</w:t>
            </w:r>
          </w:p>
        </w:tc>
        <w:tc>
          <w:tcPr>
            <w:tcW w:w="2232" w:type="dxa"/>
          </w:tcPr>
          <w:p w14:paraId="1DE8DA49">
            <w:pPr>
              <w:pStyle w:val="2"/>
              <w:spacing w:after="0" w:line="240" w:lineRule="auto"/>
              <w:rPr>
                <w:rFonts w:hint="default" w:ascii="Times New Roman" w:hAnsi="Times New Roman" w:eastAsia="宋体" w:cs="Times New Roman"/>
                <w:color w:val="auto"/>
                <w:sz w:val="21"/>
                <w:szCs w:val="21"/>
                <w:highlight w:val="none"/>
              </w:rPr>
            </w:pPr>
          </w:p>
        </w:tc>
      </w:tr>
    </w:tbl>
    <w:p w14:paraId="393B10D5">
      <w:pPr>
        <w:pStyle w:val="2"/>
        <w:rPr>
          <w:rFonts w:hint="default" w:ascii="Times New Roman" w:hAnsi="Times New Roman" w:eastAsia="宋体" w:cs="Times New Roman"/>
          <w:color w:val="auto"/>
          <w:highlight w:val="none"/>
        </w:rPr>
      </w:pPr>
    </w:p>
    <w:p w14:paraId="1B16073A">
      <w:pPr>
        <w:pStyle w:val="4"/>
        <w:spacing w:before="120"/>
        <w:rPr>
          <w:rFonts w:hint="default" w:ascii="Times New Roman" w:hAnsi="Times New Roman" w:eastAsia="宋体" w:cs="Times New Roman"/>
          <w:color w:val="auto"/>
          <w:highlight w:val="none"/>
        </w:rPr>
      </w:pPr>
      <w:bookmarkStart w:id="309" w:name="_Toc152083694"/>
      <w:bookmarkEnd w:id="309"/>
      <w:bookmarkStart w:id="310" w:name="_Toc152083534"/>
      <w:bookmarkEnd w:id="310"/>
      <w:bookmarkStart w:id="311" w:name="_Toc152083769"/>
      <w:bookmarkEnd w:id="311"/>
      <w:bookmarkStart w:id="312" w:name="_Toc29440"/>
      <w:r>
        <w:rPr>
          <w:rFonts w:hint="default" w:ascii="Times New Roman" w:hAnsi="Times New Roman" w:eastAsia="宋体" w:cs="Times New Roman"/>
          <w:color w:val="auto"/>
          <w:highlight w:val="none"/>
        </w:rPr>
        <w:t>社会影响和风险及缓解措施汇总</w:t>
      </w:r>
      <w:bookmarkEnd w:id="312"/>
    </w:p>
    <w:p w14:paraId="69585C2E">
      <w:pPr>
        <w:rPr>
          <w:rFonts w:hint="default" w:ascii="Times New Roman" w:hAnsi="Times New Roman" w:eastAsia="宋体" w:cs="Times New Roman"/>
          <w:color w:val="auto"/>
          <w:highlight w:val="none"/>
        </w:rPr>
      </w:pPr>
    </w:p>
    <w:p w14:paraId="49E5D601">
      <w:pPr>
        <w:pStyle w:val="2"/>
        <w:spacing w:line="30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表5-5汇总了通过社会影响评价发现的主要问题及拟定的缓解影响和风险建议。对于提出的主要缓解措施，如完善和实施劳工管理程序、工作场所职业健康风险管理等已纳入本项目的环境和社会管理计划（ESMP）。</w:t>
      </w:r>
    </w:p>
    <w:p w14:paraId="60AD283C">
      <w:pPr>
        <w:pStyle w:val="2"/>
        <w:spacing w:line="30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后续，项目办、执行机构及拟聘的社会外部监测单位将持续跟踪监测和评估相关措施实施的效果，并定期向亚投行报告。</w:t>
      </w:r>
    </w:p>
    <w:p w14:paraId="6BDB4610">
      <w:pPr>
        <w:pStyle w:val="13"/>
        <w:spacing w:after="120"/>
        <w:rPr>
          <w:rFonts w:hint="default" w:ascii="Times New Roman" w:hAnsi="Times New Roman" w:eastAsia="宋体" w:cs="Times New Roman"/>
          <w:bCs/>
          <w:color w:val="auto"/>
          <w:szCs w:val="24"/>
          <w:highlight w:val="none"/>
        </w:rPr>
      </w:pPr>
    </w:p>
    <w:p w14:paraId="6D4695FE">
      <w:pPr>
        <w:rPr>
          <w:rFonts w:hint="default" w:ascii="Times New Roman" w:hAnsi="Times New Roman" w:eastAsia="宋体" w:cs="Times New Roman"/>
          <w:color w:val="auto"/>
          <w:highlight w:val="none"/>
        </w:rPr>
        <w:sectPr>
          <w:pgSz w:w="11906" w:h="16838"/>
          <w:pgMar w:top="1440" w:right="1800" w:bottom="1440" w:left="1800" w:header="851" w:footer="992" w:gutter="0"/>
          <w:cols w:space="720" w:num="1"/>
          <w:docGrid w:linePitch="326" w:charSpace="0"/>
        </w:sectPr>
      </w:pPr>
    </w:p>
    <w:p w14:paraId="09E2262A">
      <w:pPr>
        <w:pStyle w:val="13"/>
        <w:spacing w:after="120"/>
        <w:rPr>
          <w:rFonts w:hint="default" w:ascii="Times New Roman" w:hAnsi="Times New Roman" w:eastAsia="宋体" w:cs="Times New Roman"/>
          <w:b w:val="0"/>
          <w:bCs/>
          <w:color w:val="auto"/>
          <w:highlight w:val="none"/>
        </w:rPr>
      </w:pPr>
      <w:r>
        <w:rPr>
          <w:rFonts w:hint="default" w:ascii="Times New Roman" w:hAnsi="Times New Roman" w:eastAsia="宋体" w:cs="Times New Roman"/>
          <w:bCs/>
          <w:color w:val="auto"/>
          <w:szCs w:val="24"/>
          <w:highlight w:val="none"/>
        </w:rPr>
        <w:t xml:space="preserve">表 </w:t>
      </w:r>
      <w:r>
        <w:rPr>
          <w:rFonts w:hint="default" w:ascii="Times New Roman" w:hAnsi="Times New Roman" w:eastAsia="宋体" w:cs="Times New Roman"/>
          <w:b w:val="0"/>
          <w:bCs/>
          <w:color w:val="auto"/>
          <w:highlight w:val="none"/>
        </w:rPr>
        <w:fldChar w:fldCharType="begin"/>
      </w:r>
      <w:r>
        <w:rPr>
          <w:rFonts w:hint="default" w:ascii="Times New Roman" w:hAnsi="Times New Roman" w:eastAsia="宋体" w:cs="Times New Roman"/>
          <w:bCs/>
          <w:color w:val="auto"/>
          <w:szCs w:val="24"/>
          <w:highlight w:val="none"/>
        </w:rPr>
        <w:instrText xml:space="preserve"> STYLEREF 1 \s </w:instrText>
      </w:r>
      <w:r>
        <w:rPr>
          <w:rFonts w:hint="default" w:ascii="Times New Roman" w:hAnsi="Times New Roman" w:eastAsia="宋体" w:cs="Times New Roman"/>
          <w:b w:val="0"/>
          <w:bCs/>
          <w:color w:val="auto"/>
          <w:highlight w:val="none"/>
        </w:rPr>
        <w:fldChar w:fldCharType="separate"/>
      </w:r>
      <w:r>
        <w:rPr>
          <w:rFonts w:hint="default" w:ascii="Times New Roman" w:hAnsi="Times New Roman" w:eastAsia="宋体" w:cs="Times New Roman"/>
          <w:bCs/>
          <w:color w:val="auto"/>
          <w:szCs w:val="24"/>
          <w:highlight w:val="none"/>
        </w:rPr>
        <w:t>5</w:t>
      </w:r>
      <w:r>
        <w:rPr>
          <w:rFonts w:hint="default" w:ascii="Times New Roman" w:hAnsi="Times New Roman" w:eastAsia="宋体" w:cs="Times New Roman"/>
          <w:b w:val="0"/>
          <w:bCs/>
          <w:color w:val="auto"/>
          <w:highlight w:val="none"/>
        </w:rPr>
        <w:fldChar w:fldCharType="end"/>
      </w:r>
      <w:r>
        <w:rPr>
          <w:rFonts w:hint="default" w:ascii="Times New Roman" w:hAnsi="Times New Roman" w:eastAsia="宋体" w:cs="Times New Roman"/>
          <w:bCs/>
          <w:color w:val="auto"/>
          <w:szCs w:val="24"/>
          <w:highlight w:val="none"/>
        </w:rPr>
        <w:t>-</w:t>
      </w:r>
      <w:r>
        <w:rPr>
          <w:rFonts w:hint="default" w:ascii="Times New Roman" w:hAnsi="Times New Roman" w:eastAsia="宋体" w:cs="Times New Roman"/>
          <w:b w:val="0"/>
          <w:bCs/>
          <w:color w:val="auto"/>
          <w:highlight w:val="none"/>
        </w:rPr>
        <w:fldChar w:fldCharType="begin"/>
      </w:r>
      <w:r>
        <w:rPr>
          <w:rFonts w:hint="default" w:ascii="Times New Roman" w:hAnsi="Times New Roman" w:eastAsia="宋体" w:cs="Times New Roman"/>
          <w:bCs/>
          <w:color w:val="auto"/>
          <w:szCs w:val="24"/>
          <w:highlight w:val="none"/>
        </w:rPr>
        <w:instrText xml:space="preserve"> SEQ 表 \* ARABIC \s 1 </w:instrText>
      </w:r>
      <w:r>
        <w:rPr>
          <w:rFonts w:hint="default" w:ascii="Times New Roman" w:hAnsi="Times New Roman" w:eastAsia="宋体" w:cs="Times New Roman"/>
          <w:b w:val="0"/>
          <w:bCs/>
          <w:color w:val="auto"/>
          <w:highlight w:val="none"/>
        </w:rPr>
        <w:fldChar w:fldCharType="separate"/>
      </w:r>
      <w:r>
        <w:rPr>
          <w:rFonts w:hint="default" w:ascii="Times New Roman" w:hAnsi="Times New Roman" w:eastAsia="宋体" w:cs="Times New Roman"/>
          <w:bCs/>
          <w:color w:val="auto"/>
          <w:szCs w:val="24"/>
          <w:highlight w:val="none"/>
        </w:rPr>
        <w:t>5</w:t>
      </w:r>
      <w:r>
        <w:rPr>
          <w:rFonts w:hint="default" w:ascii="Times New Roman" w:hAnsi="Times New Roman" w:eastAsia="宋体" w:cs="Times New Roman"/>
          <w:b w:val="0"/>
          <w:bCs/>
          <w:color w:val="auto"/>
          <w:highlight w:val="none"/>
        </w:rPr>
        <w:fldChar w:fldCharType="end"/>
      </w:r>
      <w:bookmarkStart w:id="313" w:name="_Toc23872"/>
      <w:r>
        <w:rPr>
          <w:rFonts w:hint="default" w:ascii="Times New Roman" w:hAnsi="Times New Roman" w:eastAsia="宋体" w:cs="Times New Roman"/>
          <w:bCs/>
          <w:color w:val="auto"/>
          <w:szCs w:val="24"/>
          <w:highlight w:val="none"/>
        </w:rPr>
        <w:t xml:space="preserve"> 社会影响和风险及缓解措施汇总表</w:t>
      </w:r>
      <w:bookmarkEnd w:id="313"/>
    </w:p>
    <w:tbl>
      <w:tblPr>
        <w:tblStyle w:val="43"/>
        <w:tblW w:w="5000" w:type="pct"/>
        <w:tblInd w:w="0" w:type="dxa"/>
        <w:tblLayout w:type="fixed"/>
        <w:tblCellMar>
          <w:top w:w="0" w:type="dxa"/>
          <w:left w:w="108" w:type="dxa"/>
          <w:bottom w:w="0" w:type="dxa"/>
          <w:right w:w="108" w:type="dxa"/>
        </w:tblCellMar>
      </w:tblPr>
      <w:tblGrid>
        <w:gridCol w:w="800"/>
        <w:gridCol w:w="1066"/>
        <w:gridCol w:w="918"/>
        <w:gridCol w:w="3694"/>
        <w:gridCol w:w="6452"/>
        <w:gridCol w:w="1244"/>
      </w:tblGrid>
      <w:tr w14:paraId="10F38EFF">
        <w:tblPrEx>
          <w:tblCellMar>
            <w:top w:w="0" w:type="dxa"/>
            <w:left w:w="108" w:type="dxa"/>
            <w:bottom w:w="0" w:type="dxa"/>
            <w:right w:w="108" w:type="dxa"/>
          </w:tblCellMar>
        </w:tblPrEx>
        <w:trPr>
          <w:trHeight w:val="20" w:hRule="atLeast"/>
          <w:tblHeader/>
        </w:trPr>
        <w:tc>
          <w:tcPr>
            <w:tcW w:w="282" w:type="pct"/>
            <w:tcBorders>
              <w:top w:val="single" w:color="000000" w:sz="8" w:space="0"/>
              <w:left w:val="single" w:color="000000" w:sz="8" w:space="0"/>
              <w:bottom w:val="single" w:color="000000" w:sz="8" w:space="0"/>
              <w:right w:val="single" w:color="000000" w:sz="8" w:space="0"/>
            </w:tcBorders>
            <w:shd w:val="clear" w:color="auto" w:fill="F1F1F1"/>
            <w:vAlign w:val="center"/>
          </w:tcPr>
          <w:p w14:paraId="723A1ADC">
            <w:pPr>
              <w:jc w:val="center"/>
              <w:textAlignment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lang w:bidi="ar"/>
              </w:rPr>
              <w:t>相关的环境社会标准</w:t>
            </w:r>
          </w:p>
        </w:tc>
        <w:tc>
          <w:tcPr>
            <w:tcW w:w="376" w:type="pct"/>
            <w:tcBorders>
              <w:top w:val="single" w:color="000000" w:sz="8" w:space="0"/>
              <w:left w:val="single" w:color="000000" w:sz="8" w:space="0"/>
              <w:bottom w:val="single" w:color="000000" w:sz="8" w:space="0"/>
              <w:right w:val="single" w:color="000000" w:sz="8" w:space="0"/>
            </w:tcBorders>
            <w:shd w:val="clear" w:color="auto" w:fill="F1F1F1"/>
            <w:vAlign w:val="center"/>
          </w:tcPr>
          <w:p w14:paraId="3074D3FE">
            <w:pPr>
              <w:jc w:val="center"/>
              <w:textAlignment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lang w:bidi="ar"/>
              </w:rPr>
              <w:t>关注点</w:t>
            </w:r>
          </w:p>
        </w:tc>
        <w:tc>
          <w:tcPr>
            <w:tcW w:w="324" w:type="pct"/>
            <w:tcBorders>
              <w:top w:val="single" w:color="000000" w:sz="8" w:space="0"/>
              <w:left w:val="single" w:color="000000" w:sz="8" w:space="0"/>
              <w:bottom w:val="single" w:color="000000" w:sz="8" w:space="0"/>
              <w:right w:val="single" w:color="000000" w:sz="8" w:space="0"/>
            </w:tcBorders>
            <w:shd w:val="clear" w:color="auto" w:fill="F1F1F1"/>
            <w:vAlign w:val="center"/>
          </w:tcPr>
          <w:p w14:paraId="141DCF21">
            <w:pPr>
              <w:jc w:val="center"/>
              <w:textAlignment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lang w:bidi="ar"/>
              </w:rPr>
              <w:t>阶段</w:t>
            </w:r>
          </w:p>
        </w:tc>
        <w:tc>
          <w:tcPr>
            <w:tcW w:w="1303" w:type="pct"/>
            <w:tcBorders>
              <w:top w:val="single" w:color="000000" w:sz="8" w:space="0"/>
              <w:left w:val="single" w:color="000000" w:sz="8" w:space="0"/>
              <w:bottom w:val="single" w:color="000000" w:sz="8" w:space="0"/>
              <w:right w:val="single" w:color="000000" w:sz="8" w:space="0"/>
            </w:tcBorders>
            <w:shd w:val="clear" w:color="auto" w:fill="F1F1F1"/>
            <w:vAlign w:val="center"/>
          </w:tcPr>
          <w:p w14:paraId="1D6365EB">
            <w:pPr>
              <w:jc w:val="center"/>
              <w:textAlignment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lang w:bidi="ar"/>
              </w:rPr>
              <w:t>可能存在的社会影响和风险</w:t>
            </w:r>
          </w:p>
        </w:tc>
        <w:tc>
          <w:tcPr>
            <w:tcW w:w="2276" w:type="pct"/>
            <w:tcBorders>
              <w:top w:val="single" w:color="000000" w:sz="8" w:space="0"/>
              <w:left w:val="single" w:color="000000" w:sz="8" w:space="0"/>
              <w:bottom w:val="single" w:color="000000" w:sz="8" w:space="0"/>
              <w:right w:val="single" w:color="000000" w:sz="8" w:space="0"/>
            </w:tcBorders>
            <w:shd w:val="clear" w:color="auto" w:fill="F1F1F1"/>
            <w:vAlign w:val="center"/>
          </w:tcPr>
          <w:p w14:paraId="6585A149">
            <w:pPr>
              <w:jc w:val="center"/>
              <w:textAlignment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lang w:bidi="ar"/>
              </w:rPr>
              <w:t>缓解措施</w:t>
            </w:r>
          </w:p>
        </w:tc>
        <w:tc>
          <w:tcPr>
            <w:tcW w:w="439" w:type="pct"/>
            <w:tcBorders>
              <w:top w:val="single" w:color="000000" w:sz="8" w:space="0"/>
              <w:left w:val="single" w:color="000000" w:sz="8" w:space="0"/>
              <w:bottom w:val="single" w:color="000000" w:sz="8" w:space="0"/>
              <w:right w:val="single" w:color="000000" w:sz="8" w:space="0"/>
            </w:tcBorders>
            <w:shd w:val="clear" w:color="auto" w:fill="F1F1F1"/>
          </w:tcPr>
          <w:p w14:paraId="15807AF6">
            <w:pPr>
              <w:jc w:val="center"/>
              <w:textAlignment w:val="top"/>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lang w:bidi="ar"/>
              </w:rPr>
              <w:t>责任主体</w:t>
            </w:r>
          </w:p>
        </w:tc>
      </w:tr>
      <w:tr w14:paraId="69B0402A">
        <w:tblPrEx>
          <w:tblCellMar>
            <w:top w:w="0" w:type="dxa"/>
            <w:left w:w="108" w:type="dxa"/>
            <w:bottom w:w="0" w:type="dxa"/>
            <w:right w:w="108" w:type="dxa"/>
          </w:tblCellMar>
        </w:tblPrEx>
        <w:trPr>
          <w:trHeight w:val="20" w:hRule="atLeast"/>
        </w:trPr>
        <w:tc>
          <w:tcPr>
            <w:tcW w:w="28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54DA010">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ESS1</w:t>
            </w:r>
          </w:p>
        </w:tc>
        <w:tc>
          <w:tcPr>
            <w:tcW w:w="37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F7BB044">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女性工人雇佣条款</w:t>
            </w:r>
          </w:p>
        </w:tc>
        <w:tc>
          <w:tcPr>
            <w:tcW w:w="32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522AD3C">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建设期</w:t>
            </w:r>
          </w:p>
        </w:tc>
        <w:tc>
          <w:tcPr>
            <w:tcW w:w="130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5C873F6">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在项目受益村镇，按天结算的临时工（主要是小工等非技术体力劳动工作），女性和男性酬劳相差约50元/天。</w:t>
            </w:r>
          </w:p>
        </w:tc>
        <w:tc>
          <w:tcPr>
            <w:tcW w:w="22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E991847">
            <w:pPr>
              <w:numPr>
                <w:ilvl w:val="0"/>
                <w:numId w:val="25"/>
              </w:num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在施工合同中，明确男女同工同酬条款及未履行该条款的罚则。</w:t>
            </w:r>
          </w:p>
          <w:p w14:paraId="480EBC2E">
            <w:pPr>
              <w:numPr>
                <w:ilvl w:val="0"/>
                <w:numId w:val="25"/>
              </w:num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项目执行机构单位在建设期进行监督和跟踪。</w:t>
            </w:r>
          </w:p>
        </w:tc>
        <w:tc>
          <w:tcPr>
            <w:tcW w:w="43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82BAFE8">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项目执行机构</w:t>
            </w:r>
          </w:p>
        </w:tc>
      </w:tr>
      <w:tr w14:paraId="1F297636">
        <w:tblPrEx>
          <w:tblCellMar>
            <w:top w:w="0" w:type="dxa"/>
            <w:left w:w="108" w:type="dxa"/>
            <w:bottom w:w="0" w:type="dxa"/>
            <w:right w:w="108" w:type="dxa"/>
          </w:tblCellMar>
        </w:tblPrEx>
        <w:trPr>
          <w:trHeight w:val="20" w:hRule="atLeast"/>
        </w:trPr>
        <w:tc>
          <w:tcPr>
            <w:tcW w:w="28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9015B99">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ESS1</w:t>
            </w:r>
          </w:p>
        </w:tc>
        <w:tc>
          <w:tcPr>
            <w:tcW w:w="37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B7D14DC">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女性参与度</w:t>
            </w:r>
          </w:p>
        </w:tc>
        <w:tc>
          <w:tcPr>
            <w:tcW w:w="32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EFB5EE1">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建设期</w:t>
            </w:r>
          </w:p>
        </w:tc>
        <w:tc>
          <w:tcPr>
            <w:tcW w:w="130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81E6EB4">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受访女性参与公共事务和协商活动的人数与男性相比更少。</w:t>
            </w:r>
          </w:p>
        </w:tc>
        <w:tc>
          <w:tcPr>
            <w:tcW w:w="22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91EB34F">
            <w:pPr>
              <w:numPr>
                <w:ilvl w:val="0"/>
                <w:numId w:val="25"/>
              </w:num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加强女性公众咨询和协商活动的参与率。</w:t>
            </w:r>
          </w:p>
          <w:p w14:paraId="4904F136">
            <w:pPr>
              <w:numPr>
                <w:ilvl w:val="0"/>
                <w:numId w:val="25"/>
              </w:num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优先为女性提供技能培训的机会。</w:t>
            </w:r>
          </w:p>
          <w:p w14:paraId="32868B2C">
            <w:pPr>
              <w:numPr>
                <w:ilvl w:val="0"/>
                <w:numId w:val="25"/>
              </w:num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优先为女性提供合适的就业机会，并确保同工同酬。</w:t>
            </w:r>
          </w:p>
        </w:tc>
        <w:tc>
          <w:tcPr>
            <w:tcW w:w="43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A1ABFFA">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项目执行机构、承包商</w:t>
            </w:r>
          </w:p>
        </w:tc>
      </w:tr>
      <w:tr w14:paraId="69896E42">
        <w:tblPrEx>
          <w:tblCellMar>
            <w:top w:w="0" w:type="dxa"/>
            <w:left w:w="108" w:type="dxa"/>
            <w:bottom w:w="0" w:type="dxa"/>
            <w:right w:w="108" w:type="dxa"/>
          </w:tblCellMar>
        </w:tblPrEx>
        <w:trPr>
          <w:trHeight w:val="20" w:hRule="atLeast"/>
        </w:trPr>
        <w:tc>
          <w:tcPr>
            <w:tcW w:w="28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CC15862">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ESS1</w:t>
            </w:r>
          </w:p>
        </w:tc>
        <w:tc>
          <w:tcPr>
            <w:tcW w:w="37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53CA014">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承包商工人健康与安全</w:t>
            </w:r>
          </w:p>
        </w:tc>
        <w:tc>
          <w:tcPr>
            <w:tcW w:w="32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C078655">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建设期</w:t>
            </w:r>
          </w:p>
        </w:tc>
        <w:tc>
          <w:tcPr>
            <w:tcW w:w="130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9E5A5F7">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机械/设备操作事故风险、运输车辆的道路安全风险、室内装修时粉尘、异味等风险、施工场地上的意外伤害风险、传染病感染等</w:t>
            </w:r>
          </w:p>
        </w:tc>
        <w:tc>
          <w:tcPr>
            <w:tcW w:w="22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9938068">
            <w:pPr>
              <w:numPr>
                <w:ilvl w:val="0"/>
                <w:numId w:val="25"/>
              </w:num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加强运输车辆司机的道路交通安全培训和管理，提高安全意识，以避免和减少交通事故的发生。</w:t>
            </w:r>
          </w:p>
          <w:p w14:paraId="20A5418D">
            <w:pPr>
              <w:numPr>
                <w:ilvl w:val="0"/>
                <w:numId w:val="25"/>
              </w:num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车辆运输应该根据当地的实际情况并征求居民的建议进行合理安排，运输时间需避开交通高峰期。</w:t>
            </w:r>
          </w:p>
          <w:p w14:paraId="13A33C13">
            <w:pPr>
              <w:numPr>
                <w:ilvl w:val="0"/>
                <w:numId w:val="25"/>
              </w:num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加强对施工人员安全规范施工的培训和管理。</w:t>
            </w:r>
          </w:p>
          <w:p w14:paraId="6E9CC29A">
            <w:pPr>
              <w:numPr>
                <w:ilvl w:val="0"/>
                <w:numId w:val="25"/>
              </w:num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应免费为施工工人配备足够的劳保及安全防护用品，如安全帽、安全绳、防滑鞋、手套、防尘口罩等。</w:t>
            </w:r>
          </w:p>
          <w:p w14:paraId="27E0FD8A">
            <w:pPr>
              <w:numPr>
                <w:ilvl w:val="0"/>
                <w:numId w:val="25"/>
              </w:numPr>
              <w:textAlignment w:val="center"/>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 w:val="22"/>
                <w:szCs w:val="22"/>
                <w:highlight w:val="none"/>
                <w:lang w:bidi="ar"/>
              </w:rPr>
              <w:t>制定完整的应急预案，责任落实到人。</w:t>
            </w:r>
          </w:p>
          <w:p w14:paraId="4E552558">
            <w:pPr>
              <w:numPr>
                <w:ilvl w:val="0"/>
                <w:numId w:val="25"/>
              </w:numPr>
              <w:textAlignment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对于传染病防控，应在区卫健委的指导下，落实相关措施，如场地灭鼠等。同时，组织工地相关人员及施工工人学习传染病防控知识和处理流程，并向工人分发传染病防控信息册。</w:t>
            </w:r>
          </w:p>
          <w:p w14:paraId="65F98C03">
            <w:pPr>
              <w:numPr>
                <w:ilvl w:val="0"/>
                <w:numId w:val="25"/>
              </w:num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对劳动者管理绩效监测和评估，并对劳动者管理程序进行持续改进。</w:t>
            </w:r>
          </w:p>
          <w:p w14:paraId="49576055">
            <w:pPr>
              <w:numPr>
                <w:ilvl w:val="0"/>
                <w:numId w:val="25"/>
              </w:num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建立、采用有书面记录的申诉处理机制(GRM)，并将处理结果及时反馈给申诉人。</w:t>
            </w:r>
          </w:p>
        </w:tc>
        <w:tc>
          <w:tcPr>
            <w:tcW w:w="43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B6E1DE2">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承包商。项目执行机构负责监督和核查。</w:t>
            </w:r>
          </w:p>
        </w:tc>
      </w:tr>
      <w:tr w14:paraId="6DD2F572">
        <w:tblPrEx>
          <w:tblCellMar>
            <w:top w:w="0" w:type="dxa"/>
            <w:left w:w="108" w:type="dxa"/>
            <w:bottom w:w="0" w:type="dxa"/>
            <w:right w:w="108" w:type="dxa"/>
          </w:tblCellMar>
        </w:tblPrEx>
        <w:trPr>
          <w:trHeight w:val="20" w:hRule="atLeast"/>
        </w:trPr>
        <w:tc>
          <w:tcPr>
            <w:tcW w:w="282"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9AB7BB4">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ESS1</w:t>
            </w:r>
          </w:p>
        </w:tc>
        <w:tc>
          <w:tcPr>
            <w:tcW w:w="376"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50529F">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工人雇佣条款及工作条件</w:t>
            </w:r>
          </w:p>
        </w:tc>
        <w:tc>
          <w:tcPr>
            <w:tcW w:w="32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A6168BE">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建设期</w:t>
            </w:r>
          </w:p>
        </w:tc>
        <w:tc>
          <w:tcPr>
            <w:tcW w:w="130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51E4DFC">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工人劳动合同管理可能存在不完善的情况，如未与临时工签订劳务协议，劳动合同中必要信息缺失等。</w:t>
            </w:r>
          </w:p>
        </w:tc>
        <w:tc>
          <w:tcPr>
            <w:tcW w:w="227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8572D70">
            <w:pPr>
              <w:numPr>
                <w:ilvl w:val="0"/>
                <w:numId w:val="25"/>
              </w:numPr>
              <w:jc w:val="both"/>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在招标采购文件中落实承包商和供应商的劳动者管理要求，并纳入合同条款；在合同中还应明确相应的不合规补救措施，建立用于管理和监测第三方绩效的程序；对于临时工，还应确保签订劳务合同/协议，及第三方公司为工人购买意外险；</w:t>
            </w:r>
          </w:p>
        </w:tc>
        <w:tc>
          <w:tcPr>
            <w:tcW w:w="43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8984FF3">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承包商。项目执行机构负责监督和核查。</w:t>
            </w:r>
          </w:p>
        </w:tc>
      </w:tr>
      <w:tr w14:paraId="4B51A1E6">
        <w:tblPrEx>
          <w:tblCellMar>
            <w:top w:w="0" w:type="dxa"/>
            <w:left w:w="108" w:type="dxa"/>
            <w:bottom w:w="0" w:type="dxa"/>
            <w:right w:w="108" w:type="dxa"/>
          </w:tblCellMar>
        </w:tblPrEx>
        <w:trPr>
          <w:trHeight w:val="20" w:hRule="atLeast"/>
        </w:trPr>
        <w:tc>
          <w:tcPr>
            <w:tcW w:w="282"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38DB06A2">
            <w:pPr>
              <w:jc w:val="center"/>
              <w:rPr>
                <w:rFonts w:hint="default" w:ascii="Times New Roman" w:hAnsi="Times New Roman" w:eastAsia="宋体" w:cs="Times New Roman"/>
                <w:color w:val="auto"/>
                <w:sz w:val="22"/>
                <w:szCs w:val="22"/>
                <w:highlight w:val="none"/>
              </w:rPr>
            </w:pPr>
          </w:p>
        </w:tc>
        <w:tc>
          <w:tcPr>
            <w:tcW w:w="376"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7090CD4F">
            <w:pPr>
              <w:jc w:val="center"/>
              <w:rPr>
                <w:rFonts w:hint="default" w:ascii="Times New Roman" w:hAnsi="Times New Roman" w:eastAsia="宋体" w:cs="Times New Roman"/>
                <w:color w:val="auto"/>
                <w:sz w:val="22"/>
                <w:szCs w:val="22"/>
                <w:highlight w:val="none"/>
              </w:rPr>
            </w:pPr>
          </w:p>
        </w:tc>
        <w:tc>
          <w:tcPr>
            <w:tcW w:w="32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55AA436">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建设期</w:t>
            </w:r>
          </w:p>
        </w:tc>
        <w:tc>
          <w:tcPr>
            <w:tcW w:w="13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39637EC">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主要供应商工人雇佣及工作条件的风险</w:t>
            </w:r>
          </w:p>
        </w:tc>
        <w:tc>
          <w:tcPr>
            <w:tcW w:w="22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B720BC7">
            <w:pPr>
              <w:numPr>
                <w:ilvl w:val="0"/>
                <w:numId w:val="25"/>
              </w:num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在招标采购文件中落实主要供应商的劳动者管理要求，并纳入合同条款；在合同中还应明确：①相应的不合规补救措施，及建立用于管理和监测第三方绩效的程序；②提交制造商关于劳动者管理的尽职调查报告，应包含制造商雇佣工人的合同管理、雇佣童工、同工同酬、性别歧视、强迫劳动等方面的内容。</w:t>
            </w:r>
          </w:p>
        </w:tc>
        <w:tc>
          <w:tcPr>
            <w:tcW w:w="43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259C513">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主要供应商。项目执行机构负责监督和核查。</w:t>
            </w:r>
          </w:p>
        </w:tc>
      </w:tr>
      <w:tr w14:paraId="6512F724">
        <w:tblPrEx>
          <w:tblCellMar>
            <w:top w:w="0" w:type="dxa"/>
            <w:left w:w="108" w:type="dxa"/>
            <w:bottom w:w="0" w:type="dxa"/>
            <w:right w:w="108" w:type="dxa"/>
          </w:tblCellMar>
        </w:tblPrEx>
        <w:trPr>
          <w:trHeight w:val="20" w:hRule="atLeast"/>
        </w:trPr>
        <w:tc>
          <w:tcPr>
            <w:tcW w:w="282"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A9AD161">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ESS1</w:t>
            </w:r>
          </w:p>
        </w:tc>
        <w:tc>
          <w:tcPr>
            <w:tcW w:w="376"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16C7D4C">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社区健康与安全</w:t>
            </w:r>
          </w:p>
        </w:tc>
        <w:tc>
          <w:tcPr>
            <w:tcW w:w="32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7AA1F59">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建设期</w:t>
            </w:r>
          </w:p>
        </w:tc>
        <w:tc>
          <w:tcPr>
            <w:tcW w:w="130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C108C1E">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施工活动对周边居民的扰动，施工车辆的道路交通安全影响，外来劳动力对周边社区的影响</w:t>
            </w:r>
          </w:p>
        </w:tc>
        <w:tc>
          <w:tcPr>
            <w:tcW w:w="22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FD48BF4">
            <w:pPr>
              <w:numPr>
                <w:ilvl w:val="0"/>
                <w:numId w:val="25"/>
              </w:num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优化完善施工组织方案，合理安排施工工序和工期，尽量减少对施工对社区的影响；</w:t>
            </w:r>
          </w:p>
          <w:p w14:paraId="09993576">
            <w:pPr>
              <w:numPr>
                <w:ilvl w:val="0"/>
                <w:numId w:val="25"/>
              </w:num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施工应尽量避开晚上9点以后的作业，尤其是启动或运行机械设备，以避免夜间对社区居民的噪声影响。</w:t>
            </w:r>
          </w:p>
          <w:p w14:paraId="1FEDEE2D">
            <w:pPr>
              <w:numPr>
                <w:ilvl w:val="0"/>
                <w:numId w:val="25"/>
              </w:num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规范驾驶员和车辆管理，并进行运输路线及行驶速度优化，要求司机按规定线路行驶，在社会敏感点区域路段限速行驶，尽可能减少对社区的影响；</w:t>
            </w:r>
          </w:p>
          <w:p w14:paraId="5701458D">
            <w:pPr>
              <w:numPr>
                <w:ilvl w:val="0"/>
                <w:numId w:val="25"/>
              </w:num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对当地居民（包括妇女、儿童、老人等）进行安全教育。</w:t>
            </w:r>
          </w:p>
          <w:p w14:paraId="0A98686E">
            <w:pPr>
              <w:numPr>
                <w:ilvl w:val="0"/>
                <w:numId w:val="25"/>
              </w:num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对当地居民开展传染病防控知识的宣导，并发放信息手册。</w:t>
            </w:r>
          </w:p>
          <w:p w14:paraId="18D857A2">
            <w:pPr>
              <w:numPr>
                <w:ilvl w:val="0"/>
                <w:numId w:val="25"/>
              </w:numPr>
              <w:textAlignment w:val="center"/>
              <w:rPr>
                <w:rFonts w:hint="default" w:ascii="Times New Roman" w:hAnsi="Times New Roman" w:eastAsia="宋体" w:cs="Times New Roman"/>
                <w:color w:val="auto"/>
                <w:sz w:val="22"/>
                <w:highlight w:val="none"/>
                <w:lang w:bidi="ar"/>
              </w:rPr>
            </w:pPr>
            <w:r>
              <w:rPr>
                <w:rFonts w:hint="default" w:ascii="Times New Roman" w:hAnsi="Times New Roman" w:eastAsia="宋体" w:cs="Times New Roman"/>
                <w:color w:val="auto"/>
                <w:sz w:val="22"/>
                <w:szCs w:val="22"/>
                <w:highlight w:val="none"/>
                <w:lang w:bidi="ar"/>
              </w:rPr>
              <w:t>为当地居民开展洪涝等自然灾害防范与应急避险等方面的宣传或免费的知识培训。</w:t>
            </w:r>
          </w:p>
          <w:p w14:paraId="37C9BCBD">
            <w:pPr>
              <w:numPr>
                <w:ilvl w:val="0"/>
                <w:numId w:val="25"/>
              </w:num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建立、采用有书面记录的申诉处理机制(GRM)，主动对社区抱怨和建议进行处理，并将处理结果及时反馈给申诉人。</w:t>
            </w:r>
          </w:p>
        </w:tc>
        <w:tc>
          <w:tcPr>
            <w:tcW w:w="43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FEECDB3">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项目执行机构、承包商</w:t>
            </w:r>
          </w:p>
        </w:tc>
      </w:tr>
      <w:tr w14:paraId="13E3B98D">
        <w:tblPrEx>
          <w:tblCellMar>
            <w:top w:w="0" w:type="dxa"/>
            <w:left w:w="108" w:type="dxa"/>
            <w:bottom w:w="0" w:type="dxa"/>
            <w:right w:w="108" w:type="dxa"/>
          </w:tblCellMar>
        </w:tblPrEx>
        <w:trPr>
          <w:trHeight w:val="20" w:hRule="atLeast"/>
        </w:trPr>
        <w:tc>
          <w:tcPr>
            <w:tcW w:w="282"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77A68395">
            <w:pPr>
              <w:jc w:val="center"/>
              <w:rPr>
                <w:rFonts w:hint="default" w:ascii="Times New Roman" w:hAnsi="Times New Roman" w:eastAsia="宋体" w:cs="Times New Roman"/>
                <w:color w:val="auto"/>
                <w:sz w:val="22"/>
                <w:szCs w:val="22"/>
                <w:highlight w:val="none"/>
              </w:rPr>
            </w:pPr>
          </w:p>
        </w:tc>
        <w:tc>
          <w:tcPr>
            <w:tcW w:w="376"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25D8BD60">
            <w:pPr>
              <w:jc w:val="center"/>
              <w:rPr>
                <w:rFonts w:hint="default" w:ascii="Times New Roman" w:hAnsi="Times New Roman" w:eastAsia="宋体" w:cs="Times New Roman"/>
                <w:color w:val="auto"/>
                <w:sz w:val="22"/>
                <w:szCs w:val="22"/>
                <w:highlight w:val="none"/>
              </w:rPr>
            </w:pPr>
          </w:p>
        </w:tc>
        <w:tc>
          <w:tcPr>
            <w:tcW w:w="32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06922DC">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运营期</w:t>
            </w:r>
          </w:p>
        </w:tc>
        <w:tc>
          <w:tcPr>
            <w:tcW w:w="130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DE6041C">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道路、设施交付使用后可能存在的道路安全、极端天气影响等</w:t>
            </w:r>
          </w:p>
        </w:tc>
        <w:tc>
          <w:tcPr>
            <w:tcW w:w="22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F0D7F95">
            <w:pPr>
              <w:numPr>
                <w:ilvl w:val="0"/>
                <w:numId w:val="25"/>
              </w:num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在社区交通关键的路段，设置明显的安全警示牌或标识标线，以及减速带。</w:t>
            </w:r>
          </w:p>
          <w:p w14:paraId="7D64C419">
            <w:pPr>
              <w:numPr>
                <w:ilvl w:val="0"/>
                <w:numId w:val="25"/>
              </w:num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针对涉及汉江沿岸和黄洋河沿岸的子项目，制定汛期管理措施或应急预案，如极端天气时进行预警，公园等公共设施提前关闭或有限制的参观等。</w:t>
            </w:r>
          </w:p>
        </w:tc>
        <w:tc>
          <w:tcPr>
            <w:tcW w:w="43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331F7B8">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项目执行机构及运营单位</w:t>
            </w:r>
          </w:p>
        </w:tc>
      </w:tr>
      <w:tr w14:paraId="2D663E82">
        <w:tblPrEx>
          <w:tblCellMar>
            <w:top w:w="0" w:type="dxa"/>
            <w:left w:w="108" w:type="dxa"/>
            <w:bottom w:w="0" w:type="dxa"/>
            <w:right w:w="108" w:type="dxa"/>
          </w:tblCellMar>
        </w:tblPrEx>
        <w:trPr>
          <w:trHeight w:val="20" w:hRule="atLeast"/>
        </w:trPr>
        <w:tc>
          <w:tcPr>
            <w:tcW w:w="28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7C73E9C">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ESS1</w:t>
            </w:r>
          </w:p>
        </w:tc>
        <w:tc>
          <w:tcPr>
            <w:tcW w:w="37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B40D39B">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利益相关者参与</w:t>
            </w:r>
          </w:p>
        </w:tc>
        <w:tc>
          <w:tcPr>
            <w:tcW w:w="32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635CEF9">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建设期和运营期</w:t>
            </w:r>
          </w:p>
        </w:tc>
        <w:tc>
          <w:tcPr>
            <w:tcW w:w="13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5691989">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利益相关者参与不足</w:t>
            </w:r>
          </w:p>
        </w:tc>
        <w:tc>
          <w:tcPr>
            <w:tcW w:w="22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265BAFD">
            <w:pPr>
              <w:numPr>
                <w:ilvl w:val="0"/>
                <w:numId w:val="25"/>
              </w:num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优化设计方案应充分征求周边社区居民的意见和建议；</w:t>
            </w:r>
            <w:r>
              <w:rPr>
                <w:rFonts w:hint="default" w:ascii="Times New Roman" w:hAnsi="Times New Roman" w:eastAsia="宋体" w:cs="Times New Roman"/>
                <w:color w:val="auto"/>
                <w:sz w:val="22"/>
                <w:szCs w:val="22"/>
                <w:highlight w:val="none"/>
                <w:lang w:bidi="ar"/>
              </w:rPr>
              <w:br w:type="textWrapping"/>
            </w:r>
            <w:r>
              <w:rPr>
                <w:rFonts w:hint="default" w:ascii="Times New Roman" w:hAnsi="Times New Roman" w:eastAsia="宋体" w:cs="Times New Roman"/>
                <w:color w:val="auto"/>
                <w:sz w:val="22"/>
                <w:szCs w:val="22"/>
                <w:highlight w:val="none"/>
                <w:lang w:bidi="ar"/>
              </w:rPr>
              <w:t>项目征地、拆迁安置、土地流转等应向社区居民披露并征求相关意见和建议；</w:t>
            </w:r>
          </w:p>
          <w:p w14:paraId="28A73794">
            <w:pPr>
              <w:numPr>
                <w:ilvl w:val="0"/>
                <w:numId w:val="25"/>
              </w:num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按照利益相关方参与计划（SEP）以及确定的申诉机制（GRM）实施，提供足够资源确保相关机制有效运；</w:t>
            </w:r>
          </w:p>
          <w:p w14:paraId="70BF3B56">
            <w:pPr>
              <w:numPr>
                <w:ilvl w:val="0"/>
                <w:numId w:val="25"/>
              </w:num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提高弱势群体与女性的公众参与率，充分考虑其意见和建议；</w:t>
            </w:r>
          </w:p>
          <w:p w14:paraId="0954C2E5">
            <w:pPr>
              <w:numPr>
                <w:ilvl w:val="0"/>
                <w:numId w:val="25"/>
              </w:num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建设及运营过程中的环境和社会监测信息及时对社区公布。</w:t>
            </w:r>
          </w:p>
        </w:tc>
        <w:tc>
          <w:tcPr>
            <w:tcW w:w="43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1170B90">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项目执行机构及运营单位</w:t>
            </w:r>
          </w:p>
        </w:tc>
      </w:tr>
      <w:tr w14:paraId="4D2DB9E3">
        <w:tblPrEx>
          <w:tblCellMar>
            <w:top w:w="0" w:type="dxa"/>
            <w:left w:w="108" w:type="dxa"/>
            <w:bottom w:w="0" w:type="dxa"/>
            <w:right w:w="108" w:type="dxa"/>
          </w:tblCellMar>
        </w:tblPrEx>
        <w:trPr>
          <w:trHeight w:val="20" w:hRule="atLeast"/>
        </w:trPr>
        <w:tc>
          <w:tcPr>
            <w:tcW w:w="28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8B34D71">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ESS2</w:t>
            </w:r>
          </w:p>
        </w:tc>
        <w:tc>
          <w:tcPr>
            <w:tcW w:w="37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5F08EAF">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非自愿移民</w:t>
            </w:r>
          </w:p>
        </w:tc>
        <w:tc>
          <w:tcPr>
            <w:tcW w:w="32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D8F9E85">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建设期</w:t>
            </w:r>
          </w:p>
        </w:tc>
        <w:tc>
          <w:tcPr>
            <w:tcW w:w="13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64E51D0">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征地拆迁相关风险</w:t>
            </w:r>
          </w:p>
        </w:tc>
        <w:tc>
          <w:tcPr>
            <w:tcW w:w="22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EBEF5C3">
            <w:pPr>
              <w:numPr>
                <w:ilvl w:val="0"/>
                <w:numId w:val="25"/>
              </w:num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制定单独的移民安置计划，并按照该计划实施征地拆迁。</w:t>
            </w:r>
          </w:p>
          <w:p w14:paraId="6640F834">
            <w:pPr>
              <w:numPr>
                <w:ilvl w:val="0"/>
                <w:numId w:val="25"/>
              </w:num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征迁实施期间，聘请第三方社会外部监测单位对移民安置计划执行情况定期进行监测，并每半年提交一期外部监测报告给亚投行审查。</w:t>
            </w:r>
          </w:p>
          <w:p w14:paraId="1B273219">
            <w:pPr>
              <w:numPr>
                <w:ilvl w:val="0"/>
                <w:numId w:val="25"/>
              </w:num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对移民安置尽职调查报告中遗留问题的解决进行监测，并反应到每半年一期的外部监测报告中。</w:t>
            </w:r>
          </w:p>
        </w:tc>
        <w:tc>
          <w:tcPr>
            <w:tcW w:w="43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2FD8CB2">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项目执行机构、第三方社会外部监测单位</w:t>
            </w:r>
          </w:p>
        </w:tc>
      </w:tr>
      <w:tr w14:paraId="61839E8A">
        <w:tblPrEx>
          <w:tblCellMar>
            <w:top w:w="0" w:type="dxa"/>
            <w:left w:w="108" w:type="dxa"/>
            <w:bottom w:w="0" w:type="dxa"/>
            <w:right w:w="108" w:type="dxa"/>
          </w:tblCellMar>
        </w:tblPrEx>
        <w:trPr>
          <w:trHeight w:val="20" w:hRule="atLeast"/>
        </w:trPr>
        <w:tc>
          <w:tcPr>
            <w:tcW w:w="28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CFAF337">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ESS2</w:t>
            </w:r>
          </w:p>
        </w:tc>
        <w:tc>
          <w:tcPr>
            <w:tcW w:w="37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12442EA">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土地流转</w:t>
            </w:r>
          </w:p>
        </w:tc>
        <w:tc>
          <w:tcPr>
            <w:tcW w:w="32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D5E4052">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建设期</w:t>
            </w:r>
          </w:p>
        </w:tc>
        <w:tc>
          <w:tcPr>
            <w:tcW w:w="130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9F36A4">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土地流转的管理</w:t>
            </w:r>
          </w:p>
        </w:tc>
        <w:tc>
          <w:tcPr>
            <w:tcW w:w="22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602E50E">
            <w:pPr>
              <w:numPr>
                <w:ilvl w:val="0"/>
                <w:numId w:val="25"/>
              </w:num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按照土地流转框架进行相关流程，确保土地流转过程自愿、公平、不受胁迫。</w:t>
            </w:r>
          </w:p>
        </w:tc>
        <w:tc>
          <w:tcPr>
            <w:tcW w:w="43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7AF9B09">
            <w:pPr>
              <w:textAlignment w:val="center"/>
              <w:rPr>
                <w:rFonts w:hint="default" w:ascii="Times New Roman" w:hAnsi="Times New Roman" w:eastAsia="宋体" w:cs="Times New Roman"/>
                <w:color w:val="auto"/>
                <w:sz w:val="22"/>
                <w:szCs w:val="22"/>
                <w:highlight w:val="none"/>
                <w:lang w:bidi="ar"/>
              </w:rPr>
            </w:pPr>
          </w:p>
        </w:tc>
      </w:tr>
    </w:tbl>
    <w:p w14:paraId="704A7806">
      <w:pPr>
        <w:pStyle w:val="2"/>
        <w:rPr>
          <w:rFonts w:hint="default" w:ascii="Times New Roman" w:hAnsi="Times New Roman" w:eastAsia="宋体" w:cs="Times New Roman"/>
          <w:b/>
          <w:bCs/>
          <w:color w:val="auto"/>
          <w:szCs w:val="24"/>
          <w:highlight w:val="none"/>
        </w:rPr>
      </w:pPr>
    </w:p>
    <w:p w14:paraId="617DF77F">
      <w:pPr>
        <w:rPr>
          <w:rFonts w:hint="default" w:ascii="Times New Roman" w:hAnsi="Times New Roman" w:eastAsia="宋体" w:cs="Times New Roman"/>
          <w:b/>
          <w:bCs/>
          <w:color w:val="auto"/>
          <w:highlight w:val="none"/>
        </w:rPr>
      </w:pPr>
    </w:p>
    <w:p w14:paraId="2902F7E6">
      <w:pPr>
        <w:pStyle w:val="2"/>
        <w:rPr>
          <w:rFonts w:hint="default" w:ascii="Times New Roman" w:hAnsi="Times New Roman" w:eastAsia="宋体" w:cs="Times New Roman"/>
          <w:b/>
          <w:bCs/>
          <w:color w:val="auto"/>
          <w:szCs w:val="24"/>
          <w:highlight w:val="none"/>
        </w:rPr>
        <w:sectPr>
          <w:pgSz w:w="16838" w:h="11906" w:orient="landscape"/>
          <w:pgMar w:top="1800" w:right="1440" w:bottom="1800" w:left="1440" w:header="851" w:footer="992" w:gutter="0"/>
          <w:cols w:space="720" w:num="1"/>
          <w:docGrid w:linePitch="326" w:charSpace="0"/>
        </w:sectPr>
      </w:pPr>
    </w:p>
    <w:bookmarkEnd w:id="299"/>
    <w:p w14:paraId="4433D0F2">
      <w:pPr>
        <w:pStyle w:val="3"/>
        <w:numPr>
          <w:ilvl w:val="0"/>
          <w:numId w:val="4"/>
        </w:numPr>
        <w:spacing w:line="276" w:lineRule="auto"/>
        <w:ind w:left="431" w:hanging="431"/>
        <w:jc w:val="center"/>
        <w:rPr>
          <w:rFonts w:hint="default" w:ascii="Times New Roman" w:hAnsi="Times New Roman" w:eastAsia="宋体" w:cs="Times New Roman"/>
          <w:color w:val="auto"/>
          <w:sz w:val="28"/>
          <w:szCs w:val="28"/>
          <w:highlight w:val="none"/>
        </w:rPr>
      </w:pPr>
      <w:bookmarkStart w:id="314" w:name="_Toc152083536"/>
      <w:bookmarkEnd w:id="314"/>
      <w:bookmarkStart w:id="315" w:name="_Toc152083696"/>
      <w:bookmarkEnd w:id="315"/>
      <w:bookmarkStart w:id="316" w:name="_Toc152083771"/>
      <w:bookmarkEnd w:id="316"/>
      <w:bookmarkStart w:id="317" w:name="_Toc1603"/>
      <w:bookmarkStart w:id="318" w:name="_Toc114673095"/>
      <w:bookmarkStart w:id="319" w:name="_Toc110846325"/>
      <w:r>
        <w:rPr>
          <w:rFonts w:hint="default" w:ascii="Times New Roman" w:hAnsi="Times New Roman" w:eastAsia="宋体" w:cs="Times New Roman"/>
          <w:color w:val="auto"/>
          <w:sz w:val="28"/>
          <w:szCs w:val="28"/>
          <w:highlight w:val="none"/>
        </w:rPr>
        <w:t>利益相关者参与</w:t>
      </w:r>
      <w:bookmarkEnd w:id="317"/>
      <w:bookmarkEnd w:id="318"/>
    </w:p>
    <w:p w14:paraId="29A83B33">
      <w:pPr>
        <w:snapToGrid w:val="0"/>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办在社会影响评价咨询专家的帮助下，为项目编制了独立的利益相关方参与计划（SEP）。SEP记录了综合信息公示和公众咨询活动的流程和结果，并按活动列出了详细的计划，以促进利益相关方的参与。社会影响评价（SIA）没有对SEP及其附件中的许多细节进行重复。问卷调查结果汇总在基线章节（第2.4节）。本节参考了已完成的利益相关方参与活动的要点，为社会影响评估和减缓措施以及进一步利益相关方参与的主要安排提供了信息。</w:t>
      </w:r>
    </w:p>
    <w:p w14:paraId="71D10109">
      <w:pPr>
        <w:snapToGrid w:val="0"/>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有关利益相关方参与的更多详细信息，请参见项目独立的利益相关方参与计划。</w:t>
      </w:r>
    </w:p>
    <w:p w14:paraId="3D12C9C4">
      <w:pPr>
        <w:pStyle w:val="4"/>
        <w:spacing w:before="120" w:after="240"/>
        <w:rPr>
          <w:rFonts w:hint="default" w:ascii="Times New Roman" w:hAnsi="Times New Roman" w:eastAsia="宋体" w:cs="Times New Roman"/>
          <w:color w:val="auto"/>
          <w:szCs w:val="24"/>
          <w:highlight w:val="none"/>
        </w:rPr>
      </w:pPr>
      <w:bookmarkStart w:id="320" w:name="_Toc114673096"/>
      <w:bookmarkStart w:id="321" w:name="_Toc30917"/>
      <w:r>
        <w:rPr>
          <w:rFonts w:hint="default" w:ascii="Times New Roman" w:hAnsi="Times New Roman" w:eastAsia="宋体" w:cs="Times New Roman"/>
          <w:color w:val="auto"/>
          <w:szCs w:val="24"/>
          <w:highlight w:val="none"/>
        </w:rPr>
        <w:t>已开展的利益相关方参与活动</w:t>
      </w:r>
      <w:bookmarkEnd w:id="320"/>
      <w:bookmarkEnd w:id="321"/>
    </w:p>
    <w:p w14:paraId="083B0E67">
      <w:pPr>
        <w:snapToGrid w:val="0"/>
        <w:spacing w:before="120" w:after="120" w:line="300" w:lineRule="auto"/>
        <w:ind w:firstLine="480" w:firstLineChars="200"/>
        <w:jc w:val="both"/>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截至项目评估前，前期已经开展的利益相关方参与活动包括（a）项目办和政府相关部门联合确定子项目内容及选址；（b）政府内部协调会解决项目设计和规划涉及的重点问题（如协调项目用地）；以及（c）社会、环境和可研单位在所有子项目准备过程中开展了一系列的信息公开和公众咨询活动。</w:t>
      </w:r>
    </w:p>
    <w:p w14:paraId="23602193">
      <w:pPr>
        <w:snapToGrid w:val="0"/>
        <w:spacing w:before="120" w:after="120" w:line="300" w:lineRule="auto"/>
        <w:ind w:firstLine="480" w:firstLineChars="200"/>
        <w:jc w:val="both"/>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在项目准备阶段，社评单位通过座谈会、关键信息人访谈、实地查勘、问卷调查等方式进行了一系列的公开磋商，讨论项目的内容、可能的环境和社会影响和风险，并就相关的发现及时和环评、可研单位，从而为项目设计优化提供支持。公众参与的目标对象主要包括：项目活动涉及村/社区干部及居民、周边社区及居民、敏感设施、征地受影响人、项目办和征迁单位负责人、政府关键职能部门、街镇政府以及项目的环评、可研等机构。期间，座谈会/咨询会议开展31次，各类访谈200人次，问卷调查760份。</w:t>
      </w:r>
    </w:p>
    <w:p w14:paraId="2595DE93">
      <w:pPr>
        <w:snapToGrid w:val="0"/>
        <w:spacing w:before="120" w:after="120" w:line="300" w:lineRule="auto"/>
        <w:ind w:firstLine="480" w:firstLineChars="200"/>
        <w:jc w:val="both"/>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在已经完成的这些参与活动中，政府主管职能部门的沟通、协调，项目环评过程以及征地拆迁前期准备阶段中的信息披露和公众参与均是按照国内的程序要求开展的。</w:t>
      </w:r>
    </w:p>
    <w:p w14:paraId="2C2AD673">
      <w:pPr>
        <w:snapToGrid w:val="0"/>
        <w:spacing w:before="120" w:after="120" w:line="300" w:lineRule="auto"/>
        <w:ind w:firstLine="480" w:firstLineChars="200"/>
        <w:jc w:val="both"/>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按照ESF的要求，本项目社评单位在各级项目办的协调下，从广度和深度对项目的利益相关方参与活动进行了延伸和拓展，覆盖了项目建设及运营的各个环节更多的利益相关方，更为清晰地识别出了项目的受影响方（特别是弱势群体）和关键的政府职能部门，并针对不同利益相关方的特点、需求及影响力有针对性地采取了更为多样化的信息公开和参与手段，更为全面的了解了各利益相关方对项目的态度、需求和建议，从而可以更好地完善项目的设计和不同影响和风险的管理措施，并系统地制定了恰当的行动方案以指导项目中不同类型活动后续实施信息公开、公众咨询、社区沟通及申诉处理等。</w:t>
      </w:r>
    </w:p>
    <w:p w14:paraId="7A526942">
      <w:pPr>
        <w:jc w:val="center"/>
        <w:rPr>
          <w:rFonts w:hint="default" w:ascii="Times New Roman" w:hAnsi="Times New Roman" w:eastAsia="宋体" w:cs="Times New Roman"/>
          <w:b/>
          <w:bCs/>
          <w:color w:val="auto"/>
          <w:highlight w:val="none"/>
        </w:rPr>
      </w:pPr>
      <w:bookmarkStart w:id="322" w:name="_Toc120110326"/>
      <w:bookmarkStart w:id="323" w:name="_Toc112010227"/>
    </w:p>
    <w:p w14:paraId="46FD4B7A">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 xml:space="preserve">表 </w:t>
      </w:r>
      <w:r>
        <w:rPr>
          <w:rFonts w:hint="default" w:ascii="Times New Roman" w:hAnsi="Times New Roman" w:eastAsia="宋体" w:cs="Times New Roman"/>
          <w:b/>
          <w:bCs/>
          <w:color w:val="auto"/>
          <w:highlight w:val="none"/>
        </w:rPr>
        <w:fldChar w:fldCharType="begin"/>
      </w:r>
      <w:r>
        <w:rPr>
          <w:rFonts w:hint="default" w:ascii="Times New Roman" w:hAnsi="Times New Roman" w:eastAsia="宋体" w:cs="Times New Roman"/>
          <w:b/>
          <w:bCs/>
          <w:color w:val="auto"/>
          <w:highlight w:val="none"/>
        </w:rPr>
        <w:instrText xml:space="preserve"> STYLEREF 1 \s </w:instrText>
      </w:r>
      <w:r>
        <w:rPr>
          <w:rFonts w:hint="default" w:ascii="Times New Roman" w:hAnsi="Times New Roman" w:eastAsia="宋体" w:cs="Times New Roman"/>
          <w:b/>
          <w:bCs/>
          <w:color w:val="auto"/>
          <w:highlight w:val="none"/>
        </w:rPr>
        <w:fldChar w:fldCharType="separate"/>
      </w:r>
      <w:r>
        <w:rPr>
          <w:rFonts w:hint="default" w:ascii="Times New Roman" w:hAnsi="Times New Roman" w:eastAsia="宋体" w:cs="Times New Roman"/>
          <w:b/>
          <w:bCs/>
          <w:color w:val="auto"/>
          <w:highlight w:val="none"/>
        </w:rPr>
        <w:t>6</w:t>
      </w:r>
      <w:r>
        <w:rPr>
          <w:rFonts w:hint="default" w:ascii="Times New Roman" w:hAnsi="Times New Roman" w:eastAsia="宋体" w:cs="Times New Roman"/>
          <w:b/>
          <w:bCs/>
          <w:color w:val="auto"/>
          <w:highlight w:val="none"/>
        </w:rPr>
        <w:fldChar w:fldCharType="end"/>
      </w:r>
      <w:r>
        <w:rPr>
          <w:rFonts w:hint="default" w:ascii="Times New Roman" w:hAnsi="Times New Roman" w:eastAsia="宋体" w:cs="Times New Roman"/>
          <w:b/>
          <w:bCs/>
          <w:color w:val="auto"/>
          <w:highlight w:val="none"/>
        </w:rPr>
        <w:t>-</w:t>
      </w:r>
      <w:r>
        <w:rPr>
          <w:rFonts w:hint="default" w:ascii="Times New Roman" w:hAnsi="Times New Roman" w:eastAsia="宋体" w:cs="Times New Roman"/>
          <w:b/>
          <w:bCs/>
          <w:color w:val="auto"/>
          <w:highlight w:val="none"/>
        </w:rPr>
        <w:fldChar w:fldCharType="begin"/>
      </w:r>
      <w:r>
        <w:rPr>
          <w:rFonts w:hint="default" w:ascii="Times New Roman" w:hAnsi="Times New Roman" w:eastAsia="宋体" w:cs="Times New Roman"/>
          <w:b/>
          <w:bCs/>
          <w:color w:val="auto"/>
          <w:highlight w:val="none"/>
        </w:rPr>
        <w:instrText xml:space="preserve"> SEQ 表 \* ARABIC \s 1 </w:instrText>
      </w:r>
      <w:r>
        <w:rPr>
          <w:rFonts w:hint="default" w:ascii="Times New Roman" w:hAnsi="Times New Roman" w:eastAsia="宋体" w:cs="Times New Roman"/>
          <w:b/>
          <w:bCs/>
          <w:color w:val="auto"/>
          <w:highlight w:val="none"/>
        </w:rPr>
        <w:fldChar w:fldCharType="separate"/>
      </w:r>
      <w:r>
        <w:rPr>
          <w:rFonts w:hint="default" w:ascii="Times New Roman" w:hAnsi="Times New Roman" w:eastAsia="宋体" w:cs="Times New Roman"/>
          <w:b/>
          <w:bCs/>
          <w:color w:val="auto"/>
          <w:highlight w:val="none"/>
        </w:rPr>
        <w:t>1</w:t>
      </w:r>
      <w:r>
        <w:rPr>
          <w:rFonts w:hint="default" w:ascii="Times New Roman" w:hAnsi="Times New Roman" w:eastAsia="宋体" w:cs="Times New Roman"/>
          <w:b/>
          <w:bCs/>
          <w:color w:val="auto"/>
          <w:highlight w:val="none"/>
        </w:rPr>
        <w:fldChar w:fldCharType="end"/>
      </w:r>
      <w:bookmarkStart w:id="324" w:name="_Toc7953"/>
      <w:r>
        <w:rPr>
          <w:rFonts w:hint="default" w:ascii="Times New Roman" w:hAnsi="Times New Roman" w:eastAsia="宋体" w:cs="Times New Roman"/>
          <w:b/>
          <w:bCs/>
          <w:color w:val="auto"/>
          <w:highlight w:val="none"/>
        </w:rPr>
        <w:t>利益相关方参与人次统计</w:t>
      </w:r>
      <w:bookmarkEnd w:id="322"/>
      <w:bookmarkEnd w:id="323"/>
      <w:bookmarkEnd w:id="324"/>
    </w:p>
    <w:tbl>
      <w:tblPr>
        <w:tblStyle w:val="43"/>
        <w:tblW w:w="4998" w:type="pct"/>
        <w:jc w:val="center"/>
        <w:tblLayout w:type="autofit"/>
        <w:tblCellMar>
          <w:top w:w="0" w:type="dxa"/>
          <w:left w:w="108" w:type="dxa"/>
          <w:bottom w:w="0" w:type="dxa"/>
          <w:right w:w="108" w:type="dxa"/>
        </w:tblCellMar>
      </w:tblPr>
      <w:tblGrid>
        <w:gridCol w:w="3211"/>
        <w:gridCol w:w="2654"/>
        <w:gridCol w:w="2654"/>
      </w:tblGrid>
      <w:tr w14:paraId="3D478539">
        <w:tblPrEx>
          <w:tblCellMar>
            <w:top w:w="0" w:type="dxa"/>
            <w:left w:w="108" w:type="dxa"/>
            <w:bottom w:w="0" w:type="dxa"/>
            <w:right w:w="108" w:type="dxa"/>
          </w:tblCellMar>
        </w:tblPrEx>
        <w:trPr>
          <w:trHeight w:val="20" w:hRule="atLeast"/>
          <w:tblHeader/>
          <w:jc w:val="center"/>
        </w:trPr>
        <w:tc>
          <w:tcPr>
            <w:tcW w:w="1884" w:type="pct"/>
            <w:tcBorders>
              <w:top w:val="single" w:color="000000" w:sz="8" w:space="0"/>
              <w:left w:val="single" w:color="000000" w:sz="8" w:space="0"/>
              <w:bottom w:val="single" w:color="000000" w:sz="8" w:space="0"/>
              <w:right w:val="single" w:color="000000" w:sz="8" w:space="0"/>
            </w:tcBorders>
            <w:shd w:val="clear" w:color="auto" w:fill="D7D7D7"/>
            <w:noWrap/>
            <w:vAlign w:val="center"/>
          </w:tcPr>
          <w:p w14:paraId="1681D494">
            <w:pPr>
              <w:jc w:val="center"/>
              <w:textAlignment w:val="center"/>
              <w:rPr>
                <w:rFonts w:hint="default" w:ascii="Times New Roman" w:hAnsi="Times New Roman" w:eastAsia="宋体" w:cs="Times New Roman"/>
                <w:b/>
                <w:bCs/>
                <w:color w:val="auto"/>
                <w:sz w:val="21"/>
                <w:szCs w:val="21"/>
                <w:highlight w:val="none"/>
              </w:rPr>
            </w:pPr>
            <w:r>
              <w:rPr>
                <w:rStyle w:val="122"/>
                <w:rFonts w:hint="default" w:ascii="Times New Roman" w:hAnsi="Times New Roman" w:eastAsia="宋体" w:cs="Times New Roman"/>
                <w:color w:val="auto"/>
                <w:highlight w:val="none"/>
                <w:lang w:bidi="ar"/>
              </w:rPr>
              <w:t>调查对象</w:t>
            </w:r>
          </w:p>
        </w:tc>
        <w:tc>
          <w:tcPr>
            <w:tcW w:w="1557" w:type="pct"/>
            <w:tcBorders>
              <w:top w:val="single" w:color="000000" w:sz="8" w:space="0"/>
              <w:left w:val="single" w:color="000000" w:sz="8" w:space="0"/>
              <w:bottom w:val="single" w:color="000000" w:sz="8" w:space="0"/>
              <w:right w:val="single" w:color="000000" w:sz="8" w:space="0"/>
            </w:tcBorders>
            <w:shd w:val="clear" w:color="auto" w:fill="D7D7D7"/>
            <w:vAlign w:val="center"/>
          </w:tcPr>
          <w:p w14:paraId="3F6DDED8">
            <w:pPr>
              <w:jc w:val="center"/>
              <w:textAlignment w:val="center"/>
              <w:rPr>
                <w:rFonts w:hint="default" w:ascii="Times New Roman" w:hAnsi="Times New Roman" w:eastAsia="宋体" w:cs="Times New Roman"/>
                <w:b/>
                <w:bCs/>
                <w:color w:val="auto"/>
                <w:sz w:val="21"/>
                <w:szCs w:val="21"/>
                <w:highlight w:val="none"/>
              </w:rPr>
            </w:pPr>
            <w:r>
              <w:rPr>
                <w:rStyle w:val="122"/>
                <w:rFonts w:hint="default" w:ascii="Times New Roman" w:hAnsi="Times New Roman" w:eastAsia="宋体" w:cs="Times New Roman"/>
                <w:color w:val="auto"/>
                <w:highlight w:val="none"/>
                <w:lang w:bidi="ar"/>
              </w:rPr>
              <w:t>人员数量</w:t>
            </w:r>
          </w:p>
        </w:tc>
        <w:tc>
          <w:tcPr>
            <w:tcW w:w="1557" w:type="pct"/>
            <w:tcBorders>
              <w:top w:val="single" w:color="000000" w:sz="8" w:space="0"/>
              <w:left w:val="single" w:color="000000" w:sz="8" w:space="0"/>
              <w:bottom w:val="single" w:color="000000" w:sz="8" w:space="0"/>
              <w:right w:val="single" w:color="000000" w:sz="8" w:space="0"/>
            </w:tcBorders>
            <w:shd w:val="clear" w:color="auto" w:fill="D7D7D7"/>
            <w:vAlign w:val="center"/>
          </w:tcPr>
          <w:p w14:paraId="02AEB6D5">
            <w:pPr>
              <w:jc w:val="center"/>
              <w:textAlignment w:val="center"/>
              <w:rPr>
                <w:rStyle w:val="122"/>
                <w:rFonts w:hint="default" w:ascii="Times New Roman" w:hAnsi="Times New Roman" w:eastAsia="宋体" w:cs="Times New Roman"/>
                <w:color w:val="auto"/>
                <w:highlight w:val="none"/>
                <w:lang w:bidi="ar"/>
              </w:rPr>
            </w:pPr>
            <w:r>
              <w:rPr>
                <w:rStyle w:val="122"/>
                <w:rFonts w:hint="default" w:ascii="Times New Roman" w:hAnsi="Times New Roman" w:eastAsia="宋体" w:cs="Times New Roman"/>
                <w:color w:val="auto"/>
                <w:highlight w:val="none"/>
                <w:lang w:bidi="ar"/>
              </w:rPr>
              <w:t>女性人数</w:t>
            </w:r>
          </w:p>
        </w:tc>
      </w:tr>
      <w:tr w14:paraId="0C030DAE">
        <w:tblPrEx>
          <w:tblCellMar>
            <w:top w:w="0" w:type="dxa"/>
            <w:left w:w="108" w:type="dxa"/>
            <w:bottom w:w="0" w:type="dxa"/>
            <w:right w:w="108" w:type="dxa"/>
          </w:tblCellMar>
        </w:tblPrEx>
        <w:trPr>
          <w:trHeight w:val="20" w:hRule="atLeast"/>
          <w:jc w:val="center"/>
        </w:trPr>
        <w:tc>
          <w:tcPr>
            <w:tcW w:w="1884" w:type="pct"/>
            <w:tcBorders>
              <w:top w:val="nil"/>
              <w:left w:val="single" w:color="000000" w:sz="8" w:space="0"/>
              <w:bottom w:val="single" w:color="000000" w:sz="8" w:space="0"/>
              <w:right w:val="single" w:color="000000" w:sz="8" w:space="0"/>
            </w:tcBorders>
            <w:shd w:val="clear" w:color="auto" w:fill="auto"/>
            <w:vAlign w:val="center"/>
          </w:tcPr>
          <w:p w14:paraId="78C78F2A">
            <w:pPr>
              <w:jc w:val="center"/>
              <w:textAlignment w:val="center"/>
              <w:rPr>
                <w:rFonts w:hint="default" w:ascii="Times New Roman" w:hAnsi="Times New Roman" w:eastAsia="宋体" w:cs="Times New Roman"/>
                <w:color w:val="auto"/>
                <w:sz w:val="21"/>
                <w:szCs w:val="21"/>
                <w:highlight w:val="none"/>
              </w:rPr>
            </w:pPr>
            <w:r>
              <w:rPr>
                <w:rStyle w:val="124"/>
                <w:rFonts w:hint="default" w:ascii="Times New Roman" w:hAnsi="Times New Roman" w:eastAsia="宋体" w:cs="Times New Roman"/>
                <w:color w:val="auto"/>
                <w:highlight w:val="none"/>
                <w:lang w:bidi="ar"/>
              </w:rPr>
              <w:t>项目办相关人</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58CA4676">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12</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7DFF1E76">
            <w:pPr>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4</w:t>
            </w:r>
          </w:p>
        </w:tc>
      </w:tr>
      <w:tr w14:paraId="6B8D528E">
        <w:tblPrEx>
          <w:tblCellMar>
            <w:top w:w="0" w:type="dxa"/>
            <w:left w:w="108" w:type="dxa"/>
            <w:bottom w:w="0" w:type="dxa"/>
            <w:right w:w="108" w:type="dxa"/>
          </w:tblCellMar>
        </w:tblPrEx>
        <w:trPr>
          <w:trHeight w:val="20" w:hRule="atLeast"/>
          <w:jc w:val="center"/>
        </w:trPr>
        <w:tc>
          <w:tcPr>
            <w:tcW w:w="1884" w:type="pct"/>
            <w:tcBorders>
              <w:top w:val="nil"/>
              <w:left w:val="single" w:color="000000" w:sz="8" w:space="0"/>
              <w:bottom w:val="single" w:color="000000" w:sz="8" w:space="0"/>
              <w:right w:val="single" w:color="000000" w:sz="8" w:space="0"/>
            </w:tcBorders>
            <w:shd w:val="clear" w:color="auto" w:fill="auto"/>
            <w:vAlign w:val="center"/>
          </w:tcPr>
          <w:p w14:paraId="590EA61B">
            <w:pPr>
              <w:jc w:val="center"/>
              <w:textAlignment w:val="center"/>
              <w:rPr>
                <w:rFonts w:hint="default" w:ascii="Times New Roman" w:hAnsi="Times New Roman" w:eastAsia="宋体" w:cs="Times New Roman"/>
                <w:color w:val="auto"/>
                <w:sz w:val="21"/>
                <w:szCs w:val="21"/>
                <w:highlight w:val="none"/>
              </w:rPr>
            </w:pPr>
            <w:r>
              <w:rPr>
                <w:rStyle w:val="124"/>
                <w:rFonts w:hint="default" w:ascii="Times New Roman" w:hAnsi="Times New Roman" w:eastAsia="宋体" w:cs="Times New Roman"/>
                <w:color w:val="auto"/>
                <w:highlight w:val="none"/>
                <w:lang w:bidi="ar"/>
              </w:rPr>
              <w:t>张滩镇征迁办</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13C971F5">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6</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51E06552">
            <w:pPr>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2</w:t>
            </w:r>
          </w:p>
        </w:tc>
      </w:tr>
      <w:tr w14:paraId="72DA316A">
        <w:tblPrEx>
          <w:tblCellMar>
            <w:top w:w="0" w:type="dxa"/>
            <w:left w:w="108" w:type="dxa"/>
            <w:bottom w:w="0" w:type="dxa"/>
            <w:right w:w="108" w:type="dxa"/>
          </w:tblCellMar>
        </w:tblPrEx>
        <w:trPr>
          <w:trHeight w:val="20" w:hRule="atLeast"/>
          <w:jc w:val="center"/>
        </w:trPr>
        <w:tc>
          <w:tcPr>
            <w:tcW w:w="1884" w:type="pct"/>
            <w:tcBorders>
              <w:top w:val="nil"/>
              <w:left w:val="single" w:color="000000" w:sz="8" w:space="0"/>
              <w:bottom w:val="single" w:color="000000" w:sz="8" w:space="0"/>
              <w:right w:val="single" w:color="000000" w:sz="8" w:space="0"/>
            </w:tcBorders>
            <w:shd w:val="clear" w:color="auto" w:fill="auto"/>
            <w:vAlign w:val="center"/>
          </w:tcPr>
          <w:p w14:paraId="2532548D">
            <w:pPr>
              <w:jc w:val="center"/>
              <w:textAlignment w:val="center"/>
              <w:rPr>
                <w:rFonts w:hint="default" w:ascii="Times New Roman" w:hAnsi="Times New Roman" w:eastAsia="宋体" w:cs="Times New Roman"/>
                <w:color w:val="auto"/>
                <w:sz w:val="21"/>
                <w:szCs w:val="21"/>
                <w:highlight w:val="none"/>
              </w:rPr>
            </w:pPr>
            <w:r>
              <w:rPr>
                <w:rStyle w:val="124"/>
                <w:rFonts w:hint="default" w:ascii="Times New Roman" w:hAnsi="Times New Roman" w:eastAsia="宋体" w:cs="Times New Roman"/>
                <w:color w:val="auto"/>
                <w:highlight w:val="none"/>
                <w:lang w:bidi="ar"/>
              </w:rPr>
              <w:t>村委会</w:t>
            </w:r>
            <w:r>
              <w:rPr>
                <w:rStyle w:val="112"/>
                <w:rFonts w:hint="default" w:ascii="Times New Roman" w:hAnsi="Times New Roman" w:eastAsia="宋体" w:cs="Times New Roman"/>
                <w:color w:val="auto"/>
                <w:highlight w:val="none"/>
                <w:lang w:bidi="ar"/>
              </w:rPr>
              <w:t>/</w:t>
            </w:r>
            <w:r>
              <w:rPr>
                <w:rStyle w:val="124"/>
                <w:rFonts w:hint="default" w:ascii="Times New Roman" w:hAnsi="Times New Roman" w:eastAsia="宋体" w:cs="Times New Roman"/>
                <w:color w:val="auto"/>
                <w:highlight w:val="none"/>
                <w:lang w:bidi="ar"/>
              </w:rPr>
              <w:t>居委会</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60FDCBEC">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48</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4E25E20F">
            <w:pPr>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11</w:t>
            </w:r>
          </w:p>
        </w:tc>
      </w:tr>
      <w:tr w14:paraId="0AD9D53E">
        <w:tblPrEx>
          <w:tblCellMar>
            <w:top w:w="0" w:type="dxa"/>
            <w:left w:w="108" w:type="dxa"/>
            <w:bottom w:w="0" w:type="dxa"/>
            <w:right w:w="108" w:type="dxa"/>
          </w:tblCellMar>
        </w:tblPrEx>
        <w:trPr>
          <w:trHeight w:val="20" w:hRule="atLeast"/>
          <w:jc w:val="center"/>
        </w:trPr>
        <w:tc>
          <w:tcPr>
            <w:tcW w:w="1884" w:type="pct"/>
            <w:tcBorders>
              <w:top w:val="nil"/>
              <w:left w:val="single" w:color="000000" w:sz="8" w:space="0"/>
              <w:bottom w:val="single" w:color="000000" w:sz="8" w:space="0"/>
              <w:right w:val="single" w:color="000000" w:sz="8" w:space="0"/>
            </w:tcBorders>
            <w:shd w:val="clear" w:color="auto" w:fill="auto"/>
            <w:vAlign w:val="center"/>
          </w:tcPr>
          <w:p w14:paraId="08D95562">
            <w:pPr>
              <w:jc w:val="center"/>
              <w:textAlignment w:val="center"/>
              <w:rPr>
                <w:rFonts w:hint="default" w:ascii="Times New Roman" w:hAnsi="Times New Roman" w:eastAsia="宋体" w:cs="Times New Roman"/>
                <w:color w:val="auto"/>
                <w:sz w:val="21"/>
                <w:szCs w:val="21"/>
                <w:highlight w:val="none"/>
              </w:rPr>
            </w:pPr>
            <w:r>
              <w:rPr>
                <w:rStyle w:val="124"/>
                <w:rFonts w:hint="default" w:ascii="Times New Roman" w:hAnsi="Times New Roman" w:eastAsia="宋体" w:cs="Times New Roman"/>
                <w:color w:val="auto"/>
                <w:highlight w:val="none"/>
                <w:lang w:bidi="ar"/>
              </w:rPr>
              <w:t>周边村民</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132582D9">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263</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77ABD4C8">
            <w:pPr>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107</w:t>
            </w:r>
          </w:p>
        </w:tc>
      </w:tr>
      <w:tr w14:paraId="65BFDBAB">
        <w:tblPrEx>
          <w:tblCellMar>
            <w:top w:w="0" w:type="dxa"/>
            <w:left w:w="108" w:type="dxa"/>
            <w:bottom w:w="0" w:type="dxa"/>
            <w:right w:w="108" w:type="dxa"/>
          </w:tblCellMar>
        </w:tblPrEx>
        <w:trPr>
          <w:trHeight w:val="20" w:hRule="atLeast"/>
          <w:jc w:val="center"/>
        </w:trPr>
        <w:tc>
          <w:tcPr>
            <w:tcW w:w="1884" w:type="pct"/>
            <w:tcBorders>
              <w:top w:val="nil"/>
              <w:left w:val="single" w:color="000000" w:sz="8" w:space="0"/>
              <w:bottom w:val="single" w:color="000000" w:sz="8" w:space="0"/>
              <w:right w:val="single" w:color="000000" w:sz="8" w:space="0"/>
            </w:tcBorders>
            <w:shd w:val="clear" w:color="auto" w:fill="auto"/>
            <w:vAlign w:val="center"/>
          </w:tcPr>
          <w:p w14:paraId="2BCCD2AA">
            <w:pPr>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沿线商户</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7C5B77D9">
            <w:pPr>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19</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20BF617B">
            <w:pPr>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6</w:t>
            </w:r>
          </w:p>
        </w:tc>
      </w:tr>
      <w:tr w14:paraId="366B9C4E">
        <w:tblPrEx>
          <w:tblCellMar>
            <w:top w:w="0" w:type="dxa"/>
            <w:left w:w="108" w:type="dxa"/>
            <w:bottom w:w="0" w:type="dxa"/>
            <w:right w:w="108" w:type="dxa"/>
          </w:tblCellMar>
        </w:tblPrEx>
        <w:trPr>
          <w:trHeight w:val="20" w:hRule="atLeast"/>
          <w:jc w:val="center"/>
        </w:trPr>
        <w:tc>
          <w:tcPr>
            <w:tcW w:w="1884" w:type="pct"/>
            <w:tcBorders>
              <w:top w:val="nil"/>
              <w:left w:val="single" w:color="000000" w:sz="8" w:space="0"/>
              <w:bottom w:val="single" w:color="000000" w:sz="8" w:space="0"/>
              <w:right w:val="single" w:color="000000" w:sz="8" w:space="0"/>
            </w:tcBorders>
            <w:shd w:val="clear" w:color="auto" w:fill="auto"/>
            <w:vAlign w:val="center"/>
          </w:tcPr>
          <w:p w14:paraId="0BB30A07">
            <w:pP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关键政府部门/事业单位/社会组织访谈</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4DDBF8DD">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53</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3EADAC67">
            <w:pPr>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21</w:t>
            </w:r>
          </w:p>
        </w:tc>
      </w:tr>
      <w:tr w14:paraId="618130DA">
        <w:tblPrEx>
          <w:tblCellMar>
            <w:top w:w="0" w:type="dxa"/>
            <w:left w:w="108" w:type="dxa"/>
            <w:bottom w:w="0" w:type="dxa"/>
            <w:right w:w="108" w:type="dxa"/>
          </w:tblCellMar>
        </w:tblPrEx>
        <w:trPr>
          <w:trHeight w:val="20" w:hRule="atLeast"/>
          <w:jc w:val="center"/>
        </w:trPr>
        <w:tc>
          <w:tcPr>
            <w:tcW w:w="1884" w:type="pct"/>
            <w:tcBorders>
              <w:top w:val="nil"/>
              <w:left w:val="single" w:color="000000" w:sz="8" w:space="0"/>
              <w:bottom w:val="single" w:color="000000" w:sz="8" w:space="0"/>
              <w:right w:val="single" w:color="000000" w:sz="8" w:space="0"/>
            </w:tcBorders>
            <w:shd w:val="clear" w:color="auto" w:fill="auto"/>
            <w:vAlign w:val="center"/>
          </w:tcPr>
          <w:p w14:paraId="12176CA0">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其中：自然资源局</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6D9F4166">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7</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4C0EE44B">
            <w:pPr>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2</w:t>
            </w:r>
          </w:p>
        </w:tc>
      </w:tr>
      <w:tr w14:paraId="247E44DE">
        <w:tblPrEx>
          <w:tblCellMar>
            <w:top w:w="0" w:type="dxa"/>
            <w:left w:w="108" w:type="dxa"/>
            <w:bottom w:w="0" w:type="dxa"/>
            <w:right w:w="108" w:type="dxa"/>
          </w:tblCellMar>
        </w:tblPrEx>
        <w:trPr>
          <w:trHeight w:val="20" w:hRule="atLeast"/>
          <w:jc w:val="center"/>
        </w:trPr>
        <w:tc>
          <w:tcPr>
            <w:tcW w:w="1884" w:type="pct"/>
            <w:tcBorders>
              <w:top w:val="nil"/>
              <w:left w:val="single" w:color="000000" w:sz="8" w:space="0"/>
              <w:bottom w:val="single" w:color="000000" w:sz="8" w:space="0"/>
              <w:right w:val="single" w:color="000000" w:sz="8" w:space="0"/>
            </w:tcBorders>
            <w:shd w:val="clear" w:color="auto" w:fill="auto"/>
            <w:vAlign w:val="center"/>
          </w:tcPr>
          <w:p w14:paraId="49A95995">
            <w:pPr>
              <w:jc w:val="right"/>
              <w:textAlignment w:val="center"/>
              <w:rPr>
                <w:rFonts w:hint="default" w:ascii="Times New Roman" w:hAnsi="Times New Roman" w:eastAsia="宋体" w:cs="Times New Roman"/>
                <w:color w:val="auto"/>
                <w:sz w:val="21"/>
                <w:szCs w:val="21"/>
                <w:highlight w:val="none"/>
              </w:rPr>
            </w:pPr>
            <w:r>
              <w:rPr>
                <w:rStyle w:val="107"/>
                <w:rFonts w:hint="default" w:ascii="Times New Roman" w:hAnsi="Times New Roman" w:eastAsia="宋体" w:cs="Times New Roman"/>
                <w:b w:val="0"/>
                <w:bCs w:val="0"/>
                <w:color w:val="auto"/>
                <w:highlight w:val="none"/>
                <w:lang w:bidi="ar"/>
              </w:rPr>
              <w:t>林业局</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1C876551">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3</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622EFB21">
            <w:pPr>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w:t>
            </w:r>
          </w:p>
        </w:tc>
      </w:tr>
      <w:tr w14:paraId="20E398EA">
        <w:tblPrEx>
          <w:tblCellMar>
            <w:top w:w="0" w:type="dxa"/>
            <w:left w:w="108" w:type="dxa"/>
            <w:bottom w:w="0" w:type="dxa"/>
            <w:right w:w="108" w:type="dxa"/>
          </w:tblCellMar>
        </w:tblPrEx>
        <w:trPr>
          <w:trHeight w:val="20" w:hRule="atLeast"/>
          <w:jc w:val="center"/>
        </w:trPr>
        <w:tc>
          <w:tcPr>
            <w:tcW w:w="1884" w:type="pct"/>
            <w:tcBorders>
              <w:top w:val="nil"/>
              <w:left w:val="single" w:color="000000" w:sz="8" w:space="0"/>
              <w:bottom w:val="single" w:color="000000" w:sz="8" w:space="0"/>
              <w:right w:val="single" w:color="000000" w:sz="8" w:space="0"/>
            </w:tcBorders>
            <w:shd w:val="clear" w:color="auto" w:fill="auto"/>
            <w:vAlign w:val="center"/>
          </w:tcPr>
          <w:p w14:paraId="4765293B">
            <w:pPr>
              <w:jc w:val="right"/>
              <w:textAlignment w:val="center"/>
              <w:rPr>
                <w:rFonts w:hint="default" w:ascii="Times New Roman" w:hAnsi="Times New Roman" w:eastAsia="宋体" w:cs="Times New Roman"/>
                <w:color w:val="auto"/>
                <w:sz w:val="21"/>
                <w:szCs w:val="21"/>
                <w:highlight w:val="none"/>
              </w:rPr>
            </w:pPr>
            <w:r>
              <w:rPr>
                <w:rStyle w:val="107"/>
                <w:rFonts w:hint="default" w:ascii="Times New Roman" w:hAnsi="Times New Roman" w:eastAsia="宋体" w:cs="Times New Roman"/>
                <w:b w:val="0"/>
                <w:bCs w:val="0"/>
                <w:color w:val="auto"/>
                <w:highlight w:val="none"/>
                <w:lang w:bidi="ar"/>
              </w:rPr>
              <w:t>水利局</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3FAE3B12">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2C604B95">
            <w:pPr>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w:t>
            </w:r>
          </w:p>
        </w:tc>
      </w:tr>
      <w:tr w14:paraId="18F7DFC5">
        <w:tblPrEx>
          <w:tblCellMar>
            <w:top w:w="0" w:type="dxa"/>
            <w:left w:w="108" w:type="dxa"/>
            <w:bottom w:w="0" w:type="dxa"/>
            <w:right w:w="108" w:type="dxa"/>
          </w:tblCellMar>
        </w:tblPrEx>
        <w:trPr>
          <w:trHeight w:val="20" w:hRule="atLeast"/>
          <w:jc w:val="center"/>
        </w:trPr>
        <w:tc>
          <w:tcPr>
            <w:tcW w:w="1884" w:type="pct"/>
            <w:tcBorders>
              <w:top w:val="nil"/>
              <w:left w:val="single" w:color="000000" w:sz="8" w:space="0"/>
              <w:bottom w:val="single" w:color="000000" w:sz="8" w:space="0"/>
              <w:right w:val="single" w:color="000000" w:sz="8" w:space="0"/>
            </w:tcBorders>
            <w:shd w:val="clear" w:color="auto" w:fill="auto"/>
            <w:vAlign w:val="center"/>
          </w:tcPr>
          <w:p w14:paraId="05F149A4">
            <w:pPr>
              <w:jc w:val="right"/>
              <w:textAlignment w:val="center"/>
              <w:rPr>
                <w:rStyle w:val="124"/>
                <w:rFonts w:hint="default" w:ascii="Times New Roman" w:hAnsi="Times New Roman" w:eastAsia="宋体" w:cs="Times New Roman"/>
                <w:color w:val="auto"/>
                <w:highlight w:val="none"/>
                <w:lang w:bidi="ar"/>
              </w:rPr>
            </w:pPr>
            <w:r>
              <w:rPr>
                <w:rStyle w:val="124"/>
                <w:rFonts w:hint="default" w:ascii="Times New Roman" w:hAnsi="Times New Roman" w:eastAsia="宋体" w:cs="Times New Roman"/>
                <w:color w:val="auto"/>
                <w:highlight w:val="none"/>
                <w:lang w:bidi="ar"/>
              </w:rPr>
              <w:t>渔业站</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40EA3EC5">
            <w:pPr>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4</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63ADD63D">
            <w:pPr>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w:t>
            </w:r>
          </w:p>
        </w:tc>
      </w:tr>
      <w:tr w14:paraId="6C65F609">
        <w:tblPrEx>
          <w:tblCellMar>
            <w:top w:w="0" w:type="dxa"/>
            <w:left w:w="108" w:type="dxa"/>
            <w:bottom w:w="0" w:type="dxa"/>
            <w:right w:w="108" w:type="dxa"/>
          </w:tblCellMar>
        </w:tblPrEx>
        <w:trPr>
          <w:trHeight w:val="20" w:hRule="atLeast"/>
          <w:jc w:val="center"/>
        </w:trPr>
        <w:tc>
          <w:tcPr>
            <w:tcW w:w="1884" w:type="pct"/>
            <w:tcBorders>
              <w:top w:val="nil"/>
              <w:left w:val="single" w:color="000000" w:sz="8" w:space="0"/>
              <w:bottom w:val="single" w:color="000000" w:sz="8" w:space="0"/>
              <w:right w:val="single" w:color="000000" w:sz="8" w:space="0"/>
            </w:tcBorders>
            <w:shd w:val="clear" w:color="auto" w:fill="auto"/>
            <w:vAlign w:val="center"/>
          </w:tcPr>
          <w:p w14:paraId="5AF09874">
            <w:pPr>
              <w:jc w:val="right"/>
              <w:textAlignment w:val="center"/>
              <w:rPr>
                <w:rFonts w:hint="default" w:ascii="Times New Roman" w:hAnsi="Times New Roman" w:eastAsia="宋体" w:cs="Times New Roman"/>
                <w:color w:val="auto"/>
                <w:sz w:val="21"/>
                <w:szCs w:val="21"/>
                <w:highlight w:val="none"/>
              </w:rPr>
            </w:pPr>
            <w:r>
              <w:rPr>
                <w:rStyle w:val="124"/>
                <w:rFonts w:hint="default" w:ascii="Times New Roman" w:hAnsi="Times New Roman" w:eastAsia="宋体" w:cs="Times New Roman"/>
                <w:color w:val="auto"/>
                <w:highlight w:val="none"/>
                <w:lang w:bidi="ar"/>
              </w:rPr>
              <w:t>人社局</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66077E8A">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7</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77FF5DEF">
            <w:pPr>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4</w:t>
            </w:r>
          </w:p>
        </w:tc>
      </w:tr>
      <w:tr w14:paraId="716C14DB">
        <w:tblPrEx>
          <w:tblCellMar>
            <w:top w:w="0" w:type="dxa"/>
            <w:left w:w="108" w:type="dxa"/>
            <w:bottom w:w="0" w:type="dxa"/>
            <w:right w:w="108" w:type="dxa"/>
          </w:tblCellMar>
        </w:tblPrEx>
        <w:trPr>
          <w:trHeight w:val="20" w:hRule="atLeast"/>
          <w:jc w:val="center"/>
        </w:trPr>
        <w:tc>
          <w:tcPr>
            <w:tcW w:w="1884" w:type="pct"/>
            <w:tcBorders>
              <w:top w:val="nil"/>
              <w:left w:val="single" w:color="000000" w:sz="8" w:space="0"/>
              <w:bottom w:val="single" w:color="000000" w:sz="8" w:space="0"/>
              <w:right w:val="single" w:color="000000" w:sz="8" w:space="0"/>
            </w:tcBorders>
            <w:shd w:val="clear" w:color="auto" w:fill="auto"/>
            <w:vAlign w:val="center"/>
          </w:tcPr>
          <w:p w14:paraId="0D586DE9">
            <w:pPr>
              <w:jc w:val="right"/>
              <w:textAlignment w:val="center"/>
              <w:rPr>
                <w:rFonts w:hint="default" w:ascii="Times New Roman" w:hAnsi="Times New Roman" w:eastAsia="宋体" w:cs="Times New Roman"/>
                <w:color w:val="auto"/>
                <w:sz w:val="21"/>
                <w:szCs w:val="21"/>
                <w:highlight w:val="none"/>
              </w:rPr>
            </w:pPr>
            <w:r>
              <w:rPr>
                <w:rStyle w:val="124"/>
                <w:rFonts w:hint="default" w:ascii="Times New Roman" w:hAnsi="Times New Roman" w:eastAsia="宋体" w:cs="Times New Roman"/>
                <w:color w:val="auto"/>
                <w:highlight w:val="none"/>
                <w:lang w:bidi="ar"/>
              </w:rPr>
              <w:t>住建局</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0A716A7F">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3</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0AC1102B">
            <w:pPr>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w:t>
            </w:r>
          </w:p>
        </w:tc>
      </w:tr>
      <w:tr w14:paraId="68B33D56">
        <w:tblPrEx>
          <w:tblCellMar>
            <w:top w:w="0" w:type="dxa"/>
            <w:left w:w="108" w:type="dxa"/>
            <w:bottom w:w="0" w:type="dxa"/>
            <w:right w:w="108" w:type="dxa"/>
          </w:tblCellMar>
        </w:tblPrEx>
        <w:trPr>
          <w:trHeight w:val="20" w:hRule="atLeast"/>
          <w:jc w:val="center"/>
        </w:trPr>
        <w:tc>
          <w:tcPr>
            <w:tcW w:w="1884" w:type="pct"/>
            <w:tcBorders>
              <w:top w:val="nil"/>
              <w:left w:val="single" w:color="000000" w:sz="8" w:space="0"/>
              <w:bottom w:val="single" w:color="000000" w:sz="8" w:space="0"/>
              <w:right w:val="single" w:color="000000" w:sz="8" w:space="0"/>
            </w:tcBorders>
            <w:shd w:val="clear" w:color="auto" w:fill="auto"/>
            <w:vAlign w:val="center"/>
          </w:tcPr>
          <w:p w14:paraId="6FC9018E">
            <w:pPr>
              <w:jc w:val="right"/>
              <w:textAlignment w:val="center"/>
              <w:rPr>
                <w:rFonts w:hint="default" w:ascii="Times New Roman" w:hAnsi="Times New Roman" w:eastAsia="宋体" w:cs="Times New Roman"/>
                <w:color w:val="auto"/>
                <w:sz w:val="21"/>
                <w:szCs w:val="21"/>
                <w:highlight w:val="none"/>
              </w:rPr>
            </w:pPr>
            <w:r>
              <w:rPr>
                <w:rStyle w:val="124"/>
                <w:rFonts w:hint="default" w:ascii="Times New Roman" w:hAnsi="Times New Roman" w:eastAsia="宋体" w:cs="Times New Roman"/>
                <w:color w:val="auto"/>
                <w:highlight w:val="none"/>
                <w:lang w:bidi="ar"/>
              </w:rPr>
              <w:t>环保局</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28928B63">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3</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6E1C1FC0">
            <w:pPr>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w:t>
            </w:r>
          </w:p>
        </w:tc>
      </w:tr>
      <w:tr w14:paraId="67AF2BDE">
        <w:tblPrEx>
          <w:tblCellMar>
            <w:top w:w="0" w:type="dxa"/>
            <w:left w:w="108" w:type="dxa"/>
            <w:bottom w:w="0" w:type="dxa"/>
            <w:right w:w="108" w:type="dxa"/>
          </w:tblCellMar>
        </w:tblPrEx>
        <w:trPr>
          <w:trHeight w:val="20" w:hRule="atLeast"/>
          <w:jc w:val="center"/>
        </w:trPr>
        <w:tc>
          <w:tcPr>
            <w:tcW w:w="1884" w:type="pct"/>
            <w:tcBorders>
              <w:top w:val="nil"/>
              <w:left w:val="single" w:color="000000" w:sz="8" w:space="0"/>
              <w:bottom w:val="single" w:color="000000" w:sz="8" w:space="0"/>
              <w:right w:val="single" w:color="000000" w:sz="8" w:space="0"/>
            </w:tcBorders>
            <w:shd w:val="clear" w:color="auto" w:fill="auto"/>
            <w:vAlign w:val="center"/>
          </w:tcPr>
          <w:p w14:paraId="7E05DF43">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卫健局</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1A410A97">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5</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3CBC3353">
            <w:pPr>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2</w:t>
            </w:r>
          </w:p>
        </w:tc>
      </w:tr>
      <w:tr w14:paraId="311117E0">
        <w:tblPrEx>
          <w:tblCellMar>
            <w:top w:w="0" w:type="dxa"/>
            <w:left w:w="108" w:type="dxa"/>
            <w:bottom w:w="0" w:type="dxa"/>
            <w:right w:w="108" w:type="dxa"/>
          </w:tblCellMar>
        </w:tblPrEx>
        <w:trPr>
          <w:trHeight w:val="20" w:hRule="atLeast"/>
          <w:jc w:val="center"/>
        </w:trPr>
        <w:tc>
          <w:tcPr>
            <w:tcW w:w="1884" w:type="pct"/>
            <w:tcBorders>
              <w:top w:val="nil"/>
              <w:left w:val="single" w:color="000000" w:sz="8" w:space="0"/>
              <w:bottom w:val="single" w:color="000000" w:sz="8" w:space="0"/>
              <w:right w:val="single" w:color="000000" w:sz="8" w:space="0"/>
            </w:tcBorders>
            <w:shd w:val="clear" w:color="auto" w:fill="auto"/>
            <w:vAlign w:val="center"/>
          </w:tcPr>
          <w:p w14:paraId="149282C0">
            <w:pPr>
              <w:jc w:val="right"/>
              <w:textAlignment w:val="center"/>
              <w:rPr>
                <w:rFonts w:hint="default" w:ascii="Times New Roman" w:hAnsi="Times New Roman" w:eastAsia="宋体" w:cs="Times New Roman"/>
                <w:color w:val="auto"/>
                <w:sz w:val="21"/>
                <w:szCs w:val="21"/>
                <w:highlight w:val="none"/>
              </w:rPr>
            </w:pPr>
            <w:r>
              <w:rPr>
                <w:rStyle w:val="124"/>
                <w:rFonts w:hint="default" w:ascii="Times New Roman" w:hAnsi="Times New Roman" w:eastAsia="宋体" w:cs="Times New Roman"/>
                <w:color w:val="auto"/>
                <w:highlight w:val="none"/>
                <w:lang w:bidi="ar"/>
              </w:rPr>
              <w:t>民政局</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0BC1A113">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4C683DF2">
            <w:pPr>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w:t>
            </w:r>
          </w:p>
        </w:tc>
      </w:tr>
      <w:tr w14:paraId="6C3BC085">
        <w:tblPrEx>
          <w:tblCellMar>
            <w:top w:w="0" w:type="dxa"/>
            <w:left w:w="108" w:type="dxa"/>
            <w:bottom w:w="0" w:type="dxa"/>
            <w:right w:w="108" w:type="dxa"/>
          </w:tblCellMar>
        </w:tblPrEx>
        <w:trPr>
          <w:trHeight w:val="20" w:hRule="atLeast"/>
          <w:jc w:val="center"/>
        </w:trPr>
        <w:tc>
          <w:tcPr>
            <w:tcW w:w="1884" w:type="pct"/>
            <w:tcBorders>
              <w:top w:val="nil"/>
              <w:left w:val="single" w:color="000000" w:sz="8" w:space="0"/>
              <w:bottom w:val="single" w:color="000000" w:sz="8" w:space="0"/>
              <w:right w:val="single" w:color="000000" w:sz="8" w:space="0"/>
            </w:tcBorders>
            <w:shd w:val="clear" w:color="auto" w:fill="auto"/>
            <w:vAlign w:val="center"/>
          </w:tcPr>
          <w:p w14:paraId="2427AA6A">
            <w:pPr>
              <w:jc w:val="right"/>
              <w:textAlignment w:val="center"/>
              <w:rPr>
                <w:rFonts w:hint="default" w:ascii="Times New Roman" w:hAnsi="Times New Roman" w:eastAsia="宋体" w:cs="Times New Roman"/>
                <w:color w:val="auto"/>
                <w:sz w:val="21"/>
                <w:szCs w:val="21"/>
                <w:highlight w:val="none"/>
              </w:rPr>
            </w:pPr>
            <w:r>
              <w:rPr>
                <w:rStyle w:val="124"/>
                <w:rFonts w:hint="default" w:ascii="Times New Roman" w:hAnsi="Times New Roman" w:eastAsia="宋体" w:cs="Times New Roman"/>
                <w:color w:val="auto"/>
                <w:highlight w:val="none"/>
                <w:lang w:bidi="ar"/>
              </w:rPr>
              <w:t>农业农村局</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4DC1B7F9">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5</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7DB51200">
            <w:pPr>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w:t>
            </w:r>
          </w:p>
        </w:tc>
      </w:tr>
      <w:tr w14:paraId="034F06B4">
        <w:tblPrEx>
          <w:tblCellMar>
            <w:top w:w="0" w:type="dxa"/>
            <w:left w:w="108" w:type="dxa"/>
            <w:bottom w:w="0" w:type="dxa"/>
            <w:right w:w="108" w:type="dxa"/>
          </w:tblCellMar>
        </w:tblPrEx>
        <w:trPr>
          <w:trHeight w:val="20" w:hRule="atLeast"/>
          <w:jc w:val="center"/>
        </w:trPr>
        <w:tc>
          <w:tcPr>
            <w:tcW w:w="1884" w:type="pct"/>
            <w:tcBorders>
              <w:top w:val="nil"/>
              <w:left w:val="single" w:color="000000" w:sz="8" w:space="0"/>
              <w:bottom w:val="single" w:color="000000" w:sz="8" w:space="0"/>
              <w:right w:val="single" w:color="000000" w:sz="8" w:space="0"/>
            </w:tcBorders>
            <w:shd w:val="clear" w:color="auto" w:fill="auto"/>
            <w:vAlign w:val="center"/>
          </w:tcPr>
          <w:p w14:paraId="7E220178">
            <w:pPr>
              <w:jc w:val="righ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汉滨区移民开发局</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3D8B1F28">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7C470058">
            <w:pPr>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0</w:t>
            </w:r>
          </w:p>
        </w:tc>
      </w:tr>
      <w:tr w14:paraId="50EEA3AF">
        <w:tblPrEx>
          <w:tblCellMar>
            <w:top w:w="0" w:type="dxa"/>
            <w:left w:w="108" w:type="dxa"/>
            <w:bottom w:w="0" w:type="dxa"/>
            <w:right w:w="108" w:type="dxa"/>
          </w:tblCellMar>
        </w:tblPrEx>
        <w:trPr>
          <w:trHeight w:val="20" w:hRule="atLeast"/>
          <w:jc w:val="center"/>
        </w:trPr>
        <w:tc>
          <w:tcPr>
            <w:tcW w:w="1884" w:type="pct"/>
            <w:tcBorders>
              <w:top w:val="nil"/>
              <w:left w:val="single" w:color="000000" w:sz="8" w:space="0"/>
              <w:bottom w:val="single" w:color="000000" w:sz="8" w:space="0"/>
              <w:right w:val="single" w:color="000000" w:sz="8" w:space="0"/>
            </w:tcBorders>
            <w:shd w:val="clear" w:color="auto" w:fill="auto"/>
            <w:vAlign w:val="center"/>
          </w:tcPr>
          <w:p w14:paraId="75873433">
            <w:pPr>
              <w:jc w:val="right"/>
              <w:textAlignment w:val="center"/>
              <w:rPr>
                <w:rStyle w:val="124"/>
                <w:rFonts w:hint="default" w:ascii="Times New Roman" w:hAnsi="Times New Roman" w:eastAsia="宋体" w:cs="Times New Roman"/>
                <w:color w:val="auto"/>
                <w:highlight w:val="none"/>
                <w:lang w:bidi="ar"/>
              </w:rPr>
            </w:pPr>
            <w:r>
              <w:rPr>
                <w:rStyle w:val="124"/>
                <w:rFonts w:hint="default" w:ascii="Times New Roman" w:hAnsi="Times New Roman" w:eastAsia="宋体" w:cs="Times New Roman"/>
                <w:color w:val="auto"/>
                <w:highlight w:val="none"/>
                <w:lang w:bidi="ar"/>
              </w:rPr>
              <w:t>王湾水厂</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4C41F332">
            <w:pPr>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4</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10A56C0F">
            <w:pPr>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0</w:t>
            </w:r>
          </w:p>
        </w:tc>
      </w:tr>
      <w:tr w14:paraId="617918E7">
        <w:tblPrEx>
          <w:tblCellMar>
            <w:top w:w="0" w:type="dxa"/>
            <w:left w:w="108" w:type="dxa"/>
            <w:bottom w:w="0" w:type="dxa"/>
            <w:right w:w="108" w:type="dxa"/>
          </w:tblCellMar>
        </w:tblPrEx>
        <w:trPr>
          <w:trHeight w:val="20" w:hRule="atLeast"/>
          <w:jc w:val="center"/>
        </w:trPr>
        <w:tc>
          <w:tcPr>
            <w:tcW w:w="1884" w:type="pct"/>
            <w:tcBorders>
              <w:top w:val="nil"/>
              <w:left w:val="single" w:color="000000" w:sz="8" w:space="0"/>
              <w:bottom w:val="single" w:color="000000" w:sz="8" w:space="0"/>
              <w:right w:val="single" w:color="000000" w:sz="8" w:space="0"/>
            </w:tcBorders>
            <w:shd w:val="clear" w:color="auto" w:fill="auto"/>
            <w:vAlign w:val="center"/>
          </w:tcPr>
          <w:p w14:paraId="30285CE9">
            <w:pPr>
              <w:jc w:val="right"/>
              <w:textAlignment w:val="center"/>
              <w:rPr>
                <w:rStyle w:val="124"/>
                <w:rFonts w:hint="default" w:ascii="Times New Roman" w:hAnsi="Times New Roman" w:eastAsia="宋体" w:cs="Times New Roman"/>
                <w:color w:val="auto"/>
                <w:highlight w:val="none"/>
                <w:lang w:bidi="ar"/>
              </w:rPr>
            </w:pPr>
            <w:r>
              <w:rPr>
                <w:rStyle w:val="124"/>
                <w:rFonts w:hint="default" w:ascii="Times New Roman" w:hAnsi="Times New Roman" w:eastAsia="宋体" w:cs="Times New Roman"/>
                <w:color w:val="auto"/>
                <w:highlight w:val="none"/>
                <w:lang w:bidi="ar"/>
              </w:rPr>
              <w:t>汉滨区城投公司</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08B675EF">
            <w:pPr>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3</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345CBE44">
            <w:pPr>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w:t>
            </w:r>
          </w:p>
        </w:tc>
      </w:tr>
      <w:tr w14:paraId="4F3C3F91">
        <w:tblPrEx>
          <w:tblCellMar>
            <w:top w:w="0" w:type="dxa"/>
            <w:left w:w="108" w:type="dxa"/>
            <w:bottom w:w="0" w:type="dxa"/>
            <w:right w:w="108" w:type="dxa"/>
          </w:tblCellMar>
        </w:tblPrEx>
        <w:trPr>
          <w:trHeight w:val="20" w:hRule="atLeast"/>
          <w:jc w:val="center"/>
        </w:trPr>
        <w:tc>
          <w:tcPr>
            <w:tcW w:w="1884" w:type="pct"/>
            <w:tcBorders>
              <w:top w:val="nil"/>
              <w:left w:val="single" w:color="000000" w:sz="8" w:space="0"/>
              <w:bottom w:val="single" w:color="000000" w:sz="8" w:space="0"/>
              <w:right w:val="single" w:color="000000" w:sz="8" w:space="0"/>
            </w:tcBorders>
            <w:shd w:val="clear" w:color="auto" w:fill="auto"/>
            <w:vAlign w:val="center"/>
          </w:tcPr>
          <w:p w14:paraId="3729BB26">
            <w:pPr>
              <w:jc w:val="right"/>
              <w:textAlignment w:val="center"/>
              <w:rPr>
                <w:rFonts w:hint="default" w:ascii="Times New Roman" w:hAnsi="Times New Roman" w:eastAsia="宋体" w:cs="Times New Roman"/>
                <w:color w:val="auto"/>
                <w:sz w:val="21"/>
                <w:szCs w:val="21"/>
                <w:highlight w:val="none"/>
              </w:rPr>
            </w:pPr>
            <w:r>
              <w:rPr>
                <w:rStyle w:val="124"/>
                <w:rFonts w:hint="default" w:ascii="Times New Roman" w:hAnsi="Times New Roman" w:eastAsia="宋体" w:cs="Times New Roman"/>
                <w:color w:val="auto"/>
                <w:highlight w:val="none"/>
                <w:lang w:bidi="ar"/>
              </w:rPr>
              <w:t>妇联</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10AC4AA8">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3</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0B002081">
            <w:pPr>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3</w:t>
            </w:r>
          </w:p>
        </w:tc>
      </w:tr>
      <w:tr w14:paraId="2BB71685">
        <w:tblPrEx>
          <w:tblCellMar>
            <w:top w:w="0" w:type="dxa"/>
            <w:left w:w="108" w:type="dxa"/>
            <w:bottom w:w="0" w:type="dxa"/>
            <w:right w:w="108" w:type="dxa"/>
          </w:tblCellMar>
        </w:tblPrEx>
        <w:trPr>
          <w:trHeight w:val="20" w:hRule="atLeast"/>
          <w:jc w:val="center"/>
        </w:trPr>
        <w:tc>
          <w:tcPr>
            <w:tcW w:w="1884" w:type="pct"/>
            <w:tcBorders>
              <w:top w:val="nil"/>
              <w:left w:val="single" w:color="000000" w:sz="8" w:space="0"/>
              <w:bottom w:val="single" w:color="000000" w:sz="8" w:space="0"/>
              <w:right w:val="single" w:color="000000" w:sz="8" w:space="0"/>
            </w:tcBorders>
            <w:shd w:val="clear" w:color="auto" w:fill="auto"/>
            <w:vAlign w:val="center"/>
          </w:tcPr>
          <w:p w14:paraId="4BA1FF7A">
            <w:pPr>
              <w:jc w:val="center"/>
              <w:textAlignment w:val="center"/>
              <w:rPr>
                <w:rFonts w:hint="default" w:ascii="Times New Roman" w:hAnsi="Times New Roman" w:eastAsia="宋体" w:cs="Times New Roman"/>
                <w:color w:val="auto"/>
                <w:sz w:val="21"/>
                <w:szCs w:val="21"/>
                <w:highlight w:val="none"/>
              </w:rPr>
            </w:pPr>
            <w:r>
              <w:rPr>
                <w:rStyle w:val="124"/>
                <w:rFonts w:hint="default" w:ascii="Times New Roman" w:hAnsi="Times New Roman" w:eastAsia="宋体" w:cs="Times New Roman"/>
                <w:color w:val="auto"/>
                <w:highlight w:val="none"/>
                <w:lang w:bidi="ar"/>
              </w:rPr>
              <w:t>可研单位</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546443CC">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6</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5BF3FAF5">
            <w:pPr>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w:t>
            </w:r>
          </w:p>
        </w:tc>
      </w:tr>
      <w:tr w14:paraId="23E06CB7">
        <w:tblPrEx>
          <w:tblCellMar>
            <w:top w:w="0" w:type="dxa"/>
            <w:left w:w="108" w:type="dxa"/>
            <w:bottom w:w="0" w:type="dxa"/>
            <w:right w:w="108" w:type="dxa"/>
          </w:tblCellMar>
        </w:tblPrEx>
        <w:trPr>
          <w:trHeight w:val="20" w:hRule="atLeast"/>
          <w:jc w:val="center"/>
        </w:trPr>
        <w:tc>
          <w:tcPr>
            <w:tcW w:w="1884" w:type="pct"/>
            <w:tcBorders>
              <w:top w:val="nil"/>
              <w:left w:val="single" w:color="000000" w:sz="8" w:space="0"/>
              <w:bottom w:val="single" w:color="000000" w:sz="8" w:space="0"/>
              <w:right w:val="single" w:color="000000" w:sz="8" w:space="0"/>
            </w:tcBorders>
            <w:shd w:val="clear" w:color="auto" w:fill="auto"/>
            <w:vAlign w:val="center"/>
          </w:tcPr>
          <w:p w14:paraId="039AE40E">
            <w:pPr>
              <w:jc w:val="center"/>
              <w:textAlignment w:val="center"/>
              <w:rPr>
                <w:rFonts w:hint="default" w:ascii="Times New Roman" w:hAnsi="Times New Roman" w:eastAsia="宋体" w:cs="Times New Roman"/>
                <w:color w:val="auto"/>
                <w:sz w:val="21"/>
                <w:szCs w:val="21"/>
                <w:highlight w:val="none"/>
              </w:rPr>
            </w:pPr>
            <w:r>
              <w:rPr>
                <w:rStyle w:val="124"/>
                <w:rFonts w:hint="default" w:ascii="Times New Roman" w:hAnsi="Times New Roman" w:eastAsia="宋体" w:cs="Times New Roman"/>
                <w:color w:val="auto"/>
                <w:highlight w:val="none"/>
                <w:lang w:bidi="ar"/>
              </w:rPr>
              <w:t>环评单位</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7C650AE5">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5</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1A04292B">
            <w:pPr>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4</w:t>
            </w:r>
          </w:p>
        </w:tc>
      </w:tr>
      <w:tr w14:paraId="5130E2EC">
        <w:tblPrEx>
          <w:tblCellMar>
            <w:top w:w="0" w:type="dxa"/>
            <w:left w:w="108" w:type="dxa"/>
            <w:bottom w:w="0" w:type="dxa"/>
            <w:right w:w="108" w:type="dxa"/>
          </w:tblCellMar>
        </w:tblPrEx>
        <w:trPr>
          <w:trHeight w:val="20" w:hRule="atLeast"/>
          <w:jc w:val="center"/>
        </w:trPr>
        <w:tc>
          <w:tcPr>
            <w:tcW w:w="1884" w:type="pct"/>
            <w:tcBorders>
              <w:top w:val="nil"/>
              <w:left w:val="single" w:color="000000" w:sz="8" w:space="0"/>
              <w:bottom w:val="single" w:color="000000" w:sz="8" w:space="0"/>
              <w:right w:val="single" w:color="000000" w:sz="8" w:space="0"/>
            </w:tcBorders>
            <w:shd w:val="clear" w:color="auto" w:fill="auto"/>
            <w:vAlign w:val="center"/>
          </w:tcPr>
          <w:p w14:paraId="437FD602">
            <w:pPr>
              <w:jc w:val="center"/>
              <w:textAlignment w:val="center"/>
              <w:rPr>
                <w:rFonts w:hint="default" w:ascii="Times New Roman" w:hAnsi="Times New Roman" w:eastAsia="宋体" w:cs="Times New Roman"/>
                <w:color w:val="auto"/>
                <w:sz w:val="21"/>
                <w:szCs w:val="21"/>
                <w:highlight w:val="none"/>
              </w:rPr>
            </w:pPr>
            <w:r>
              <w:rPr>
                <w:rStyle w:val="124"/>
                <w:rFonts w:hint="default" w:ascii="Times New Roman" w:hAnsi="Times New Roman" w:eastAsia="宋体" w:cs="Times New Roman"/>
                <w:color w:val="auto"/>
                <w:highlight w:val="none"/>
                <w:lang w:bidi="ar"/>
              </w:rPr>
              <w:t>问卷调查</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6630A9E7">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760</w:t>
            </w:r>
          </w:p>
        </w:tc>
        <w:tc>
          <w:tcPr>
            <w:tcW w:w="1557" w:type="pct"/>
            <w:tcBorders>
              <w:top w:val="nil"/>
              <w:left w:val="single" w:color="000000" w:sz="8" w:space="0"/>
              <w:bottom w:val="single" w:color="000000" w:sz="8" w:space="0"/>
              <w:right w:val="single" w:color="000000" w:sz="8" w:space="0"/>
            </w:tcBorders>
            <w:shd w:val="clear" w:color="auto" w:fill="auto"/>
            <w:vAlign w:val="center"/>
          </w:tcPr>
          <w:p w14:paraId="1EC628EC">
            <w:pPr>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298</w:t>
            </w:r>
          </w:p>
        </w:tc>
      </w:tr>
    </w:tbl>
    <w:p w14:paraId="236C7EB5">
      <w:pPr>
        <w:pStyle w:val="2"/>
        <w:rPr>
          <w:rFonts w:hint="default" w:ascii="Times New Roman" w:hAnsi="Times New Roman" w:eastAsia="宋体" w:cs="Times New Roman"/>
          <w:color w:val="auto"/>
          <w:highlight w:val="none"/>
        </w:rPr>
      </w:pPr>
    </w:p>
    <w:p w14:paraId="4D0757C1">
      <w:pPr>
        <w:pStyle w:val="4"/>
        <w:spacing w:before="120" w:after="240"/>
        <w:rPr>
          <w:rFonts w:hint="default" w:ascii="Times New Roman" w:hAnsi="Times New Roman" w:eastAsia="宋体" w:cs="Times New Roman"/>
          <w:color w:val="auto"/>
          <w:szCs w:val="24"/>
          <w:highlight w:val="none"/>
        </w:rPr>
      </w:pPr>
      <w:bookmarkStart w:id="325" w:name="_Toc7501"/>
      <w:bookmarkStart w:id="326" w:name="_Toc114673097"/>
      <w:r>
        <w:rPr>
          <w:rFonts w:hint="default" w:ascii="Times New Roman" w:hAnsi="Times New Roman" w:eastAsia="宋体" w:cs="Times New Roman"/>
          <w:color w:val="auto"/>
          <w:szCs w:val="24"/>
          <w:highlight w:val="none"/>
        </w:rPr>
        <w:t>利益相关方的识别</w:t>
      </w:r>
      <w:bookmarkEnd w:id="325"/>
      <w:bookmarkEnd w:id="326"/>
    </w:p>
    <w:p w14:paraId="6517BE87">
      <w:pPr>
        <w:spacing w:before="120" w:after="120" w:line="300" w:lineRule="auto"/>
        <w:ind w:firstLine="480" w:firstLineChars="200"/>
        <w:jc w:val="both"/>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本项目重点识别出每个子项目涉及的主要受影响人/群体以及对项目有重大影响力（特别是涉及关键审批）的机构和部门，从而更好指导首批子项目的准备、设计、实施和运营。</w:t>
      </w:r>
    </w:p>
    <w:p w14:paraId="7C86B88C">
      <w:pPr>
        <w:spacing w:before="120" w:after="120" w:line="300" w:lineRule="auto"/>
        <w:ind w:firstLine="480" w:firstLineChars="200"/>
        <w:jc w:val="both"/>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本项目受影响方包括：</w:t>
      </w:r>
    </w:p>
    <w:p w14:paraId="516D8FE1">
      <w:pPr>
        <w:spacing w:before="120" w:after="120" w:line="300" w:lineRule="auto"/>
        <w:ind w:firstLine="480" w:firstLineChars="200"/>
        <w:jc w:val="both"/>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a)社区及居民，包括项目周边的敏感社区及居民；</w:t>
      </w:r>
    </w:p>
    <w:p w14:paraId="0584C205">
      <w:pPr>
        <w:spacing w:before="120" w:after="120" w:line="300" w:lineRule="auto"/>
        <w:ind w:firstLine="480" w:firstLineChars="200"/>
        <w:jc w:val="both"/>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b)征地影响村集体及村民。</w:t>
      </w:r>
    </w:p>
    <w:p w14:paraId="03F36DDA">
      <w:pPr>
        <w:spacing w:before="120" w:after="120" w:line="300" w:lineRule="auto"/>
        <w:ind w:firstLine="480" w:firstLineChars="200"/>
        <w:jc w:val="both"/>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c)项目劳动者，具体包括：</w:t>
      </w:r>
    </w:p>
    <w:p w14:paraId="7EA25B3E">
      <w:pPr>
        <w:numPr>
          <w:ilvl w:val="0"/>
          <w:numId w:val="26"/>
        </w:numPr>
        <w:spacing w:before="120" w:after="120" w:line="30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highlight w:val="none"/>
        </w:rPr>
        <w:t>建设期负责所有设施建设、设备安装的承包商合同工人</w:t>
      </w:r>
      <w:r>
        <w:rPr>
          <w:rFonts w:hint="default" w:ascii="Times New Roman" w:hAnsi="Times New Roman" w:eastAsia="宋体" w:cs="Times New Roman"/>
          <w:color w:val="auto"/>
          <w:highlight w:val="none"/>
        </w:rPr>
        <w:t>；</w:t>
      </w:r>
    </w:p>
    <w:p w14:paraId="610FC527">
      <w:pPr>
        <w:numPr>
          <w:ilvl w:val="0"/>
          <w:numId w:val="26"/>
        </w:numPr>
        <w:spacing w:before="120" w:line="30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项目建成使用后，聘用的工作人员。</w:t>
      </w:r>
    </w:p>
    <w:p w14:paraId="63D3F6BD">
      <w:pPr>
        <w:numPr>
          <w:ilvl w:val="0"/>
          <w:numId w:val="26"/>
        </w:numPr>
        <w:spacing w:before="120" w:line="30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主要供应商工人。</w:t>
      </w:r>
    </w:p>
    <w:p w14:paraId="6DA1006D">
      <w:pPr>
        <w:spacing w:before="120" w:after="120" w:line="300" w:lineRule="auto"/>
        <w:ind w:firstLine="480" w:firstLineChars="200"/>
        <w:jc w:val="both"/>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本项目下弱势群体主要是因项目被征收土地的16户低保家庭，以及受影响村中非征迁影响的低收入家庭。</w:t>
      </w:r>
    </w:p>
    <w:p w14:paraId="502578E1">
      <w:pPr>
        <w:spacing w:before="120" w:after="120" w:line="300" w:lineRule="auto"/>
        <w:ind w:firstLine="480" w:firstLineChars="200"/>
        <w:jc w:val="both"/>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其他利益相关方主要包括主管项目落地及负责各种审批、各级政府部门、街镇政府、村/居委会、社会团体、地方媒体、设计咨询单位及承包商等。本项目识别了负责项目建设各种审批和监管的关键政府部门，其中包括负责用地审批的规资局、负责林地征占用审批的林业局等。</w:t>
      </w:r>
    </w:p>
    <w:p w14:paraId="3ABEA243">
      <w:pPr>
        <w:pStyle w:val="4"/>
        <w:spacing w:before="120" w:after="240"/>
        <w:rPr>
          <w:rFonts w:hint="default" w:ascii="Times New Roman" w:hAnsi="Times New Roman" w:eastAsia="宋体" w:cs="Times New Roman"/>
          <w:color w:val="auto"/>
          <w:highlight w:val="none"/>
        </w:rPr>
      </w:pPr>
      <w:bookmarkStart w:id="327" w:name="_Toc30907"/>
      <w:bookmarkStart w:id="328" w:name="_Toc114673098"/>
      <w:r>
        <w:rPr>
          <w:rFonts w:hint="default" w:ascii="Times New Roman" w:hAnsi="Times New Roman" w:eastAsia="宋体" w:cs="Times New Roman"/>
          <w:color w:val="auto"/>
          <w:szCs w:val="24"/>
          <w:highlight w:val="none"/>
        </w:rPr>
        <w:t>已完成的利益相关方参与活动的主要发现</w:t>
      </w:r>
      <w:bookmarkEnd w:id="327"/>
      <w:bookmarkEnd w:id="328"/>
    </w:p>
    <w:p w14:paraId="541E5EF7">
      <w:pPr>
        <w:spacing w:before="120" w:after="120" w:line="300" w:lineRule="auto"/>
        <w:ind w:firstLine="480" w:firstLineChars="200"/>
        <w:jc w:val="both"/>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社评团队在子项目的准备过程中对各类利益相关方进行了较为充分的沟通和参与。在项目管理方面，建议将受项目影响的利益相关方以及有重大影响力的利益相关方的参与时间要求纳入到项目实施计划安排。</w:t>
      </w:r>
    </w:p>
    <w:p w14:paraId="28112BC8">
      <w:pPr>
        <w:pStyle w:val="76"/>
        <w:numPr>
          <w:ilvl w:val="0"/>
          <w:numId w:val="27"/>
        </w:numPr>
        <w:spacing w:before="120" w:after="120" w:line="300" w:lineRule="auto"/>
        <w:ind w:left="707" w:leftChars="200" w:hanging="227"/>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利益相关方参与应尽早开展并贯穿整个项目周期。</w:t>
      </w:r>
      <w:r>
        <w:rPr>
          <w:rFonts w:hint="default" w:ascii="Times New Roman" w:hAnsi="Times New Roman" w:eastAsia="宋体" w:cs="Times New Roman"/>
          <w:color w:val="auto"/>
          <w:highlight w:val="none"/>
        </w:rPr>
        <w:t>项目征地拆迁活动需充分与拟拆迁的受影响户沟通，了解拆迁影响户的合理诉求，对于征迁政策及补偿安置方案应及时的进行信息披露。项目社评应设计有效的机制和程序供项目办、执行机构和施工单位在子项目活动实施时参考。土建工程的建设与运营过程中应建立持续的信息披露和公众参与机制。针对项目周边居民区和医院等敏感点，应重点关注施工噪音、扬尘、振动、出行不便等干扰以及道路交通安全的管理，以尽可能减少对周边居民影响。</w:t>
      </w:r>
    </w:p>
    <w:p w14:paraId="29535CFF">
      <w:pPr>
        <w:pStyle w:val="76"/>
        <w:numPr>
          <w:ilvl w:val="0"/>
          <w:numId w:val="27"/>
        </w:numPr>
        <w:spacing w:before="120" w:after="120" w:line="300" w:lineRule="auto"/>
        <w:ind w:left="707" w:leftChars="200" w:hanging="227"/>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关注工人的工作条件与职业健康安全</w:t>
      </w:r>
      <w:r>
        <w:rPr>
          <w:rFonts w:hint="default" w:ascii="Times New Roman" w:hAnsi="Times New Roman" w:eastAsia="宋体" w:cs="Times New Roman"/>
          <w:color w:val="auto"/>
          <w:highlight w:val="none"/>
        </w:rPr>
        <w:t>。完善工人保障制度的落实，包括劳动合同签订，提供安全等方面的培训，并为他们购买意外险；完善申诉机制的建设，项目办应指导和监督施工单位对工人的管理。项目办应尽早和地方卫健委沟通，了解相关的要求和程序，并结合亚投行ESF的相关要求，在项目的设计、建设和实施过程中落实，尤其是施工单位对工人职业健康安全方面的落实。</w:t>
      </w:r>
    </w:p>
    <w:p w14:paraId="3DFE4F79">
      <w:pPr>
        <w:pStyle w:val="76"/>
        <w:numPr>
          <w:ilvl w:val="0"/>
          <w:numId w:val="27"/>
        </w:numPr>
        <w:spacing w:before="120" w:after="120" w:line="300" w:lineRule="auto"/>
        <w:ind w:left="707" w:leftChars="200" w:hanging="227"/>
        <w:jc w:val="both"/>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受项目影响的弱势群体。</w:t>
      </w:r>
      <w:r>
        <w:rPr>
          <w:rFonts w:hint="default" w:ascii="Times New Roman" w:hAnsi="Times New Roman" w:eastAsia="宋体" w:cs="Times New Roman"/>
          <w:color w:val="auto"/>
          <w:highlight w:val="none"/>
        </w:rPr>
        <w:t>针对这部分群体，在尊重他（她）们意愿和工作能力的基础上，项目设计过程中可以考虑优先将其纳入到未来建设和运营中，通过与社区协商为其提供合适的岗位（如保洁等力所能及的工作）。</w:t>
      </w:r>
    </w:p>
    <w:p w14:paraId="2200860D">
      <w:pPr>
        <w:pStyle w:val="4"/>
        <w:spacing w:before="120" w:after="240"/>
        <w:rPr>
          <w:rFonts w:hint="default" w:ascii="Times New Roman" w:hAnsi="Times New Roman" w:eastAsia="宋体" w:cs="Times New Roman"/>
          <w:color w:val="auto"/>
          <w:szCs w:val="24"/>
          <w:highlight w:val="none"/>
        </w:rPr>
      </w:pPr>
      <w:bookmarkStart w:id="329" w:name="_Toc112425555"/>
      <w:bookmarkStart w:id="330" w:name="_Toc5068"/>
      <w:bookmarkStart w:id="331" w:name="_Toc114673099"/>
      <w:bookmarkStart w:id="332" w:name="_Toc114673100"/>
      <w:r>
        <w:rPr>
          <w:rFonts w:hint="default" w:ascii="Times New Roman" w:hAnsi="Times New Roman" w:eastAsia="宋体" w:cs="Times New Roman"/>
          <w:color w:val="auto"/>
          <w:szCs w:val="24"/>
          <w:highlight w:val="none"/>
        </w:rPr>
        <w:t>环境与社会文件的信息披露活动</w:t>
      </w:r>
      <w:bookmarkEnd w:id="329"/>
      <w:bookmarkEnd w:id="330"/>
      <w:bookmarkEnd w:id="331"/>
    </w:p>
    <w:p w14:paraId="6F73923D">
      <w:pPr>
        <w:snapToGrid w:val="0"/>
        <w:spacing w:before="120" w:after="120" w:line="300" w:lineRule="auto"/>
        <w:ind w:firstLine="480" w:firstLineChars="200"/>
        <w:jc w:val="both"/>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本项目环境和社会文件准备过程中，社评和环评单位充分与汉滨区政府、项目办以及政府相关职能部门就识别出的风险与影响及处理方案和措施进行充分沟通，确保建议和发现更好与项目的实际相结合。</w:t>
      </w:r>
    </w:p>
    <w:p w14:paraId="5E975857">
      <w:pPr>
        <w:snapToGrid w:val="0"/>
        <w:spacing w:before="120" w:after="120" w:line="30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2"/>
          <w:highlight w:val="none"/>
        </w:rPr>
        <w:t>根据亚投行审批环境与社会文件的相关时间节点，预计项办室将在2023年11月底前通过汉滨区政府官网公示项目具体的环境和社会文件（包括环境影响评价、社会影响评价、利益相关方参与计划、移民安置计划、移民尽职调查报告、环境与社会管理计划）。</w:t>
      </w:r>
    </w:p>
    <w:bookmarkEnd w:id="332"/>
    <w:p w14:paraId="2ED92285">
      <w:pPr>
        <w:pStyle w:val="4"/>
        <w:spacing w:before="120"/>
        <w:rPr>
          <w:rFonts w:hint="default" w:ascii="Times New Roman" w:hAnsi="Times New Roman" w:eastAsia="宋体" w:cs="Times New Roman"/>
          <w:color w:val="auto"/>
          <w:highlight w:val="none"/>
        </w:rPr>
      </w:pPr>
      <w:bookmarkStart w:id="333" w:name="_Toc24893"/>
      <w:r>
        <w:rPr>
          <w:rFonts w:hint="default" w:ascii="Times New Roman" w:hAnsi="Times New Roman" w:eastAsia="宋体" w:cs="Times New Roman"/>
          <w:color w:val="auto"/>
          <w:highlight w:val="none"/>
        </w:rPr>
        <w:t>未来实施过程中的利益相关方参与计划</w:t>
      </w:r>
      <w:bookmarkEnd w:id="333"/>
    </w:p>
    <w:p w14:paraId="0A3CE4FF">
      <w:pPr>
        <w:spacing w:before="120" w:after="120" w:line="300" w:lineRule="auto"/>
        <w:ind w:firstLine="480" w:firstLineChars="200"/>
        <w:jc w:val="both"/>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在对各子项目利益相关方识别和分析的基础上，本项目明确了汉滨区政府、项目办及各级相关单位在利益相关方参与方面的职责和资源安排，并针对不同类别实施分不同阶段拟定了详细的信息披露和磋商计划。</w:t>
      </w:r>
    </w:p>
    <w:p w14:paraId="51016D32">
      <w:pPr>
        <w:spacing w:before="120" w:after="120" w:line="300" w:lineRule="auto"/>
        <w:ind w:firstLine="480" w:firstLineChars="200"/>
        <w:jc w:val="both"/>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信息披露和磋商计划的重点首先围绕社会影响评价发现的问题，包括征地拆迁、工人雇佣条款和工作条件可能存在与国内法律法规不符的情况、社区与工人的健康与安全等，在项目准备阶段与各类劳动者、相关社区、相关政府部门（包括规资局、卫健委、乡镇政府等）进行充分的沟通，尽早拿出合理的解决方案，并就相关的评估文件、劳动者和社区的申诉机制等进行披露。</w:t>
      </w:r>
    </w:p>
    <w:p w14:paraId="43F00804">
      <w:pPr>
        <w:spacing w:before="120" w:after="120" w:line="300" w:lineRule="auto"/>
        <w:ind w:firstLine="480" w:firstLineChars="200"/>
        <w:jc w:val="both"/>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在项目建设运营过程中持续针对两大目标群体开展信息披露和公众参与，即各类劳动者和社区居民。其中重点包括：</w:t>
      </w:r>
    </w:p>
    <w:p w14:paraId="3C89D38F">
      <w:pPr>
        <w:numPr>
          <w:ilvl w:val="0"/>
          <w:numId w:val="26"/>
        </w:numPr>
        <w:spacing w:before="120" w:after="120" w:line="30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针对各类劳动者，在项目建设运营前期披露项目社会管理计划中与劳动者管理相关的内容，并通过有意义的磋商，优化申诉机制。</w:t>
      </w:r>
    </w:p>
    <w:p w14:paraId="7550EE4B">
      <w:pPr>
        <w:numPr>
          <w:ilvl w:val="0"/>
          <w:numId w:val="26"/>
        </w:numPr>
        <w:spacing w:before="120" w:after="120" w:line="30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针对子项目周边村民和社区居民，设计时以及施工前需与村民和居民充分协商讨论；</w:t>
      </w:r>
    </w:p>
    <w:p w14:paraId="01D59321">
      <w:pPr>
        <w:numPr>
          <w:ilvl w:val="0"/>
          <w:numId w:val="26"/>
        </w:numPr>
        <w:spacing w:before="120" w:after="120" w:line="30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针对征地拆迁影响户，在征地前应公示征地拆迁补偿安置政策，并与他们进行有意义磋商，充分了解他们的看法和合理诉求。</w:t>
      </w:r>
    </w:p>
    <w:p w14:paraId="1F955944">
      <w:pPr>
        <w:numPr>
          <w:ilvl w:val="0"/>
          <w:numId w:val="26"/>
        </w:numPr>
        <w:spacing w:before="120" w:after="120" w:line="30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特别的，针对项目的弱势群体，考虑到其脆弱性特征和特殊需求，制定了专门的信息披露和磋商计划。</w:t>
      </w:r>
    </w:p>
    <w:p w14:paraId="51912D88">
      <w:pPr>
        <w:spacing w:before="120" w:after="120" w:line="300" w:lineRule="auto"/>
        <w:ind w:firstLine="480" w:firstLineChars="200"/>
        <w:jc w:val="both"/>
        <w:rPr>
          <w:rFonts w:hint="default" w:ascii="Times New Roman" w:hAnsi="Times New Roman" w:eastAsia="宋体" w:cs="Times New Roman"/>
          <w:color w:val="auto"/>
          <w:highlight w:val="none"/>
        </w:rPr>
        <w:sectPr>
          <w:pgSz w:w="11906" w:h="16838"/>
          <w:pgMar w:top="1440" w:right="1800" w:bottom="1440" w:left="1800" w:header="851" w:footer="992" w:gutter="0"/>
          <w:cols w:space="720" w:num="1"/>
          <w:docGrid w:linePitch="326" w:charSpace="0"/>
        </w:sectPr>
      </w:pPr>
      <w:r>
        <w:rPr>
          <w:rFonts w:hint="default" w:ascii="Times New Roman" w:hAnsi="Times New Roman" w:eastAsia="宋体" w:cs="Times New Roman"/>
          <w:color w:val="auto"/>
          <w:szCs w:val="22"/>
          <w:highlight w:val="none"/>
        </w:rPr>
        <w:t>详细的计划，包括参与内容、目标群体、参与时间、参与地点以及责任机构等可参考本项目的利益相关方参与计划（SEP）。</w:t>
      </w:r>
    </w:p>
    <w:bookmarkEnd w:id="300"/>
    <w:bookmarkEnd w:id="301"/>
    <w:bookmarkEnd w:id="319"/>
    <w:p w14:paraId="6A2E3E66">
      <w:pPr>
        <w:rPr>
          <w:rFonts w:hint="default" w:ascii="Times New Roman" w:hAnsi="Times New Roman" w:eastAsia="宋体" w:cs="Times New Roman"/>
          <w:color w:val="auto"/>
          <w:highlight w:val="none"/>
        </w:rPr>
      </w:pPr>
      <w:bookmarkStart w:id="334" w:name="_Toc114673141"/>
      <w:bookmarkStart w:id="335" w:name="_Toc110846326"/>
    </w:p>
    <w:p w14:paraId="3501F595">
      <w:pPr>
        <w:pStyle w:val="3"/>
        <w:numPr>
          <w:ilvl w:val="0"/>
          <w:numId w:val="4"/>
        </w:numPr>
        <w:spacing w:line="276" w:lineRule="auto"/>
        <w:ind w:left="431" w:hanging="431"/>
        <w:jc w:val="center"/>
        <w:rPr>
          <w:rFonts w:hint="default" w:ascii="Times New Roman" w:hAnsi="Times New Roman" w:eastAsia="宋体" w:cs="Times New Roman"/>
          <w:color w:val="auto"/>
          <w:sz w:val="28"/>
          <w:szCs w:val="28"/>
          <w:highlight w:val="none"/>
        </w:rPr>
      </w:pPr>
      <w:bookmarkStart w:id="336" w:name="_Toc26867"/>
      <w:r>
        <w:rPr>
          <w:rFonts w:hint="default" w:ascii="Times New Roman" w:hAnsi="Times New Roman" w:eastAsia="宋体" w:cs="Times New Roman"/>
          <w:color w:val="auto"/>
          <w:sz w:val="28"/>
          <w:szCs w:val="28"/>
          <w:highlight w:val="none"/>
        </w:rPr>
        <w:t>社会管理计划</w:t>
      </w:r>
      <w:bookmarkEnd w:id="336"/>
    </w:p>
    <w:p w14:paraId="3F833C5A">
      <w:pPr>
        <w:pStyle w:val="126"/>
        <w:snapToGrid w:val="0"/>
        <w:spacing w:line="360" w:lineRule="auto"/>
        <w:ind w:firstLineChars="175"/>
        <w:jc w:val="both"/>
        <w:rPr>
          <w:rFonts w:hint="default" w:ascii="Times New Roman" w:hAnsi="Times New Roman" w:eastAsia="宋体" w:cs="Times New Roman"/>
          <w:color w:val="auto"/>
          <w:highlight w:val="none"/>
          <w:lang w:eastAsia="zh-CN"/>
        </w:rPr>
      </w:pPr>
    </w:p>
    <w:p w14:paraId="50A709F4">
      <w:pPr>
        <w:pStyle w:val="126"/>
        <w:snapToGrid w:val="0"/>
        <w:spacing w:line="360" w:lineRule="auto"/>
        <w:ind w:firstLineChars="175"/>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结合社会尽职调查及社评过程中的各种公众参与活动结果，分析项目业主在项目实际管理和设计过程中已经采取的风险管理措施，评估社会绩效及可能存在的差距；然后，根据相应环境和社会标准（ESSs）的要求，社评机构提出相应的缓解措施。</w:t>
      </w:r>
    </w:p>
    <w:p w14:paraId="18CA7F3E">
      <w:pPr>
        <w:pStyle w:val="126"/>
        <w:snapToGrid w:val="0"/>
        <w:spacing w:line="360" w:lineRule="auto"/>
        <w:ind w:firstLineChars="175"/>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为了项目的顺利建设和运行，社评机构还制定了详细的利益相关者参与计划，以指导在整个项目期内的信息公开、公众参与、社区沟通及抱怨申诉处理等。</w:t>
      </w:r>
    </w:p>
    <w:p w14:paraId="543B3FEE">
      <w:pPr>
        <w:pStyle w:val="126"/>
        <w:snapToGrid w:val="0"/>
        <w:spacing w:line="360" w:lineRule="auto"/>
        <w:ind w:firstLineChars="175"/>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根据针对各类社会影响和风险所提出的缓解措施，形成社会管理计划，包括具体实施的时间、实施主体和监测的安排。社会管理行动计划整体上可以分阶段达到，项目的前3-5年可以按照较低的管理水平，后期需不断提高标准，具体如表7-1所示。</w:t>
      </w:r>
    </w:p>
    <w:p w14:paraId="593E9C38">
      <w:pPr>
        <w:pStyle w:val="126"/>
        <w:snapToGrid w:val="0"/>
        <w:spacing w:line="360" w:lineRule="auto"/>
        <w:ind w:firstLineChars="175"/>
        <w:jc w:val="both"/>
        <w:rPr>
          <w:rFonts w:hint="default" w:ascii="Times New Roman" w:hAnsi="Times New Roman" w:eastAsia="宋体" w:cs="Times New Roman"/>
          <w:color w:val="auto"/>
          <w:highlight w:val="none"/>
          <w:lang w:eastAsia="zh-CN"/>
        </w:rPr>
        <w:sectPr>
          <w:pgSz w:w="11906" w:h="16838"/>
          <w:pgMar w:top="1440" w:right="1800" w:bottom="1440" w:left="1800" w:header="851" w:footer="992" w:gutter="0"/>
          <w:cols w:space="720" w:num="1"/>
          <w:docGrid w:linePitch="326" w:charSpace="0"/>
        </w:sectPr>
      </w:pPr>
    </w:p>
    <w:p w14:paraId="2DE8DD00">
      <w:pPr>
        <w:pStyle w:val="13"/>
        <w:snapToGrid w:val="0"/>
        <w:spacing w:after="120" w:line="360" w:lineRule="auto"/>
        <w:ind w:firstLine="422" w:firstLineChars="175"/>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szCs w:val="24"/>
          <w:highlight w:val="none"/>
        </w:rPr>
        <w:t xml:space="preserve">表 </w:t>
      </w:r>
      <w:r>
        <w:rPr>
          <w:rFonts w:hint="default" w:ascii="Times New Roman" w:hAnsi="Times New Roman" w:eastAsia="宋体" w:cs="Times New Roman"/>
          <w:bCs/>
          <w:color w:val="auto"/>
          <w:szCs w:val="24"/>
          <w:highlight w:val="none"/>
        </w:rPr>
        <w:fldChar w:fldCharType="begin"/>
      </w:r>
      <w:r>
        <w:rPr>
          <w:rFonts w:hint="default" w:ascii="Times New Roman" w:hAnsi="Times New Roman" w:eastAsia="宋体" w:cs="Times New Roman"/>
          <w:bCs/>
          <w:color w:val="auto"/>
          <w:szCs w:val="24"/>
          <w:highlight w:val="none"/>
        </w:rPr>
        <w:instrText xml:space="preserve"> STYLEREF 1 \s </w:instrText>
      </w:r>
      <w:r>
        <w:rPr>
          <w:rFonts w:hint="default" w:ascii="Times New Roman" w:hAnsi="Times New Roman" w:eastAsia="宋体" w:cs="Times New Roman"/>
          <w:bCs/>
          <w:color w:val="auto"/>
          <w:szCs w:val="24"/>
          <w:highlight w:val="none"/>
        </w:rPr>
        <w:fldChar w:fldCharType="separate"/>
      </w:r>
      <w:r>
        <w:rPr>
          <w:rFonts w:hint="default" w:ascii="Times New Roman" w:hAnsi="Times New Roman" w:eastAsia="宋体" w:cs="Times New Roman"/>
          <w:bCs/>
          <w:color w:val="auto"/>
          <w:szCs w:val="24"/>
          <w:highlight w:val="none"/>
        </w:rPr>
        <w:t>7</w:t>
      </w:r>
      <w:r>
        <w:rPr>
          <w:rFonts w:hint="default" w:ascii="Times New Roman" w:hAnsi="Times New Roman" w:eastAsia="宋体" w:cs="Times New Roman"/>
          <w:bCs/>
          <w:color w:val="auto"/>
          <w:szCs w:val="24"/>
          <w:highlight w:val="none"/>
        </w:rPr>
        <w:fldChar w:fldCharType="end"/>
      </w:r>
      <w:r>
        <w:rPr>
          <w:rFonts w:hint="default" w:ascii="Times New Roman" w:hAnsi="Times New Roman" w:eastAsia="宋体" w:cs="Times New Roman"/>
          <w:bCs/>
          <w:color w:val="auto"/>
          <w:szCs w:val="24"/>
          <w:highlight w:val="none"/>
        </w:rPr>
        <w:t>-</w:t>
      </w:r>
      <w:r>
        <w:rPr>
          <w:rFonts w:hint="default" w:ascii="Times New Roman" w:hAnsi="Times New Roman" w:eastAsia="宋体" w:cs="Times New Roman"/>
          <w:bCs/>
          <w:color w:val="auto"/>
          <w:szCs w:val="24"/>
          <w:highlight w:val="none"/>
        </w:rPr>
        <w:fldChar w:fldCharType="begin"/>
      </w:r>
      <w:r>
        <w:rPr>
          <w:rFonts w:hint="default" w:ascii="Times New Roman" w:hAnsi="Times New Roman" w:eastAsia="宋体" w:cs="Times New Roman"/>
          <w:bCs/>
          <w:color w:val="auto"/>
          <w:szCs w:val="24"/>
          <w:highlight w:val="none"/>
        </w:rPr>
        <w:instrText xml:space="preserve"> SEQ 表 \* ARABIC \s 1 </w:instrText>
      </w:r>
      <w:r>
        <w:rPr>
          <w:rFonts w:hint="default" w:ascii="Times New Roman" w:hAnsi="Times New Roman" w:eastAsia="宋体" w:cs="Times New Roman"/>
          <w:bCs/>
          <w:color w:val="auto"/>
          <w:szCs w:val="24"/>
          <w:highlight w:val="none"/>
        </w:rPr>
        <w:fldChar w:fldCharType="separate"/>
      </w:r>
      <w:r>
        <w:rPr>
          <w:rFonts w:hint="default" w:ascii="Times New Roman" w:hAnsi="Times New Roman" w:eastAsia="宋体" w:cs="Times New Roman"/>
          <w:bCs/>
          <w:color w:val="auto"/>
          <w:szCs w:val="24"/>
          <w:highlight w:val="none"/>
        </w:rPr>
        <w:t>1</w:t>
      </w:r>
      <w:r>
        <w:rPr>
          <w:rFonts w:hint="default" w:ascii="Times New Roman" w:hAnsi="Times New Roman" w:eastAsia="宋体" w:cs="Times New Roman"/>
          <w:bCs/>
          <w:color w:val="auto"/>
          <w:szCs w:val="24"/>
          <w:highlight w:val="none"/>
        </w:rPr>
        <w:fldChar w:fldCharType="end"/>
      </w:r>
      <w:bookmarkStart w:id="337" w:name="_Toc13061"/>
      <w:r>
        <w:rPr>
          <w:rFonts w:hint="default" w:ascii="Times New Roman" w:hAnsi="Times New Roman" w:eastAsia="宋体" w:cs="Times New Roman"/>
          <w:bCs/>
          <w:color w:val="auto"/>
          <w:szCs w:val="24"/>
          <w:highlight w:val="none"/>
        </w:rPr>
        <w:t xml:space="preserve"> 社会管理计划</w:t>
      </w:r>
      <w:bookmarkEnd w:id="337"/>
    </w:p>
    <w:tbl>
      <w:tblPr>
        <w:tblStyle w:val="43"/>
        <w:tblW w:w="5102" w:type="pct"/>
        <w:tblInd w:w="0" w:type="dxa"/>
        <w:tblLayout w:type="fixed"/>
        <w:tblCellMar>
          <w:top w:w="0" w:type="dxa"/>
          <w:left w:w="108" w:type="dxa"/>
          <w:bottom w:w="0" w:type="dxa"/>
          <w:right w:w="108" w:type="dxa"/>
        </w:tblCellMar>
      </w:tblPr>
      <w:tblGrid>
        <w:gridCol w:w="1371"/>
        <w:gridCol w:w="4550"/>
        <w:gridCol w:w="1631"/>
        <w:gridCol w:w="1429"/>
        <w:gridCol w:w="3648"/>
        <w:gridCol w:w="1834"/>
      </w:tblGrid>
      <w:tr w14:paraId="6BDCAE65">
        <w:tblPrEx>
          <w:tblCellMar>
            <w:top w:w="0" w:type="dxa"/>
            <w:left w:w="108" w:type="dxa"/>
            <w:bottom w:w="0" w:type="dxa"/>
            <w:right w:w="108" w:type="dxa"/>
          </w:tblCellMar>
        </w:tblPrEx>
        <w:trPr>
          <w:trHeight w:val="20" w:hRule="atLeast"/>
          <w:tblHeader/>
        </w:trPr>
        <w:tc>
          <w:tcPr>
            <w:tcW w:w="474" w:type="pct"/>
            <w:tcBorders>
              <w:top w:val="single" w:color="000000" w:sz="8" w:space="0"/>
              <w:left w:val="single" w:color="000000" w:sz="8" w:space="0"/>
              <w:bottom w:val="single" w:color="000000" w:sz="8" w:space="0"/>
              <w:right w:val="single" w:color="000000" w:sz="8" w:space="0"/>
            </w:tcBorders>
            <w:shd w:val="clear" w:color="auto" w:fill="D9D9D9"/>
            <w:vAlign w:val="center"/>
          </w:tcPr>
          <w:p w14:paraId="736BA855">
            <w:pPr>
              <w:jc w:val="center"/>
              <w:textAlignment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lang w:bidi="ar"/>
              </w:rPr>
              <w:t>潜在影响</w:t>
            </w:r>
          </w:p>
        </w:tc>
        <w:tc>
          <w:tcPr>
            <w:tcW w:w="1573" w:type="pct"/>
            <w:tcBorders>
              <w:top w:val="single" w:color="000000" w:sz="8" w:space="0"/>
              <w:left w:val="single" w:color="000000" w:sz="8" w:space="0"/>
              <w:bottom w:val="single" w:color="000000" w:sz="8" w:space="0"/>
              <w:right w:val="single" w:color="000000" w:sz="8" w:space="0"/>
            </w:tcBorders>
            <w:shd w:val="clear" w:color="auto" w:fill="D9D9D9"/>
            <w:vAlign w:val="center"/>
          </w:tcPr>
          <w:p w14:paraId="6EFBB5D1">
            <w:pPr>
              <w:jc w:val="center"/>
              <w:textAlignment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lang w:bidi="ar"/>
              </w:rPr>
              <w:t>具体行动</w:t>
            </w:r>
          </w:p>
        </w:tc>
        <w:tc>
          <w:tcPr>
            <w:tcW w:w="564" w:type="pct"/>
            <w:tcBorders>
              <w:top w:val="single" w:color="000000" w:sz="8" w:space="0"/>
              <w:left w:val="single" w:color="000000" w:sz="8" w:space="0"/>
              <w:bottom w:val="single" w:color="000000" w:sz="8" w:space="0"/>
              <w:right w:val="single" w:color="000000" w:sz="8" w:space="0"/>
            </w:tcBorders>
            <w:shd w:val="clear" w:color="auto" w:fill="D9D9D9"/>
            <w:vAlign w:val="center"/>
          </w:tcPr>
          <w:p w14:paraId="7E5CF52D">
            <w:pPr>
              <w:jc w:val="center"/>
              <w:textAlignment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lang w:bidi="ar"/>
              </w:rPr>
              <w:t>实施时间</w:t>
            </w:r>
          </w:p>
        </w:tc>
        <w:tc>
          <w:tcPr>
            <w:tcW w:w="494" w:type="pct"/>
            <w:tcBorders>
              <w:top w:val="single" w:color="000000" w:sz="8" w:space="0"/>
              <w:left w:val="single" w:color="000000" w:sz="8" w:space="0"/>
              <w:bottom w:val="single" w:color="000000" w:sz="8" w:space="0"/>
              <w:right w:val="single" w:color="000000" w:sz="8" w:space="0"/>
            </w:tcBorders>
            <w:shd w:val="clear" w:color="auto" w:fill="D9D9D9"/>
            <w:vAlign w:val="center"/>
          </w:tcPr>
          <w:p w14:paraId="5E8B8ACE">
            <w:pPr>
              <w:jc w:val="center"/>
              <w:textAlignment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lang w:bidi="ar"/>
              </w:rPr>
              <w:t>实施主体</w:t>
            </w:r>
          </w:p>
        </w:tc>
        <w:tc>
          <w:tcPr>
            <w:tcW w:w="1261" w:type="pct"/>
            <w:tcBorders>
              <w:top w:val="single" w:color="000000" w:sz="8" w:space="0"/>
              <w:left w:val="single" w:color="000000" w:sz="8" w:space="0"/>
              <w:bottom w:val="single" w:color="000000" w:sz="8" w:space="0"/>
              <w:right w:val="single" w:color="000000" w:sz="8" w:space="0"/>
            </w:tcBorders>
            <w:shd w:val="clear" w:color="auto" w:fill="D9D9D9"/>
            <w:vAlign w:val="center"/>
          </w:tcPr>
          <w:p w14:paraId="6B096773">
            <w:pPr>
              <w:jc w:val="center"/>
              <w:textAlignment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lang w:bidi="ar"/>
              </w:rPr>
              <w:t>监测指标</w:t>
            </w:r>
          </w:p>
        </w:tc>
        <w:tc>
          <w:tcPr>
            <w:tcW w:w="634" w:type="pct"/>
            <w:tcBorders>
              <w:top w:val="single" w:color="000000" w:sz="8" w:space="0"/>
              <w:left w:val="single" w:color="000000" w:sz="8" w:space="0"/>
              <w:bottom w:val="single" w:color="000000" w:sz="8" w:space="0"/>
              <w:right w:val="single" w:color="000000" w:sz="8" w:space="0"/>
            </w:tcBorders>
            <w:shd w:val="clear" w:color="auto" w:fill="D9D9D9"/>
            <w:vAlign w:val="center"/>
          </w:tcPr>
          <w:p w14:paraId="5A9E98CF">
            <w:pPr>
              <w:jc w:val="center"/>
              <w:textAlignment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lang w:bidi="ar"/>
              </w:rPr>
              <w:t>监测的时间和频率</w:t>
            </w:r>
          </w:p>
        </w:tc>
      </w:tr>
      <w:tr w14:paraId="7F5B008D">
        <w:tblPrEx>
          <w:tblCellMar>
            <w:top w:w="0" w:type="dxa"/>
            <w:left w:w="108" w:type="dxa"/>
            <w:bottom w:w="0" w:type="dxa"/>
            <w:right w:w="108" w:type="dxa"/>
          </w:tblCellMar>
        </w:tblPrEx>
        <w:trPr>
          <w:trHeight w:val="253" w:hRule="atLeast"/>
        </w:trPr>
        <w:tc>
          <w:tcPr>
            <w:tcW w:w="474"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CFAF41A">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女性参与度</w:t>
            </w:r>
          </w:p>
        </w:tc>
        <w:tc>
          <w:tcPr>
            <w:tcW w:w="1573"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D1BB9AC">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加强女性公众咨询和协商活动的参与率。</w:t>
            </w:r>
          </w:p>
          <w:p w14:paraId="1E1B629D">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优先为女性提供技能培训的机会。</w:t>
            </w:r>
          </w:p>
          <w:p w14:paraId="45019531">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优先为女性提供合适就业机会。</w:t>
            </w:r>
          </w:p>
        </w:tc>
        <w:tc>
          <w:tcPr>
            <w:tcW w:w="564"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91FE5FF">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项目建设及运行期</w:t>
            </w:r>
          </w:p>
        </w:tc>
        <w:tc>
          <w:tcPr>
            <w:tcW w:w="494"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7F8E224">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项目执行机构</w:t>
            </w:r>
          </w:p>
        </w:tc>
        <w:tc>
          <w:tcPr>
            <w:tcW w:w="1261"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0C1FEDB">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公参活动，女性参与率应不低于35%</w:t>
            </w:r>
          </w:p>
          <w:p w14:paraId="2D4BF67C">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相关村/社区的技能培训活动，女性比例不低于50%</w:t>
            </w:r>
          </w:p>
          <w:p w14:paraId="184E4B20">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本项目创造的轻体力劳动岗位，女性占比不低于40%</w:t>
            </w:r>
          </w:p>
        </w:tc>
        <w:tc>
          <w:tcPr>
            <w:tcW w:w="63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9349F77">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项目执行期（2024~2029年），每半年一次</w:t>
            </w:r>
          </w:p>
        </w:tc>
      </w:tr>
      <w:tr w14:paraId="40568EA6">
        <w:tblPrEx>
          <w:tblCellMar>
            <w:top w:w="0" w:type="dxa"/>
            <w:left w:w="108" w:type="dxa"/>
            <w:bottom w:w="0" w:type="dxa"/>
            <w:right w:w="108" w:type="dxa"/>
          </w:tblCellMar>
        </w:tblPrEx>
        <w:trPr>
          <w:trHeight w:val="253" w:hRule="atLeast"/>
        </w:trPr>
        <w:tc>
          <w:tcPr>
            <w:tcW w:w="474"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32405E02">
            <w:pPr>
              <w:jc w:val="center"/>
              <w:rPr>
                <w:rFonts w:hint="default" w:ascii="Times New Roman" w:hAnsi="Times New Roman" w:eastAsia="宋体" w:cs="Times New Roman"/>
                <w:color w:val="auto"/>
                <w:sz w:val="22"/>
                <w:szCs w:val="22"/>
                <w:highlight w:val="none"/>
              </w:rPr>
            </w:pPr>
          </w:p>
        </w:tc>
        <w:tc>
          <w:tcPr>
            <w:tcW w:w="157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4600930">
            <w:pPr>
              <w:rPr>
                <w:rFonts w:hint="default" w:ascii="Times New Roman" w:hAnsi="Times New Roman" w:eastAsia="宋体" w:cs="Times New Roman"/>
                <w:color w:val="auto"/>
                <w:sz w:val="22"/>
                <w:szCs w:val="22"/>
                <w:highlight w:val="none"/>
              </w:rPr>
            </w:pPr>
          </w:p>
        </w:tc>
        <w:tc>
          <w:tcPr>
            <w:tcW w:w="564"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605F8DB9">
            <w:pPr>
              <w:jc w:val="center"/>
              <w:rPr>
                <w:rFonts w:hint="default" w:ascii="Times New Roman" w:hAnsi="Times New Roman" w:eastAsia="宋体" w:cs="Times New Roman"/>
                <w:color w:val="auto"/>
                <w:sz w:val="22"/>
                <w:szCs w:val="22"/>
                <w:highlight w:val="none"/>
              </w:rPr>
            </w:pPr>
          </w:p>
        </w:tc>
        <w:tc>
          <w:tcPr>
            <w:tcW w:w="494"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5CE62188">
            <w:pPr>
              <w:jc w:val="center"/>
              <w:rPr>
                <w:rFonts w:hint="default" w:ascii="Times New Roman" w:hAnsi="Times New Roman" w:eastAsia="宋体" w:cs="Times New Roman"/>
                <w:color w:val="auto"/>
                <w:sz w:val="22"/>
                <w:szCs w:val="22"/>
                <w:highlight w:val="none"/>
              </w:rPr>
            </w:pPr>
          </w:p>
        </w:tc>
        <w:tc>
          <w:tcPr>
            <w:tcW w:w="126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BDC683C">
            <w:pPr>
              <w:rPr>
                <w:rFonts w:hint="default" w:ascii="Times New Roman" w:hAnsi="Times New Roman" w:eastAsia="宋体" w:cs="Times New Roman"/>
                <w:color w:val="auto"/>
                <w:sz w:val="22"/>
                <w:szCs w:val="22"/>
                <w:highlight w:val="none"/>
              </w:rPr>
            </w:pPr>
          </w:p>
        </w:tc>
        <w:tc>
          <w:tcPr>
            <w:tcW w:w="63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1202BDA">
            <w:pPr>
              <w:jc w:val="center"/>
              <w:rPr>
                <w:rFonts w:hint="default" w:ascii="Times New Roman" w:hAnsi="Times New Roman" w:eastAsia="宋体" w:cs="Times New Roman"/>
                <w:color w:val="auto"/>
                <w:sz w:val="22"/>
                <w:szCs w:val="22"/>
                <w:highlight w:val="none"/>
              </w:rPr>
            </w:pPr>
          </w:p>
        </w:tc>
      </w:tr>
      <w:tr w14:paraId="31E50122">
        <w:tblPrEx>
          <w:tblCellMar>
            <w:top w:w="0" w:type="dxa"/>
            <w:left w:w="108" w:type="dxa"/>
            <w:bottom w:w="0" w:type="dxa"/>
            <w:right w:w="108" w:type="dxa"/>
          </w:tblCellMar>
        </w:tblPrEx>
        <w:trPr>
          <w:trHeight w:val="253" w:hRule="atLeast"/>
        </w:trPr>
        <w:tc>
          <w:tcPr>
            <w:tcW w:w="474"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08F051B1">
            <w:pPr>
              <w:jc w:val="center"/>
              <w:rPr>
                <w:rFonts w:hint="default" w:ascii="Times New Roman" w:hAnsi="Times New Roman" w:eastAsia="宋体" w:cs="Times New Roman"/>
                <w:color w:val="auto"/>
                <w:sz w:val="22"/>
                <w:szCs w:val="22"/>
                <w:highlight w:val="none"/>
              </w:rPr>
            </w:pPr>
          </w:p>
        </w:tc>
        <w:tc>
          <w:tcPr>
            <w:tcW w:w="157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0C8E0D5">
            <w:pPr>
              <w:rPr>
                <w:rFonts w:hint="default" w:ascii="Times New Roman" w:hAnsi="Times New Roman" w:eastAsia="宋体" w:cs="Times New Roman"/>
                <w:color w:val="auto"/>
                <w:sz w:val="22"/>
                <w:szCs w:val="22"/>
                <w:highlight w:val="none"/>
              </w:rPr>
            </w:pPr>
          </w:p>
        </w:tc>
        <w:tc>
          <w:tcPr>
            <w:tcW w:w="564"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5699A0BE">
            <w:pPr>
              <w:jc w:val="center"/>
              <w:rPr>
                <w:rFonts w:hint="default" w:ascii="Times New Roman" w:hAnsi="Times New Roman" w:eastAsia="宋体" w:cs="Times New Roman"/>
                <w:color w:val="auto"/>
                <w:sz w:val="22"/>
                <w:szCs w:val="22"/>
                <w:highlight w:val="none"/>
              </w:rPr>
            </w:pPr>
          </w:p>
        </w:tc>
        <w:tc>
          <w:tcPr>
            <w:tcW w:w="494"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0599EF64">
            <w:pPr>
              <w:jc w:val="center"/>
              <w:rPr>
                <w:rFonts w:hint="default" w:ascii="Times New Roman" w:hAnsi="Times New Roman" w:eastAsia="宋体" w:cs="Times New Roman"/>
                <w:color w:val="auto"/>
                <w:sz w:val="22"/>
                <w:szCs w:val="22"/>
                <w:highlight w:val="none"/>
              </w:rPr>
            </w:pPr>
          </w:p>
        </w:tc>
        <w:tc>
          <w:tcPr>
            <w:tcW w:w="126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BB33979">
            <w:pPr>
              <w:rPr>
                <w:rFonts w:hint="default" w:ascii="Times New Roman" w:hAnsi="Times New Roman" w:eastAsia="宋体" w:cs="Times New Roman"/>
                <w:color w:val="auto"/>
                <w:sz w:val="22"/>
                <w:szCs w:val="22"/>
                <w:highlight w:val="none"/>
              </w:rPr>
            </w:pPr>
          </w:p>
        </w:tc>
        <w:tc>
          <w:tcPr>
            <w:tcW w:w="63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6A106F1">
            <w:pPr>
              <w:jc w:val="center"/>
              <w:rPr>
                <w:rFonts w:hint="default" w:ascii="Times New Roman" w:hAnsi="Times New Roman" w:eastAsia="宋体" w:cs="Times New Roman"/>
                <w:color w:val="auto"/>
                <w:sz w:val="22"/>
                <w:szCs w:val="22"/>
                <w:highlight w:val="none"/>
              </w:rPr>
            </w:pPr>
          </w:p>
        </w:tc>
      </w:tr>
      <w:tr w14:paraId="6D7519E0">
        <w:tblPrEx>
          <w:tblCellMar>
            <w:top w:w="0" w:type="dxa"/>
            <w:left w:w="108" w:type="dxa"/>
            <w:bottom w:w="0" w:type="dxa"/>
            <w:right w:w="108" w:type="dxa"/>
          </w:tblCellMar>
        </w:tblPrEx>
        <w:trPr>
          <w:trHeight w:val="253" w:hRule="atLeast"/>
        </w:trPr>
        <w:tc>
          <w:tcPr>
            <w:tcW w:w="474"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0EB22C">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承包商工人健康与安全</w:t>
            </w:r>
          </w:p>
        </w:tc>
        <w:tc>
          <w:tcPr>
            <w:tcW w:w="1573"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7BC1040">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加强运输车辆司机的道路交通安全培训和管理。</w:t>
            </w:r>
          </w:p>
          <w:p w14:paraId="0D3709ED">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加强对施工人员安全规范施工的培训和管理</w:t>
            </w:r>
          </w:p>
          <w:p w14:paraId="1FEF95F5">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应免费为施工工人配备足够的劳保及安全防护用品</w:t>
            </w:r>
          </w:p>
          <w:p w14:paraId="4526AF26">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制定完整的应急预案，责任落实到人。</w:t>
            </w:r>
          </w:p>
          <w:p w14:paraId="5BED1521">
            <w:pPr>
              <w:textAlignment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应在区卫健委的指导下，落实传染病防控相关措施。同时，组织工地相关人员及施工工人学习传染病防控知识和处理流程，并向工人分发传染病防控信息册。</w:t>
            </w:r>
          </w:p>
          <w:p w14:paraId="14FE89EB">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1"/>
                <w:szCs w:val="20"/>
                <w:highlight w:val="none"/>
              </w:rPr>
              <w:t>落实GBV/SH风险管理框架中的措施。</w:t>
            </w:r>
          </w:p>
          <w:p w14:paraId="50EF84DB">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对劳动者管理绩效进行监测和评估。</w:t>
            </w:r>
          </w:p>
          <w:p w14:paraId="363619CD">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建立、采用有书面记录的申诉处理机制(GRM)，并将处理结果及时反馈给申诉人。</w:t>
            </w:r>
          </w:p>
        </w:tc>
        <w:tc>
          <w:tcPr>
            <w:tcW w:w="564"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CFC9CAC">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项目建设期</w:t>
            </w:r>
          </w:p>
        </w:tc>
        <w:tc>
          <w:tcPr>
            <w:tcW w:w="49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5E7F9FC">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承包商，监理单位。项目实施机构监督</w:t>
            </w:r>
          </w:p>
        </w:tc>
        <w:tc>
          <w:tcPr>
            <w:tcW w:w="1261"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2627BDC">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对运输车辆驾驶员的道路安全培训次数及人数，至少每月一次。</w:t>
            </w:r>
          </w:p>
          <w:p w14:paraId="2810CF88">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施工人员入职、岗前等培训人数；</w:t>
            </w:r>
          </w:p>
          <w:p w14:paraId="244F4275">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施工人员安全生产及规范作业培训次数及人数，至少每月一次。</w:t>
            </w:r>
          </w:p>
          <w:p w14:paraId="738271B2">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工人个人防护用品发放及使用数</w:t>
            </w:r>
          </w:p>
          <w:p w14:paraId="64B012BC">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承包商在开工前，应编制相应的应急预案。</w:t>
            </w:r>
          </w:p>
          <w:p w14:paraId="76247BF7">
            <w:pPr>
              <w:textAlignment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2"/>
                <w:szCs w:val="22"/>
                <w:highlight w:val="none"/>
                <w:lang w:bidi="ar"/>
              </w:rPr>
              <w:t>传染病预防措施的落实；</w:t>
            </w:r>
            <w:r>
              <w:rPr>
                <w:rFonts w:hint="default" w:ascii="Times New Roman" w:hAnsi="Times New Roman" w:eastAsia="宋体" w:cs="Times New Roman"/>
                <w:color w:val="auto"/>
                <w:sz w:val="21"/>
                <w:szCs w:val="20"/>
                <w:highlight w:val="none"/>
              </w:rPr>
              <w:t>传染病防控知识培训次数及人数；信息手册发放数量。</w:t>
            </w:r>
          </w:p>
          <w:p w14:paraId="0DFA3FA7">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GBV</w:t>
            </w:r>
            <w:r>
              <w:rPr>
                <w:rFonts w:hint="default" w:ascii="Times New Roman" w:hAnsi="Times New Roman" w:eastAsia="宋体" w:cs="Times New Roman"/>
                <w:color w:val="auto"/>
                <w:sz w:val="21"/>
                <w:szCs w:val="20"/>
                <w:highlight w:val="none"/>
              </w:rPr>
              <w:t>/SH</w:t>
            </w:r>
            <w:r>
              <w:rPr>
                <w:rFonts w:hint="default" w:ascii="Times New Roman" w:hAnsi="Times New Roman" w:eastAsia="宋体" w:cs="Times New Roman"/>
                <w:color w:val="auto"/>
                <w:sz w:val="22"/>
                <w:szCs w:val="22"/>
                <w:highlight w:val="none"/>
                <w:lang w:bidi="ar"/>
              </w:rPr>
              <w:t>培训及宣导次数，参与人数，以及GBV申诉抱怨及解决。</w:t>
            </w:r>
          </w:p>
          <w:p w14:paraId="0773DD58">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劳动者管理程序的完善和执行情况</w:t>
            </w:r>
          </w:p>
          <w:p w14:paraId="16A7DBDA">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工人抱怨申诉及解决</w:t>
            </w:r>
          </w:p>
        </w:tc>
        <w:tc>
          <w:tcPr>
            <w:tcW w:w="63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06AD8A0">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项目执行期（2024~2029年），每半年一次</w:t>
            </w:r>
          </w:p>
        </w:tc>
      </w:tr>
      <w:tr w14:paraId="41387772">
        <w:tblPrEx>
          <w:tblCellMar>
            <w:top w:w="0" w:type="dxa"/>
            <w:left w:w="108" w:type="dxa"/>
            <w:bottom w:w="0" w:type="dxa"/>
            <w:right w:w="108" w:type="dxa"/>
          </w:tblCellMar>
        </w:tblPrEx>
        <w:trPr>
          <w:trHeight w:val="253" w:hRule="atLeast"/>
        </w:trPr>
        <w:tc>
          <w:tcPr>
            <w:tcW w:w="474"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50FDB878">
            <w:pPr>
              <w:jc w:val="center"/>
              <w:rPr>
                <w:rFonts w:hint="default" w:ascii="Times New Roman" w:hAnsi="Times New Roman" w:eastAsia="宋体" w:cs="Times New Roman"/>
                <w:color w:val="auto"/>
                <w:sz w:val="22"/>
                <w:szCs w:val="22"/>
                <w:highlight w:val="none"/>
              </w:rPr>
            </w:pPr>
          </w:p>
        </w:tc>
        <w:tc>
          <w:tcPr>
            <w:tcW w:w="157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D0A45D0">
            <w:pPr>
              <w:rPr>
                <w:rFonts w:hint="default" w:ascii="Times New Roman" w:hAnsi="Times New Roman" w:eastAsia="宋体" w:cs="Times New Roman"/>
                <w:color w:val="auto"/>
                <w:sz w:val="22"/>
                <w:szCs w:val="22"/>
                <w:highlight w:val="none"/>
              </w:rPr>
            </w:pPr>
          </w:p>
        </w:tc>
        <w:tc>
          <w:tcPr>
            <w:tcW w:w="564"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4805EE69">
            <w:pPr>
              <w:jc w:val="center"/>
              <w:rPr>
                <w:rFonts w:hint="default" w:ascii="Times New Roman" w:hAnsi="Times New Roman" w:eastAsia="宋体" w:cs="Times New Roman"/>
                <w:color w:val="auto"/>
                <w:sz w:val="22"/>
                <w:szCs w:val="22"/>
                <w:highlight w:val="none"/>
              </w:rPr>
            </w:pPr>
          </w:p>
        </w:tc>
        <w:tc>
          <w:tcPr>
            <w:tcW w:w="49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FC5BFBB">
            <w:pPr>
              <w:jc w:val="center"/>
              <w:rPr>
                <w:rFonts w:hint="default" w:ascii="Times New Roman" w:hAnsi="Times New Roman" w:eastAsia="宋体" w:cs="Times New Roman"/>
                <w:color w:val="auto"/>
                <w:sz w:val="22"/>
                <w:szCs w:val="22"/>
                <w:highlight w:val="none"/>
              </w:rPr>
            </w:pPr>
          </w:p>
        </w:tc>
        <w:tc>
          <w:tcPr>
            <w:tcW w:w="126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16DA5D2">
            <w:pPr>
              <w:rPr>
                <w:rFonts w:hint="default" w:ascii="Times New Roman" w:hAnsi="Times New Roman" w:eastAsia="宋体" w:cs="Times New Roman"/>
                <w:color w:val="auto"/>
                <w:sz w:val="22"/>
                <w:szCs w:val="22"/>
                <w:highlight w:val="none"/>
              </w:rPr>
            </w:pPr>
          </w:p>
        </w:tc>
        <w:tc>
          <w:tcPr>
            <w:tcW w:w="63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C8D51EC">
            <w:pPr>
              <w:jc w:val="center"/>
              <w:rPr>
                <w:rFonts w:hint="default" w:ascii="Times New Roman" w:hAnsi="Times New Roman" w:eastAsia="宋体" w:cs="Times New Roman"/>
                <w:color w:val="auto"/>
                <w:sz w:val="22"/>
                <w:szCs w:val="22"/>
                <w:highlight w:val="none"/>
              </w:rPr>
            </w:pPr>
          </w:p>
        </w:tc>
      </w:tr>
      <w:tr w14:paraId="2418B8A3">
        <w:tblPrEx>
          <w:tblCellMar>
            <w:top w:w="0" w:type="dxa"/>
            <w:left w:w="108" w:type="dxa"/>
            <w:bottom w:w="0" w:type="dxa"/>
            <w:right w:w="108" w:type="dxa"/>
          </w:tblCellMar>
        </w:tblPrEx>
        <w:trPr>
          <w:trHeight w:val="253" w:hRule="atLeast"/>
        </w:trPr>
        <w:tc>
          <w:tcPr>
            <w:tcW w:w="474"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69B3FDF1">
            <w:pPr>
              <w:jc w:val="center"/>
              <w:rPr>
                <w:rFonts w:hint="default" w:ascii="Times New Roman" w:hAnsi="Times New Roman" w:eastAsia="宋体" w:cs="Times New Roman"/>
                <w:color w:val="auto"/>
                <w:sz w:val="22"/>
                <w:szCs w:val="22"/>
                <w:highlight w:val="none"/>
              </w:rPr>
            </w:pPr>
          </w:p>
        </w:tc>
        <w:tc>
          <w:tcPr>
            <w:tcW w:w="157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B4D99A4">
            <w:pPr>
              <w:rPr>
                <w:rFonts w:hint="default" w:ascii="Times New Roman" w:hAnsi="Times New Roman" w:eastAsia="宋体" w:cs="Times New Roman"/>
                <w:color w:val="auto"/>
                <w:sz w:val="22"/>
                <w:szCs w:val="22"/>
                <w:highlight w:val="none"/>
              </w:rPr>
            </w:pPr>
          </w:p>
        </w:tc>
        <w:tc>
          <w:tcPr>
            <w:tcW w:w="564"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7758EAB2">
            <w:pPr>
              <w:jc w:val="center"/>
              <w:rPr>
                <w:rFonts w:hint="default" w:ascii="Times New Roman" w:hAnsi="Times New Roman" w:eastAsia="宋体" w:cs="Times New Roman"/>
                <w:color w:val="auto"/>
                <w:sz w:val="22"/>
                <w:szCs w:val="22"/>
                <w:highlight w:val="none"/>
              </w:rPr>
            </w:pPr>
          </w:p>
        </w:tc>
        <w:tc>
          <w:tcPr>
            <w:tcW w:w="49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8C06BD5">
            <w:pPr>
              <w:jc w:val="center"/>
              <w:rPr>
                <w:rFonts w:hint="default" w:ascii="Times New Roman" w:hAnsi="Times New Roman" w:eastAsia="宋体" w:cs="Times New Roman"/>
                <w:color w:val="auto"/>
                <w:sz w:val="22"/>
                <w:szCs w:val="22"/>
                <w:highlight w:val="none"/>
              </w:rPr>
            </w:pPr>
          </w:p>
        </w:tc>
        <w:tc>
          <w:tcPr>
            <w:tcW w:w="126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AC86DA4">
            <w:pPr>
              <w:rPr>
                <w:rFonts w:hint="default" w:ascii="Times New Roman" w:hAnsi="Times New Roman" w:eastAsia="宋体" w:cs="Times New Roman"/>
                <w:color w:val="auto"/>
                <w:sz w:val="22"/>
                <w:szCs w:val="22"/>
                <w:highlight w:val="none"/>
              </w:rPr>
            </w:pPr>
          </w:p>
        </w:tc>
        <w:tc>
          <w:tcPr>
            <w:tcW w:w="63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89EAC5A">
            <w:pPr>
              <w:jc w:val="center"/>
              <w:rPr>
                <w:rFonts w:hint="default" w:ascii="Times New Roman" w:hAnsi="Times New Roman" w:eastAsia="宋体" w:cs="Times New Roman"/>
                <w:color w:val="auto"/>
                <w:sz w:val="22"/>
                <w:szCs w:val="22"/>
                <w:highlight w:val="none"/>
              </w:rPr>
            </w:pPr>
          </w:p>
        </w:tc>
      </w:tr>
      <w:tr w14:paraId="37F14F25">
        <w:tblPrEx>
          <w:tblCellMar>
            <w:top w:w="0" w:type="dxa"/>
            <w:left w:w="108" w:type="dxa"/>
            <w:bottom w:w="0" w:type="dxa"/>
            <w:right w:w="108" w:type="dxa"/>
          </w:tblCellMar>
        </w:tblPrEx>
        <w:trPr>
          <w:trHeight w:val="253" w:hRule="atLeast"/>
        </w:trPr>
        <w:tc>
          <w:tcPr>
            <w:tcW w:w="474"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7C8FF2C5">
            <w:pPr>
              <w:jc w:val="center"/>
              <w:rPr>
                <w:rFonts w:hint="default" w:ascii="Times New Roman" w:hAnsi="Times New Roman" w:eastAsia="宋体" w:cs="Times New Roman"/>
                <w:color w:val="auto"/>
                <w:sz w:val="22"/>
                <w:szCs w:val="22"/>
                <w:highlight w:val="none"/>
              </w:rPr>
            </w:pPr>
          </w:p>
        </w:tc>
        <w:tc>
          <w:tcPr>
            <w:tcW w:w="157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A46609C">
            <w:pPr>
              <w:rPr>
                <w:rFonts w:hint="default" w:ascii="Times New Roman" w:hAnsi="Times New Roman" w:eastAsia="宋体" w:cs="Times New Roman"/>
                <w:color w:val="auto"/>
                <w:sz w:val="22"/>
                <w:szCs w:val="22"/>
                <w:highlight w:val="none"/>
              </w:rPr>
            </w:pPr>
          </w:p>
        </w:tc>
        <w:tc>
          <w:tcPr>
            <w:tcW w:w="564"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21758896">
            <w:pPr>
              <w:jc w:val="center"/>
              <w:rPr>
                <w:rFonts w:hint="default" w:ascii="Times New Roman" w:hAnsi="Times New Roman" w:eastAsia="宋体" w:cs="Times New Roman"/>
                <w:color w:val="auto"/>
                <w:sz w:val="22"/>
                <w:szCs w:val="22"/>
                <w:highlight w:val="none"/>
              </w:rPr>
            </w:pPr>
          </w:p>
        </w:tc>
        <w:tc>
          <w:tcPr>
            <w:tcW w:w="49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6FD8DCD">
            <w:pPr>
              <w:jc w:val="center"/>
              <w:rPr>
                <w:rFonts w:hint="default" w:ascii="Times New Roman" w:hAnsi="Times New Roman" w:eastAsia="宋体" w:cs="Times New Roman"/>
                <w:color w:val="auto"/>
                <w:sz w:val="22"/>
                <w:szCs w:val="22"/>
                <w:highlight w:val="none"/>
              </w:rPr>
            </w:pPr>
          </w:p>
        </w:tc>
        <w:tc>
          <w:tcPr>
            <w:tcW w:w="126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04F8F65">
            <w:pPr>
              <w:rPr>
                <w:rFonts w:hint="default" w:ascii="Times New Roman" w:hAnsi="Times New Roman" w:eastAsia="宋体" w:cs="Times New Roman"/>
                <w:color w:val="auto"/>
                <w:sz w:val="22"/>
                <w:szCs w:val="22"/>
                <w:highlight w:val="none"/>
              </w:rPr>
            </w:pPr>
          </w:p>
        </w:tc>
        <w:tc>
          <w:tcPr>
            <w:tcW w:w="63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A75D8D1">
            <w:pPr>
              <w:jc w:val="center"/>
              <w:rPr>
                <w:rFonts w:hint="default" w:ascii="Times New Roman" w:hAnsi="Times New Roman" w:eastAsia="宋体" w:cs="Times New Roman"/>
                <w:color w:val="auto"/>
                <w:sz w:val="22"/>
                <w:szCs w:val="22"/>
                <w:highlight w:val="none"/>
              </w:rPr>
            </w:pPr>
          </w:p>
        </w:tc>
      </w:tr>
      <w:tr w14:paraId="56AC79D6">
        <w:tblPrEx>
          <w:tblCellMar>
            <w:top w:w="0" w:type="dxa"/>
            <w:left w:w="108" w:type="dxa"/>
            <w:bottom w:w="0" w:type="dxa"/>
            <w:right w:w="108" w:type="dxa"/>
          </w:tblCellMar>
        </w:tblPrEx>
        <w:trPr>
          <w:trHeight w:val="253" w:hRule="atLeast"/>
        </w:trPr>
        <w:tc>
          <w:tcPr>
            <w:tcW w:w="474"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3AC97FBC">
            <w:pPr>
              <w:jc w:val="center"/>
              <w:rPr>
                <w:rFonts w:hint="default" w:ascii="Times New Roman" w:hAnsi="Times New Roman" w:eastAsia="宋体" w:cs="Times New Roman"/>
                <w:color w:val="auto"/>
                <w:sz w:val="22"/>
                <w:szCs w:val="22"/>
                <w:highlight w:val="none"/>
              </w:rPr>
            </w:pPr>
          </w:p>
        </w:tc>
        <w:tc>
          <w:tcPr>
            <w:tcW w:w="157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972F184">
            <w:pPr>
              <w:rPr>
                <w:rFonts w:hint="default" w:ascii="Times New Roman" w:hAnsi="Times New Roman" w:eastAsia="宋体" w:cs="Times New Roman"/>
                <w:color w:val="auto"/>
                <w:sz w:val="22"/>
                <w:szCs w:val="22"/>
                <w:highlight w:val="none"/>
              </w:rPr>
            </w:pPr>
          </w:p>
        </w:tc>
        <w:tc>
          <w:tcPr>
            <w:tcW w:w="564"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364452A1">
            <w:pPr>
              <w:jc w:val="center"/>
              <w:rPr>
                <w:rFonts w:hint="default" w:ascii="Times New Roman" w:hAnsi="Times New Roman" w:eastAsia="宋体" w:cs="Times New Roman"/>
                <w:color w:val="auto"/>
                <w:sz w:val="22"/>
                <w:szCs w:val="22"/>
                <w:highlight w:val="none"/>
              </w:rPr>
            </w:pPr>
          </w:p>
        </w:tc>
        <w:tc>
          <w:tcPr>
            <w:tcW w:w="49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41A1E4E">
            <w:pPr>
              <w:jc w:val="center"/>
              <w:rPr>
                <w:rFonts w:hint="default" w:ascii="Times New Roman" w:hAnsi="Times New Roman" w:eastAsia="宋体" w:cs="Times New Roman"/>
                <w:color w:val="auto"/>
                <w:sz w:val="22"/>
                <w:szCs w:val="22"/>
                <w:highlight w:val="none"/>
              </w:rPr>
            </w:pPr>
          </w:p>
        </w:tc>
        <w:tc>
          <w:tcPr>
            <w:tcW w:w="126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FDF371A">
            <w:pPr>
              <w:rPr>
                <w:rFonts w:hint="default" w:ascii="Times New Roman" w:hAnsi="Times New Roman" w:eastAsia="宋体" w:cs="Times New Roman"/>
                <w:color w:val="auto"/>
                <w:sz w:val="22"/>
                <w:szCs w:val="22"/>
                <w:highlight w:val="none"/>
              </w:rPr>
            </w:pPr>
          </w:p>
        </w:tc>
        <w:tc>
          <w:tcPr>
            <w:tcW w:w="63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59FD1C2">
            <w:pPr>
              <w:jc w:val="center"/>
              <w:rPr>
                <w:rFonts w:hint="default" w:ascii="Times New Roman" w:hAnsi="Times New Roman" w:eastAsia="宋体" w:cs="Times New Roman"/>
                <w:color w:val="auto"/>
                <w:sz w:val="22"/>
                <w:szCs w:val="22"/>
                <w:highlight w:val="none"/>
              </w:rPr>
            </w:pPr>
          </w:p>
        </w:tc>
      </w:tr>
      <w:tr w14:paraId="529EB8D7">
        <w:tblPrEx>
          <w:tblCellMar>
            <w:top w:w="0" w:type="dxa"/>
            <w:left w:w="108" w:type="dxa"/>
            <w:bottom w:w="0" w:type="dxa"/>
            <w:right w:w="108" w:type="dxa"/>
          </w:tblCellMar>
        </w:tblPrEx>
        <w:trPr>
          <w:trHeight w:val="253" w:hRule="atLeast"/>
        </w:trPr>
        <w:tc>
          <w:tcPr>
            <w:tcW w:w="474"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40160AFC">
            <w:pPr>
              <w:jc w:val="center"/>
              <w:rPr>
                <w:rFonts w:hint="default" w:ascii="Times New Roman" w:hAnsi="Times New Roman" w:eastAsia="宋体" w:cs="Times New Roman"/>
                <w:color w:val="auto"/>
                <w:sz w:val="22"/>
                <w:szCs w:val="22"/>
                <w:highlight w:val="none"/>
              </w:rPr>
            </w:pPr>
          </w:p>
        </w:tc>
        <w:tc>
          <w:tcPr>
            <w:tcW w:w="157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BD0C066">
            <w:pPr>
              <w:rPr>
                <w:rFonts w:hint="default" w:ascii="Times New Roman" w:hAnsi="Times New Roman" w:eastAsia="宋体" w:cs="Times New Roman"/>
                <w:color w:val="auto"/>
                <w:sz w:val="22"/>
                <w:szCs w:val="22"/>
                <w:highlight w:val="none"/>
              </w:rPr>
            </w:pPr>
          </w:p>
        </w:tc>
        <w:tc>
          <w:tcPr>
            <w:tcW w:w="564"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087B45C5">
            <w:pPr>
              <w:jc w:val="center"/>
              <w:rPr>
                <w:rFonts w:hint="default" w:ascii="Times New Roman" w:hAnsi="Times New Roman" w:eastAsia="宋体" w:cs="Times New Roman"/>
                <w:color w:val="auto"/>
                <w:sz w:val="22"/>
                <w:szCs w:val="22"/>
                <w:highlight w:val="none"/>
              </w:rPr>
            </w:pPr>
          </w:p>
        </w:tc>
        <w:tc>
          <w:tcPr>
            <w:tcW w:w="49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012388B">
            <w:pPr>
              <w:jc w:val="center"/>
              <w:rPr>
                <w:rFonts w:hint="default" w:ascii="Times New Roman" w:hAnsi="Times New Roman" w:eastAsia="宋体" w:cs="Times New Roman"/>
                <w:color w:val="auto"/>
                <w:sz w:val="22"/>
                <w:szCs w:val="22"/>
                <w:highlight w:val="none"/>
              </w:rPr>
            </w:pPr>
          </w:p>
        </w:tc>
        <w:tc>
          <w:tcPr>
            <w:tcW w:w="126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49EEB75">
            <w:pPr>
              <w:rPr>
                <w:rFonts w:hint="default" w:ascii="Times New Roman" w:hAnsi="Times New Roman" w:eastAsia="宋体" w:cs="Times New Roman"/>
                <w:color w:val="auto"/>
                <w:sz w:val="22"/>
                <w:szCs w:val="22"/>
                <w:highlight w:val="none"/>
              </w:rPr>
            </w:pPr>
          </w:p>
        </w:tc>
        <w:tc>
          <w:tcPr>
            <w:tcW w:w="63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BC3F485">
            <w:pPr>
              <w:jc w:val="center"/>
              <w:rPr>
                <w:rFonts w:hint="default" w:ascii="Times New Roman" w:hAnsi="Times New Roman" w:eastAsia="宋体" w:cs="Times New Roman"/>
                <w:color w:val="auto"/>
                <w:sz w:val="22"/>
                <w:szCs w:val="22"/>
                <w:highlight w:val="none"/>
              </w:rPr>
            </w:pPr>
          </w:p>
        </w:tc>
      </w:tr>
      <w:tr w14:paraId="040BB0F1">
        <w:tblPrEx>
          <w:tblCellMar>
            <w:top w:w="0" w:type="dxa"/>
            <w:left w:w="108" w:type="dxa"/>
            <w:bottom w:w="0" w:type="dxa"/>
            <w:right w:w="108" w:type="dxa"/>
          </w:tblCellMar>
        </w:tblPrEx>
        <w:trPr>
          <w:trHeight w:val="20" w:hRule="atLeast"/>
        </w:trPr>
        <w:tc>
          <w:tcPr>
            <w:tcW w:w="474"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9B6B6D7">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工人雇佣条款及工作条件</w:t>
            </w:r>
          </w:p>
        </w:tc>
        <w:tc>
          <w:tcPr>
            <w:tcW w:w="157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02EA90A">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在招标采购文件中落实承包商的劳动者管理要求，如合同管理、男女同工同酬等，并纳入合同条款；在合同中还应明确相应的不合规补救措施，建立用于管理和监测第三方绩效的程序；对于临时工，还应确保签订劳务合同/协议，及第三方公司为工人购买意外险；</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778F424">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项目建设及运行期</w:t>
            </w:r>
          </w:p>
        </w:tc>
        <w:tc>
          <w:tcPr>
            <w:tcW w:w="49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4B7A1ED">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承包商。项目实施机构监督</w:t>
            </w:r>
          </w:p>
        </w:tc>
        <w:tc>
          <w:tcPr>
            <w:tcW w:w="126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FBCA43A">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劳动者最低工资水平及工资发放；</w:t>
            </w:r>
          </w:p>
          <w:p w14:paraId="643E6F57">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劳动者工作时间；</w:t>
            </w:r>
          </w:p>
          <w:p w14:paraId="238B3616">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劳动者最小年龄；</w:t>
            </w:r>
          </w:p>
          <w:p w14:paraId="0C03771E">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劳动者管理程序的完善和执行情况，包括所有工人的劳务协议和购买的意外险、男性及女性工人工资等。</w:t>
            </w:r>
          </w:p>
        </w:tc>
        <w:tc>
          <w:tcPr>
            <w:tcW w:w="63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498885A">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项目执行期（2024~2029年），每半年一次</w:t>
            </w:r>
          </w:p>
        </w:tc>
      </w:tr>
      <w:tr w14:paraId="0011CE80">
        <w:tblPrEx>
          <w:tblCellMar>
            <w:top w:w="0" w:type="dxa"/>
            <w:left w:w="108" w:type="dxa"/>
            <w:bottom w:w="0" w:type="dxa"/>
            <w:right w:w="108" w:type="dxa"/>
          </w:tblCellMar>
        </w:tblPrEx>
        <w:trPr>
          <w:trHeight w:val="20" w:hRule="atLeast"/>
        </w:trPr>
        <w:tc>
          <w:tcPr>
            <w:tcW w:w="474"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6233AE">
            <w:pPr>
              <w:jc w:val="center"/>
              <w:rPr>
                <w:rFonts w:hint="default" w:ascii="Times New Roman" w:hAnsi="Times New Roman" w:eastAsia="宋体" w:cs="Times New Roman"/>
                <w:color w:val="auto"/>
                <w:sz w:val="22"/>
                <w:szCs w:val="22"/>
                <w:highlight w:val="none"/>
              </w:rPr>
            </w:pPr>
          </w:p>
        </w:tc>
        <w:tc>
          <w:tcPr>
            <w:tcW w:w="157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4EE488C">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在招标采购文件中落实</w:t>
            </w:r>
            <w:r>
              <w:rPr>
                <w:rFonts w:hint="default" w:ascii="Times New Roman" w:hAnsi="Times New Roman" w:eastAsia="宋体" w:cs="Times New Roman"/>
                <w:color w:val="auto"/>
                <w:sz w:val="22"/>
                <w:szCs w:val="22"/>
                <w:highlight w:val="none"/>
                <w:u w:val="single"/>
                <w:lang w:bidi="ar"/>
              </w:rPr>
              <w:t>主要供应商</w:t>
            </w:r>
            <w:r>
              <w:rPr>
                <w:rFonts w:hint="default" w:ascii="Times New Roman" w:hAnsi="Times New Roman" w:eastAsia="宋体" w:cs="Times New Roman"/>
                <w:color w:val="auto"/>
                <w:sz w:val="22"/>
                <w:szCs w:val="22"/>
                <w:highlight w:val="none"/>
                <w:lang w:bidi="ar"/>
              </w:rPr>
              <w:t>的劳动者管理要求，并纳入合同条款；在合同中还应明确：①相应的不合规补救措施，及建立用于管理和监测第三方绩效的程序；②主要供应商提交制造厂家关于劳动者管理的尽职调查报告，应包含制造商雇佣工人的合同管理、雇佣童工、同工同酬、性别歧视、强迫劳动等方面的内容。</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1DC0FA6">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采购招标及施工合同签订期间</w:t>
            </w:r>
          </w:p>
        </w:tc>
        <w:tc>
          <w:tcPr>
            <w:tcW w:w="49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EE20A97">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主要供应商。项目执行机构监督</w:t>
            </w:r>
          </w:p>
        </w:tc>
        <w:tc>
          <w:tcPr>
            <w:tcW w:w="126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6B1EBE5">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劳动者管理程序的完善和执行情况；</w:t>
            </w:r>
          </w:p>
          <w:p w14:paraId="152D05A7">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主要供应商提交生产制造厂商的尽职调查报告。</w:t>
            </w:r>
          </w:p>
        </w:tc>
        <w:tc>
          <w:tcPr>
            <w:tcW w:w="63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51E0D91">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项目执行期（2024~2029年），每半年一次</w:t>
            </w:r>
          </w:p>
        </w:tc>
      </w:tr>
      <w:tr w14:paraId="1D3A102E">
        <w:tblPrEx>
          <w:tblCellMar>
            <w:top w:w="0" w:type="dxa"/>
            <w:left w:w="108" w:type="dxa"/>
            <w:bottom w:w="0" w:type="dxa"/>
            <w:right w:w="108" w:type="dxa"/>
          </w:tblCellMar>
        </w:tblPrEx>
        <w:trPr>
          <w:trHeight w:val="20" w:hRule="atLeast"/>
        </w:trPr>
        <w:tc>
          <w:tcPr>
            <w:tcW w:w="474"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D7AA9FC">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社区健康与安全</w:t>
            </w:r>
          </w:p>
        </w:tc>
        <w:tc>
          <w:tcPr>
            <w:tcW w:w="157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4AF289A">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o完善施工组织方案，合理安排施工工序和工期，尽量减少对施工对社区的影响；</w:t>
            </w:r>
          </w:p>
          <w:p w14:paraId="25CCC3FC">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o施工应尽量避开晚上9点以后的作业，尤其是启动或运行机械设备，以避免夜间对社区居民的噪声影响。</w:t>
            </w:r>
          </w:p>
          <w:p w14:paraId="152A5DB6">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o规范驾驶员和车辆管理，并进行运输路线及行驶速度优化，要求司机按规定线路行驶，在社会敏感点区域路段限速行驶，尽可能减少对社区的影响；</w:t>
            </w:r>
          </w:p>
          <w:p w14:paraId="07A1B9BF">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o对当地居民（包括妇女、儿童、老人等）进行安全教育。</w:t>
            </w:r>
          </w:p>
          <w:p w14:paraId="6A4C94D3">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o对当地居民开展传染病防控知识的宣导，并发放信息手册。</w:t>
            </w:r>
          </w:p>
          <w:p w14:paraId="5B367E0F">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o为当地居民开展洪涝等自然灾害防范与应急避险等方面的宣传或免费的知识培训。</w:t>
            </w:r>
          </w:p>
          <w:p w14:paraId="48A3A1AC">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o建立、采用有书面记录的申诉处理机制(GRM)，主动对社区抱怨和建议进行处理，并将处理结果及时反馈给申诉人。</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6E80F3C">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项目建设期</w:t>
            </w:r>
          </w:p>
        </w:tc>
        <w:tc>
          <w:tcPr>
            <w:tcW w:w="49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D8F7DC0">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项目执行机构，承包商，监理单位</w:t>
            </w:r>
          </w:p>
        </w:tc>
        <w:tc>
          <w:tcPr>
            <w:tcW w:w="126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5FFA9E3">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承包商对于社区健康与安全活动费用支出；</w:t>
            </w:r>
          </w:p>
          <w:p w14:paraId="6A4FFDE2">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社区安全事故发生的次数及损失；</w:t>
            </w:r>
          </w:p>
          <w:p w14:paraId="60C40E94">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公众及社区健康安全宣传教育的次数及人数；</w:t>
            </w:r>
          </w:p>
          <w:p w14:paraId="73228057">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传染病防控知识宣导次数及参与人数；信息手册发放数量。</w:t>
            </w:r>
          </w:p>
          <w:p w14:paraId="12CB4453">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洪涝等自然灾害防范与应急避险等方面宣传或免费的知识培训的次数及参与人数。</w:t>
            </w:r>
          </w:p>
          <w:p w14:paraId="4EE29045">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抱怨申诉的次数及解决。</w:t>
            </w:r>
          </w:p>
        </w:tc>
        <w:tc>
          <w:tcPr>
            <w:tcW w:w="63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D6BD07B">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项目执行期（2024~2029年），每半年一次</w:t>
            </w:r>
          </w:p>
        </w:tc>
      </w:tr>
      <w:tr w14:paraId="41615FAD">
        <w:tblPrEx>
          <w:tblCellMar>
            <w:top w:w="0" w:type="dxa"/>
            <w:left w:w="108" w:type="dxa"/>
            <w:bottom w:w="0" w:type="dxa"/>
            <w:right w:w="108" w:type="dxa"/>
          </w:tblCellMar>
        </w:tblPrEx>
        <w:trPr>
          <w:trHeight w:val="20" w:hRule="atLeast"/>
        </w:trPr>
        <w:tc>
          <w:tcPr>
            <w:tcW w:w="474"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58BC2B">
            <w:pPr>
              <w:jc w:val="center"/>
              <w:rPr>
                <w:rFonts w:hint="default" w:ascii="Times New Roman" w:hAnsi="Times New Roman" w:eastAsia="宋体" w:cs="Times New Roman"/>
                <w:color w:val="auto"/>
                <w:sz w:val="22"/>
                <w:szCs w:val="22"/>
                <w:highlight w:val="none"/>
              </w:rPr>
            </w:pPr>
          </w:p>
        </w:tc>
        <w:tc>
          <w:tcPr>
            <w:tcW w:w="157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8719593">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o在社区交通关键的路段，设置明显的安全警示牌或标识标线，以及减速带。</w:t>
            </w:r>
          </w:p>
          <w:p w14:paraId="10FC47DF">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o针对涉及汉江沿岸和黄洋河沿岸的子项目，制定汛期管理措施或应急预案，如极端天气时进行预警，公园等公共设施提前关闭或有限制的参观等。同时，在汛期安排专业部门或专人负责现场安全管理。</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2DFD37">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项目运行期</w:t>
            </w:r>
          </w:p>
        </w:tc>
        <w:tc>
          <w:tcPr>
            <w:tcW w:w="49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BBBF8E3">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项目执行机构，承包商</w:t>
            </w:r>
          </w:p>
        </w:tc>
        <w:tc>
          <w:tcPr>
            <w:tcW w:w="12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D4633AE">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安全警示牌及减速带的数量。</w:t>
            </w:r>
          </w:p>
          <w:p w14:paraId="6A982492">
            <w:pPr>
              <w:pStyle w:val="2"/>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2"/>
                <w:highlight w:val="none"/>
                <w:lang w:bidi="ar"/>
              </w:rPr>
              <w:t>汛期管理制度或应急预案的制定。</w:t>
            </w:r>
          </w:p>
        </w:tc>
        <w:tc>
          <w:tcPr>
            <w:tcW w:w="63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3A48B9F">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项目执行期（2024~2029年），每半年一次</w:t>
            </w:r>
          </w:p>
        </w:tc>
      </w:tr>
      <w:tr w14:paraId="267C8A7F">
        <w:tblPrEx>
          <w:tblCellMar>
            <w:top w:w="0" w:type="dxa"/>
            <w:left w:w="108" w:type="dxa"/>
            <w:bottom w:w="0" w:type="dxa"/>
            <w:right w:w="108" w:type="dxa"/>
          </w:tblCellMar>
        </w:tblPrEx>
        <w:trPr>
          <w:trHeight w:val="20" w:hRule="atLeast"/>
        </w:trPr>
        <w:tc>
          <w:tcPr>
            <w:tcW w:w="47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052071B">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利益相关方参与</w:t>
            </w:r>
          </w:p>
        </w:tc>
        <w:tc>
          <w:tcPr>
            <w:tcW w:w="157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3ED2C8E">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o优化设计方案应充分征求周边社区居民的意见和建议；</w:t>
            </w:r>
          </w:p>
          <w:p w14:paraId="1EE60842">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o项目征地、拆迁安置、土地流转等应向社区居民披露并征求相关意见和建议；</w:t>
            </w:r>
          </w:p>
          <w:p w14:paraId="4D8F95A7">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o按照利益相关方参与计划（SEP）以及确定的申诉机制（GRM）实施，提供足够资源确保相关机制有效运；</w:t>
            </w:r>
          </w:p>
          <w:p w14:paraId="08D909AA">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o提高弱势群体与女性的公众参与率，充分考虑其意见和建议；</w:t>
            </w:r>
          </w:p>
          <w:p w14:paraId="5EA2DA49">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o建设及运营过程中的环境和社会监测信息及时对社区公布。</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AD34B77">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项目建设及运行期</w:t>
            </w:r>
          </w:p>
        </w:tc>
        <w:tc>
          <w:tcPr>
            <w:tcW w:w="49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7B395C9">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项目执行机构，承包商</w:t>
            </w:r>
          </w:p>
        </w:tc>
        <w:tc>
          <w:tcPr>
            <w:tcW w:w="126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17DE7DB">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利益相关方参与计划的制定及实施</w:t>
            </w:r>
          </w:p>
          <w:p w14:paraId="13B0774D">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项目准备期间公众参与的次数</w:t>
            </w:r>
          </w:p>
          <w:p w14:paraId="3817C081">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项目建设和/或运营期公众参与的次数</w:t>
            </w:r>
          </w:p>
          <w:p w14:paraId="79A3D312">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公众参与活动中的参与者数量；其中：直接工人（分工种、性别等）；合同工人（分工种、性别等）；周边社区居民（含女性、老人、弱势群体等）</w:t>
            </w:r>
          </w:p>
          <w:p w14:paraId="624AE5EF">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抱怨申述及处理，包括收到反馈的数量、收到的抱怨数、已处理的抱怨数。</w:t>
            </w:r>
          </w:p>
        </w:tc>
        <w:tc>
          <w:tcPr>
            <w:tcW w:w="63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BC6420B">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项目执行期（2024~2029年），每半年一次</w:t>
            </w:r>
          </w:p>
        </w:tc>
      </w:tr>
      <w:tr w14:paraId="5668CE37">
        <w:tblPrEx>
          <w:tblCellMar>
            <w:top w:w="0" w:type="dxa"/>
            <w:left w:w="108" w:type="dxa"/>
            <w:bottom w:w="0" w:type="dxa"/>
            <w:right w:w="108" w:type="dxa"/>
          </w:tblCellMar>
        </w:tblPrEx>
        <w:trPr>
          <w:trHeight w:val="20" w:hRule="atLeast"/>
        </w:trPr>
        <w:tc>
          <w:tcPr>
            <w:tcW w:w="47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4EFEA37">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非自愿移民</w:t>
            </w:r>
          </w:p>
        </w:tc>
        <w:tc>
          <w:tcPr>
            <w:tcW w:w="157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9857EBB">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o制定单独的移民安置计划，并按照该计划实施征地拆迁。</w:t>
            </w:r>
          </w:p>
          <w:p w14:paraId="6249D408">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o征迁实施期间，聘请第三方社会外部监测单位对移民安置计划执行情况定期进行监测，并每半年提交一期外部监测报告给亚投行审查。</w:t>
            </w:r>
          </w:p>
        </w:tc>
        <w:tc>
          <w:tcPr>
            <w:tcW w:w="5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84A0B16">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项目建设期</w:t>
            </w:r>
          </w:p>
        </w:tc>
        <w:tc>
          <w:tcPr>
            <w:tcW w:w="49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AA38525">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项目执行机构，社评单位，第三方社会外部监测单位</w:t>
            </w:r>
          </w:p>
        </w:tc>
        <w:tc>
          <w:tcPr>
            <w:tcW w:w="126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8DBD46D">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征地拆迁协议签署情况；</w:t>
            </w:r>
          </w:p>
          <w:p w14:paraId="612C8ED1">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补偿支付情况；</w:t>
            </w:r>
          </w:p>
          <w:p w14:paraId="59F6075F">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拆迁户过渡及安置情况；</w:t>
            </w:r>
          </w:p>
          <w:p w14:paraId="61F70F39">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受影响户的培训次数及人数；</w:t>
            </w:r>
          </w:p>
          <w:p w14:paraId="34D2F9DD">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聘用受影响户工作的人数及报酬；</w:t>
            </w:r>
          </w:p>
          <w:p w14:paraId="4EABAE1F">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针对征迁的抱怨申述及处理，包括收到反馈的数量、收到的抱怨数、已处理的抱怨数。</w:t>
            </w:r>
          </w:p>
        </w:tc>
        <w:tc>
          <w:tcPr>
            <w:tcW w:w="63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CD7D61E">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项目执行期（2024~2029年），每半年一次</w:t>
            </w:r>
          </w:p>
        </w:tc>
      </w:tr>
    </w:tbl>
    <w:p w14:paraId="7F9E40F8">
      <w:pPr>
        <w:pStyle w:val="126"/>
        <w:snapToGrid w:val="0"/>
        <w:spacing w:line="360" w:lineRule="auto"/>
        <w:ind w:firstLineChars="175"/>
        <w:jc w:val="both"/>
        <w:rPr>
          <w:rFonts w:hint="default" w:ascii="Times New Roman" w:hAnsi="Times New Roman" w:eastAsia="宋体" w:cs="Times New Roman"/>
          <w:color w:val="auto"/>
          <w:highlight w:val="none"/>
          <w:lang w:eastAsia="zh-CN"/>
        </w:rPr>
      </w:pPr>
    </w:p>
    <w:p w14:paraId="2B853C2B">
      <w:pPr>
        <w:pStyle w:val="126"/>
        <w:snapToGrid w:val="0"/>
        <w:spacing w:line="360" w:lineRule="auto"/>
        <w:ind w:firstLineChars="175"/>
        <w:jc w:val="both"/>
        <w:rPr>
          <w:rFonts w:hint="default" w:ascii="Times New Roman" w:hAnsi="Times New Roman" w:eastAsia="宋体" w:cs="Times New Roman"/>
          <w:color w:val="auto"/>
          <w:highlight w:val="none"/>
          <w:lang w:eastAsia="zh-CN"/>
        </w:rPr>
        <w:sectPr>
          <w:pgSz w:w="16838" w:h="11906" w:orient="landscape"/>
          <w:pgMar w:top="1800" w:right="1440" w:bottom="1800" w:left="1440" w:header="851" w:footer="992" w:gutter="0"/>
          <w:cols w:space="720" w:num="1"/>
          <w:docGrid w:linePitch="326" w:charSpace="0"/>
        </w:sectPr>
      </w:pPr>
    </w:p>
    <w:p w14:paraId="304E854E">
      <w:pPr>
        <w:pStyle w:val="3"/>
        <w:numPr>
          <w:ilvl w:val="0"/>
          <w:numId w:val="4"/>
        </w:numPr>
        <w:spacing w:line="276" w:lineRule="auto"/>
        <w:ind w:left="431" w:hanging="431"/>
        <w:jc w:val="center"/>
        <w:rPr>
          <w:rFonts w:hint="default" w:ascii="Times New Roman" w:hAnsi="Times New Roman" w:eastAsia="宋体" w:cs="Times New Roman"/>
          <w:color w:val="auto"/>
          <w:sz w:val="28"/>
          <w:szCs w:val="28"/>
          <w:highlight w:val="none"/>
        </w:rPr>
      </w:pPr>
      <w:bookmarkStart w:id="338" w:name="_Toc152083705"/>
      <w:bookmarkEnd w:id="338"/>
      <w:bookmarkStart w:id="339" w:name="_Toc152083780"/>
      <w:bookmarkEnd w:id="339"/>
      <w:bookmarkStart w:id="340" w:name="_Toc152083545"/>
      <w:bookmarkEnd w:id="340"/>
      <w:bookmarkStart w:id="341" w:name="_Toc24036"/>
      <w:r>
        <w:rPr>
          <w:rFonts w:hint="default" w:ascii="Times New Roman" w:hAnsi="Times New Roman" w:eastAsia="宋体" w:cs="Times New Roman"/>
          <w:color w:val="auto"/>
          <w:sz w:val="28"/>
          <w:szCs w:val="28"/>
          <w:highlight w:val="none"/>
        </w:rPr>
        <w:t>机构安排和能力建设</w:t>
      </w:r>
      <w:bookmarkEnd w:id="334"/>
      <w:bookmarkEnd w:id="335"/>
      <w:bookmarkEnd w:id="341"/>
    </w:p>
    <w:p w14:paraId="1F07D51B">
      <w:pPr>
        <w:pStyle w:val="4"/>
        <w:spacing w:before="120" w:after="240"/>
        <w:rPr>
          <w:rFonts w:hint="default" w:ascii="Times New Roman" w:hAnsi="Times New Roman" w:eastAsia="宋体" w:cs="Times New Roman"/>
          <w:color w:val="auto"/>
          <w:szCs w:val="24"/>
          <w:highlight w:val="none"/>
        </w:rPr>
      </w:pPr>
      <w:bookmarkStart w:id="342" w:name="_Toc114673142"/>
      <w:bookmarkStart w:id="343" w:name="_Toc1605"/>
      <w:bookmarkStart w:id="344" w:name="_Toc110846327"/>
      <w:r>
        <w:rPr>
          <w:rFonts w:hint="default" w:ascii="Times New Roman" w:hAnsi="Times New Roman" w:eastAsia="宋体" w:cs="Times New Roman"/>
          <w:color w:val="auto"/>
          <w:szCs w:val="24"/>
          <w:highlight w:val="none"/>
        </w:rPr>
        <w:t>机构安排</w:t>
      </w:r>
      <w:bookmarkEnd w:id="342"/>
      <w:bookmarkEnd w:id="343"/>
      <w:bookmarkEnd w:id="344"/>
    </w:p>
    <w:p w14:paraId="75D399AD">
      <w:pPr>
        <w:pStyle w:val="126"/>
        <w:snapToGrid w:val="0"/>
        <w:spacing w:line="360" w:lineRule="auto"/>
        <w:ind w:firstLineChars="175"/>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为确保项目环境和社会影响和风险得到恰当管理，项目环境和社会管理的机构包括：</w:t>
      </w:r>
    </w:p>
    <w:p w14:paraId="054EDACF">
      <w:pPr>
        <w:pStyle w:val="39"/>
        <w:numPr>
          <w:ilvl w:val="0"/>
          <w:numId w:val="28"/>
        </w:numPr>
        <w:spacing w:before="120" w:after="12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领导机构：安康市人民政府</w:t>
      </w:r>
    </w:p>
    <w:p w14:paraId="6CE0FAF0">
      <w:pPr>
        <w:pStyle w:val="39"/>
        <w:numPr>
          <w:ilvl w:val="0"/>
          <w:numId w:val="28"/>
        </w:numPr>
        <w:spacing w:before="120" w:after="12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项目管理机构：安康市汉滨区人民政府（通过项目管理办公室）</w:t>
      </w:r>
    </w:p>
    <w:p w14:paraId="1255319C">
      <w:pPr>
        <w:pStyle w:val="39"/>
        <w:numPr>
          <w:ilvl w:val="0"/>
          <w:numId w:val="28"/>
        </w:numPr>
        <w:spacing w:before="120" w:after="12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执行机构：汉滨区五里工业集中区（城东新区）管委会</w:t>
      </w:r>
    </w:p>
    <w:p w14:paraId="4982E36A">
      <w:pPr>
        <w:pStyle w:val="39"/>
        <w:numPr>
          <w:ilvl w:val="0"/>
          <w:numId w:val="28"/>
        </w:numPr>
        <w:spacing w:before="120" w:after="12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环境和社会专家顾问（将设置在项目管理咨询团队中）</w:t>
      </w:r>
    </w:p>
    <w:p w14:paraId="5F559AA3">
      <w:pPr>
        <w:pStyle w:val="39"/>
        <w:numPr>
          <w:ilvl w:val="0"/>
          <w:numId w:val="28"/>
        </w:numPr>
        <w:spacing w:before="120" w:after="12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环境和社会外部监测评估机构</w:t>
      </w:r>
    </w:p>
    <w:p w14:paraId="26A68FE3">
      <w:pPr>
        <w:spacing w:before="120" w:after="120" w:line="30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项目的社会管理工作的组织构架如图7-1所示。</w:t>
      </w:r>
    </w:p>
    <w:p w14:paraId="5289B4BA">
      <w:pPr>
        <w:pStyle w:val="2"/>
        <w:spacing w:after="0" w:line="240" w:lineRule="atLeast"/>
        <w:rPr>
          <w:rFonts w:hint="default" w:ascii="Times New Roman" w:hAnsi="Times New Roman" w:eastAsia="宋体" w:cs="Times New Roman"/>
          <w:color w:val="auto"/>
          <w:highlight w:val="none"/>
        </w:rPr>
      </w:pPr>
      <w:bookmarkStart w:id="345" w:name="_Toc86391233"/>
      <w:r>
        <w:rPr>
          <w:rFonts w:hint="default" w:ascii="Times New Roman" w:hAnsi="Times New Roman" w:eastAsia="宋体" w:cs="Times New Roman"/>
          <w:color w:val="auto"/>
          <w:highlight w:val="none"/>
        </w:rPr>
        <w:drawing>
          <wp:inline distT="0" distB="0" distL="114300" distR="114300">
            <wp:extent cx="5264150" cy="3529330"/>
            <wp:effectExtent l="0" t="0" r="8890" b="6350"/>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13"/>
                    <a:stretch>
                      <a:fillRect/>
                    </a:stretch>
                  </pic:blipFill>
                  <pic:spPr>
                    <a:xfrm>
                      <a:off x="0" y="0"/>
                      <a:ext cx="5264150" cy="3529330"/>
                    </a:xfrm>
                    <a:prstGeom prst="rect">
                      <a:avLst/>
                    </a:prstGeom>
                    <a:noFill/>
                    <a:ln>
                      <a:noFill/>
                    </a:ln>
                  </pic:spPr>
                </pic:pic>
              </a:graphicData>
            </a:graphic>
          </wp:inline>
        </w:drawing>
      </w:r>
    </w:p>
    <w:p w14:paraId="1DE3FA1E">
      <w:pPr>
        <w:jc w:val="center"/>
        <w:rPr>
          <w:rFonts w:hint="default" w:ascii="Times New Roman" w:hAnsi="Times New Roman" w:eastAsia="宋体" w:cs="Times New Roman"/>
          <w:b/>
          <w:bCs/>
          <w:color w:val="auto"/>
          <w:highlight w:val="none"/>
        </w:rPr>
      </w:pPr>
      <w:bookmarkStart w:id="346" w:name="_Toc120110886"/>
      <w:bookmarkStart w:id="347" w:name="_Toc113899686"/>
      <w:r>
        <w:rPr>
          <w:rFonts w:hint="default" w:ascii="Times New Roman" w:hAnsi="Times New Roman" w:eastAsia="宋体" w:cs="Times New Roman"/>
          <w:b/>
          <w:bCs/>
          <w:color w:val="auto"/>
          <w:highlight w:val="none"/>
        </w:rPr>
        <w:t xml:space="preserve">图 </w:t>
      </w:r>
      <w:r>
        <w:rPr>
          <w:rFonts w:hint="default" w:ascii="Times New Roman" w:hAnsi="Times New Roman" w:eastAsia="宋体" w:cs="Times New Roman"/>
          <w:b/>
          <w:bCs/>
          <w:color w:val="auto"/>
          <w:highlight w:val="none"/>
        </w:rPr>
        <w:fldChar w:fldCharType="begin"/>
      </w:r>
      <w:r>
        <w:rPr>
          <w:rFonts w:hint="default" w:ascii="Times New Roman" w:hAnsi="Times New Roman" w:eastAsia="宋体" w:cs="Times New Roman"/>
          <w:b/>
          <w:bCs/>
          <w:color w:val="auto"/>
          <w:highlight w:val="none"/>
        </w:rPr>
        <w:instrText xml:space="preserve"> STYLEREF 1 \s </w:instrText>
      </w:r>
      <w:r>
        <w:rPr>
          <w:rFonts w:hint="default" w:ascii="Times New Roman" w:hAnsi="Times New Roman" w:eastAsia="宋体" w:cs="Times New Roman"/>
          <w:b/>
          <w:bCs/>
          <w:color w:val="auto"/>
          <w:highlight w:val="none"/>
        </w:rPr>
        <w:fldChar w:fldCharType="separate"/>
      </w:r>
      <w:r>
        <w:rPr>
          <w:rFonts w:hint="default" w:ascii="Times New Roman" w:hAnsi="Times New Roman" w:eastAsia="宋体" w:cs="Times New Roman"/>
          <w:b/>
          <w:bCs/>
          <w:color w:val="auto"/>
          <w:highlight w:val="none"/>
        </w:rPr>
        <w:t>7</w:t>
      </w:r>
      <w:r>
        <w:rPr>
          <w:rFonts w:hint="default" w:ascii="Times New Roman" w:hAnsi="Times New Roman" w:eastAsia="宋体" w:cs="Times New Roman"/>
          <w:b/>
          <w:bCs/>
          <w:color w:val="auto"/>
          <w:highlight w:val="none"/>
        </w:rPr>
        <w:fldChar w:fldCharType="end"/>
      </w:r>
      <w:r>
        <w:rPr>
          <w:rFonts w:hint="default" w:ascii="Times New Roman" w:hAnsi="Times New Roman" w:eastAsia="宋体" w:cs="Times New Roman"/>
          <w:b/>
          <w:bCs/>
          <w:color w:val="auto"/>
          <w:highlight w:val="none"/>
        </w:rPr>
        <w:noBreakHyphen/>
      </w:r>
      <w:r>
        <w:rPr>
          <w:rFonts w:hint="default" w:ascii="Times New Roman" w:hAnsi="Times New Roman" w:eastAsia="宋体" w:cs="Times New Roman"/>
          <w:b/>
          <w:bCs/>
          <w:color w:val="auto"/>
          <w:highlight w:val="none"/>
        </w:rPr>
        <w:fldChar w:fldCharType="begin"/>
      </w:r>
      <w:r>
        <w:rPr>
          <w:rFonts w:hint="default" w:ascii="Times New Roman" w:hAnsi="Times New Roman" w:eastAsia="宋体" w:cs="Times New Roman"/>
          <w:b/>
          <w:bCs/>
          <w:color w:val="auto"/>
          <w:highlight w:val="none"/>
        </w:rPr>
        <w:instrText xml:space="preserve"> SEQ 图 \* ARABIC \s 1 </w:instrText>
      </w:r>
      <w:r>
        <w:rPr>
          <w:rFonts w:hint="default" w:ascii="Times New Roman" w:hAnsi="Times New Roman" w:eastAsia="宋体" w:cs="Times New Roman"/>
          <w:b/>
          <w:bCs/>
          <w:color w:val="auto"/>
          <w:highlight w:val="none"/>
        </w:rPr>
        <w:fldChar w:fldCharType="separate"/>
      </w:r>
      <w:r>
        <w:rPr>
          <w:rFonts w:hint="default" w:ascii="Times New Roman" w:hAnsi="Times New Roman" w:eastAsia="宋体" w:cs="Times New Roman"/>
          <w:b/>
          <w:bCs/>
          <w:color w:val="auto"/>
          <w:highlight w:val="none"/>
        </w:rPr>
        <w:t>1</w:t>
      </w:r>
      <w:r>
        <w:rPr>
          <w:rFonts w:hint="default" w:ascii="Times New Roman" w:hAnsi="Times New Roman" w:eastAsia="宋体" w:cs="Times New Roman"/>
          <w:b/>
          <w:bCs/>
          <w:color w:val="auto"/>
          <w:highlight w:val="none"/>
        </w:rPr>
        <w:fldChar w:fldCharType="end"/>
      </w:r>
      <w:bookmarkStart w:id="348" w:name="_Toc3871"/>
      <w:r>
        <w:rPr>
          <w:rFonts w:hint="default" w:ascii="Times New Roman" w:hAnsi="Times New Roman" w:eastAsia="宋体" w:cs="Times New Roman"/>
          <w:b/>
          <w:bCs/>
          <w:color w:val="auto"/>
          <w:highlight w:val="none"/>
        </w:rPr>
        <w:t xml:space="preserve"> 项目社会管理的组织结构</w:t>
      </w:r>
      <w:bookmarkEnd w:id="345"/>
      <w:bookmarkEnd w:id="346"/>
      <w:bookmarkEnd w:id="347"/>
      <w:bookmarkEnd w:id="348"/>
    </w:p>
    <w:p w14:paraId="7EE76FC6">
      <w:pPr>
        <w:pStyle w:val="4"/>
        <w:spacing w:before="120" w:after="240"/>
        <w:rPr>
          <w:rFonts w:hint="default" w:ascii="Times New Roman" w:hAnsi="Times New Roman" w:eastAsia="宋体" w:cs="Times New Roman"/>
          <w:color w:val="auto"/>
          <w:szCs w:val="24"/>
          <w:highlight w:val="none"/>
        </w:rPr>
      </w:pPr>
      <w:bookmarkStart w:id="349" w:name="_Toc114673143"/>
      <w:bookmarkStart w:id="350" w:name="_Toc13624"/>
      <w:r>
        <w:rPr>
          <w:rFonts w:hint="default" w:ascii="Times New Roman" w:hAnsi="Times New Roman" w:eastAsia="宋体" w:cs="Times New Roman"/>
          <w:color w:val="auto"/>
          <w:szCs w:val="24"/>
          <w:highlight w:val="none"/>
        </w:rPr>
        <w:t>机构职责</w:t>
      </w:r>
      <w:bookmarkEnd w:id="349"/>
      <w:bookmarkEnd w:id="350"/>
    </w:p>
    <w:p w14:paraId="1FD11B11">
      <w:pPr>
        <w:pStyle w:val="126"/>
        <w:snapToGrid w:val="0"/>
        <w:spacing w:line="360" w:lineRule="auto"/>
        <w:ind w:firstLine="422" w:firstLineChars="175"/>
        <w:jc w:val="both"/>
        <w:rPr>
          <w:rFonts w:hint="default" w:ascii="Times New Roman" w:hAnsi="Times New Roman" w:eastAsia="宋体" w:cs="Times New Roman"/>
          <w:color w:val="auto"/>
          <w:highlight w:val="none"/>
          <w:lang w:eastAsia="zh-CN"/>
        </w:rPr>
      </w:pPr>
      <w:bookmarkStart w:id="351" w:name="_Toc110846328"/>
      <w:bookmarkStart w:id="352" w:name="_Toc97235997"/>
      <w:r>
        <w:rPr>
          <w:rFonts w:hint="default" w:ascii="Times New Roman" w:hAnsi="Times New Roman" w:eastAsia="宋体" w:cs="Times New Roman"/>
          <w:b/>
          <w:bCs/>
          <w:color w:val="auto"/>
          <w:highlight w:val="none"/>
          <w:u w:val="single"/>
          <w:lang w:eastAsia="zh-CN"/>
        </w:rPr>
        <w:t>安康市人民政府：</w:t>
      </w:r>
      <w:r>
        <w:rPr>
          <w:rFonts w:hint="default" w:ascii="Times New Roman" w:hAnsi="Times New Roman" w:eastAsia="宋体" w:cs="Times New Roman"/>
          <w:color w:val="auto"/>
          <w:highlight w:val="none"/>
          <w:lang w:eastAsia="zh-CN"/>
        </w:rPr>
        <w:t>作为项目领导机构，负责本项目的决策管理、外部沟通、内部协调机构。</w:t>
      </w:r>
    </w:p>
    <w:p w14:paraId="1DC072B5">
      <w:pPr>
        <w:pStyle w:val="126"/>
        <w:snapToGrid w:val="0"/>
        <w:spacing w:line="360" w:lineRule="auto"/>
        <w:ind w:firstLine="422" w:firstLineChars="175"/>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b/>
          <w:bCs/>
          <w:color w:val="auto"/>
          <w:highlight w:val="none"/>
          <w:u w:val="single"/>
          <w:lang w:eastAsia="zh-CN"/>
        </w:rPr>
        <w:t>项目管理机构：汉滨区政府</w:t>
      </w:r>
      <w:r>
        <w:rPr>
          <w:rFonts w:hint="default" w:ascii="Times New Roman" w:hAnsi="Times New Roman" w:eastAsia="宋体" w:cs="Times New Roman"/>
          <w:color w:val="auto"/>
          <w:highlight w:val="none"/>
          <w:lang w:eastAsia="zh-CN"/>
        </w:rPr>
        <w:t>已经成立了项目管理办公室（PMO），全面负责本项目的建设管理和资金筹措。具体包括前期工作、项目实施管理等，决策本项目建设中的重大事项，审定项目规划和实施方案，批准本项目资金使用计划，协调解决项目实施过程中的问题等。</w:t>
      </w:r>
    </w:p>
    <w:p w14:paraId="25ADF9F1">
      <w:pPr>
        <w:pStyle w:val="126"/>
        <w:snapToGrid w:val="0"/>
        <w:spacing w:line="360" w:lineRule="auto"/>
        <w:ind w:firstLine="422" w:firstLineChars="175"/>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b/>
          <w:bCs/>
          <w:color w:val="auto"/>
          <w:highlight w:val="none"/>
          <w:u w:val="single"/>
          <w:lang w:eastAsia="zh-CN"/>
        </w:rPr>
        <w:t>项目执行机构：</w:t>
      </w:r>
      <w:r>
        <w:rPr>
          <w:rFonts w:hint="default" w:ascii="Times New Roman" w:hAnsi="Times New Roman" w:eastAsia="宋体" w:cs="Times New Roman"/>
          <w:color w:val="auto"/>
          <w:highlight w:val="none"/>
          <w:lang w:eastAsia="zh-CN"/>
        </w:rPr>
        <w:t>汉滨区五里工业集中区（城东新区）管委会作为项目执行机构（PIU），负责具体实施工作，包括：</w:t>
      </w:r>
    </w:p>
    <w:p w14:paraId="4E56A114">
      <w:pPr>
        <w:pStyle w:val="128"/>
        <w:numPr>
          <w:ilvl w:val="0"/>
          <w:numId w:val="29"/>
        </w:numPr>
        <w:tabs>
          <w:tab w:val="left" w:pos="960"/>
        </w:tabs>
        <w:spacing w:line="360" w:lineRule="auto"/>
        <w:rPr>
          <w:rFonts w:hint="default" w:ascii="Times New Roman" w:hAnsi="Times New Roman" w:eastAsia="宋体" w:cs="Times New Roman"/>
          <w:color w:val="auto"/>
          <w:sz w:val="24"/>
          <w:szCs w:val="24"/>
          <w:highlight w:val="none"/>
        </w:rPr>
      </w:pPr>
      <w:bookmarkStart w:id="353" w:name="_Toc6926"/>
      <w:r>
        <w:rPr>
          <w:rFonts w:hint="default" w:ascii="Times New Roman" w:hAnsi="Times New Roman" w:eastAsia="宋体" w:cs="Times New Roman"/>
          <w:color w:val="auto"/>
          <w:sz w:val="24"/>
          <w:szCs w:val="24"/>
          <w:highlight w:val="none"/>
        </w:rPr>
        <w:t>负责环境管理框架的编制，指导、监督子项目实施单位按照本框架要求开展子项目的相关环境和社会管理工作；</w:t>
      </w:r>
      <w:bookmarkEnd w:id="353"/>
    </w:p>
    <w:p w14:paraId="30780C8A">
      <w:pPr>
        <w:pStyle w:val="128"/>
        <w:numPr>
          <w:ilvl w:val="0"/>
          <w:numId w:val="29"/>
        </w:numPr>
        <w:tabs>
          <w:tab w:val="left" w:pos="960"/>
        </w:tabs>
        <w:spacing w:line="360" w:lineRule="auto"/>
        <w:rPr>
          <w:rFonts w:hint="default" w:ascii="Times New Roman" w:hAnsi="Times New Roman" w:eastAsia="宋体" w:cs="Times New Roman"/>
          <w:color w:val="auto"/>
          <w:sz w:val="24"/>
          <w:szCs w:val="24"/>
          <w:highlight w:val="none"/>
        </w:rPr>
      </w:pPr>
      <w:bookmarkStart w:id="354" w:name="_Toc16582"/>
      <w:r>
        <w:rPr>
          <w:rFonts w:hint="default" w:ascii="Times New Roman" w:hAnsi="Times New Roman" w:eastAsia="宋体" w:cs="Times New Roman"/>
          <w:color w:val="auto"/>
          <w:sz w:val="24"/>
          <w:szCs w:val="24"/>
          <w:highlight w:val="none"/>
        </w:rPr>
        <w:t>设置至少一名专职的社会协调员来负责社会管理计划的实施，在实施期间与亚投行社会专家保持联络；</w:t>
      </w:r>
      <w:bookmarkEnd w:id="354"/>
    </w:p>
    <w:p w14:paraId="6185EF01">
      <w:pPr>
        <w:pStyle w:val="128"/>
        <w:numPr>
          <w:ilvl w:val="0"/>
          <w:numId w:val="29"/>
        </w:numPr>
        <w:tabs>
          <w:tab w:val="left" w:pos="960"/>
        </w:tabs>
        <w:spacing w:line="360" w:lineRule="auto"/>
        <w:rPr>
          <w:rFonts w:hint="default" w:ascii="Times New Roman" w:hAnsi="Times New Roman" w:eastAsia="宋体" w:cs="Times New Roman"/>
          <w:color w:val="auto"/>
          <w:sz w:val="24"/>
          <w:szCs w:val="24"/>
          <w:highlight w:val="none"/>
        </w:rPr>
      </w:pPr>
      <w:bookmarkStart w:id="355" w:name="_Toc21571"/>
      <w:r>
        <w:rPr>
          <w:rFonts w:hint="default" w:ascii="Times New Roman" w:hAnsi="Times New Roman" w:eastAsia="宋体" w:cs="Times New Roman"/>
          <w:color w:val="auto"/>
          <w:sz w:val="24"/>
          <w:szCs w:val="24"/>
          <w:highlight w:val="none"/>
        </w:rPr>
        <w:t>确保招标文件中纳入环境与社会管理计划中相关的措施要求；</w:t>
      </w:r>
    </w:p>
    <w:bookmarkEnd w:id="355"/>
    <w:p w14:paraId="6F08C42D">
      <w:pPr>
        <w:pStyle w:val="128"/>
        <w:numPr>
          <w:ilvl w:val="0"/>
          <w:numId w:val="29"/>
        </w:numPr>
        <w:tabs>
          <w:tab w:val="left" w:pos="960"/>
        </w:tabs>
        <w:spacing w:line="360" w:lineRule="auto"/>
        <w:rPr>
          <w:rFonts w:hint="default" w:ascii="Times New Roman" w:hAnsi="Times New Roman" w:eastAsia="宋体" w:cs="Times New Roman"/>
          <w:color w:val="auto"/>
          <w:sz w:val="24"/>
          <w:szCs w:val="24"/>
          <w:highlight w:val="none"/>
        </w:rPr>
      </w:pPr>
      <w:bookmarkStart w:id="356" w:name="_Toc16524"/>
      <w:r>
        <w:rPr>
          <w:rFonts w:hint="default" w:ascii="Times New Roman" w:hAnsi="Times New Roman" w:eastAsia="宋体" w:cs="Times New Roman"/>
          <w:color w:val="auto"/>
          <w:sz w:val="24"/>
          <w:szCs w:val="24"/>
          <w:highlight w:val="none"/>
        </w:rPr>
        <w:t>筛选项目环境和社会风险等级，审查环境和社会安全保障文件，并提交亚投行审查；</w:t>
      </w:r>
    </w:p>
    <w:bookmarkEnd w:id="356"/>
    <w:p w14:paraId="337FC1C4">
      <w:pPr>
        <w:pStyle w:val="128"/>
        <w:numPr>
          <w:ilvl w:val="0"/>
          <w:numId w:val="29"/>
        </w:numPr>
        <w:tabs>
          <w:tab w:val="left" w:pos="960"/>
        </w:tabs>
        <w:spacing w:line="360" w:lineRule="auto"/>
        <w:rPr>
          <w:rFonts w:hint="default" w:ascii="Times New Roman" w:hAnsi="Times New Roman" w:eastAsia="宋体" w:cs="Times New Roman"/>
          <w:color w:val="auto"/>
          <w:sz w:val="24"/>
          <w:szCs w:val="24"/>
          <w:highlight w:val="none"/>
        </w:rPr>
      </w:pPr>
      <w:bookmarkStart w:id="357" w:name="_Toc10593"/>
      <w:r>
        <w:rPr>
          <w:rFonts w:hint="default" w:ascii="Times New Roman" w:hAnsi="Times New Roman" w:eastAsia="宋体" w:cs="Times New Roman"/>
          <w:color w:val="auto"/>
          <w:sz w:val="24"/>
          <w:szCs w:val="24"/>
          <w:highlight w:val="none"/>
        </w:rPr>
        <w:t>对项目实施单位进行环境管理方面的能力建设；</w:t>
      </w:r>
      <w:bookmarkEnd w:id="357"/>
    </w:p>
    <w:p w14:paraId="19E207EF">
      <w:pPr>
        <w:pStyle w:val="128"/>
        <w:numPr>
          <w:ilvl w:val="0"/>
          <w:numId w:val="29"/>
        </w:numPr>
        <w:tabs>
          <w:tab w:val="left" w:pos="960"/>
        </w:tabs>
        <w:spacing w:line="360" w:lineRule="auto"/>
        <w:rPr>
          <w:rFonts w:hint="default" w:ascii="Times New Roman" w:hAnsi="Times New Roman" w:eastAsia="宋体" w:cs="Times New Roman"/>
          <w:color w:val="auto"/>
          <w:sz w:val="24"/>
          <w:szCs w:val="24"/>
          <w:highlight w:val="none"/>
        </w:rPr>
      </w:pPr>
      <w:bookmarkStart w:id="358" w:name="_Toc16384"/>
      <w:r>
        <w:rPr>
          <w:rFonts w:hint="default" w:ascii="Times New Roman" w:hAnsi="Times New Roman" w:eastAsia="宋体" w:cs="Times New Roman"/>
          <w:color w:val="auto"/>
          <w:sz w:val="24"/>
          <w:szCs w:val="24"/>
          <w:highlight w:val="none"/>
        </w:rPr>
        <w:t>监督适用的环境和社会保障文件的实施；</w:t>
      </w:r>
      <w:bookmarkEnd w:id="358"/>
    </w:p>
    <w:p w14:paraId="75BAC74D">
      <w:pPr>
        <w:pStyle w:val="128"/>
        <w:numPr>
          <w:ilvl w:val="0"/>
          <w:numId w:val="29"/>
        </w:numPr>
        <w:tabs>
          <w:tab w:val="left" w:pos="960"/>
        </w:tabs>
        <w:spacing w:line="360" w:lineRule="auto"/>
        <w:rPr>
          <w:rFonts w:hint="default" w:ascii="Times New Roman" w:hAnsi="Times New Roman" w:eastAsia="宋体" w:cs="Times New Roman"/>
          <w:color w:val="auto"/>
          <w:sz w:val="24"/>
          <w:szCs w:val="24"/>
          <w:highlight w:val="none"/>
        </w:rPr>
      </w:pPr>
      <w:bookmarkStart w:id="359" w:name="_Toc14908"/>
      <w:r>
        <w:rPr>
          <w:rFonts w:hint="default" w:ascii="Times New Roman" w:hAnsi="Times New Roman" w:eastAsia="宋体" w:cs="Times New Roman"/>
          <w:color w:val="auto"/>
          <w:sz w:val="24"/>
          <w:szCs w:val="24"/>
          <w:highlight w:val="none"/>
        </w:rPr>
        <w:t>聘请外部环境监测和社会监测顾问对项目的环境和社会管理进行外部监测，编写关于项目环境和社会管理业绩的外部监测报告，并每六个月向亚洲基础设施投资银行报告一次</w:t>
      </w:r>
      <w:bookmarkEnd w:id="359"/>
      <w:r>
        <w:rPr>
          <w:rFonts w:hint="default" w:ascii="Times New Roman" w:hAnsi="Times New Roman" w:eastAsia="宋体" w:cs="Times New Roman"/>
          <w:color w:val="auto"/>
          <w:sz w:val="24"/>
          <w:szCs w:val="24"/>
          <w:highlight w:val="none"/>
        </w:rPr>
        <w:t>；</w:t>
      </w:r>
    </w:p>
    <w:p w14:paraId="2C52D116">
      <w:pPr>
        <w:pStyle w:val="128"/>
        <w:numPr>
          <w:ilvl w:val="0"/>
          <w:numId w:val="29"/>
        </w:numPr>
        <w:tabs>
          <w:tab w:val="left" w:pos="960"/>
        </w:tabs>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保障项目环境与社会文件准备、监测评估等能力培训的实施经费。</w:t>
      </w:r>
    </w:p>
    <w:p w14:paraId="3B22BFBC">
      <w:pPr>
        <w:pStyle w:val="39"/>
        <w:spacing w:before="120" w:after="120"/>
        <w:ind w:left="480"/>
        <w:rPr>
          <w:rFonts w:hint="default" w:ascii="Times New Roman" w:hAnsi="Times New Roman" w:eastAsia="宋体" w:cs="Times New Roman"/>
          <w:b/>
          <w:bCs/>
          <w:color w:val="auto"/>
          <w:highlight w:val="none"/>
          <w:u w:val="single"/>
        </w:rPr>
      </w:pPr>
      <w:bookmarkStart w:id="360" w:name="_Toc21490"/>
      <w:r>
        <w:rPr>
          <w:rFonts w:hint="default" w:ascii="Times New Roman" w:hAnsi="Times New Roman" w:eastAsia="宋体" w:cs="Times New Roman"/>
          <w:b/>
          <w:bCs/>
          <w:color w:val="auto"/>
          <w:highlight w:val="none"/>
          <w:u w:val="single"/>
        </w:rPr>
        <w:t>环境和社会专家顾问：</w:t>
      </w:r>
      <w:bookmarkEnd w:id="360"/>
    </w:p>
    <w:p w14:paraId="51995975">
      <w:pPr>
        <w:pStyle w:val="128"/>
        <w:numPr>
          <w:ilvl w:val="0"/>
          <w:numId w:val="30"/>
        </w:numPr>
        <w:rPr>
          <w:rFonts w:hint="default" w:ascii="Times New Roman" w:hAnsi="Times New Roman" w:eastAsia="宋体" w:cs="Times New Roman"/>
          <w:color w:val="auto"/>
          <w:sz w:val="24"/>
          <w:szCs w:val="24"/>
          <w:highlight w:val="none"/>
        </w:rPr>
      </w:pPr>
      <w:bookmarkStart w:id="361" w:name="_Toc2064"/>
      <w:r>
        <w:rPr>
          <w:rFonts w:hint="default" w:ascii="Times New Roman" w:hAnsi="Times New Roman" w:eastAsia="宋体" w:cs="Times New Roman"/>
          <w:color w:val="auto"/>
          <w:sz w:val="24"/>
          <w:szCs w:val="24"/>
          <w:highlight w:val="none"/>
        </w:rPr>
        <w:t>项目办将在项目管理咨询团队中聘请有能力和经验的环境和社会专家，作为外部技术顾问为项目办提供技术建</w:t>
      </w:r>
      <w:bookmarkEnd w:id="361"/>
      <w:bookmarkStart w:id="362" w:name="_Toc6121"/>
      <w:r>
        <w:rPr>
          <w:rFonts w:hint="default" w:ascii="Times New Roman" w:hAnsi="Times New Roman" w:eastAsia="宋体" w:cs="Times New Roman"/>
          <w:color w:val="auto"/>
          <w:sz w:val="24"/>
          <w:szCs w:val="24"/>
          <w:highlight w:val="none"/>
        </w:rPr>
        <w:t>议；</w:t>
      </w:r>
      <w:bookmarkEnd w:id="362"/>
    </w:p>
    <w:p w14:paraId="3D9BBB17">
      <w:pPr>
        <w:pStyle w:val="128"/>
        <w:numPr>
          <w:ilvl w:val="0"/>
          <w:numId w:val="30"/>
        </w:numPr>
        <w:tabs>
          <w:tab w:val="left" w:pos="360"/>
        </w:tabs>
        <w:rPr>
          <w:rFonts w:hint="default" w:ascii="Times New Roman" w:hAnsi="Times New Roman" w:eastAsia="宋体" w:cs="Times New Roman"/>
          <w:color w:val="auto"/>
          <w:sz w:val="24"/>
          <w:szCs w:val="24"/>
          <w:highlight w:val="none"/>
        </w:rPr>
      </w:pPr>
      <w:bookmarkStart w:id="363" w:name="_Toc23283"/>
      <w:r>
        <w:rPr>
          <w:rFonts w:hint="default" w:ascii="Times New Roman" w:hAnsi="Times New Roman" w:eastAsia="宋体" w:cs="Times New Roman"/>
          <w:color w:val="auto"/>
          <w:sz w:val="24"/>
          <w:szCs w:val="24"/>
          <w:highlight w:val="none"/>
        </w:rPr>
        <w:t>协助项目办编制符合亚洲基础设施投资银行和国内法律法规要求的环境和社会管理文件；</w:t>
      </w:r>
      <w:bookmarkEnd w:id="363"/>
    </w:p>
    <w:p w14:paraId="29BB32EF">
      <w:pPr>
        <w:pStyle w:val="128"/>
        <w:numPr>
          <w:ilvl w:val="0"/>
          <w:numId w:val="30"/>
        </w:numPr>
        <w:tabs>
          <w:tab w:val="left" w:pos="360"/>
        </w:tabs>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协助项目办开展项目环境和社会影响风险减缓措施实施及管理。</w:t>
      </w:r>
    </w:p>
    <w:p w14:paraId="0A305A75">
      <w:pPr>
        <w:pStyle w:val="39"/>
        <w:spacing w:before="120" w:after="120" w:afterLines="50" w:line="300" w:lineRule="auto"/>
        <w:ind w:left="480"/>
        <w:rPr>
          <w:rFonts w:hint="default" w:ascii="Times New Roman" w:hAnsi="Times New Roman" w:eastAsia="宋体" w:cs="Times New Roman"/>
          <w:b/>
          <w:bCs/>
          <w:color w:val="auto"/>
          <w:highlight w:val="none"/>
          <w:u w:val="single"/>
        </w:rPr>
      </w:pPr>
      <w:bookmarkStart w:id="364" w:name="_Toc29524"/>
      <w:r>
        <w:rPr>
          <w:rFonts w:hint="default" w:ascii="Times New Roman" w:hAnsi="Times New Roman" w:eastAsia="宋体" w:cs="Times New Roman"/>
          <w:b/>
          <w:bCs/>
          <w:color w:val="auto"/>
          <w:highlight w:val="none"/>
          <w:u w:val="single"/>
        </w:rPr>
        <w:t>环境和社会外部监测评估机构：</w:t>
      </w:r>
      <w:bookmarkEnd w:id="364"/>
    </w:p>
    <w:p w14:paraId="424C23DD">
      <w:pPr>
        <w:pStyle w:val="128"/>
        <w:numPr>
          <w:ilvl w:val="0"/>
          <w:numId w:val="31"/>
        </w:numPr>
        <w:spacing w:before="120" w:after="120" w:afterLines="50" w:line="300" w:lineRule="auto"/>
        <w:rPr>
          <w:rFonts w:hint="default" w:ascii="Times New Roman" w:hAnsi="Times New Roman" w:eastAsia="宋体" w:cs="Times New Roman"/>
          <w:color w:val="auto"/>
          <w:sz w:val="24"/>
          <w:szCs w:val="24"/>
          <w:highlight w:val="none"/>
        </w:rPr>
      </w:pPr>
      <w:bookmarkStart w:id="365" w:name="_Toc1981"/>
      <w:r>
        <w:rPr>
          <w:rFonts w:hint="default" w:ascii="Times New Roman" w:hAnsi="Times New Roman" w:eastAsia="宋体" w:cs="Times New Roman"/>
          <w:color w:val="auto"/>
          <w:sz w:val="24"/>
          <w:szCs w:val="24"/>
          <w:highlight w:val="none"/>
        </w:rPr>
        <w:t>接受</w:t>
      </w:r>
      <w:r>
        <w:rPr>
          <w:rFonts w:hint="default" w:ascii="Times New Roman" w:hAnsi="Times New Roman" w:eastAsia="宋体" w:cs="Times New Roman"/>
          <w:b/>
          <w:bCs w:val="0"/>
          <w:color w:val="auto"/>
          <w:sz w:val="24"/>
          <w:szCs w:val="24"/>
          <w:highlight w:val="none"/>
          <w:u w:val="single"/>
        </w:rPr>
        <w:t>项目执行机构</w:t>
      </w:r>
      <w:r>
        <w:rPr>
          <w:rFonts w:hint="default" w:ascii="Times New Roman" w:hAnsi="Times New Roman" w:eastAsia="宋体" w:cs="Times New Roman"/>
          <w:color w:val="auto"/>
          <w:sz w:val="24"/>
          <w:szCs w:val="24"/>
          <w:highlight w:val="none"/>
        </w:rPr>
        <w:t>委托，按照亚投行批准的环境和社会管理文件的要求，监测和评估子项目环境和社会文件的准备</w:t>
      </w:r>
      <w:bookmarkEnd w:id="365"/>
      <w:r>
        <w:rPr>
          <w:rFonts w:hint="default" w:ascii="Times New Roman" w:hAnsi="Times New Roman" w:eastAsia="宋体" w:cs="Times New Roman"/>
          <w:color w:val="auto"/>
          <w:sz w:val="24"/>
          <w:szCs w:val="24"/>
          <w:highlight w:val="none"/>
        </w:rPr>
        <w:t>；</w:t>
      </w:r>
    </w:p>
    <w:p w14:paraId="32562633">
      <w:pPr>
        <w:pStyle w:val="128"/>
        <w:numPr>
          <w:ilvl w:val="0"/>
          <w:numId w:val="31"/>
        </w:numPr>
        <w:spacing w:before="120" w:after="120" w:afterLines="50" w:line="300" w:lineRule="auto"/>
        <w:rPr>
          <w:rFonts w:hint="default" w:ascii="Times New Roman" w:hAnsi="Times New Roman" w:eastAsia="宋体" w:cs="Times New Roman"/>
          <w:color w:val="auto"/>
          <w:sz w:val="24"/>
          <w:szCs w:val="24"/>
          <w:highlight w:val="none"/>
        </w:rPr>
      </w:pPr>
      <w:bookmarkStart w:id="366" w:name="_Toc22623"/>
      <w:r>
        <w:rPr>
          <w:rFonts w:hint="default" w:ascii="Times New Roman" w:hAnsi="Times New Roman" w:eastAsia="宋体" w:cs="Times New Roman"/>
          <w:color w:val="auto"/>
          <w:sz w:val="24"/>
          <w:szCs w:val="24"/>
          <w:highlight w:val="none"/>
        </w:rPr>
        <w:t>按照环境和社会管理计划（ESMP）的要求，监督本项目环境和社会相关措施的执行；</w:t>
      </w:r>
    </w:p>
    <w:p w14:paraId="218C147A">
      <w:pPr>
        <w:pStyle w:val="128"/>
        <w:numPr>
          <w:ilvl w:val="0"/>
          <w:numId w:val="31"/>
        </w:numPr>
        <w:spacing w:before="120" w:after="120" w:afterLines="50" w:line="30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定期向汉滨区项目办/执行机构提交环境和社会管理外部监测报告（每六个月一次）。</w:t>
      </w:r>
      <w:bookmarkEnd w:id="366"/>
    </w:p>
    <w:p w14:paraId="7D8217B4">
      <w:pPr>
        <w:pStyle w:val="4"/>
        <w:spacing w:before="120"/>
        <w:rPr>
          <w:rFonts w:hint="default" w:ascii="Times New Roman" w:hAnsi="Times New Roman" w:eastAsia="宋体" w:cs="Times New Roman"/>
          <w:color w:val="auto"/>
          <w:szCs w:val="24"/>
          <w:highlight w:val="none"/>
        </w:rPr>
      </w:pPr>
      <w:bookmarkStart w:id="367" w:name="_Toc14096"/>
      <w:bookmarkStart w:id="368" w:name="_Toc114673144"/>
      <w:r>
        <w:rPr>
          <w:rFonts w:hint="default" w:ascii="Times New Roman" w:hAnsi="Times New Roman" w:eastAsia="宋体" w:cs="Times New Roman"/>
          <w:color w:val="auto"/>
          <w:szCs w:val="24"/>
          <w:highlight w:val="none"/>
        </w:rPr>
        <w:t>机构能力建设</w:t>
      </w:r>
      <w:bookmarkEnd w:id="351"/>
      <w:bookmarkEnd w:id="367"/>
      <w:bookmarkEnd w:id="368"/>
    </w:p>
    <w:p w14:paraId="6CEE1B82">
      <w:pPr>
        <w:pStyle w:val="126"/>
        <w:snapToGrid w:val="0"/>
        <w:spacing w:line="360" w:lineRule="auto"/>
        <w:ind w:firstLineChars="175"/>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根据社评小组调查发现，汉滨区正在实施的国际金融贷款项目有两个（亚投行带贷款项目和国际农发基金贷款项目），已完工的有一个（亚行贷款项目）。对于国际金融组织贷款项目原来的环境与社会安全保障政策比较熟悉，且有较好的经验。</w:t>
      </w:r>
    </w:p>
    <w:p w14:paraId="04C1D4DA">
      <w:pPr>
        <w:pStyle w:val="126"/>
        <w:snapToGrid w:val="0"/>
        <w:spacing w:line="360" w:lineRule="auto"/>
        <w:ind w:firstLineChars="175"/>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本项目是汉滨区政府和执行机构首次在亚投行《环境与社会框架》（ESF）下开展的项目，且本项目社会风险总体为A类项目。虽然之前汉滨区实施过国际金融组织贷款项目，具有较好的这类项目的安保政策经验，但是对亚投行ESF还存在一个认识和适应过程。</w:t>
      </w:r>
    </w:p>
    <w:p w14:paraId="48C73C60">
      <w:pPr>
        <w:pStyle w:val="126"/>
        <w:snapToGrid w:val="0"/>
        <w:spacing w:line="360" w:lineRule="auto"/>
        <w:ind w:firstLineChars="175"/>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因此，汉滨区人民政府及项目执行机构将加强亚投行环境和社会框架及环境和社会标准的培训，以提升项目参与区县、区县项目办及执行机构的环境与社会风险管理能力。为此，项目制定如下环境与社会风险管理能力建设计划；详见表7-1。主要包括：</w:t>
      </w:r>
      <w:bookmarkEnd w:id="352"/>
    </w:p>
    <w:p w14:paraId="3CCA7837">
      <w:pPr>
        <w:pStyle w:val="126"/>
        <w:numPr>
          <w:ilvl w:val="0"/>
          <w:numId w:val="32"/>
        </w:numPr>
        <w:snapToGrid w:val="0"/>
        <w:spacing w:line="360" w:lineRule="auto"/>
        <w:ind w:firstLineChars="0"/>
        <w:jc w:val="both"/>
        <w:rPr>
          <w:rFonts w:hint="default" w:ascii="Times New Roman" w:hAnsi="Times New Roman" w:eastAsia="宋体" w:cs="Times New Roman"/>
          <w:color w:val="auto"/>
          <w:highlight w:val="none"/>
          <w:lang w:eastAsia="zh-CN"/>
        </w:rPr>
      </w:pPr>
      <w:bookmarkStart w:id="369" w:name="_Toc97235998"/>
      <w:r>
        <w:rPr>
          <w:rFonts w:hint="default" w:ascii="Times New Roman" w:hAnsi="Times New Roman" w:eastAsia="宋体" w:cs="Times New Roman"/>
          <w:color w:val="auto"/>
          <w:highlight w:val="none"/>
          <w:lang w:eastAsia="zh-CN"/>
        </w:rPr>
        <w:t>加强对各执行机构的培训力度，委托有国际金融组织贷款项目经验的社会与移民专家定期开展培训活动，确保执行机构充分了解亚投行要求及国家的有关法律、法规；了解项目社会管理方面的文件的类别、目的及内容等；并落实社会管理计划中相关措施的方法及时间安排；</w:t>
      </w:r>
      <w:bookmarkEnd w:id="369"/>
    </w:p>
    <w:p w14:paraId="41A29023">
      <w:pPr>
        <w:pStyle w:val="126"/>
        <w:numPr>
          <w:ilvl w:val="0"/>
          <w:numId w:val="32"/>
        </w:numPr>
        <w:snapToGrid w:val="0"/>
        <w:spacing w:line="360" w:lineRule="auto"/>
        <w:ind w:firstLineChars="0"/>
        <w:jc w:val="both"/>
        <w:rPr>
          <w:rFonts w:hint="default" w:ascii="Times New Roman" w:hAnsi="Times New Roman" w:eastAsia="宋体" w:cs="Times New Roman"/>
          <w:color w:val="auto"/>
          <w:highlight w:val="none"/>
          <w:lang w:eastAsia="zh-CN"/>
        </w:rPr>
      </w:pPr>
      <w:bookmarkStart w:id="370" w:name="_Toc97235999"/>
      <w:r>
        <w:rPr>
          <w:rFonts w:hint="default" w:ascii="Times New Roman" w:hAnsi="Times New Roman" w:eastAsia="宋体" w:cs="Times New Roman"/>
          <w:color w:val="auto"/>
          <w:highlight w:val="none"/>
          <w:lang w:eastAsia="zh-CN"/>
        </w:rPr>
        <w:t>建立从项目办到项目执行机构的信息反馈机制，建立社会风险预警系统。项目办及项目执行机构专职从事社会管理的人员要求具备较强的全局观念，政策水平、专业能力，特别是群众工作经验；</w:t>
      </w:r>
      <w:bookmarkEnd w:id="370"/>
    </w:p>
    <w:p w14:paraId="4B938D9E">
      <w:pPr>
        <w:pStyle w:val="126"/>
        <w:numPr>
          <w:ilvl w:val="0"/>
          <w:numId w:val="32"/>
        </w:numPr>
        <w:snapToGrid w:val="0"/>
        <w:spacing w:line="360" w:lineRule="auto"/>
        <w:ind w:firstLineChars="0"/>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信息公开：所有有关项目环境和社会的文件向群众和社会公开，随时接受群众和舆论的监督。</w:t>
      </w:r>
    </w:p>
    <w:p w14:paraId="3F3B3245">
      <w:pPr>
        <w:pStyle w:val="126"/>
        <w:numPr>
          <w:ilvl w:val="0"/>
          <w:numId w:val="32"/>
        </w:numPr>
        <w:snapToGrid w:val="0"/>
        <w:spacing w:line="360" w:lineRule="auto"/>
        <w:ind w:firstLineChars="0"/>
        <w:jc w:val="both"/>
        <w:rPr>
          <w:rFonts w:hint="default" w:ascii="Times New Roman" w:hAnsi="Times New Roman" w:eastAsia="宋体" w:cs="Times New Roman"/>
          <w:color w:val="auto"/>
          <w:highlight w:val="none"/>
          <w:lang w:eastAsia="zh-CN"/>
        </w:rPr>
      </w:pPr>
      <w:bookmarkStart w:id="371" w:name="_Ref301541442"/>
      <w:bookmarkEnd w:id="371"/>
      <w:bookmarkStart w:id="372" w:name="_Toc243617712"/>
      <w:bookmarkEnd w:id="372"/>
      <w:bookmarkStart w:id="373" w:name="_Toc6937"/>
      <w:bookmarkEnd w:id="373"/>
      <w:bookmarkStart w:id="374" w:name="_Toc247942028"/>
      <w:bookmarkEnd w:id="374"/>
      <w:bookmarkStart w:id="375" w:name="_Toc309204915"/>
      <w:bookmarkEnd w:id="375"/>
      <w:r>
        <w:rPr>
          <w:rFonts w:hint="default" w:ascii="Times New Roman" w:hAnsi="Times New Roman" w:eastAsia="宋体" w:cs="Times New Roman"/>
          <w:color w:val="auto"/>
          <w:highlight w:val="none"/>
          <w:lang w:eastAsia="zh-CN"/>
        </w:rPr>
        <w:t>建立外部独立评估机制：在项目实施过程中，聘请有国际金融组织贷款项目经验的，独立的第三方，对项目社会管理计划及移民安置计划的实施情况进行监督评估。</w:t>
      </w:r>
    </w:p>
    <w:p w14:paraId="5CE30D9E">
      <w:pPr>
        <w:pStyle w:val="126"/>
        <w:snapToGrid w:val="0"/>
        <w:spacing w:line="360" w:lineRule="auto"/>
        <w:ind w:firstLineChars="175"/>
        <w:jc w:val="both"/>
        <w:rPr>
          <w:rFonts w:hint="default" w:ascii="Times New Roman" w:hAnsi="Times New Roman" w:eastAsia="宋体" w:cs="Times New Roman"/>
          <w:color w:val="auto"/>
          <w:highlight w:val="none"/>
          <w:u w:val="single"/>
          <w:lang w:eastAsia="zh-CN"/>
        </w:rPr>
      </w:pPr>
      <w:r>
        <w:rPr>
          <w:rFonts w:hint="default" w:ascii="Times New Roman" w:hAnsi="Times New Roman" w:eastAsia="宋体" w:cs="Times New Roman"/>
          <w:color w:val="auto"/>
          <w:highlight w:val="none"/>
          <w:u w:val="single"/>
          <w:lang w:eastAsia="zh-CN"/>
        </w:rPr>
        <w:t>环境和社会管理能力项目将利用汉滨区人民政府的自有资金和亚洲基础设施投资银行贷款支持的机构能力建设。</w:t>
      </w:r>
    </w:p>
    <w:p w14:paraId="3B08610A">
      <w:pPr>
        <w:spacing w:before="120" w:after="120" w:line="300" w:lineRule="auto"/>
        <w:ind w:firstLine="480" w:firstLineChars="200"/>
        <w:jc w:val="both"/>
        <w:rPr>
          <w:rFonts w:hint="default" w:ascii="Times New Roman" w:hAnsi="Times New Roman" w:eastAsia="宋体" w:cs="Times New Roman"/>
          <w:color w:val="auto"/>
          <w:highlight w:val="none"/>
        </w:rPr>
      </w:pPr>
    </w:p>
    <w:p w14:paraId="13DA06A8">
      <w:pPr>
        <w:jc w:val="both"/>
        <w:rPr>
          <w:rFonts w:hint="default" w:ascii="Times New Roman" w:hAnsi="Times New Roman" w:eastAsia="宋体" w:cs="Times New Roman"/>
          <w:b/>
          <w:bCs/>
          <w:color w:val="auto"/>
          <w:highlight w:val="none"/>
        </w:rPr>
        <w:sectPr>
          <w:pgSz w:w="11906" w:h="16838"/>
          <w:pgMar w:top="1440" w:right="1800" w:bottom="1440" w:left="1800" w:header="851" w:footer="992" w:gutter="0"/>
          <w:cols w:space="720" w:num="1"/>
          <w:docGrid w:linePitch="326" w:charSpace="0"/>
        </w:sectPr>
      </w:pPr>
      <w:bookmarkStart w:id="376" w:name="_Toc98662385"/>
    </w:p>
    <w:p w14:paraId="66323139">
      <w:pPr>
        <w:rPr>
          <w:rFonts w:hint="default" w:ascii="Times New Roman" w:hAnsi="Times New Roman" w:eastAsia="宋体" w:cs="Times New Roman"/>
          <w:b/>
          <w:bCs/>
          <w:color w:val="auto"/>
          <w:highlight w:val="none"/>
        </w:rPr>
      </w:pPr>
    </w:p>
    <w:p w14:paraId="16068680">
      <w:pPr>
        <w:jc w:val="center"/>
        <w:rPr>
          <w:rFonts w:hint="default" w:ascii="Times New Roman" w:hAnsi="Times New Roman" w:eastAsia="宋体" w:cs="Times New Roman"/>
          <w:b/>
          <w:bCs/>
          <w:color w:val="auto"/>
          <w:highlight w:val="none"/>
        </w:rPr>
      </w:pPr>
      <w:bookmarkStart w:id="377" w:name="_Toc113946517"/>
      <w:r>
        <w:rPr>
          <w:rFonts w:hint="default" w:ascii="Times New Roman" w:hAnsi="Times New Roman" w:eastAsia="宋体" w:cs="Times New Roman"/>
          <w:b/>
          <w:bCs/>
          <w:color w:val="auto"/>
          <w:highlight w:val="none"/>
        </w:rPr>
        <w:t xml:space="preserve">表 </w:t>
      </w:r>
      <w:r>
        <w:rPr>
          <w:rFonts w:hint="default" w:ascii="Times New Roman" w:hAnsi="Times New Roman" w:eastAsia="宋体" w:cs="Times New Roman"/>
          <w:b/>
          <w:bCs/>
          <w:color w:val="auto"/>
          <w:highlight w:val="none"/>
        </w:rPr>
        <w:fldChar w:fldCharType="begin"/>
      </w:r>
      <w:r>
        <w:rPr>
          <w:rFonts w:hint="default" w:ascii="Times New Roman" w:hAnsi="Times New Roman" w:eastAsia="宋体" w:cs="Times New Roman"/>
          <w:b/>
          <w:bCs/>
          <w:color w:val="auto"/>
          <w:highlight w:val="none"/>
        </w:rPr>
        <w:instrText xml:space="preserve"> STYLEREF 1 \s </w:instrText>
      </w:r>
      <w:r>
        <w:rPr>
          <w:rFonts w:hint="default" w:ascii="Times New Roman" w:hAnsi="Times New Roman" w:eastAsia="宋体" w:cs="Times New Roman"/>
          <w:b/>
          <w:bCs/>
          <w:color w:val="auto"/>
          <w:highlight w:val="none"/>
        </w:rPr>
        <w:fldChar w:fldCharType="separate"/>
      </w:r>
      <w:r>
        <w:rPr>
          <w:rFonts w:hint="default" w:ascii="Times New Roman" w:hAnsi="Times New Roman" w:eastAsia="宋体" w:cs="Times New Roman"/>
          <w:b/>
          <w:bCs/>
          <w:color w:val="auto"/>
          <w:highlight w:val="none"/>
        </w:rPr>
        <w:t>8</w:t>
      </w:r>
      <w:r>
        <w:rPr>
          <w:rFonts w:hint="default" w:ascii="Times New Roman" w:hAnsi="Times New Roman" w:eastAsia="宋体" w:cs="Times New Roman"/>
          <w:b/>
          <w:bCs/>
          <w:color w:val="auto"/>
          <w:highlight w:val="none"/>
        </w:rPr>
        <w:fldChar w:fldCharType="end"/>
      </w:r>
      <w:r>
        <w:rPr>
          <w:rFonts w:hint="default" w:ascii="Times New Roman" w:hAnsi="Times New Roman" w:eastAsia="宋体" w:cs="Times New Roman"/>
          <w:b/>
          <w:bCs/>
          <w:color w:val="auto"/>
          <w:highlight w:val="none"/>
        </w:rPr>
        <w:noBreakHyphen/>
      </w:r>
      <w:r>
        <w:rPr>
          <w:rFonts w:hint="default" w:ascii="Times New Roman" w:hAnsi="Times New Roman" w:eastAsia="宋体" w:cs="Times New Roman"/>
          <w:b/>
          <w:bCs/>
          <w:color w:val="auto"/>
          <w:highlight w:val="none"/>
        </w:rPr>
        <w:fldChar w:fldCharType="begin"/>
      </w:r>
      <w:r>
        <w:rPr>
          <w:rFonts w:hint="default" w:ascii="Times New Roman" w:hAnsi="Times New Roman" w:eastAsia="宋体" w:cs="Times New Roman"/>
          <w:b/>
          <w:bCs/>
          <w:color w:val="auto"/>
          <w:highlight w:val="none"/>
        </w:rPr>
        <w:instrText xml:space="preserve"> SEQ 表 \* ARABIC \s 1 </w:instrText>
      </w:r>
      <w:r>
        <w:rPr>
          <w:rFonts w:hint="default" w:ascii="Times New Roman" w:hAnsi="Times New Roman" w:eastAsia="宋体" w:cs="Times New Roman"/>
          <w:b/>
          <w:bCs/>
          <w:color w:val="auto"/>
          <w:highlight w:val="none"/>
        </w:rPr>
        <w:fldChar w:fldCharType="separate"/>
      </w:r>
      <w:r>
        <w:rPr>
          <w:rFonts w:hint="default" w:ascii="Times New Roman" w:hAnsi="Times New Roman" w:eastAsia="宋体" w:cs="Times New Roman"/>
          <w:b/>
          <w:bCs/>
          <w:color w:val="auto"/>
          <w:highlight w:val="none"/>
        </w:rPr>
        <w:t>1</w:t>
      </w:r>
      <w:r>
        <w:rPr>
          <w:rFonts w:hint="default" w:ascii="Times New Roman" w:hAnsi="Times New Roman" w:eastAsia="宋体" w:cs="Times New Roman"/>
          <w:b/>
          <w:bCs/>
          <w:color w:val="auto"/>
          <w:highlight w:val="none"/>
        </w:rPr>
        <w:fldChar w:fldCharType="end"/>
      </w:r>
      <w:bookmarkStart w:id="378" w:name="_Toc15783"/>
      <w:r>
        <w:rPr>
          <w:rFonts w:hint="default" w:ascii="Times New Roman" w:hAnsi="Times New Roman" w:eastAsia="宋体" w:cs="Times New Roman"/>
          <w:b/>
          <w:bCs/>
          <w:color w:val="auto"/>
          <w:highlight w:val="none"/>
        </w:rPr>
        <w:t xml:space="preserve"> 社会管理能力建设分阶段安排计划</w:t>
      </w:r>
      <w:bookmarkEnd w:id="376"/>
      <w:bookmarkEnd w:id="377"/>
      <w:bookmarkEnd w:id="378"/>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4323"/>
        <w:gridCol w:w="1999"/>
        <w:gridCol w:w="1536"/>
        <w:gridCol w:w="1483"/>
        <w:gridCol w:w="1055"/>
        <w:gridCol w:w="1055"/>
        <w:gridCol w:w="1389"/>
      </w:tblGrid>
      <w:tr w14:paraId="44031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71" w:type="pct"/>
            <w:shd w:val="clear" w:color="auto" w:fill="F1F1F1" w:themeFill="background1" w:themeFillShade="F2"/>
            <w:vAlign w:val="center"/>
          </w:tcPr>
          <w:p w14:paraId="1F80BBE9">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培训对象</w:t>
            </w:r>
          </w:p>
        </w:tc>
        <w:tc>
          <w:tcPr>
            <w:tcW w:w="1525" w:type="pct"/>
            <w:shd w:val="clear" w:color="auto" w:fill="F1F1F1" w:themeFill="background1" w:themeFillShade="F2"/>
            <w:vAlign w:val="center"/>
          </w:tcPr>
          <w:p w14:paraId="4725EC81">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主要培训内容</w:t>
            </w:r>
          </w:p>
        </w:tc>
        <w:tc>
          <w:tcPr>
            <w:tcW w:w="705" w:type="pct"/>
            <w:shd w:val="clear" w:color="auto" w:fill="F1F1F1" w:themeFill="background1" w:themeFillShade="F2"/>
            <w:vAlign w:val="center"/>
          </w:tcPr>
          <w:p w14:paraId="2A56F3AB">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目标</w:t>
            </w:r>
          </w:p>
        </w:tc>
        <w:tc>
          <w:tcPr>
            <w:tcW w:w="542" w:type="pct"/>
            <w:shd w:val="clear" w:color="auto" w:fill="F1F1F1" w:themeFill="background1" w:themeFillShade="F2"/>
            <w:vAlign w:val="center"/>
          </w:tcPr>
          <w:p w14:paraId="0BBE691E">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资源/培训者</w:t>
            </w:r>
          </w:p>
        </w:tc>
        <w:tc>
          <w:tcPr>
            <w:tcW w:w="523" w:type="pct"/>
            <w:shd w:val="clear" w:color="auto" w:fill="F1F1F1" w:themeFill="background1" w:themeFillShade="F2"/>
            <w:vAlign w:val="center"/>
          </w:tcPr>
          <w:p w14:paraId="05641ECF">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人数(人/次)</w:t>
            </w:r>
          </w:p>
        </w:tc>
        <w:tc>
          <w:tcPr>
            <w:tcW w:w="372" w:type="pct"/>
            <w:shd w:val="clear" w:color="auto" w:fill="F1F1F1" w:themeFill="background1" w:themeFillShade="F2"/>
            <w:vAlign w:val="center"/>
          </w:tcPr>
          <w:p w14:paraId="1E967524">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方式</w:t>
            </w:r>
          </w:p>
        </w:tc>
        <w:tc>
          <w:tcPr>
            <w:tcW w:w="372" w:type="pct"/>
            <w:shd w:val="clear" w:color="auto" w:fill="F1F1F1" w:themeFill="background1" w:themeFillShade="F2"/>
            <w:vAlign w:val="center"/>
          </w:tcPr>
          <w:p w14:paraId="39C3A54C">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时间(天)</w:t>
            </w:r>
          </w:p>
        </w:tc>
        <w:tc>
          <w:tcPr>
            <w:tcW w:w="490" w:type="pct"/>
            <w:shd w:val="clear" w:color="auto" w:fill="F1F1F1" w:themeFill="background1" w:themeFillShade="F2"/>
            <w:vAlign w:val="center"/>
          </w:tcPr>
          <w:p w14:paraId="76A4A383">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频次</w:t>
            </w:r>
          </w:p>
        </w:tc>
      </w:tr>
      <w:tr w14:paraId="53C30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Align w:val="center"/>
          </w:tcPr>
          <w:p w14:paraId="60B60BAC">
            <w:p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汉滨区人民政府相关工作人员</w:t>
            </w:r>
          </w:p>
        </w:tc>
        <w:tc>
          <w:tcPr>
            <w:tcW w:w="1525" w:type="pct"/>
            <w:vAlign w:val="center"/>
          </w:tcPr>
          <w:p w14:paraId="6C2C3F8A">
            <w:pPr>
              <w:pStyle w:val="39"/>
              <w:numPr>
                <w:ilvl w:val="0"/>
                <w:numId w:val="33"/>
              </w:num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亚洲基础设施投资银行的环境与社会的标准与政策</w:t>
            </w:r>
          </w:p>
          <w:p w14:paraId="53231DCD">
            <w:pPr>
              <w:pStyle w:val="39"/>
              <w:numPr>
                <w:ilvl w:val="0"/>
                <w:numId w:val="33"/>
              </w:num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批准的本项目的移民安置计划(RP)、利益相关方参与计划(SEP)、以及环境和社会管理计划(ESMP)</w:t>
            </w:r>
          </w:p>
          <w:p w14:paraId="72C06FF7">
            <w:pPr>
              <w:pStyle w:val="39"/>
              <w:numPr>
                <w:ilvl w:val="0"/>
                <w:numId w:val="33"/>
              </w:num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项目的社会管理计划及监测评估</w:t>
            </w:r>
          </w:p>
          <w:p w14:paraId="7DCDD129">
            <w:pPr>
              <w:pStyle w:val="39"/>
              <w:numPr>
                <w:ilvl w:val="0"/>
                <w:numId w:val="33"/>
              </w:num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SEP、EMSP的实施与管理</w:t>
            </w:r>
          </w:p>
          <w:p w14:paraId="43EBBE3E">
            <w:pPr>
              <w:pStyle w:val="39"/>
              <w:numPr>
                <w:ilvl w:val="0"/>
                <w:numId w:val="33"/>
              </w:num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汉滨区人民政府对社会移民管理的要求</w:t>
            </w:r>
          </w:p>
        </w:tc>
        <w:tc>
          <w:tcPr>
            <w:tcW w:w="705" w:type="pct"/>
            <w:vAlign w:val="center"/>
          </w:tcPr>
          <w:p w14:paraId="553CC317">
            <w:p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加强汉滨区人民政府社会管理的实施能力</w:t>
            </w:r>
          </w:p>
        </w:tc>
        <w:tc>
          <w:tcPr>
            <w:tcW w:w="542" w:type="pct"/>
            <w:vAlign w:val="center"/>
          </w:tcPr>
          <w:p w14:paraId="0820437D">
            <w:p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亚投行专家或聘请的社会及移民专家</w:t>
            </w:r>
          </w:p>
        </w:tc>
        <w:tc>
          <w:tcPr>
            <w:tcW w:w="523" w:type="pct"/>
            <w:vAlign w:val="center"/>
          </w:tcPr>
          <w:p w14:paraId="32C4BB5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372" w:type="pct"/>
            <w:vAlign w:val="center"/>
          </w:tcPr>
          <w:p w14:paraId="219C64FB">
            <w:p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讲座、研讨会以及现场考察</w:t>
            </w:r>
          </w:p>
        </w:tc>
        <w:tc>
          <w:tcPr>
            <w:tcW w:w="372" w:type="pct"/>
            <w:vAlign w:val="center"/>
          </w:tcPr>
          <w:p w14:paraId="343C892C">
            <w:p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490" w:type="pct"/>
            <w:vAlign w:val="center"/>
          </w:tcPr>
          <w:p w14:paraId="71092C9E">
            <w:p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项目启动后，项目实施期间至少每年一次。</w:t>
            </w:r>
          </w:p>
        </w:tc>
      </w:tr>
      <w:tr w14:paraId="06BB2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Align w:val="center"/>
          </w:tcPr>
          <w:p w14:paraId="302A2190">
            <w:p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项目办与执行机构</w:t>
            </w:r>
          </w:p>
        </w:tc>
        <w:tc>
          <w:tcPr>
            <w:tcW w:w="1525" w:type="pct"/>
            <w:vAlign w:val="center"/>
          </w:tcPr>
          <w:p w14:paraId="1CE4D2CE">
            <w:pPr>
              <w:pStyle w:val="39"/>
              <w:numPr>
                <w:ilvl w:val="0"/>
                <w:numId w:val="34"/>
              </w:num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亚洲基础设施投资银行的环境与社会的标准与政策</w:t>
            </w:r>
          </w:p>
          <w:p w14:paraId="0BF9D721">
            <w:pPr>
              <w:pStyle w:val="39"/>
              <w:numPr>
                <w:ilvl w:val="0"/>
                <w:numId w:val="34"/>
              </w:num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批准的本项目的RP、SEP、以及ESMP</w:t>
            </w:r>
          </w:p>
          <w:p w14:paraId="06DD05CD">
            <w:pPr>
              <w:pStyle w:val="39"/>
              <w:numPr>
                <w:ilvl w:val="0"/>
                <w:numId w:val="34"/>
              </w:num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项目的社会管理计划及监测评估</w:t>
            </w:r>
          </w:p>
          <w:p w14:paraId="1D4FDCE7">
            <w:pPr>
              <w:pStyle w:val="39"/>
              <w:numPr>
                <w:ilvl w:val="0"/>
                <w:numId w:val="34"/>
              </w:num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SEP的实施与管理</w:t>
            </w:r>
          </w:p>
          <w:p w14:paraId="2E4B2CAF">
            <w:pPr>
              <w:pStyle w:val="39"/>
              <w:numPr>
                <w:ilvl w:val="0"/>
                <w:numId w:val="34"/>
              </w:num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项目环境和社会措施实施与监测评估</w:t>
            </w:r>
          </w:p>
          <w:p w14:paraId="26830944">
            <w:pPr>
              <w:pStyle w:val="39"/>
              <w:numPr>
                <w:ilvl w:val="0"/>
                <w:numId w:val="34"/>
              </w:num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项目实施单位对社会移民管理的要求</w:t>
            </w:r>
          </w:p>
          <w:p w14:paraId="742E80D5">
            <w:pPr>
              <w:pStyle w:val="39"/>
              <w:numPr>
                <w:ilvl w:val="0"/>
                <w:numId w:val="34"/>
              </w:num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移民和社会的申诉抱怨机制的建立以及档案管理</w:t>
            </w:r>
          </w:p>
        </w:tc>
        <w:tc>
          <w:tcPr>
            <w:tcW w:w="705" w:type="pct"/>
            <w:vAlign w:val="center"/>
          </w:tcPr>
          <w:p w14:paraId="0B21AD0D">
            <w:p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加强项目办及其社会管理人员社会管理的实施能力，社会管理能力，及职业健康安全管理能力</w:t>
            </w:r>
          </w:p>
        </w:tc>
        <w:tc>
          <w:tcPr>
            <w:tcW w:w="542" w:type="pct"/>
            <w:vAlign w:val="center"/>
          </w:tcPr>
          <w:p w14:paraId="74D9E47C">
            <w:pPr>
              <w:jc w:val="both"/>
              <w:rPr>
                <w:rFonts w:hint="default" w:ascii="Times New Roman" w:hAnsi="Times New Roman" w:eastAsia="宋体" w:cs="Times New Roman"/>
                <w:color w:val="auto"/>
                <w:sz w:val="21"/>
                <w:szCs w:val="21"/>
                <w:highlight w:val="none"/>
              </w:rPr>
            </w:pPr>
            <w:bookmarkStart w:id="379" w:name="OLE_LINK165"/>
            <w:r>
              <w:rPr>
                <w:rFonts w:hint="default" w:ascii="Times New Roman" w:hAnsi="Times New Roman" w:eastAsia="宋体" w:cs="Times New Roman"/>
                <w:color w:val="auto"/>
                <w:sz w:val="21"/>
                <w:szCs w:val="21"/>
                <w:highlight w:val="none"/>
              </w:rPr>
              <w:t>亚投行专家，或聘请的社会及移民专家</w:t>
            </w:r>
            <w:bookmarkEnd w:id="379"/>
          </w:p>
        </w:tc>
        <w:tc>
          <w:tcPr>
            <w:tcW w:w="523" w:type="pct"/>
            <w:vAlign w:val="center"/>
          </w:tcPr>
          <w:p w14:paraId="04A695F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20~30</w:t>
            </w:r>
          </w:p>
        </w:tc>
        <w:tc>
          <w:tcPr>
            <w:tcW w:w="372" w:type="pct"/>
            <w:vAlign w:val="center"/>
          </w:tcPr>
          <w:p w14:paraId="44F09F7D">
            <w:p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讲座、研讨会以及现场考察</w:t>
            </w:r>
          </w:p>
        </w:tc>
        <w:tc>
          <w:tcPr>
            <w:tcW w:w="372" w:type="pct"/>
            <w:vAlign w:val="center"/>
          </w:tcPr>
          <w:p w14:paraId="2ADF06BB">
            <w:p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490" w:type="pct"/>
            <w:vAlign w:val="center"/>
          </w:tcPr>
          <w:p w14:paraId="18BA4E74">
            <w:p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开工之前，实施期间至少每年一次</w:t>
            </w:r>
          </w:p>
        </w:tc>
      </w:tr>
      <w:tr w14:paraId="227EA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Align w:val="center"/>
          </w:tcPr>
          <w:p w14:paraId="2CE6A776">
            <w:p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承包商、监理单位</w:t>
            </w:r>
          </w:p>
        </w:tc>
        <w:tc>
          <w:tcPr>
            <w:tcW w:w="1525" w:type="pct"/>
            <w:vAlign w:val="center"/>
          </w:tcPr>
          <w:p w14:paraId="1D23D007">
            <w:pPr>
              <w:pStyle w:val="39"/>
              <w:numPr>
                <w:ilvl w:val="0"/>
                <w:numId w:val="35"/>
              </w:num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6"/>
                <w:sz w:val="21"/>
                <w:szCs w:val="21"/>
                <w:highlight w:val="none"/>
              </w:rPr>
              <w:t>在</w:t>
            </w:r>
            <w:r>
              <w:rPr>
                <w:rFonts w:hint="default" w:ascii="Times New Roman" w:hAnsi="Times New Roman" w:eastAsia="宋体" w:cs="Times New Roman"/>
                <w:color w:val="auto"/>
                <w:sz w:val="21"/>
                <w:szCs w:val="21"/>
                <w:highlight w:val="none"/>
              </w:rPr>
              <w:t>项目相关环境、社会、职业健康与安全管理措施及要求；</w:t>
            </w:r>
          </w:p>
          <w:p w14:paraId="33DE9D6D">
            <w:pPr>
              <w:pStyle w:val="39"/>
              <w:numPr>
                <w:ilvl w:val="0"/>
                <w:numId w:val="35"/>
              </w:num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EMSP的实施</w:t>
            </w:r>
          </w:p>
          <w:p w14:paraId="2775B4FF">
            <w:pPr>
              <w:pStyle w:val="39"/>
              <w:numPr>
                <w:ilvl w:val="0"/>
                <w:numId w:val="35"/>
              </w:num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SEP的实施</w:t>
            </w:r>
          </w:p>
        </w:tc>
        <w:tc>
          <w:tcPr>
            <w:tcW w:w="705" w:type="pct"/>
            <w:vAlign w:val="center"/>
          </w:tcPr>
          <w:p w14:paraId="443CF2E6">
            <w:p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了解项目环境与社会管理措施要求</w:t>
            </w:r>
          </w:p>
        </w:tc>
        <w:tc>
          <w:tcPr>
            <w:tcW w:w="542" w:type="pct"/>
            <w:vAlign w:val="center"/>
          </w:tcPr>
          <w:p w14:paraId="4E2EAFB6">
            <w:p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有亚投行项目经验的专家/项目办人员，社区代表</w:t>
            </w:r>
          </w:p>
        </w:tc>
        <w:tc>
          <w:tcPr>
            <w:tcW w:w="523" w:type="pct"/>
            <w:vAlign w:val="center"/>
          </w:tcPr>
          <w:p w14:paraId="2EF0C17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372" w:type="pct"/>
            <w:vAlign w:val="center"/>
          </w:tcPr>
          <w:p w14:paraId="670C7040">
            <w:p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讲座、研讨会</w:t>
            </w:r>
          </w:p>
        </w:tc>
        <w:tc>
          <w:tcPr>
            <w:tcW w:w="372" w:type="pct"/>
            <w:vAlign w:val="center"/>
          </w:tcPr>
          <w:p w14:paraId="512F3683">
            <w:p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490" w:type="pct"/>
            <w:vAlign w:val="center"/>
          </w:tcPr>
          <w:p w14:paraId="20D3D252">
            <w:p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开工之前，实施期间至少每年一次</w:t>
            </w:r>
          </w:p>
        </w:tc>
      </w:tr>
      <w:tr w14:paraId="54596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Align w:val="center"/>
          </w:tcPr>
          <w:p w14:paraId="449BA53A">
            <w:pPr>
              <w:jc w:val="both"/>
              <w:rPr>
                <w:rFonts w:hint="default" w:ascii="Times New Roman" w:hAnsi="Times New Roman" w:eastAsia="宋体" w:cs="Times New Roman"/>
                <w:color w:val="auto"/>
                <w:sz w:val="21"/>
                <w:szCs w:val="21"/>
                <w:highlight w:val="none"/>
              </w:rPr>
            </w:pPr>
            <w:bookmarkStart w:id="380" w:name="_Toc110846329"/>
            <w:bookmarkStart w:id="381" w:name="_Toc83326411"/>
            <w:r>
              <w:rPr>
                <w:rFonts w:hint="default" w:ascii="Times New Roman" w:hAnsi="Times New Roman" w:eastAsia="宋体" w:cs="Times New Roman"/>
                <w:color w:val="auto"/>
                <w:sz w:val="21"/>
                <w:szCs w:val="21"/>
                <w:highlight w:val="none"/>
              </w:rPr>
              <w:t>项目办、承包商、监理单位</w:t>
            </w:r>
          </w:p>
        </w:tc>
        <w:tc>
          <w:tcPr>
            <w:tcW w:w="1525" w:type="pct"/>
            <w:vAlign w:val="center"/>
          </w:tcPr>
          <w:p w14:paraId="64865410">
            <w:pPr>
              <w:pStyle w:val="39"/>
              <w:numPr>
                <w:ilvl w:val="0"/>
                <w:numId w:val="36"/>
              </w:numPr>
              <w:jc w:val="both"/>
              <w:rPr>
                <w:rFonts w:hint="default" w:ascii="Times New Roman" w:hAnsi="Times New Roman" w:eastAsia="宋体" w:cs="Times New Roman"/>
                <w:color w:val="auto"/>
                <w:spacing w:val="16"/>
                <w:sz w:val="21"/>
                <w:szCs w:val="21"/>
                <w:highlight w:val="none"/>
              </w:rPr>
            </w:pPr>
            <w:r>
              <w:rPr>
                <w:rFonts w:hint="default" w:ascii="Times New Roman" w:hAnsi="Times New Roman" w:eastAsia="宋体" w:cs="Times New Roman"/>
                <w:color w:val="auto"/>
                <w:spacing w:val="16"/>
                <w:sz w:val="21"/>
                <w:szCs w:val="21"/>
                <w:highlight w:val="none"/>
              </w:rPr>
              <w:t>ESMP及劳动者政策</w:t>
            </w:r>
          </w:p>
          <w:p w14:paraId="26A0A607">
            <w:pPr>
              <w:pStyle w:val="39"/>
              <w:numPr>
                <w:ilvl w:val="0"/>
                <w:numId w:val="36"/>
              </w:numPr>
              <w:jc w:val="both"/>
              <w:rPr>
                <w:rFonts w:hint="default" w:ascii="Times New Roman" w:hAnsi="Times New Roman" w:eastAsia="宋体" w:cs="Times New Roman"/>
                <w:color w:val="auto"/>
                <w:spacing w:val="16"/>
                <w:sz w:val="21"/>
                <w:szCs w:val="21"/>
                <w:highlight w:val="none"/>
              </w:rPr>
            </w:pPr>
            <w:r>
              <w:rPr>
                <w:rFonts w:hint="default" w:ascii="Times New Roman" w:hAnsi="Times New Roman" w:eastAsia="宋体" w:cs="Times New Roman"/>
                <w:color w:val="auto"/>
                <w:spacing w:val="16"/>
                <w:sz w:val="21"/>
                <w:szCs w:val="21"/>
                <w:highlight w:val="none"/>
              </w:rPr>
              <w:t>劳动者职业健康和安全</w:t>
            </w:r>
          </w:p>
          <w:p w14:paraId="081EFF58">
            <w:pPr>
              <w:pStyle w:val="39"/>
              <w:numPr>
                <w:ilvl w:val="0"/>
                <w:numId w:val="36"/>
              </w:numPr>
              <w:jc w:val="both"/>
              <w:rPr>
                <w:rFonts w:hint="default" w:ascii="Times New Roman" w:hAnsi="Times New Roman" w:eastAsia="宋体" w:cs="Times New Roman"/>
                <w:color w:val="auto"/>
                <w:spacing w:val="16"/>
                <w:sz w:val="21"/>
                <w:szCs w:val="21"/>
                <w:highlight w:val="none"/>
              </w:rPr>
            </w:pPr>
            <w:r>
              <w:rPr>
                <w:rFonts w:hint="default" w:ascii="Times New Roman" w:hAnsi="Times New Roman" w:eastAsia="宋体" w:cs="Times New Roman"/>
                <w:color w:val="auto"/>
                <w:spacing w:val="16"/>
                <w:sz w:val="21"/>
                <w:szCs w:val="21"/>
                <w:highlight w:val="none"/>
              </w:rPr>
              <w:t>劳动者抱怨申诉机制</w:t>
            </w:r>
          </w:p>
          <w:p w14:paraId="492B0405">
            <w:pPr>
              <w:pStyle w:val="39"/>
              <w:numPr>
                <w:ilvl w:val="0"/>
                <w:numId w:val="36"/>
              </w:numPr>
              <w:jc w:val="both"/>
              <w:rPr>
                <w:rFonts w:hint="default" w:ascii="Times New Roman" w:hAnsi="Times New Roman" w:eastAsia="宋体" w:cs="Times New Roman"/>
                <w:color w:val="auto"/>
                <w:spacing w:val="16"/>
                <w:sz w:val="21"/>
                <w:szCs w:val="21"/>
                <w:highlight w:val="none"/>
              </w:rPr>
            </w:pPr>
            <w:r>
              <w:rPr>
                <w:rFonts w:hint="default" w:ascii="Times New Roman" w:hAnsi="Times New Roman" w:eastAsia="宋体" w:cs="Times New Roman"/>
                <w:color w:val="auto"/>
                <w:spacing w:val="16"/>
                <w:sz w:val="21"/>
                <w:szCs w:val="21"/>
                <w:highlight w:val="none"/>
              </w:rPr>
              <w:t>社区安全和健康管理的实施及沟通机制</w:t>
            </w:r>
          </w:p>
          <w:p w14:paraId="5868BA8A">
            <w:pPr>
              <w:pStyle w:val="39"/>
              <w:numPr>
                <w:ilvl w:val="0"/>
                <w:numId w:val="36"/>
              </w:numPr>
              <w:jc w:val="both"/>
              <w:rPr>
                <w:rFonts w:hint="default" w:ascii="Times New Roman" w:hAnsi="Times New Roman" w:eastAsia="宋体" w:cs="Times New Roman"/>
                <w:color w:val="auto"/>
                <w:spacing w:val="16"/>
                <w:sz w:val="21"/>
                <w:szCs w:val="21"/>
                <w:highlight w:val="none"/>
              </w:rPr>
            </w:pPr>
            <w:r>
              <w:rPr>
                <w:rFonts w:hint="default" w:ascii="Times New Roman" w:hAnsi="Times New Roman" w:eastAsia="宋体" w:cs="Times New Roman"/>
                <w:color w:val="auto"/>
                <w:spacing w:val="16"/>
                <w:sz w:val="21"/>
                <w:szCs w:val="21"/>
                <w:highlight w:val="none"/>
              </w:rPr>
              <w:t>利益相关方参与的实施</w:t>
            </w:r>
          </w:p>
          <w:p w14:paraId="1685B066">
            <w:pPr>
              <w:pStyle w:val="39"/>
              <w:numPr>
                <w:ilvl w:val="0"/>
                <w:numId w:val="36"/>
              </w:numPr>
              <w:jc w:val="both"/>
              <w:rPr>
                <w:rFonts w:hint="default" w:ascii="Times New Roman" w:hAnsi="Times New Roman" w:eastAsia="宋体" w:cs="Times New Roman"/>
                <w:color w:val="auto"/>
                <w:spacing w:val="16"/>
                <w:sz w:val="21"/>
                <w:szCs w:val="21"/>
                <w:highlight w:val="none"/>
              </w:rPr>
            </w:pPr>
            <w:r>
              <w:rPr>
                <w:rFonts w:hint="default" w:ascii="Times New Roman" w:hAnsi="Times New Roman" w:eastAsia="宋体" w:cs="Times New Roman"/>
                <w:color w:val="auto"/>
                <w:spacing w:val="16"/>
                <w:sz w:val="21"/>
                <w:szCs w:val="21"/>
                <w:highlight w:val="none"/>
              </w:rPr>
              <w:t>ESMP的实施</w:t>
            </w:r>
          </w:p>
          <w:p w14:paraId="533D9B2C">
            <w:pPr>
              <w:pStyle w:val="39"/>
              <w:numPr>
                <w:ilvl w:val="0"/>
                <w:numId w:val="36"/>
              </w:numPr>
              <w:jc w:val="both"/>
              <w:rPr>
                <w:rFonts w:hint="default" w:ascii="Times New Roman" w:hAnsi="Times New Roman" w:eastAsia="宋体" w:cs="Times New Roman"/>
                <w:color w:val="auto"/>
                <w:spacing w:val="16"/>
                <w:sz w:val="21"/>
                <w:szCs w:val="21"/>
                <w:highlight w:val="none"/>
              </w:rPr>
            </w:pPr>
            <w:r>
              <w:rPr>
                <w:rFonts w:hint="default" w:ascii="Times New Roman" w:hAnsi="Times New Roman" w:eastAsia="宋体" w:cs="Times New Roman"/>
                <w:color w:val="auto"/>
                <w:spacing w:val="16"/>
                <w:sz w:val="21"/>
                <w:szCs w:val="21"/>
                <w:highlight w:val="none"/>
              </w:rPr>
              <w:t>环境和社会绩效实施的监测和评估</w:t>
            </w:r>
          </w:p>
        </w:tc>
        <w:tc>
          <w:tcPr>
            <w:tcW w:w="705" w:type="pct"/>
            <w:vAlign w:val="center"/>
          </w:tcPr>
          <w:p w14:paraId="151986BE">
            <w:p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加强项目办、承包商及监理单位对劳动者管理、社区健康和安全管理及社会其他管理的政策和要求</w:t>
            </w:r>
          </w:p>
        </w:tc>
        <w:tc>
          <w:tcPr>
            <w:tcW w:w="542" w:type="pct"/>
            <w:vAlign w:val="center"/>
          </w:tcPr>
          <w:p w14:paraId="420C601B">
            <w:p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亚投行专家，或聘请的社会及移民专家</w:t>
            </w:r>
          </w:p>
        </w:tc>
        <w:tc>
          <w:tcPr>
            <w:tcW w:w="523" w:type="pct"/>
            <w:vAlign w:val="center"/>
          </w:tcPr>
          <w:p w14:paraId="1391891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30~40</w:t>
            </w:r>
          </w:p>
        </w:tc>
        <w:tc>
          <w:tcPr>
            <w:tcW w:w="372" w:type="pct"/>
            <w:vAlign w:val="center"/>
          </w:tcPr>
          <w:p w14:paraId="58B7AB88">
            <w:p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讲座、研讨会</w:t>
            </w:r>
          </w:p>
        </w:tc>
        <w:tc>
          <w:tcPr>
            <w:tcW w:w="372" w:type="pct"/>
            <w:vAlign w:val="center"/>
          </w:tcPr>
          <w:p w14:paraId="2A96A92B">
            <w:p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490" w:type="pct"/>
            <w:vAlign w:val="center"/>
          </w:tcPr>
          <w:p w14:paraId="62819370">
            <w:p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开工之前，实施期间至少每年两次</w:t>
            </w:r>
          </w:p>
        </w:tc>
      </w:tr>
      <w:tr w14:paraId="5059F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Align w:val="center"/>
          </w:tcPr>
          <w:p w14:paraId="1A6E45B9">
            <w:p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相关街道、社区和村庄</w:t>
            </w:r>
          </w:p>
        </w:tc>
        <w:tc>
          <w:tcPr>
            <w:tcW w:w="1525" w:type="pct"/>
            <w:vAlign w:val="center"/>
          </w:tcPr>
          <w:p w14:paraId="4A782555">
            <w:pPr>
              <w:pStyle w:val="39"/>
              <w:numPr>
                <w:ilvl w:val="0"/>
                <w:numId w:val="37"/>
              </w:num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6"/>
                <w:sz w:val="21"/>
                <w:szCs w:val="21"/>
                <w:highlight w:val="none"/>
              </w:rPr>
              <w:t>有</w:t>
            </w:r>
            <w:r>
              <w:rPr>
                <w:rFonts w:hint="default" w:ascii="Times New Roman" w:hAnsi="Times New Roman" w:eastAsia="宋体" w:cs="Times New Roman"/>
                <w:color w:val="auto"/>
                <w:sz w:val="21"/>
                <w:szCs w:val="21"/>
                <w:highlight w:val="none"/>
              </w:rPr>
              <w:t>关环境保护和社会管理措施及要求；</w:t>
            </w:r>
          </w:p>
          <w:p w14:paraId="49F46302">
            <w:pPr>
              <w:pStyle w:val="39"/>
              <w:numPr>
                <w:ilvl w:val="0"/>
                <w:numId w:val="37"/>
              </w:num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SEP的实施；</w:t>
            </w:r>
          </w:p>
          <w:p w14:paraId="2A37B147">
            <w:pPr>
              <w:pStyle w:val="39"/>
              <w:numPr>
                <w:ilvl w:val="0"/>
                <w:numId w:val="37"/>
              </w:num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抱怨申诉机制</w:t>
            </w:r>
          </w:p>
        </w:tc>
        <w:tc>
          <w:tcPr>
            <w:tcW w:w="705" w:type="pct"/>
            <w:vAlign w:val="center"/>
          </w:tcPr>
          <w:p w14:paraId="7633BF10">
            <w:p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了解项目环境与社会管理措施要求，交通安全意识</w:t>
            </w:r>
          </w:p>
        </w:tc>
        <w:tc>
          <w:tcPr>
            <w:tcW w:w="542" w:type="pct"/>
            <w:vAlign w:val="center"/>
          </w:tcPr>
          <w:p w14:paraId="40C53339">
            <w:p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有亚投行项目经验的专家/项目办人员，社区代表，村代表</w:t>
            </w:r>
          </w:p>
        </w:tc>
        <w:tc>
          <w:tcPr>
            <w:tcW w:w="523" w:type="pct"/>
            <w:vAlign w:val="center"/>
          </w:tcPr>
          <w:p w14:paraId="4F2B7B0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c>
          <w:tcPr>
            <w:tcW w:w="372" w:type="pct"/>
            <w:vAlign w:val="center"/>
          </w:tcPr>
          <w:p w14:paraId="0D695BBF">
            <w:p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讲座、研讨会</w:t>
            </w:r>
          </w:p>
        </w:tc>
        <w:tc>
          <w:tcPr>
            <w:tcW w:w="372" w:type="pct"/>
            <w:vAlign w:val="center"/>
          </w:tcPr>
          <w:p w14:paraId="6D7CE627">
            <w:p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490" w:type="pct"/>
            <w:vAlign w:val="center"/>
          </w:tcPr>
          <w:p w14:paraId="1B7531CC">
            <w:p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开工之前，实施期间至少每年一次</w:t>
            </w:r>
          </w:p>
        </w:tc>
      </w:tr>
    </w:tbl>
    <w:p w14:paraId="3B7D9DC1">
      <w:pPr>
        <w:spacing w:before="120" w:after="120" w:line="300" w:lineRule="auto"/>
        <w:ind w:firstLine="480" w:firstLineChars="200"/>
        <w:jc w:val="both"/>
        <w:rPr>
          <w:rFonts w:hint="default" w:ascii="Times New Roman" w:hAnsi="Times New Roman" w:eastAsia="宋体" w:cs="Times New Roman"/>
          <w:color w:val="auto"/>
          <w:highlight w:val="none"/>
        </w:rPr>
      </w:pPr>
    </w:p>
    <w:p w14:paraId="7EEF4BF1">
      <w:pPr>
        <w:spacing w:before="120" w:after="120" w:line="300" w:lineRule="auto"/>
        <w:ind w:firstLine="480" w:firstLineChars="200"/>
        <w:jc w:val="both"/>
        <w:rPr>
          <w:rFonts w:hint="default" w:ascii="Times New Roman" w:hAnsi="Times New Roman" w:eastAsia="宋体" w:cs="Times New Roman"/>
          <w:color w:val="auto"/>
          <w:highlight w:val="none"/>
        </w:rPr>
        <w:sectPr>
          <w:pgSz w:w="16838" w:h="11906" w:orient="landscape"/>
          <w:pgMar w:top="1800" w:right="1440" w:bottom="1800" w:left="1440" w:header="851" w:footer="992" w:gutter="0"/>
          <w:cols w:space="720" w:num="1"/>
          <w:docGrid w:linePitch="326" w:charSpace="0"/>
        </w:sectPr>
      </w:pPr>
    </w:p>
    <w:p w14:paraId="2E5ED4D4">
      <w:pPr>
        <w:pStyle w:val="3"/>
        <w:numPr>
          <w:ilvl w:val="0"/>
          <w:numId w:val="4"/>
        </w:numPr>
        <w:spacing w:line="276" w:lineRule="auto"/>
        <w:ind w:left="431" w:hanging="431"/>
        <w:rPr>
          <w:rFonts w:hint="default" w:ascii="Times New Roman" w:hAnsi="Times New Roman" w:eastAsia="宋体" w:cs="Times New Roman"/>
          <w:color w:val="auto"/>
          <w:sz w:val="28"/>
          <w:szCs w:val="28"/>
          <w:highlight w:val="none"/>
        </w:rPr>
      </w:pPr>
      <w:bookmarkStart w:id="382" w:name="_Toc152083710"/>
      <w:bookmarkEnd w:id="382"/>
      <w:bookmarkStart w:id="383" w:name="_Toc152083785"/>
      <w:bookmarkEnd w:id="383"/>
      <w:bookmarkStart w:id="384" w:name="_Toc152083550"/>
      <w:bookmarkEnd w:id="384"/>
      <w:bookmarkStart w:id="385" w:name="_Toc12452"/>
      <w:bookmarkStart w:id="386" w:name="_Toc114673145"/>
      <w:r>
        <w:rPr>
          <w:rFonts w:hint="default" w:ascii="Times New Roman" w:hAnsi="Times New Roman" w:eastAsia="宋体" w:cs="Times New Roman"/>
          <w:color w:val="auto"/>
          <w:sz w:val="28"/>
          <w:szCs w:val="28"/>
          <w:highlight w:val="none"/>
        </w:rPr>
        <w:t>监测评估</w:t>
      </w:r>
      <w:bookmarkEnd w:id="380"/>
      <w:bookmarkEnd w:id="381"/>
      <w:bookmarkEnd w:id="385"/>
      <w:bookmarkEnd w:id="386"/>
    </w:p>
    <w:p w14:paraId="431E3EE7">
      <w:pPr>
        <w:pStyle w:val="4"/>
        <w:spacing w:before="120"/>
        <w:rPr>
          <w:rFonts w:hint="default" w:ascii="Times New Roman" w:hAnsi="Times New Roman" w:eastAsia="宋体" w:cs="Times New Roman"/>
          <w:color w:val="auto"/>
          <w:highlight w:val="none"/>
        </w:rPr>
      </w:pPr>
      <w:bookmarkStart w:id="387" w:name="_Toc1280"/>
      <w:r>
        <w:rPr>
          <w:rFonts w:hint="default" w:ascii="Times New Roman" w:hAnsi="Times New Roman" w:eastAsia="宋体" w:cs="Times New Roman"/>
          <w:color w:val="auto"/>
          <w:highlight w:val="none"/>
        </w:rPr>
        <w:t>外部监测</w:t>
      </w:r>
      <w:bookmarkEnd w:id="387"/>
    </w:p>
    <w:p w14:paraId="543F3356">
      <w:pPr>
        <w:spacing w:before="120" w:after="120" w:line="300" w:lineRule="auto"/>
        <w:ind w:firstLine="480" w:firstLineChars="200"/>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kern w:val="2"/>
          <w:highlight w:val="none"/>
        </w:rPr>
        <w:t>除了汉滨区人民政府项目管理办公室（PMO）及</w:t>
      </w:r>
      <w:r>
        <w:rPr>
          <w:rFonts w:hint="default" w:ascii="Times New Roman" w:hAnsi="Times New Roman" w:eastAsia="宋体" w:cs="Times New Roman"/>
          <w:color w:val="auto"/>
          <w:highlight w:val="none"/>
        </w:rPr>
        <w:t>汉滨区五里工业集中区（城东新区）管委会</w:t>
      </w:r>
      <w:r>
        <w:rPr>
          <w:rFonts w:hint="default" w:ascii="Times New Roman" w:hAnsi="Times New Roman" w:eastAsia="宋体" w:cs="Times New Roman"/>
          <w:color w:val="auto"/>
          <w:kern w:val="2"/>
          <w:highlight w:val="none"/>
        </w:rPr>
        <w:t>(PIU)日常的项目管理监督体系之外，项目实施过程中，项目办/执行机构还将聘请第三方独立的监测单位，开展社会行动计划相关的监测工作。</w:t>
      </w:r>
    </w:p>
    <w:p w14:paraId="22C14CDB">
      <w:pPr>
        <w:spacing w:before="120" w:after="120" w:line="300" w:lineRule="auto"/>
        <w:ind w:firstLine="480" w:firstLineChars="200"/>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kern w:val="2"/>
          <w:highlight w:val="none"/>
        </w:rPr>
        <w:t>社会外部监测的范围包括但不限于环境和社会管理计划（ESMP）的实施、社会工具的准备和实施、环境和社会审计发现问题的完善、征用土地和移民安置、劳动者管理、社区健康和安全、利益相关方参与活动、申诉机制运行情况、关联设施（如涉及）及重大相关设施的环境和社会绩效等。</w:t>
      </w:r>
    </w:p>
    <w:p w14:paraId="5F6241C2">
      <w:pPr>
        <w:spacing w:before="120" w:after="120" w:line="300" w:lineRule="auto"/>
        <w:ind w:firstLine="480" w:firstLineChars="200"/>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kern w:val="2"/>
          <w:highlight w:val="none"/>
        </w:rPr>
        <w:t>社会外部监测单位将由项目办委托，对项目实施过程中的社会管理措施实际落实情况，提供第三方的监测评估意见和报告。具体职责主要包括：</w:t>
      </w:r>
    </w:p>
    <w:p w14:paraId="787C8293">
      <w:pPr>
        <w:widowControl w:val="0"/>
        <w:numPr>
          <w:ilvl w:val="0"/>
          <w:numId w:val="38"/>
        </w:numPr>
        <w:spacing w:before="120" w:after="120" w:line="300" w:lineRule="auto"/>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kern w:val="2"/>
          <w:highlight w:val="none"/>
        </w:rPr>
        <w:t xml:space="preserve">审查施工单位的劳动者管理、安全生产计划、交通管理计划、社区及公众沟通计划等文件是否符合已经批准的环境与社会文件的要求； </w:t>
      </w:r>
    </w:p>
    <w:p w14:paraId="26A6AC01">
      <w:pPr>
        <w:widowControl w:val="0"/>
        <w:numPr>
          <w:ilvl w:val="0"/>
          <w:numId w:val="38"/>
        </w:numPr>
        <w:spacing w:before="120" w:after="120" w:line="300" w:lineRule="auto"/>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kern w:val="2"/>
          <w:highlight w:val="none"/>
        </w:rPr>
        <w:t>协助项目办和项目执行机构针对施工单位、监理单位开展环境与社会管理培训，包括劳动者管理及利益相关方参与等；</w:t>
      </w:r>
    </w:p>
    <w:p w14:paraId="0FCF8E4F">
      <w:pPr>
        <w:widowControl w:val="0"/>
        <w:numPr>
          <w:ilvl w:val="0"/>
          <w:numId w:val="38"/>
        </w:numPr>
        <w:spacing w:before="120" w:after="120" w:line="300" w:lineRule="auto"/>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kern w:val="2"/>
          <w:highlight w:val="none"/>
        </w:rPr>
        <w:t>协助项目办和项目执行机构调查、处理环境与社会突发事件或事故；</w:t>
      </w:r>
    </w:p>
    <w:p w14:paraId="2DBF4D31">
      <w:pPr>
        <w:widowControl w:val="0"/>
        <w:numPr>
          <w:ilvl w:val="0"/>
          <w:numId w:val="38"/>
        </w:numPr>
        <w:spacing w:before="120" w:after="120" w:line="300" w:lineRule="auto"/>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kern w:val="2"/>
          <w:highlight w:val="none"/>
        </w:rPr>
        <w:t>针对社会管理计划等社会管理文件实施情况进行跟踪监测，包括针对受影响人开展咨询和调查；</w:t>
      </w:r>
    </w:p>
    <w:p w14:paraId="4EF61005">
      <w:pPr>
        <w:widowControl w:val="0"/>
        <w:numPr>
          <w:ilvl w:val="0"/>
          <w:numId w:val="38"/>
        </w:numPr>
        <w:spacing w:before="120" w:after="120" w:line="300" w:lineRule="auto"/>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kern w:val="2"/>
          <w:highlight w:val="none"/>
        </w:rPr>
        <w:t>定期向项目办和项目执行机构提交监测报告。</w:t>
      </w:r>
    </w:p>
    <w:p w14:paraId="32DA5D02">
      <w:pPr>
        <w:spacing w:before="120" w:after="120" w:line="300" w:lineRule="auto"/>
        <w:ind w:firstLine="480" w:firstLineChars="200"/>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kern w:val="2"/>
          <w:highlight w:val="none"/>
        </w:rPr>
        <w:t>此外，在项目建设和运营过程中，政府相关部门也按照其各自的管理监督职能，开展相关监管活动。</w:t>
      </w:r>
    </w:p>
    <w:p w14:paraId="3F49442A">
      <w:pPr>
        <w:spacing w:before="120" w:after="120" w:line="300" w:lineRule="auto"/>
        <w:ind w:firstLine="480" w:firstLineChars="200"/>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kern w:val="2"/>
          <w:highlight w:val="none"/>
        </w:rPr>
        <w:t>项目实施过程中，亚洲基础设施投资银行也将针对项目的社会表现进行专门的监督，为确保社会的合规性提供指导。</w:t>
      </w:r>
    </w:p>
    <w:p w14:paraId="4704CDD3">
      <w:pPr>
        <w:pStyle w:val="4"/>
        <w:spacing w:before="120" w:after="240"/>
        <w:rPr>
          <w:rFonts w:hint="default" w:ascii="Times New Roman" w:hAnsi="Times New Roman" w:eastAsia="宋体" w:cs="Times New Roman"/>
          <w:color w:val="auto"/>
          <w:szCs w:val="24"/>
          <w:highlight w:val="none"/>
        </w:rPr>
      </w:pPr>
      <w:bookmarkStart w:id="388" w:name="_Toc110846332"/>
      <w:bookmarkStart w:id="389" w:name="_Toc114673148"/>
      <w:bookmarkStart w:id="390" w:name="_Toc18770"/>
      <w:r>
        <w:rPr>
          <w:rFonts w:hint="default" w:ascii="Times New Roman" w:hAnsi="Times New Roman" w:eastAsia="宋体" w:cs="Times New Roman"/>
          <w:color w:val="auto"/>
          <w:szCs w:val="24"/>
          <w:highlight w:val="none"/>
        </w:rPr>
        <w:t>报告制度</w:t>
      </w:r>
      <w:bookmarkEnd w:id="388"/>
      <w:bookmarkEnd w:id="389"/>
      <w:bookmarkEnd w:id="390"/>
    </w:p>
    <w:p w14:paraId="0343CA2D">
      <w:pPr>
        <w:spacing w:before="120" w:after="120" w:line="300" w:lineRule="auto"/>
        <w:ind w:firstLine="480" w:firstLineChars="200"/>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kern w:val="2"/>
          <w:highlight w:val="none"/>
        </w:rPr>
        <w:t>项目执行机构定期编制项目社会管理工作报告</w:t>
      </w:r>
      <w:r>
        <w:rPr>
          <w:rFonts w:hint="default" w:ascii="Times New Roman" w:hAnsi="Times New Roman" w:eastAsia="宋体" w:cs="Times New Roman"/>
          <w:b/>
          <w:bCs/>
          <w:color w:val="auto"/>
          <w:kern w:val="2"/>
          <w:highlight w:val="none"/>
          <w:u w:val="single"/>
        </w:rPr>
        <w:t>（每半年一次）</w:t>
      </w:r>
      <w:r>
        <w:rPr>
          <w:rFonts w:hint="default" w:ascii="Times New Roman" w:hAnsi="Times New Roman" w:eastAsia="宋体" w:cs="Times New Roman"/>
          <w:color w:val="auto"/>
          <w:kern w:val="2"/>
          <w:highlight w:val="none"/>
        </w:rPr>
        <w:t>，检查社会管理计划、环境和社会管理计划和其他相关计划（如利益相关者参与计划等）的实施进度以及成效，并提交给项目办。</w:t>
      </w:r>
    </w:p>
    <w:p w14:paraId="7B16EE46">
      <w:pPr>
        <w:spacing w:before="120" w:after="120" w:line="300" w:lineRule="auto"/>
        <w:ind w:firstLine="480" w:firstLineChars="200"/>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kern w:val="2"/>
          <w:highlight w:val="none"/>
        </w:rPr>
        <w:t>项目办和项目执行机构负责汇总整体项目的环境与社会表现工作情况，每半年编制一份环境与社会管理工作进展报告（可以作为项目实施进展报告的一部分），报送亚洲基础设施投资银行。</w:t>
      </w:r>
    </w:p>
    <w:p w14:paraId="5F0551B5">
      <w:pPr>
        <w:spacing w:before="120" w:after="120" w:line="300" w:lineRule="auto"/>
        <w:ind w:firstLine="480" w:firstLineChars="200"/>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kern w:val="2"/>
          <w:highlight w:val="none"/>
        </w:rPr>
        <w:t>外部社会监测单位按照合同要求，每半年向项目办提交一份外部监测报告。项目办和项目执行机构审阅后将这些报告作为附件，与项目半年度进度报告一并提交亚投行。</w:t>
      </w:r>
    </w:p>
    <w:p w14:paraId="608D3853">
      <w:pPr>
        <w:spacing w:before="120" w:after="120" w:line="300" w:lineRule="auto"/>
        <w:ind w:firstLine="480" w:firstLineChars="200"/>
        <w:jc w:val="both"/>
        <w:rPr>
          <w:rFonts w:hint="default" w:ascii="Times New Roman" w:hAnsi="Times New Roman" w:eastAsia="宋体" w:cs="Times New Roman"/>
          <w:color w:val="auto"/>
          <w:kern w:val="2"/>
          <w:highlight w:val="none"/>
        </w:rPr>
      </w:pPr>
      <w:bookmarkStart w:id="391" w:name="_Toc17790"/>
      <w:bookmarkStart w:id="392" w:name="_Toc83326412"/>
      <w:bookmarkStart w:id="393" w:name="_Toc110846333"/>
    </w:p>
    <w:p w14:paraId="7FAF3F38">
      <w:pPr>
        <w:spacing w:before="120" w:after="120" w:line="300" w:lineRule="auto"/>
        <w:ind w:firstLine="480" w:firstLineChars="200"/>
        <w:jc w:val="both"/>
        <w:rPr>
          <w:rFonts w:hint="default" w:ascii="Times New Roman" w:hAnsi="Times New Roman" w:eastAsia="宋体" w:cs="Times New Roman"/>
          <w:color w:val="auto"/>
          <w:kern w:val="2"/>
          <w:highlight w:val="none"/>
        </w:rPr>
      </w:pPr>
    </w:p>
    <w:p w14:paraId="1AD62109">
      <w:pPr>
        <w:spacing w:before="120" w:after="120" w:line="300" w:lineRule="auto"/>
        <w:ind w:firstLine="480" w:firstLineChars="200"/>
        <w:jc w:val="both"/>
        <w:rPr>
          <w:rFonts w:hint="default" w:ascii="Times New Roman" w:hAnsi="Times New Roman" w:eastAsia="宋体" w:cs="Times New Roman"/>
          <w:color w:val="auto"/>
          <w:kern w:val="2"/>
          <w:highlight w:val="none"/>
        </w:rPr>
        <w:sectPr>
          <w:pgSz w:w="11906" w:h="16838"/>
          <w:pgMar w:top="1440" w:right="1800" w:bottom="1440" w:left="1800" w:header="851" w:footer="992" w:gutter="0"/>
          <w:cols w:space="720" w:num="1"/>
          <w:docGrid w:linePitch="326" w:charSpace="0"/>
        </w:sectPr>
      </w:pPr>
    </w:p>
    <w:p w14:paraId="2D9CCC81">
      <w:pPr>
        <w:pStyle w:val="3"/>
        <w:numPr>
          <w:ilvl w:val="0"/>
          <w:numId w:val="0"/>
        </w:numPr>
        <w:spacing w:line="300" w:lineRule="auto"/>
        <w:rPr>
          <w:rFonts w:hint="default" w:ascii="Times New Roman" w:hAnsi="Times New Roman" w:eastAsia="宋体" w:cs="Times New Roman"/>
          <w:color w:val="auto"/>
          <w:sz w:val="30"/>
          <w:szCs w:val="30"/>
          <w:highlight w:val="none"/>
        </w:rPr>
      </w:pPr>
      <w:bookmarkStart w:id="394" w:name="_Toc27168"/>
      <w:bookmarkStart w:id="395" w:name="_Toc114673149"/>
      <w:r>
        <w:rPr>
          <w:rFonts w:hint="default" w:ascii="Times New Roman" w:hAnsi="Times New Roman" w:eastAsia="宋体" w:cs="Times New Roman"/>
          <w:color w:val="auto"/>
          <w:sz w:val="30"/>
          <w:szCs w:val="30"/>
          <w:highlight w:val="none"/>
        </w:rPr>
        <w:t>附件</w:t>
      </w:r>
      <w:bookmarkEnd w:id="394"/>
      <w:bookmarkEnd w:id="395"/>
    </w:p>
    <w:p w14:paraId="32C36DA5">
      <w:pPr>
        <w:keepNext/>
        <w:keepLines/>
        <w:spacing w:before="240" w:after="240" w:line="300" w:lineRule="auto"/>
        <w:outlineLvl w:val="1"/>
        <w:rPr>
          <w:rFonts w:hint="default" w:ascii="Times New Roman" w:hAnsi="Times New Roman" w:eastAsia="宋体" w:cs="Times New Roman"/>
          <w:b/>
          <w:color w:val="auto"/>
          <w:sz w:val="28"/>
          <w:szCs w:val="28"/>
          <w:highlight w:val="none"/>
        </w:rPr>
      </w:pPr>
      <w:bookmarkStart w:id="396" w:name="_Toc26775"/>
      <w:bookmarkStart w:id="397" w:name="_Toc118648859"/>
      <w:r>
        <w:rPr>
          <w:rFonts w:hint="default" w:ascii="Times New Roman" w:hAnsi="Times New Roman" w:eastAsia="宋体" w:cs="Times New Roman"/>
          <w:b/>
          <w:color w:val="auto"/>
          <w:sz w:val="28"/>
          <w:szCs w:val="28"/>
          <w:highlight w:val="none"/>
        </w:rPr>
        <w:t>附件1 调查问卷</w:t>
      </w:r>
      <w:bookmarkEnd w:id="396"/>
      <w:bookmarkEnd w:id="397"/>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474"/>
        <w:gridCol w:w="629"/>
        <w:gridCol w:w="152"/>
        <w:gridCol w:w="494"/>
        <w:gridCol w:w="900"/>
        <w:gridCol w:w="608"/>
        <w:gridCol w:w="141"/>
        <w:gridCol w:w="735"/>
        <w:gridCol w:w="629"/>
        <w:gridCol w:w="186"/>
        <w:gridCol w:w="975"/>
        <w:gridCol w:w="537"/>
        <w:gridCol w:w="426"/>
        <w:gridCol w:w="958"/>
      </w:tblGrid>
      <w:tr w14:paraId="0011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398" w:type="pct"/>
            <w:tcBorders>
              <w:tl2br w:val="nil"/>
              <w:tr2bl w:val="nil"/>
            </w:tcBorders>
            <w:vAlign w:val="center"/>
          </w:tcPr>
          <w:p w14:paraId="438B2DB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姓名</w:t>
            </w:r>
          </w:p>
        </w:tc>
        <w:tc>
          <w:tcPr>
            <w:tcW w:w="647" w:type="pct"/>
            <w:gridSpan w:val="2"/>
            <w:tcBorders>
              <w:tl2br w:val="nil"/>
              <w:tr2bl w:val="nil"/>
            </w:tcBorders>
            <w:vAlign w:val="center"/>
          </w:tcPr>
          <w:p w14:paraId="08C28F8E">
            <w:pPr>
              <w:adjustRightInd w:val="0"/>
              <w:snapToGrid w:val="0"/>
              <w:jc w:val="center"/>
              <w:rPr>
                <w:rFonts w:hint="default" w:ascii="Times New Roman" w:hAnsi="Times New Roman" w:eastAsia="宋体" w:cs="Times New Roman"/>
                <w:color w:val="auto"/>
                <w:sz w:val="21"/>
                <w:szCs w:val="21"/>
                <w:highlight w:val="none"/>
              </w:rPr>
            </w:pPr>
          </w:p>
        </w:tc>
        <w:tc>
          <w:tcPr>
            <w:tcW w:w="379" w:type="pct"/>
            <w:gridSpan w:val="2"/>
            <w:tcBorders>
              <w:tl2br w:val="nil"/>
              <w:tr2bl w:val="nil"/>
            </w:tcBorders>
            <w:vAlign w:val="center"/>
          </w:tcPr>
          <w:p w14:paraId="2371A6D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年龄</w:t>
            </w:r>
          </w:p>
        </w:tc>
        <w:tc>
          <w:tcPr>
            <w:tcW w:w="528" w:type="pct"/>
            <w:tcBorders>
              <w:tl2br w:val="nil"/>
              <w:tr2bl w:val="nil"/>
            </w:tcBorders>
            <w:vAlign w:val="center"/>
          </w:tcPr>
          <w:p w14:paraId="6D1A968D">
            <w:pPr>
              <w:adjustRightInd w:val="0"/>
              <w:snapToGrid w:val="0"/>
              <w:jc w:val="center"/>
              <w:rPr>
                <w:rFonts w:hint="default" w:ascii="Times New Roman" w:hAnsi="Times New Roman" w:eastAsia="宋体" w:cs="Times New Roman"/>
                <w:color w:val="auto"/>
                <w:sz w:val="21"/>
                <w:szCs w:val="21"/>
                <w:highlight w:val="none"/>
              </w:rPr>
            </w:pPr>
          </w:p>
        </w:tc>
        <w:tc>
          <w:tcPr>
            <w:tcW w:w="440" w:type="pct"/>
            <w:gridSpan w:val="2"/>
            <w:tcBorders>
              <w:tl2br w:val="nil"/>
              <w:tr2bl w:val="nil"/>
            </w:tcBorders>
            <w:vAlign w:val="center"/>
          </w:tcPr>
          <w:p w14:paraId="17E84B5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性别</w:t>
            </w:r>
          </w:p>
        </w:tc>
        <w:tc>
          <w:tcPr>
            <w:tcW w:w="431" w:type="pct"/>
            <w:tcBorders>
              <w:tl2br w:val="nil"/>
              <w:tr2bl w:val="nil"/>
            </w:tcBorders>
            <w:vAlign w:val="center"/>
          </w:tcPr>
          <w:p w14:paraId="3F06ED89">
            <w:pPr>
              <w:adjustRightInd w:val="0"/>
              <w:snapToGrid w:val="0"/>
              <w:jc w:val="center"/>
              <w:rPr>
                <w:rFonts w:hint="default" w:ascii="Times New Roman" w:hAnsi="Times New Roman" w:eastAsia="宋体" w:cs="Times New Roman"/>
                <w:color w:val="auto"/>
                <w:sz w:val="21"/>
                <w:szCs w:val="21"/>
                <w:highlight w:val="none"/>
              </w:rPr>
            </w:pPr>
          </w:p>
        </w:tc>
        <w:tc>
          <w:tcPr>
            <w:tcW w:w="478" w:type="pct"/>
            <w:gridSpan w:val="2"/>
            <w:tcBorders>
              <w:tl2br w:val="nil"/>
              <w:tr2bl w:val="nil"/>
            </w:tcBorders>
            <w:vAlign w:val="center"/>
          </w:tcPr>
          <w:p w14:paraId="4275CB6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家庭人口</w:t>
            </w:r>
          </w:p>
        </w:tc>
        <w:tc>
          <w:tcPr>
            <w:tcW w:w="572" w:type="pct"/>
            <w:tcBorders>
              <w:tl2br w:val="nil"/>
              <w:tr2bl w:val="nil"/>
            </w:tcBorders>
            <w:vAlign w:val="center"/>
          </w:tcPr>
          <w:p w14:paraId="24CD6673">
            <w:pPr>
              <w:adjustRightInd w:val="0"/>
              <w:snapToGrid w:val="0"/>
              <w:jc w:val="center"/>
              <w:rPr>
                <w:rFonts w:hint="default" w:ascii="Times New Roman" w:hAnsi="Times New Roman" w:eastAsia="宋体" w:cs="Times New Roman"/>
                <w:color w:val="auto"/>
                <w:sz w:val="21"/>
                <w:szCs w:val="21"/>
                <w:highlight w:val="none"/>
              </w:rPr>
            </w:pPr>
          </w:p>
        </w:tc>
        <w:tc>
          <w:tcPr>
            <w:tcW w:w="565" w:type="pct"/>
            <w:gridSpan w:val="2"/>
            <w:tcBorders>
              <w:tl2br w:val="nil"/>
              <w:tr2bl w:val="nil"/>
            </w:tcBorders>
            <w:vAlign w:val="center"/>
          </w:tcPr>
          <w:p w14:paraId="2E3560D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其中：女性人口</w:t>
            </w:r>
          </w:p>
        </w:tc>
        <w:tc>
          <w:tcPr>
            <w:tcW w:w="560" w:type="pct"/>
            <w:tcBorders>
              <w:tl2br w:val="nil"/>
              <w:tr2bl w:val="nil"/>
            </w:tcBorders>
            <w:vAlign w:val="center"/>
          </w:tcPr>
          <w:p w14:paraId="756B42A7">
            <w:pPr>
              <w:adjustRightInd w:val="0"/>
              <w:snapToGrid w:val="0"/>
              <w:jc w:val="center"/>
              <w:rPr>
                <w:rFonts w:hint="default" w:ascii="Times New Roman" w:hAnsi="Times New Roman" w:eastAsia="宋体" w:cs="Times New Roman"/>
                <w:color w:val="auto"/>
                <w:sz w:val="21"/>
                <w:szCs w:val="21"/>
                <w:highlight w:val="none"/>
              </w:rPr>
            </w:pPr>
          </w:p>
        </w:tc>
      </w:tr>
      <w:tr w14:paraId="09288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76" w:type="pct"/>
            <w:gridSpan w:val="2"/>
            <w:tcBorders>
              <w:tl2br w:val="nil"/>
              <w:tr2bl w:val="nil"/>
            </w:tcBorders>
            <w:vAlign w:val="center"/>
          </w:tcPr>
          <w:p w14:paraId="7883032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文化程度</w:t>
            </w:r>
          </w:p>
        </w:tc>
        <w:tc>
          <w:tcPr>
            <w:tcW w:w="458" w:type="pct"/>
            <w:gridSpan w:val="2"/>
            <w:tcBorders>
              <w:tl2br w:val="nil"/>
              <w:tr2bl w:val="nil"/>
            </w:tcBorders>
            <w:vAlign w:val="center"/>
          </w:tcPr>
          <w:p w14:paraId="26B2783A">
            <w:pPr>
              <w:adjustRightInd w:val="0"/>
              <w:snapToGrid w:val="0"/>
              <w:jc w:val="center"/>
              <w:rPr>
                <w:rFonts w:hint="default" w:ascii="Times New Roman" w:hAnsi="Times New Roman" w:eastAsia="宋体" w:cs="Times New Roman"/>
                <w:color w:val="auto"/>
                <w:sz w:val="21"/>
                <w:szCs w:val="21"/>
                <w:highlight w:val="none"/>
              </w:rPr>
            </w:pPr>
          </w:p>
        </w:tc>
        <w:tc>
          <w:tcPr>
            <w:tcW w:w="1175" w:type="pct"/>
            <w:gridSpan w:val="3"/>
            <w:tcBorders>
              <w:tl2br w:val="nil"/>
              <w:tr2bl w:val="nil"/>
            </w:tcBorders>
            <w:vAlign w:val="center"/>
          </w:tcPr>
          <w:p w14:paraId="4E2F90B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2"/>
                <w:highlight w:val="none"/>
              </w:rPr>
              <w:t>所属</w:t>
            </w:r>
            <w:r>
              <w:rPr>
                <w:rFonts w:hint="default" w:ascii="Times New Roman" w:hAnsi="Times New Roman" w:eastAsia="宋体" w:cs="Times New Roman"/>
                <w:color w:val="auto"/>
                <w:sz w:val="22"/>
                <w:highlight w:val="none"/>
                <w:lang w:val="en-CA"/>
              </w:rPr>
              <w:t>乡镇（街道办）</w:t>
            </w:r>
          </w:p>
        </w:tc>
        <w:tc>
          <w:tcPr>
            <w:tcW w:w="883" w:type="pct"/>
            <w:gridSpan w:val="3"/>
            <w:tcBorders>
              <w:tl2br w:val="nil"/>
              <w:tr2bl w:val="nil"/>
            </w:tcBorders>
            <w:vAlign w:val="center"/>
          </w:tcPr>
          <w:p w14:paraId="72546015">
            <w:pPr>
              <w:adjustRightInd w:val="0"/>
              <w:snapToGrid w:val="0"/>
              <w:jc w:val="center"/>
              <w:rPr>
                <w:rFonts w:hint="default" w:ascii="Times New Roman" w:hAnsi="Times New Roman" w:eastAsia="宋体" w:cs="Times New Roman"/>
                <w:color w:val="auto"/>
                <w:sz w:val="21"/>
                <w:szCs w:val="21"/>
                <w:highlight w:val="none"/>
              </w:rPr>
            </w:pPr>
          </w:p>
        </w:tc>
        <w:tc>
          <w:tcPr>
            <w:tcW w:w="996" w:type="pct"/>
            <w:gridSpan w:val="3"/>
            <w:tcBorders>
              <w:tl2br w:val="nil"/>
              <w:tr2bl w:val="nil"/>
            </w:tcBorders>
            <w:vAlign w:val="center"/>
          </w:tcPr>
          <w:p w14:paraId="7AB412A0">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2"/>
                <w:highlight w:val="none"/>
              </w:rPr>
              <w:t>所属</w:t>
            </w:r>
            <w:r>
              <w:rPr>
                <w:rFonts w:hint="default" w:ascii="Times New Roman" w:hAnsi="Times New Roman" w:eastAsia="宋体" w:cs="Times New Roman"/>
                <w:color w:val="auto"/>
                <w:sz w:val="22"/>
                <w:highlight w:val="none"/>
                <w:lang w:val="en-CA"/>
              </w:rPr>
              <w:t>村（社区）</w:t>
            </w:r>
          </w:p>
        </w:tc>
        <w:tc>
          <w:tcPr>
            <w:tcW w:w="809" w:type="pct"/>
            <w:gridSpan w:val="2"/>
            <w:tcBorders>
              <w:tl2br w:val="nil"/>
              <w:tr2bl w:val="nil"/>
            </w:tcBorders>
            <w:vAlign w:val="center"/>
          </w:tcPr>
          <w:p w14:paraId="2CFD3CBB">
            <w:pPr>
              <w:adjustRightInd w:val="0"/>
              <w:snapToGrid w:val="0"/>
              <w:jc w:val="center"/>
              <w:rPr>
                <w:rFonts w:hint="default" w:ascii="Times New Roman" w:hAnsi="Times New Roman" w:eastAsia="宋体" w:cs="Times New Roman"/>
                <w:color w:val="auto"/>
                <w:sz w:val="21"/>
                <w:szCs w:val="21"/>
                <w:highlight w:val="none"/>
              </w:rPr>
            </w:pPr>
          </w:p>
        </w:tc>
      </w:tr>
      <w:tr w14:paraId="67942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5" w:hRule="atLeast"/>
          <w:jc w:val="center"/>
        </w:trPr>
        <w:tc>
          <w:tcPr>
            <w:tcW w:w="5000" w:type="pct"/>
            <w:gridSpan w:val="15"/>
            <w:tcBorders>
              <w:tl2br w:val="nil"/>
              <w:tr2bl w:val="nil"/>
            </w:tcBorders>
            <w:vAlign w:val="center"/>
          </w:tcPr>
          <w:p w14:paraId="477759DA">
            <w:pPr>
              <w:widowControl w:val="0"/>
              <w:adjustRightInd w:val="0"/>
              <w:snapToGrid w:val="0"/>
              <w:spacing w:before="120" w:beforeLines="50" w:line="360" w:lineRule="auto"/>
              <w:ind w:firstLine="420" w:firstLineChars="20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你好！本次问卷调查是对亚投行贷款安康城东新区绿色低碳环境可持续发展示范项目的公众态度调查。该项目主要建设内容包含城东新区7条道路的建设和改造；河道修复和治理；生态公园、社区公园及体育公园建设；数据中心建设；防洪工程等。</w:t>
            </w:r>
          </w:p>
          <w:p w14:paraId="16F33F12">
            <w:pPr>
              <w:adjustRightInd w:val="0"/>
              <w:snapToGrid w:val="0"/>
              <w:spacing w:line="360" w:lineRule="auto"/>
              <w:ind w:firstLine="420" w:firstLineChars="20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您的答案将为本项目的设计、实施及运行提供重要的参考依据，希望得到您的理解和支持。为此，需要耽误您的一些时间，本调查不涉及任何可识别的个人信息，请您按照真实的情况填答问卷，各项答案没有对错之分，请您不必有任何顾虑。填空题请填写相关信息，选择题</w:t>
            </w:r>
            <w:r>
              <w:rPr>
                <w:rFonts w:hint="default" w:ascii="Times New Roman" w:hAnsi="Times New Roman" w:eastAsia="宋体" w:cs="Times New Roman"/>
                <w:color w:val="auto"/>
                <w:sz w:val="22"/>
                <w:szCs w:val="22"/>
                <w:highlight w:val="none"/>
              </w:rPr>
              <w:t>请在□内打√，谢谢您的配合！</w:t>
            </w:r>
          </w:p>
        </w:tc>
      </w:tr>
      <w:tr w14:paraId="0DB9A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000" w:type="pct"/>
            <w:gridSpan w:val="15"/>
            <w:tcBorders>
              <w:tl2br w:val="nil"/>
              <w:tr2bl w:val="nil"/>
            </w:tcBorders>
            <w:vAlign w:val="center"/>
          </w:tcPr>
          <w:p w14:paraId="4A7AF94E">
            <w:pPr>
              <w:numPr>
                <w:ilvl w:val="0"/>
                <w:numId w:val="39"/>
              </w:numPr>
              <w:adjustRightInd w:val="0"/>
              <w:snapToGrid w:val="0"/>
              <w:spacing w:line="300" w:lineRule="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您是否支持或赞成本项目的实施？</w:t>
            </w:r>
          </w:p>
          <w:p w14:paraId="1B62D270">
            <w:pPr>
              <w:adjustRightInd w:val="0"/>
              <w:snapToGrid w:val="0"/>
              <w:spacing w:line="300" w:lineRule="auto"/>
              <w:ind w:firstLine="330" w:firstLineChars="15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 xml:space="preserve">①是□       ②否□       ③无所谓□ </w:t>
            </w:r>
          </w:p>
        </w:tc>
      </w:tr>
      <w:tr w14:paraId="37ECE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000" w:type="pct"/>
            <w:gridSpan w:val="15"/>
            <w:tcBorders>
              <w:tl2br w:val="nil"/>
              <w:tr2bl w:val="nil"/>
            </w:tcBorders>
            <w:vAlign w:val="center"/>
          </w:tcPr>
          <w:p w14:paraId="26DCFE67">
            <w:pPr>
              <w:numPr>
                <w:ilvl w:val="0"/>
                <w:numId w:val="39"/>
              </w:numPr>
              <w:adjustRightInd w:val="0"/>
              <w:snapToGrid w:val="0"/>
              <w:spacing w:line="300" w:lineRule="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如果项目建设需要占用您的土地（占用土地和房屋拆迁按政策补偿），您是否愿意为项目提供土地或拆迁房屋？</w:t>
            </w:r>
          </w:p>
          <w:p w14:paraId="33ED71DC">
            <w:pPr>
              <w:adjustRightInd w:val="0"/>
              <w:snapToGrid w:val="0"/>
              <w:spacing w:line="300" w:lineRule="auto"/>
              <w:ind w:firstLine="330" w:firstLineChars="15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 xml:space="preserve">①是□       ②否□      </w:t>
            </w:r>
          </w:p>
        </w:tc>
      </w:tr>
      <w:tr w14:paraId="5EE9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15"/>
            <w:tcBorders>
              <w:tl2br w:val="nil"/>
              <w:tr2bl w:val="nil"/>
            </w:tcBorders>
            <w:vAlign w:val="center"/>
          </w:tcPr>
          <w:p w14:paraId="62B19D26">
            <w:pPr>
              <w:numPr>
                <w:ilvl w:val="0"/>
                <w:numId w:val="39"/>
              </w:numPr>
              <w:adjustRightInd w:val="0"/>
              <w:snapToGrid w:val="0"/>
              <w:spacing w:line="300" w:lineRule="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如果您的房屋需要拆迁，那么您将选择以下那种安置方式？</w:t>
            </w:r>
          </w:p>
          <w:p w14:paraId="39782BE4">
            <w:pPr>
              <w:adjustRightInd w:val="0"/>
              <w:snapToGrid w:val="0"/>
              <w:spacing w:line="300" w:lineRule="auto"/>
              <w:ind w:firstLine="220" w:firstLineChars="10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 xml:space="preserve">①集中安置楼安置□    ②货币补偿后自行购房□  </w:t>
            </w:r>
          </w:p>
        </w:tc>
      </w:tr>
      <w:tr w14:paraId="185AB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000" w:type="pct"/>
            <w:gridSpan w:val="15"/>
            <w:tcBorders>
              <w:tl2br w:val="nil"/>
              <w:tr2bl w:val="nil"/>
            </w:tcBorders>
            <w:vAlign w:val="center"/>
          </w:tcPr>
          <w:p w14:paraId="54DB1355">
            <w:pPr>
              <w:numPr>
                <w:ilvl w:val="0"/>
                <w:numId w:val="39"/>
              </w:numPr>
              <w:adjustRightInd w:val="0"/>
              <w:snapToGrid w:val="0"/>
              <w:spacing w:line="300" w:lineRule="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您了解城东新区的征地拆迁补偿政策吗？</w:t>
            </w:r>
          </w:p>
          <w:p w14:paraId="574A8F27">
            <w:pPr>
              <w:adjustRightInd w:val="0"/>
              <w:snapToGrid w:val="0"/>
              <w:spacing w:line="300" w:lineRule="auto"/>
              <w:ind w:firstLine="220" w:firstLineChars="10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 xml:space="preserve">①了解□      ②不了解□ </w:t>
            </w:r>
          </w:p>
        </w:tc>
      </w:tr>
      <w:tr w14:paraId="4CCAA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5000" w:type="pct"/>
            <w:gridSpan w:val="15"/>
            <w:tcBorders>
              <w:tl2br w:val="nil"/>
              <w:tr2bl w:val="nil"/>
            </w:tcBorders>
            <w:vAlign w:val="center"/>
          </w:tcPr>
          <w:p w14:paraId="5ADEB262">
            <w:pPr>
              <w:numPr>
                <w:ilvl w:val="0"/>
                <w:numId w:val="39"/>
              </w:numPr>
              <w:adjustRightInd w:val="0"/>
              <w:snapToGrid w:val="0"/>
              <w:spacing w:line="300" w:lineRule="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如果您的房屋涉及拆迁，您家庭的拆迁安置方案选择方式是：</w:t>
            </w:r>
          </w:p>
          <w:p w14:paraId="2B42EA04">
            <w:pPr>
              <w:adjustRightInd w:val="0"/>
              <w:snapToGrid w:val="0"/>
              <w:spacing w:line="300" w:lineRule="auto"/>
              <w:ind w:firstLine="440" w:firstLineChars="20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 xml:space="preserve">①男主人直接决定□    ②女主人直接决定□   </w:t>
            </w:r>
          </w:p>
          <w:p w14:paraId="139C0DAF">
            <w:pPr>
              <w:adjustRightInd w:val="0"/>
              <w:snapToGrid w:val="0"/>
              <w:spacing w:line="300" w:lineRule="auto"/>
              <w:ind w:firstLine="440" w:firstLineChars="20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 xml:space="preserve">③男性、女性家庭成员共同商议决定□ </w:t>
            </w:r>
          </w:p>
        </w:tc>
      </w:tr>
      <w:tr w14:paraId="2AE0D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5000" w:type="pct"/>
            <w:gridSpan w:val="15"/>
            <w:tcBorders>
              <w:tl2br w:val="nil"/>
              <w:tr2bl w:val="nil"/>
            </w:tcBorders>
            <w:vAlign w:val="center"/>
          </w:tcPr>
          <w:p w14:paraId="6092F637">
            <w:pPr>
              <w:numPr>
                <w:ilvl w:val="0"/>
                <w:numId w:val="39"/>
              </w:numPr>
              <w:adjustRightInd w:val="0"/>
              <w:snapToGrid w:val="0"/>
              <w:spacing w:line="300" w:lineRule="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如果您的房屋涉及拆迁，拆迁补偿协议签署人是：</w:t>
            </w:r>
          </w:p>
          <w:p w14:paraId="3725F15B">
            <w:pPr>
              <w:adjustRightInd w:val="0"/>
              <w:snapToGrid w:val="0"/>
              <w:spacing w:line="300" w:lineRule="auto"/>
              <w:ind w:firstLine="440" w:firstLineChars="20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 xml:space="preserve">①男户主□    ②女户主□    ③谁在家谁签署□   </w:t>
            </w:r>
          </w:p>
          <w:p w14:paraId="4F90E0D1">
            <w:pPr>
              <w:adjustRightInd w:val="0"/>
              <w:snapToGrid w:val="0"/>
              <w:spacing w:line="300" w:lineRule="auto"/>
              <w:ind w:firstLine="440" w:firstLineChars="20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 xml:space="preserve">④男性、女性成员共同决定谁去签署协议□ </w:t>
            </w:r>
          </w:p>
        </w:tc>
      </w:tr>
      <w:tr w14:paraId="13422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5000" w:type="pct"/>
            <w:gridSpan w:val="15"/>
            <w:tcBorders>
              <w:tl2br w:val="nil"/>
              <w:tr2bl w:val="nil"/>
            </w:tcBorders>
            <w:vAlign w:val="center"/>
          </w:tcPr>
          <w:p w14:paraId="07B75B89">
            <w:pPr>
              <w:numPr>
                <w:ilvl w:val="0"/>
                <w:numId w:val="39"/>
              </w:numPr>
              <w:adjustRightInd w:val="0"/>
              <w:snapToGrid w:val="0"/>
              <w:spacing w:line="300" w:lineRule="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如果您将安置在安置小区或自行购房，安置房选购（如楼层、地点、面积等等）的家庭决策情况是：</w:t>
            </w:r>
          </w:p>
          <w:p w14:paraId="61B8C343">
            <w:pPr>
              <w:adjustRightInd w:val="0"/>
              <w:snapToGrid w:val="0"/>
              <w:spacing w:line="300" w:lineRule="auto"/>
              <w:ind w:firstLine="440" w:firstLineChars="20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 xml:space="preserve">①男主人直接决定□    ②女主人直接决定□   </w:t>
            </w:r>
          </w:p>
          <w:p w14:paraId="53E4E498">
            <w:pPr>
              <w:adjustRightInd w:val="0"/>
              <w:snapToGrid w:val="0"/>
              <w:spacing w:line="300" w:lineRule="auto"/>
              <w:ind w:firstLine="440" w:firstLineChars="20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 xml:space="preserve">③男性、女性家庭成员共同商议决定□ </w:t>
            </w:r>
          </w:p>
        </w:tc>
      </w:tr>
      <w:tr w14:paraId="3C506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5000" w:type="pct"/>
            <w:gridSpan w:val="15"/>
            <w:tcBorders>
              <w:tl2br w:val="nil"/>
              <w:tr2bl w:val="nil"/>
            </w:tcBorders>
            <w:vAlign w:val="center"/>
          </w:tcPr>
          <w:p w14:paraId="24B44DE9">
            <w:pPr>
              <w:pStyle w:val="76"/>
              <w:numPr>
                <w:ilvl w:val="0"/>
                <w:numId w:val="39"/>
              </w:numPr>
              <w:adjustRightInd w:val="0"/>
              <w:snapToGrid w:val="0"/>
              <w:spacing w:line="300" w:lineRule="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您认为项目实施和运行期间潜在的社会影响和风险有哪些？（</w:t>
            </w:r>
            <w:r>
              <w:rPr>
                <w:rFonts w:hint="default" w:ascii="Times New Roman" w:hAnsi="Times New Roman" w:eastAsia="宋体" w:cs="Times New Roman"/>
                <w:b/>
                <w:bCs/>
                <w:color w:val="auto"/>
                <w:sz w:val="22"/>
                <w:szCs w:val="22"/>
                <w:highlight w:val="none"/>
              </w:rPr>
              <w:t>可多选</w:t>
            </w:r>
            <w:r>
              <w:rPr>
                <w:rFonts w:hint="default" w:ascii="Times New Roman" w:hAnsi="Times New Roman" w:eastAsia="宋体" w:cs="Times New Roman"/>
                <w:color w:val="auto"/>
                <w:sz w:val="22"/>
                <w:szCs w:val="22"/>
                <w:highlight w:val="none"/>
              </w:rPr>
              <w:t>）</w:t>
            </w:r>
          </w:p>
          <w:p w14:paraId="45454C3C">
            <w:pPr>
              <w:adjustRightInd w:val="0"/>
              <w:snapToGrid w:val="0"/>
              <w:spacing w:line="300" w:lineRule="auto"/>
              <w:ind w:firstLine="220" w:firstLineChars="10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 xml:space="preserve">①交通安全影响□    ②工程事故□      ③环境污染□    ④噪声、扬尘影响□  </w:t>
            </w:r>
          </w:p>
          <w:p w14:paraId="6FF4D7BD">
            <w:pPr>
              <w:adjustRightInd w:val="0"/>
              <w:snapToGrid w:val="0"/>
              <w:spacing w:line="300" w:lineRule="auto"/>
              <w:ind w:left="218" w:leftChars="91"/>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 xml:space="preserve">⑤外来施工建设人员和当地居民的矛盾□     ⑥家庭收入可能降低□   </w:t>
            </w:r>
          </w:p>
          <w:p w14:paraId="235B0553">
            <w:pPr>
              <w:adjustRightInd w:val="0"/>
              <w:snapToGrid w:val="0"/>
              <w:spacing w:line="300" w:lineRule="auto"/>
              <w:ind w:left="218" w:leftChars="91"/>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 xml:space="preserve"> ⑦征地拆迁引起的矛盾□        ⑧其他（请注明）</w:t>
            </w:r>
            <w:r>
              <w:rPr>
                <w:rFonts w:hint="default" w:ascii="Times New Roman" w:hAnsi="Times New Roman" w:eastAsia="宋体" w:cs="Times New Roman"/>
                <w:color w:val="auto"/>
                <w:sz w:val="22"/>
                <w:szCs w:val="22"/>
                <w:highlight w:val="none"/>
                <w:u w:val="single"/>
              </w:rPr>
              <w:t xml:space="preserve">               </w:t>
            </w:r>
          </w:p>
        </w:tc>
      </w:tr>
      <w:tr w14:paraId="1F48A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000" w:type="pct"/>
            <w:gridSpan w:val="15"/>
            <w:tcBorders>
              <w:tl2br w:val="nil"/>
              <w:tr2bl w:val="nil"/>
            </w:tcBorders>
            <w:vAlign w:val="center"/>
          </w:tcPr>
          <w:p w14:paraId="3E783106">
            <w:pPr>
              <w:pStyle w:val="76"/>
              <w:numPr>
                <w:ilvl w:val="0"/>
                <w:numId w:val="39"/>
              </w:numPr>
              <w:adjustRightInd w:val="0"/>
              <w:snapToGrid w:val="0"/>
              <w:spacing w:line="300" w:lineRule="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您或您的家庭成员是否愿意参加政府相关部门提供的免费培训？</w:t>
            </w:r>
          </w:p>
          <w:p w14:paraId="5E4FC17C">
            <w:pPr>
              <w:adjustRightInd w:val="0"/>
              <w:snapToGrid w:val="0"/>
              <w:spacing w:line="300" w:lineRule="auto"/>
              <w:ind w:firstLine="440" w:firstLineChars="20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①是□   ②否□    ③看情况□</w:t>
            </w:r>
          </w:p>
          <w:p w14:paraId="4BB0651C">
            <w:pPr>
              <w:pStyle w:val="76"/>
              <w:numPr>
                <w:ilvl w:val="0"/>
                <w:numId w:val="39"/>
              </w:numPr>
              <w:adjustRightInd w:val="0"/>
              <w:snapToGrid w:val="0"/>
              <w:spacing w:line="300" w:lineRule="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如果项目提供免费培训的机会，您希望是哪类培训？</w:t>
            </w:r>
            <w:r>
              <w:rPr>
                <w:rFonts w:hint="default" w:ascii="Times New Roman" w:hAnsi="Times New Roman" w:eastAsia="宋体" w:cs="Times New Roman"/>
                <w:b/>
                <w:bCs/>
                <w:color w:val="auto"/>
                <w:sz w:val="22"/>
                <w:szCs w:val="22"/>
                <w:highlight w:val="none"/>
              </w:rPr>
              <w:t>（可多选）</w:t>
            </w:r>
          </w:p>
          <w:p w14:paraId="2A0BCE21">
            <w:pPr>
              <w:adjustRightInd w:val="0"/>
              <w:snapToGrid w:val="0"/>
              <w:spacing w:line="300" w:lineRule="auto"/>
              <w:ind w:firstLine="440" w:firstLineChars="20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 xml:space="preserve">①种植技术□   ②养殖技术□   ③车辆维修□   ④家政服务□   </w:t>
            </w:r>
          </w:p>
          <w:p w14:paraId="7D02F24F">
            <w:pPr>
              <w:adjustRightInd w:val="0"/>
              <w:snapToGrid w:val="0"/>
              <w:spacing w:line="300" w:lineRule="auto"/>
              <w:ind w:firstLine="440" w:firstLineChars="20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⑤手工艺品制作□     ⑥厨师□       ⑦其他（请注明）</w:t>
            </w:r>
            <w:r>
              <w:rPr>
                <w:rFonts w:hint="default" w:ascii="Times New Roman" w:hAnsi="Times New Roman" w:eastAsia="宋体" w:cs="Times New Roman"/>
                <w:color w:val="auto"/>
                <w:sz w:val="22"/>
                <w:szCs w:val="22"/>
                <w:highlight w:val="none"/>
                <w:u w:val="single"/>
              </w:rPr>
              <w:t xml:space="preserve">               </w:t>
            </w:r>
          </w:p>
        </w:tc>
      </w:tr>
      <w:tr w14:paraId="538FA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000" w:type="pct"/>
            <w:gridSpan w:val="15"/>
            <w:tcBorders>
              <w:tl2br w:val="nil"/>
              <w:tr2bl w:val="nil"/>
            </w:tcBorders>
            <w:vAlign w:val="center"/>
          </w:tcPr>
          <w:p w14:paraId="4F32035A">
            <w:pPr>
              <w:pStyle w:val="76"/>
              <w:numPr>
                <w:ilvl w:val="0"/>
                <w:numId w:val="39"/>
              </w:numPr>
              <w:adjustRightInd w:val="0"/>
              <w:snapToGrid w:val="0"/>
              <w:spacing w:line="300" w:lineRule="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您和家人是否愿意参与本项目建设和运营？</w:t>
            </w:r>
          </w:p>
          <w:p w14:paraId="3A5BDBF3">
            <w:pPr>
              <w:adjustRightInd w:val="0"/>
              <w:snapToGrid w:val="0"/>
              <w:spacing w:line="300" w:lineRule="auto"/>
              <w:ind w:firstLine="440" w:firstLineChars="20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①是□   ②否□   ③看情况□</w:t>
            </w:r>
          </w:p>
        </w:tc>
      </w:tr>
      <w:tr w14:paraId="39F06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5000" w:type="pct"/>
            <w:gridSpan w:val="15"/>
            <w:tcBorders>
              <w:tl2br w:val="nil"/>
              <w:tr2bl w:val="nil"/>
            </w:tcBorders>
            <w:vAlign w:val="center"/>
          </w:tcPr>
          <w:p w14:paraId="282E4E72">
            <w:pPr>
              <w:pStyle w:val="76"/>
              <w:numPr>
                <w:ilvl w:val="0"/>
                <w:numId w:val="39"/>
              </w:numPr>
              <w:adjustRightInd w:val="0"/>
              <w:snapToGrid w:val="0"/>
              <w:spacing w:line="300" w:lineRule="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您家里掌柜的是男性还是女性？</w:t>
            </w:r>
          </w:p>
          <w:p w14:paraId="18955C5C">
            <w:pPr>
              <w:pStyle w:val="76"/>
              <w:adjustRightInd w:val="0"/>
              <w:snapToGrid w:val="0"/>
              <w:spacing w:line="300" w:lineRule="auto"/>
              <w:ind w:lef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2"/>
                <w:szCs w:val="22"/>
                <w:highlight w:val="none"/>
              </w:rPr>
              <w:t xml:space="preserve">①男性□   ②女性□ </w:t>
            </w:r>
          </w:p>
        </w:tc>
      </w:tr>
      <w:tr w14:paraId="6537E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5000" w:type="pct"/>
            <w:gridSpan w:val="15"/>
            <w:tcBorders>
              <w:tl2br w:val="nil"/>
              <w:tr2bl w:val="nil"/>
            </w:tcBorders>
            <w:vAlign w:val="center"/>
          </w:tcPr>
          <w:p w14:paraId="4558E369">
            <w:pPr>
              <w:pStyle w:val="76"/>
              <w:numPr>
                <w:ilvl w:val="0"/>
                <w:numId w:val="39"/>
              </w:numPr>
              <w:adjustRightInd w:val="0"/>
              <w:snapToGrid w:val="0"/>
              <w:spacing w:line="30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2"/>
                <w:szCs w:val="22"/>
                <w:highlight w:val="none"/>
              </w:rPr>
              <w:t>您家里大、小事谁来决定？</w:t>
            </w:r>
          </w:p>
          <w:p w14:paraId="18216364">
            <w:pPr>
              <w:widowControl w:val="0"/>
              <w:snapToGrid w:val="0"/>
              <w:spacing w:line="300" w:lineRule="auto"/>
              <w:ind w:firstLine="440" w:firstLineChars="20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①掌柜的决定□     ②共同商量□</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z w:val="22"/>
                <w:szCs w:val="22"/>
                <w:highlight w:val="none"/>
              </w:rPr>
              <w:t xml:space="preserve">大事商量、小事听掌柜的□   </w:t>
            </w:r>
          </w:p>
          <w:p w14:paraId="41DD8BCD">
            <w:pPr>
              <w:widowControl w:val="0"/>
              <w:snapToGrid w:val="0"/>
              <w:spacing w:line="300" w:lineRule="auto"/>
              <w:ind w:firstLine="44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2"/>
                <w:szCs w:val="22"/>
                <w:highlight w:val="none"/>
              </w:rPr>
              <w:t>③大事掌柜定，小事自己定□</w:t>
            </w:r>
          </w:p>
        </w:tc>
      </w:tr>
      <w:tr w14:paraId="36956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5000" w:type="pct"/>
            <w:gridSpan w:val="15"/>
            <w:tcBorders>
              <w:tl2br w:val="nil"/>
              <w:tr2bl w:val="nil"/>
            </w:tcBorders>
            <w:vAlign w:val="center"/>
          </w:tcPr>
          <w:p w14:paraId="7827912B">
            <w:pPr>
              <w:snapToGrid w:val="0"/>
              <w:spacing w:line="300" w:lineRule="auto"/>
              <w:rPr>
                <w:rFonts w:hint="default" w:ascii="Times New Roman" w:hAnsi="Times New Roman" w:eastAsia="宋体" w:cs="Times New Roman"/>
                <w:color w:val="auto"/>
                <w:sz w:val="22"/>
                <w:szCs w:val="22"/>
                <w:highlight w:val="none"/>
              </w:rPr>
            </w:pPr>
          </w:p>
          <w:p w14:paraId="780DA6EE">
            <w:pPr>
              <w:pStyle w:val="76"/>
              <w:numPr>
                <w:ilvl w:val="0"/>
                <w:numId w:val="39"/>
              </w:numPr>
              <w:adjustRightInd w:val="0"/>
              <w:snapToGrid w:val="0"/>
              <w:spacing w:line="300" w:lineRule="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 xml:space="preserve"> 您家里女性是否参与村级活动？</w:t>
            </w:r>
          </w:p>
          <w:p w14:paraId="019B70E8">
            <w:pPr>
              <w:widowControl w:val="0"/>
              <w:snapToGrid w:val="0"/>
              <w:spacing w:line="30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w:t>
            </w:r>
            <w:r>
              <w:rPr>
                <w:rFonts w:hint="default" w:ascii="Times New Roman" w:hAnsi="Times New Roman" w:eastAsia="宋体" w:cs="Times New Roman"/>
                <w:color w:val="auto"/>
                <w:sz w:val="22"/>
                <w:szCs w:val="22"/>
                <w:highlight w:val="none"/>
              </w:rPr>
              <w:t xml:space="preserve">是□     ②否□        </w:t>
            </w:r>
          </w:p>
        </w:tc>
      </w:tr>
      <w:tr w14:paraId="09C10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5000" w:type="pct"/>
            <w:gridSpan w:val="15"/>
            <w:tcBorders>
              <w:tl2br w:val="nil"/>
              <w:tr2bl w:val="nil"/>
            </w:tcBorders>
            <w:vAlign w:val="center"/>
          </w:tcPr>
          <w:p w14:paraId="3803C4AE">
            <w:pPr>
              <w:pStyle w:val="76"/>
              <w:numPr>
                <w:ilvl w:val="0"/>
                <w:numId w:val="39"/>
              </w:numPr>
              <w:adjustRightInd w:val="0"/>
              <w:snapToGrid w:val="0"/>
              <w:spacing w:line="30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2"/>
                <w:szCs w:val="22"/>
                <w:highlight w:val="none"/>
              </w:rPr>
              <w:t>您家女性成员是否有工资性收入？</w:t>
            </w:r>
          </w:p>
          <w:p w14:paraId="47FC495C">
            <w:pPr>
              <w:widowControl w:val="0"/>
              <w:snapToGrid w:val="0"/>
              <w:spacing w:line="30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①社区工厂/合作社打工收入</w:t>
            </w:r>
            <w:r>
              <w:rPr>
                <w:rFonts w:hint="default" w:ascii="Times New Roman" w:hAnsi="Times New Roman" w:eastAsia="宋体" w:cs="Times New Roman"/>
                <w:color w:val="auto"/>
                <w:sz w:val="22"/>
                <w:szCs w:val="22"/>
                <w:highlight w:val="none"/>
              </w:rPr>
              <w:t xml:space="preserve">□ </w:t>
            </w:r>
            <w:r>
              <w:rPr>
                <w:rFonts w:hint="default" w:ascii="Times New Roman" w:hAnsi="Times New Roman" w:eastAsia="宋体" w:cs="Times New Roman"/>
                <w:color w:val="auto"/>
                <w:sz w:val="21"/>
                <w:szCs w:val="21"/>
                <w:highlight w:val="none"/>
              </w:rPr>
              <w:t xml:space="preserve">    ②外出务工收入</w:t>
            </w:r>
            <w:r>
              <w:rPr>
                <w:rFonts w:hint="default" w:ascii="Times New Roman" w:hAnsi="Times New Roman" w:eastAsia="宋体" w:cs="Times New Roman"/>
                <w:color w:val="auto"/>
                <w:sz w:val="22"/>
                <w:szCs w:val="22"/>
                <w:highlight w:val="none"/>
              </w:rPr>
              <w:t xml:space="preserve">□ </w:t>
            </w:r>
            <w:r>
              <w:rPr>
                <w:rFonts w:hint="default" w:ascii="Times New Roman" w:hAnsi="Times New Roman" w:eastAsia="宋体" w:cs="Times New Roman"/>
                <w:color w:val="auto"/>
                <w:sz w:val="21"/>
                <w:szCs w:val="21"/>
                <w:highlight w:val="none"/>
              </w:rPr>
              <w:t xml:space="preserve">   ③市内固定工作收入</w:t>
            </w:r>
            <w:r>
              <w:rPr>
                <w:rFonts w:hint="default" w:ascii="Times New Roman" w:hAnsi="Times New Roman" w:eastAsia="宋体" w:cs="Times New Roman"/>
                <w:color w:val="auto"/>
                <w:sz w:val="22"/>
                <w:szCs w:val="22"/>
                <w:highlight w:val="none"/>
              </w:rPr>
              <w:t>□</w:t>
            </w:r>
            <w:r>
              <w:rPr>
                <w:rFonts w:hint="default" w:ascii="Times New Roman" w:hAnsi="Times New Roman" w:eastAsia="宋体" w:cs="Times New Roman"/>
                <w:color w:val="auto"/>
                <w:sz w:val="21"/>
                <w:szCs w:val="21"/>
                <w:highlight w:val="none"/>
              </w:rPr>
              <w:t xml:space="preserve">    </w:t>
            </w:r>
          </w:p>
          <w:p w14:paraId="6C8C6A2F">
            <w:pPr>
              <w:widowControl w:val="0"/>
              <w:snapToGrid w:val="0"/>
              <w:spacing w:line="300" w:lineRule="auto"/>
              <w:ind w:firstLine="44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2"/>
                <w:szCs w:val="22"/>
                <w:highlight w:val="none"/>
              </w:rPr>
              <w:t xml:space="preserve">④无打工收入□ </w:t>
            </w:r>
          </w:p>
        </w:tc>
      </w:tr>
      <w:tr w14:paraId="021BB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5000" w:type="pct"/>
            <w:gridSpan w:val="15"/>
            <w:tcBorders>
              <w:tl2br w:val="nil"/>
              <w:tr2bl w:val="nil"/>
            </w:tcBorders>
            <w:vAlign w:val="center"/>
          </w:tcPr>
          <w:p w14:paraId="25A4765C">
            <w:pPr>
              <w:pStyle w:val="76"/>
              <w:numPr>
                <w:ilvl w:val="0"/>
                <w:numId w:val="39"/>
              </w:numPr>
              <w:adjustRightInd w:val="0"/>
              <w:snapToGrid w:val="0"/>
              <w:spacing w:line="360" w:lineRule="auto"/>
              <w:rPr>
                <w:rFonts w:hint="default" w:ascii="Times New Roman" w:hAnsi="Times New Roman" w:eastAsia="宋体" w:cs="Times New Roman"/>
                <w:color w:val="auto"/>
                <w:kern w:val="2"/>
                <w:sz w:val="22"/>
                <w:szCs w:val="22"/>
                <w:highlight w:val="none"/>
              </w:rPr>
            </w:pPr>
            <w:r>
              <w:rPr>
                <w:rFonts w:hint="default" w:ascii="Times New Roman" w:hAnsi="Times New Roman" w:eastAsia="宋体" w:cs="Times New Roman"/>
                <w:color w:val="auto"/>
                <w:kern w:val="2"/>
                <w:sz w:val="22"/>
                <w:szCs w:val="22"/>
                <w:highlight w:val="none"/>
              </w:rPr>
              <w:t xml:space="preserve">您认为家庭成员中，谁在广场、公园活动或锻炼的时间更多？  </w:t>
            </w:r>
          </w:p>
          <w:p w14:paraId="0682D6AB">
            <w:pPr>
              <w:snapToGrid w:val="0"/>
              <w:ind w:firstLine="420" w:firstLineChars="20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1"/>
                <w:szCs w:val="21"/>
                <w:highlight w:val="none"/>
              </w:rPr>
              <w:t>①男性成员</w:t>
            </w:r>
            <w:r>
              <w:rPr>
                <w:rFonts w:hint="default" w:ascii="Times New Roman" w:hAnsi="Times New Roman" w:eastAsia="宋体" w:cs="Times New Roman"/>
                <w:color w:val="auto"/>
                <w:sz w:val="22"/>
                <w:szCs w:val="22"/>
                <w:highlight w:val="none"/>
              </w:rPr>
              <w:t xml:space="preserve">□ </w:t>
            </w:r>
            <w:r>
              <w:rPr>
                <w:rFonts w:hint="default" w:ascii="Times New Roman" w:hAnsi="Times New Roman" w:eastAsia="宋体" w:cs="Times New Roman"/>
                <w:color w:val="auto"/>
                <w:sz w:val="21"/>
                <w:szCs w:val="21"/>
                <w:highlight w:val="none"/>
              </w:rPr>
              <w:t xml:space="preserve">  ②女性成员</w:t>
            </w:r>
            <w:r>
              <w:rPr>
                <w:rFonts w:hint="default" w:ascii="Times New Roman" w:hAnsi="Times New Roman" w:eastAsia="宋体" w:cs="Times New Roman"/>
                <w:color w:val="auto"/>
                <w:sz w:val="22"/>
                <w:szCs w:val="22"/>
                <w:highlight w:val="none"/>
              </w:rPr>
              <w:t>□   ③一样多</w:t>
            </w:r>
          </w:p>
        </w:tc>
      </w:tr>
      <w:tr w14:paraId="20F43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5000" w:type="pct"/>
            <w:gridSpan w:val="15"/>
            <w:tcBorders>
              <w:tl2br w:val="nil"/>
              <w:tr2bl w:val="nil"/>
            </w:tcBorders>
            <w:vAlign w:val="center"/>
          </w:tcPr>
          <w:p w14:paraId="11303308">
            <w:pPr>
              <w:pStyle w:val="76"/>
              <w:numPr>
                <w:ilvl w:val="0"/>
                <w:numId w:val="39"/>
              </w:numPr>
              <w:adjustRightInd w:val="0"/>
              <w:snapToGrid w:val="0"/>
              <w:spacing w:line="36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对于</w:t>
            </w:r>
            <w:r>
              <w:rPr>
                <w:rFonts w:hint="default" w:ascii="Times New Roman" w:hAnsi="Times New Roman" w:eastAsia="宋体" w:cs="Times New Roman"/>
                <w:color w:val="auto"/>
                <w:kern w:val="2"/>
                <w:sz w:val="22"/>
                <w:szCs w:val="22"/>
                <w:highlight w:val="none"/>
              </w:rPr>
              <w:t>广场、公园等</w:t>
            </w:r>
            <w:r>
              <w:rPr>
                <w:rFonts w:hint="default" w:ascii="Times New Roman" w:hAnsi="Times New Roman" w:eastAsia="宋体" w:cs="Times New Roman"/>
                <w:color w:val="auto"/>
                <w:sz w:val="21"/>
                <w:szCs w:val="21"/>
                <w:highlight w:val="none"/>
              </w:rPr>
              <w:t>，您认为在那些方面应得到加强？</w:t>
            </w:r>
          </w:p>
          <w:p w14:paraId="73FED0D7">
            <w:pPr>
              <w:widowControl w:val="0"/>
              <w:snapToGrid w:val="0"/>
              <w:spacing w:line="30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①绿植多样化</w:t>
            </w:r>
            <w:r>
              <w:rPr>
                <w:rFonts w:hint="default" w:ascii="Times New Roman" w:hAnsi="Times New Roman" w:eastAsia="宋体" w:cs="Times New Roman"/>
                <w:color w:val="auto"/>
                <w:sz w:val="22"/>
                <w:szCs w:val="22"/>
                <w:highlight w:val="none"/>
              </w:rPr>
              <w:t>□   ②避灾设施的设置□   ③灯光□    ④母婴室及残疾人卫生间的设置□   ⑤残疾人通道的设置□   ⑥其他（请注明）</w:t>
            </w:r>
            <w:r>
              <w:rPr>
                <w:rFonts w:hint="default" w:ascii="Times New Roman" w:hAnsi="Times New Roman" w:eastAsia="宋体" w:cs="Times New Roman"/>
                <w:color w:val="auto"/>
                <w:sz w:val="22"/>
                <w:szCs w:val="22"/>
                <w:highlight w:val="none"/>
                <w:u w:val="single"/>
              </w:rPr>
              <w:t xml:space="preserve">               </w:t>
            </w:r>
          </w:p>
        </w:tc>
      </w:tr>
      <w:tr w14:paraId="7928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5000" w:type="pct"/>
            <w:gridSpan w:val="15"/>
            <w:tcBorders>
              <w:tl2br w:val="nil"/>
              <w:tr2bl w:val="nil"/>
            </w:tcBorders>
            <w:vAlign w:val="center"/>
          </w:tcPr>
          <w:p w14:paraId="7AC2DE0B">
            <w:pPr>
              <w:pStyle w:val="76"/>
              <w:numPr>
                <w:ilvl w:val="0"/>
                <w:numId w:val="39"/>
              </w:numPr>
              <w:adjustRightInd w:val="0"/>
              <w:snapToGrid w:val="0"/>
              <w:spacing w:line="36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如果您的合法权益遭到侵犯，您是否清楚申诉渠道？</w:t>
            </w:r>
          </w:p>
          <w:p w14:paraId="3A4584A3">
            <w:pPr>
              <w:pStyle w:val="76"/>
              <w:adjustRightInd w:val="0"/>
              <w:snapToGrid w:val="0"/>
              <w:spacing w:line="360" w:lineRule="auto"/>
              <w:ind w:left="0" w:firstLine="420" w:firstLineChars="20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1"/>
                <w:szCs w:val="21"/>
                <w:highlight w:val="none"/>
              </w:rPr>
              <w:t>①清楚</w:t>
            </w:r>
            <w:r>
              <w:rPr>
                <w:rFonts w:hint="default" w:ascii="Times New Roman" w:hAnsi="Times New Roman" w:eastAsia="宋体" w:cs="Times New Roman"/>
                <w:color w:val="auto"/>
                <w:sz w:val="22"/>
                <w:szCs w:val="22"/>
                <w:highlight w:val="none"/>
              </w:rPr>
              <w:t xml:space="preserve">□ </w:t>
            </w:r>
            <w:r>
              <w:rPr>
                <w:rFonts w:hint="default" w:ascii="Times New Roman" w:hAnsi="Times New Roman" w:eastAsia="宋体" w:cs="Times New Roman"/>
                <w:color w:val="auto"/>
                <w:sz w:val="21"/>
                <w:szCs w:val="21"/>
                <w:highlight w:val="none"/>
              </w:rPr>
              <w:t xml:space="preserve">   ②不清楚</w:t>
            </w:r>
            <w:r>
              <w:rPr>
                <w:rFonts w:hint="default" w:ascii="Times New Roman" w:hAnsi="Times New Roman" w:eastAsia="宋体" w:cs="Times New Roman"/>
                <w:color w:val="auto"/>
                <w:sz w:val="22"/>
                <w:szCs w:val="22"/>
                <w:highlight w:val="none"/>
              </w:rPr>
              <w:t xml:space="preserve">□             </w:t>
            </w:r>
          </w:p>
        </w:tc>
      </w:tr>
      <w:tr w14:paraId="69109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5000" w:type="pct"/>
            <w:gridSpan w:val="15"/>
            <w:tcBorders>
              <w:tl2br w:val="nil"/>
              <w:tr2bl w:val="nil"/>
            </w:tcBorders>
            <w:vAlign w:val="center"/>
          </w:tcPr>
          <w:p w14:paraId="7EBFBEA7">
            <w:pPr>
              <w:pStyle w:val="76"/>
              <w:numPr>
                <w:ilvl w:val="0"/>
                <w:numId w:val="39"/>
              </w:numPr>
              <w:adjustRightInd w:val="0"/>
              <w:snapToGrid w:val="0"/>
              <w:spacing w:line="36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如果您的土地被征收，您愿意参加失地农民养老保险吗？</w:t>
            </w:r>
          </w:p>
          <w:p w14:paraId="73C552F8">
            <w:pPr>
              <w:pStyle w:val="76"/>
              <w:adjustRightInd w:val="0"/>
              <w:snapToGrid w:val="0"/>
              <w:spacing w:line="360" w:lineRule="auto"/>
              <w:ind w:left="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①愿意□     ②不愿意□ </w:t>
            </w:r>
          </w:p>
        </w:tc>
      </w:tr>
      <w:tr w14:paraId="4054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3" w:hRule="atLeast"/>
          <w:jc w:val="center"/>
        </w:trPr>
        <w:tc>
          <w:tcPr>
            <w:tcW w:w="5000" w:type="pct"/>
            <w:gridSpan w:val="15"/>
            <w:tcBorders>
              <w:tl2br w:val="nil"/>
              <w:tr2bl w:val="nil"/>
            </w:tcBorders>
          </w:tcPr>
          <w:p w14:paraId="14F37D56">
            <w:pPr>
              <w:pStyle w:val="76"/>
              <w:numPr>
                <w:ilvl w:val="0"/>
                <w:numId w:val="39"/>
              </w:numPr>
              <w:adjustRightInd w:val="0"/>
              <w:snapToGrid w:val="0"/>
              <w:spacing w:line="36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您的意见或建议是：</w:t>
            </w:r>
          </w:p>
        </w:tc>
      </w:tr>
      <w:tr w14:paraId="5C85C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000" w:type="pct"/>
            <w:gridSpan w:val="15"/>
            <w:tcBorders>
              <w:tl2br w:val="nil"/>
              <w:tr2bl w:val="nil"/>
            </w:tcBorders>
            <w:vAlign w:val="center"/>
          </w:tcPr>
          <w:p w14:paraId="7A818EF4">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调查日期：                                             调查员：</w:t>
            </w:r>
          </w:p>
        </w:tc>
      </w:tr>
    </w:tbl>
    <w:p w14:paraId="5E60214A">
      <w:pPr>
        <w:rPr>
          <w:rFonts w:hint="default" w:ascii="Times New Roman" w:hAnsi="Times New Roman" w:eastAsia="宋体" w:cs="Times New Roman"/>
          <w:b/>
          <w:color w:val="auto"/>
          <w:szCs w:val="32"/>
          <w:highlight w:val="none"/>
        </w:rPr>
      </w:pPr>
      <w:r>
        <w:rPr>
          <w:rFonts w:hint="default" w:ascii="Times New Roman" w:hAnsi="Times New Roman" w:eastAsia="宋体" w:cs="Times New Roman"/>
          <w:b/>
          <w:color w:val="auto"/>
          <w:sz w:val="21"/>
          <w:highlight w:val="none"/>
        </w:rPr>
        <w:br w:type="page"/>
      </w:r>
    </w:p>
    <w:bookmarkEnd w:id="391"/>
    <w:bookmarkEnd w:id="392"/>
    <w:bookmarkEnd w:id="393"/>
    <w:p w14:paraId="45ADA2A9">
      <w:pPr>
        <w:keepNext/>
        <w:keepLines/>
        <w:spacing w:before="240" w:after="240" w:line="300" w:lineRule="auto"/>
        <w:outlineLvl w:val="1"/>
        <w:rPr>
          <w:rFonts w:hint="default" w:ascii="Times New Roman" w:hAnsi="Times New Roman" w:eastAsia="宋体" w:cs="Times New Roman"/>
          <w:b/>
          <w:color w:val="auto"/>
          <w:sz w:val="28"/>
          <w:szCs w:val="28"/>
          <w:highlight w:val="none"/>
        </w:rPr>
      </w:pPr>
      <w:bookmarkStart w:id="398" w:name="_Toc56527680"/>
      <w:bookmarkEnd w:id="398"/>
      <w:bookmarkStart w:id="399" w:name="_Toc56350991"/>
      <w:bookmarkEnd w:id="399"/>
      <w:bookmarkStart w:id="400" w:name="_Toc56350933"/>
      <w:bookmarkEnd w:id="400"/>
      <w:bookmarkStart w:id="401" w:name="_Toc56527539"/>
      <w:bookmarkEnd w:id="401"/>
      <w:bookmarkStart w:id="402" w:name="_Toc56527525"/>
      <w:bookmarkEnd w:id="402"/>
      <w:bookmarkStart w:id="403" w:name="_Toc56527669"/>
      <w:bookmarkEnd w:id="403"/>
      <w:bookmarkStart w:id="404" w:name="_Toc56527477"/>
      <w:bookmarkEnd w:id="404"/>
      <w:bookmarkStart w:id="405" w:name="_Toc56527487"/>
      <w:bookmarkEnd w:id="405"/>
      <w:bookmarkStart w:id="406" w:name="_Toc56527708"/>
      <w:bookmarkEnd w:id="406"/>
      <w:bookmarkStart w:id="407" w:name="_Toc56350983"/>
      <w:bookmarkEnd w:id="407"/>
      <w:bookmarkStart w:id="408" w:name="_Toc56527626"/>
      <w:bookmarkEnd w:id="408"/>
      <w:bookmarkStart w:id="409" w:name="_Toc56527527"/>
      <w:bookmarkEnd w:id="409"/>
      <w:bookmarkStart w:id="410" w:name="_Toc56527706"/>
      <w:bookmarkEnd w:id="410"/>
      <w:bookmarkStart w:id="411" w:name="_Toc56350990"/>
      <w:bookmarkEnd w:id="411"/>
      <w:bookmarkStart w:id="412" w:name="_Toc56527684"/>
      <w:bookmarkEnd w:id="412"/>
      <w:bookmarkStart w:id="413" w:name="_Toc56527521"/>
      <w:bookmarkEnd w:id="413"/>
      <w:bookmarkStart w:id="414" w:name="_Toc56527566"/>
      <w:bookmarkEnd w:id="414"/>
      <w:bookmarkStart w:id="415" w:name="_Toc56527471"/>
      <w:bookmarkEnd w:id="415"/>
      <w:bookmarkStart w:id="416" w:name="_Toc56527489"/>
      <w:bookmarkEnd w:id="416"/>
      <w:bookmarkStart w:id="417" w:name="_Toc56527628"/>
      <w:bookmarkEnd w:id="417"/>
      <w:bookmarkStart w:id="418" w:name="_Toc56527676"/>
      <w:bookmarkEnd w:id="418"/>
      <w:bookmarkStart w:id="419" w:name="_Toc56527535"/>
      <w:bookmarkEnd w:id="419"/>
      <w:bookmarkStart w:id="420" w:name="_Toc56527665"/>
      <w:bookmarkEnd w:id="420"/>
      <w:bookmarkStart w:id="421" w:name="_Toc56527533"/>
      <w:bookmarkEnd w:id="421"/>
      <w:bookmarkStart w:id="422" w:name="_Toc56527666"/>
      <w:bookmarkEnd w:id="422"/>
      <w:bookmarkStart w:id="423" w:name="_Toc56527523"/>
      <w:bookmarkEnd w:id="423"/>
      <w:bookmarkStart w:id="424" w:name="_Toc56527522"/>
      <w:bookmarkEnd w:id="424"/>
      <w:bookmarkStart w:id="425" w:name="_Toc56527662"/>
      <w:bookmarkEnd w:id="425"/>
      <w:bookmarkStart w:id="426" w:name="_Toc56527524"/>
      <w:bookmarkEnd w:id="426"/>
      <w:bookmarkStart w:id="427" w:name="_Toc56527541"/>
      <w:bookmarkEnd w:id="427"/>
      <w:bookmarkStart w:id="428" w:name="_Toc56527528"/>
      <w:bookmarkEnd w:id="428"/>
      <w:bookmarkStart w:id="429" w:name="_Toc56350980"/>
      <w:bookmarkEnd w:id="429"/>
      <w:bookmarkStart w:id="430" w:name="_Toc56527677"/>
      <w:bookmarkEnd w:id="430"/>
      <w:bookmarkStart w:id="431" w:name="_Toc56527463"/>
      <w:bookmarkEnd w:id="431"/>
      <w:bookmarkStart w:id="432" w:name="_Toc56527682"/>
      <w:bookmarkEnd w:id="432"/>
      <w:bookmarkStart w:id="433" w:name="_Toc56527678"/>
      <w:bookmarkEnd w:id="433"/>
      <w:bookmarkStart w:id="434" w:name="_Toc56527681"/>
      <w:bookmarkEnd w:id="434"/>
      <w:bookmarkStart w:id="435" w:name="_Toc56350989"/>
      <w:bookmarkEnd w:id="435"/>
      <w:bookmarkStart w:id="436" w:name="_Toc56527529"/>
      <w:bookmarkEnd w:id="436"/>
      <w:bookmarkStart w:id="437" w:name="_Toc56527569"/>
      <w:bookmarkEnd w:id="437"/>
      <w:bookmarkStart w:id="438" w:name="_Toc56350992"/>
      <w:bookmarkEnd w:id="438"/>
      <w:bookmarkStart w:id="439" w:name="_Toc56527679"/>
      <w:bookmarkEnd w:id="439"/>
      <w:bookmarkStart w:id="440" w:name="_Toc56527536"/>
      <w:bookmarkEnd w:id="440"/>
      <w:bookmarkStart w:id="441" w:name="_Toc56527532"/>
      <w:bookmarkEnd w:id="441"/>
      <w:bookmarkStart w:id="442" w:name="_Toc56527542"/>
      <w:bookmarkEnd w:id="442"/>
      <w:bookmarkStart w:id="443" w:name="_Toc56527675"/>
      <w:bookmarkEnd w:id="443"/>
      <w:bookmarkStart w:id="444" w:name="_Toc56527567"/>
      <w:bookmarkEnd w:id="444"/>
      <w:bookmarkStart w:id="445" w:name="_Toc56527534"/>
      <w:bookmarkEnd w:id="445"/>
      <w:bookmarkStart w:id="446" w:name="_Toc56527710"/>
      <w:bookmarkEnd w:id="446"/>
      <w:bookmarkStart w:id="447" w:name="_Toc56527540"/>
      <w:bookmarkEnd w:id="447"/>
      <w:bookmarkStart w:id="448" w:name="_Toc56527673"/>
      <w:bookmarkEnd w:id="448"/>
      <w:bookmarkStart w:id="449" w:name="_Toc56527538"/>
      <w:bookmarkEnd w:id="449"/>
      <w:bookmarkStart w:id="450" w:name="_Toc56527530"/>
      <w:bookmarkEnd w:id="450"/>
      <w:bookmarkStart w:id="451" w:name="_Toc56350982"/>
      <w:bookmarkEnd w:id="451"/>
      <w:bookmarkStart w:id="452" w:name="_Toc56350984"/>
      <w:bookmarkEnd w:id="452"/>
      <w:bookmarkStart w:id="453" w:name="_Toc56527671"/>
      <w:bookmarkEnd w:id="453"/>
      <w:bookmarkStart w:id="454" w:name="_Toc56350979"/>
      <w:bookmarkEnd w:id="454"/>
      <w:bookmarkStart w:id="455" w:name="_Toc56527668"/>
      <w:bookmarkEnd w:id="455"/>
      <w:bookmarkStart w:id="456" w:name="_Toc56527664"/>
      <w:bookmarkEnd w:id="456"/>
      <w:bookmarkStart w:id="457" w:name="_Toc56527531"/>
      <w:bookmarkEnd w:id="457"/>
      <w:bookmarkStart w:id="458" w:name="_Toc56527707"/>
      <w:bookmarkEnd w:id="458"/>
      <w:bookmarkStart w:id="459" w:name="_Toc56527670"/>
      <w:bookmarkEnd w:id="459"/>
      <w:bookmarkStart w:id="460" w:name="_Toc56527481"/>
      <w:bookmarkEnd w:id="460"/>
      <w:bookmarkStart w:id="461" w:name="_Toc56527543"/>
      <w:bookmarkEnd w:id="461"/>
      <w:bookmarkStart w:id="462" w:name="_Toc56350981"/>
      <w:bookmarkEnd w:id="462"/>
      <w:bookmarkStart w:id="463" w:name="_Toc56527526"/>
      <w:bookmarkEnd w:id="463"/>
      <w:bookmarkStart w:id="464" w:name="_Toc56527663"/>
      <w:bookmarkEnd w:id="464"/>
      <w:bookmarkStart w:id="465" w:name="_Toc56527667"/>
      <w:bookmarkEnd w:id="465"/>
      <w:bookmarkStart w:id="466" w:name="_Toc56527618"/>
      <w:bookmarkEnd w:id="466"/>
      <w:bookmarkStart w:id="467" w:name="_Toc56527612"/>
      <w:bookmarkEnd w:id="467"/>
      <w:bookmarkStart w:id="468" w:name="_Toc56527630"/>
      <w:bookmarkEnd w:id="468"/>
      <w:bookmarkStart w:id="469" w:name="_Toc56527683"/>
      <w:bookmarkEnd w:id="469"/>
      <w:bookmarkStart w:id="470" w:name="_Toc56527622"/>
      <w:bookmarkEnd w:id="470"/>
      <w:bookmarkStart w:id="471" w:name="_Toc56527485"/>
      <w:bookmarkEnd w:id="471"/>
      <w:bookmarkStart w:id="472" w:name="_Toc56527672"/>
      <w:bookmarkEnd w:id="472"/>
      <w:bookmarkStart w:id="473" w:name="_Toc56527674"/>
      <w:bookmarkEnd w:id="473"/>
      <w:bookmarkStart w:id="474" w:name="_Toc56527565"/>
      <w:bookmarkEnd w:id="474"/>
      <w:bookmarkStart w:id="475" w:name="_Toc56527604"/>
      <w:bookmarkEnd w:id="475"/>
      <w:bookmarkStart w:id="476" w:name="_Toc56527537"/>
      <w:bookmarkEnd w:id="476"/>
      <w:bookmarkStart w:id="477" w:name="_Toc60236871"/>
      <w:bookmarkStart w:id="478" w:name="_Toc114673154"/>
      <w:bookmarkStart w:id="479" w:name="_Toc110846336"/>
      <w:bookmarkStart w:id="480" w:name="_Toc6542"/>
      <w:bookmarkStart w:id="481" w:name="_Toc83326414"/>
      <w:bookmarkStart w:id="482" w:name="_Toc3069"/>
      <w:r>
        <w:rPr>
          <w:rFonts w:hint="default" w:ascii="Times New Roman" w:hAnsi="Times New Roman" w:eastAsia="宋体" w:cs="Times New Roman"/>
          <w:b/>
          <w:color w:val="auto"/>
          <w:sz w:val="28"/>
          <w:szCs w:val="28"/>
          <w:highlight w:val="none"/>
        </w:rPr>
        <w:t>附件</w:t>
      </w:r>
      <w:bookmarkEnd w:id="477"/>
      <w:r>
        <w:rPr>
          <w:rFonts w:hint="default" w:ascii="Times New Roman" w:hAnsi="Times New Roman" w:eastAsia="宋体" w:cs="Times New Roman"/>
          <w:b/>
          <w:color w:val="auto"/>
          <w:sz w:val="28"/>
          <w:szCs w:val="28"/>
          <w:highlight w:val="none"/>
        </w:rPr>
        <w:t xml:space="preserve">2 </w:t>
      </w:r>
      <w:bookmarkEnd w:id="478"/>
      <w:bookmarkEnd w:id="479"/>
      <w:bookmarkEnd w:id="480"/>
      <w:bookmarkEnd w:id="481"/>
      <w:r>
        <w:rPr>
          <w:rFonts w:hint="default" w:ascii="Times New Roman" w:hAnsi="Times New Roman" w:eastAsia="宋体" w:cs="Times New Roman"/>
          <w:b/>
          <w:color w:val="auto"/>
          <w:sz w:val="28"/>
          <w:szCs w:val="28"/>
          <w:highlight w:val="none"/>
        </w:rPr>
        <w:t>劳动者管理程序</w:t>
      </w:r>
      <w:bookmarkEnd w:id="482"/>
    </w:p>
    <w:p w14:paraId="4E85D7C5">
      <w:pPr>
        <w:pStyle w:val="76"/>
        <w:numPr>
          <w:ilvl w:val="0"/>
          <w:numId w:val="40"/>
        </w:numPr>
        <w:spacing w:before="120" w:beforeLines="50" w:after="120" w:afterLines="50" w:line="276" w:lineRule="auto"/>
        <w:ind w:left="426"/>
        <w:rPr>
          <w:rFonts w:hint="default" w:ascii="Times New Roman" w:hAnsi="Times New Roman" w:eastAsia="宋体" w:cs="Times New Roman"/>
          <w:b/>
          <w:color w:val="auto"/>
          <w:highlight w:val="none"/>
        </w:rPr>
      </w:pPr>
      <w:bookmarkStart w:id="483" w:name="_Toc25148"/>
      <w:r>
        <w:rPr>
          <w:rFonts w:hint="default" w:ascii="Times New Roman" w:hAnsi="Times New Roman" w:eastAsia="宋体" w:cs="Times New Roman"/>
          <w:b/>
          <w:color w:val="auto"/>
          <w:highlight w:val="none"/>
        </w:rPr>
        <w:t>概述</w:t>
      </w:r>
      <w:bookmarkEnd w:id="483"/>
    </w:p>
    <w:p w14:paraId="4C666BEA">
      <w:pPr>
        <w:pStyle w:val="76"/>
        <w:spacing w:before="120" w:beforeLines="50" w:after="120" w:afterLines="50" w:line="276" w:lineRule="auto"/>
        <w:ind w:left="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根据社评调查及亚投行ESF，本项目劳动者被涉及三大类型，包括：</w:t>
      </w:r>
    </w:p>
    <w:p w14:paraId="692C2ED0">
      <w:pPr>
        <w:pStyle w:val="76"/>
        <w:numPr>
          <w:ilvl w:val="1"/>
          <w:numId w:val="41"/>
        </w:numPr>
        <w:spacing w:before="120" w:beforeLines="50" w:after="120" w:afterLines="50" w:line="276"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直接工人：借款人（包括项目办和项目执行机构）直接雇用专门从事项目或活动的相关工作人员。比如执行机构聘用的项目人员，运营期的市政维护人员等；</w:t>
      </w:r>
    </w:p>
    <w:p w14:paraId="44AEB089">
      <w:pPr>
        <w:pStyle w:val="76"/>
        <w:numPr>
          <w:ilvl w:val="1"/>
          <w:numId w:val="41"/>
        </w:numPr>
        <w:spacing w:before="120" w:beforeLines="50" w:after="120" w:afterLines="50" w:line="276"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合同工人：指第三方雇用从事与项目核心功能相关工作的人员。主要包括承包商工人，比如土建工程的施工工人。</w:t>
      </w:r>
    </w:p>
    <w:p w14:paraId="4D940BA9">
      <w:pPr>
        <w:pStyle w:val="76"/>
        <w:numPr>
          <w:ilvl w:val="1"/>
          <w:numId w:val="41"/>
        </w:numPr>
        <w:spacing w:before="120" w:beforeLines="50" w:after="120" w:afterLines="50" w:line="276"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主要供应商工人：由主要供应商雇用的工人，他们持续地直接向项目提供对项目核心功能至关重要的货物或材料。</w:t>
      </w:r>
    </w:p>
    <w:p w14:paraId="20D5B6B7">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表1建设类子项目主要工人类型</w:t>
      </w:r>
    </w:p>
    <w:tbl>
      <w:tblPr>
        <w:tblStyle w:val="43"/>
        <w:tblW w:w="5000" w:type="pct"/>
        <w:tblInd w:w="0" w:type="dxa"/>
        <w:tblLayout w:type="fixed"/>
        <w:tblCellMar>
          <w:top w:w="0" w:type="dxa"/>
          <w:left w:w="108" w:type="dxa"/>
          <w:bottom w:w="0" w:type="dxa"/>
          <w:right w:w="108" w:type="dxa"/>
        </w:tblCellMar>
      </w:tblPr>
      <w:tblGrid>
        <w:gridCol w:w="846"/>
        <w:gridCol w:w="1452"/>
        <w:gridCol w:w="6224"/>
      </w:tblGrid>
      <w:tr w14:paraId="1D3C5B57">
        <w:tblPrEx>
          <w:tblCellMar>
            <w:top w:w="0" w:type="dxa"/>
            <w:left w:w="108" w:type="dxa"/>
            <w:bottom w:w="0" w:type="dxa"/>
            <w:right w:w="108" w:type="dxa"/>
          </w:tblCellMar>
        </w:tblPrEx>
        <w:trPr>
          <w:trHeight w:val="288" w:hRule="atLeast"/>
        </w:trPr>
        <w:tc>
          <w:tcPr>
            <w:tcW w:w="496" w:type="pct"/>
            <w:vMerge w:val="restart"/>
            <w:tcBorders>
              <w:top w:val="single" w:color="000000" w:sz="8" w:space="0"/>
              <w:left w:val="single" w:color="000000" w:sz="8" w:space="0"/>
              <w:bottom w:val="single" w:color="000000" w:sz="8" w:space="0"/>
              <w:right w:val="single" w:color="000000" w:sz="8" w:space="0"/>
            </w:tcBorders>
            <w:shd w:val="clear" w:color="auto" w:fill="DEEAF6"/>
            <w:noWrap/>
            <w:vAlign w:val="center"/>
          </w:tcPr>
          <w:p w14:paraId="12F0A108">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阶段</w:t>
            </w:r>
          </w:p>
        </w:tc>
        <w:tc>
          <w:tcPr>
            <w:tcW w:w="852" w:type="pct"/>
            <w:vMerge w:val="restart"/>
            <w:tcBorders>
              <w:top w:val="single" w:color="000000" w:sz="8" w:space="0"/>
              <w:left w:val="single" w:color="000000" w:sz="8" w:space="0"/>
              <w:bottom w:val="single" w:color="000000" w:sz="8" w:space="0"/>
              <w:right w:val="single" w:color="000000" w:sz="8" w:space="0"/>
            </w:tcBorders>
            <w:shd w:val="clear" w:color="auto" w:fill="DEEAF6"/>
            <w:vAlign w:val="center"/>
          </w:tcPr>
          <w:p w14:paraId="4AB79B2E">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工人类型</w:t>
            </w:r>
          </w:p>
        </w:tc>
        <w:tc>
          <w:tcPr>
            <w:tcW w:w="3651" w:type="pct"/>
            <w:vMerge w:val="restart"/>
            <w:tcBorders>
              <w:top w:val="single" w:color="000000" w:sz="8" w:space="0"/>
              <w:left w:val="single" w:color="000000" w:sz="8" w:space="0"/>
              <w:bottom w:val="single" w:color="000000" w:sz="8" w:space="0"/>
              <w:right w:val="single" w:color="000000" w:sz="8" w:space="0"/>
            </w:tcBorders>
            <w:shd w:val="clear" w:color="auto" w:fill="DEEAF6"/>
            <w:vAlign w:val="center"/>
          </w:tcPr>
          <w:p w14:paraId="3EF01D15">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主要活动</w:t>
            </w:r>
          </w:p>
        </w:tc>
      </w:tr>
      <w:tr w14:paraId="64F7C02B">
        <w:tblPrEx>
          <w:tblCellMar>
            <w:top w:w="0" w:type="dxa"/>
            <w:left w:w="108" w:type="dxa"/>
            <w:bottom w:w="0" w:type="dxa"/>
            <w:right w:w="108" w:type="dxa"/>
          </w:tblCellMar>
        </w:tblPrEx>
        <w:trPr>
          <w:trHeight w:val="318" w:hRule="atLeast"/>
        </w:trPr>
        <w:tc>
          <w:tcPr>
            <w:tcW w:w="496" w:type="pct"/>
            <w:vMerge w:val="continue"/>
            <w:tcBorders>
              <w:top w:val="single" w:color="000000" w:sz="8" w:space="0"/>
              <w:left w:val="single" w:color="000000" w:sz="8" w:space="0"/>
              <w:bottom w:val="single" w:color="000000" w:sz="8" w:space="0"/>
              <w:right w:val="single" w:color="000000" w:sz="8" w:space="0"/>
            </w:tcBorders>
            <w:shd w:val="clear" w:color="auto" w:fill="DEEAF6"/>
            <w:noWrap/>
            <w:vAlign w:val="center"/>
          </w:tcPr>
          <w:p w14:paraId="5C6DCB85">
            <w:pPr>
              <w:jc w:val="center"/>
              <w:rPr>
                <w:rFonts w:hint="default" w:ascii="Times New Roman" w:hAnsi="Times New Roman" w:eastAsia="宋体" w:cs="Times New Roman"/>
                <w:b/>
                <w:bCs/>
                <w:color w:val="auto"/>
                <w:sz w:val="21"/>
                <w:szCs w:val="21"/>
                <w:highlight w:val="none"/>
              </w:rPr>
            </w:pPr>
          </w:p>
        </w:tc>
        <w:tc>
          <w:tcPr>
            <w:tcW w:w="852" w:type="pct"/>
            <w:vMerge w:val="continue"/>
            <w:tcBorders>
              <w:top w:val="single" w:color="000000" w:sz="8" w:space="0"/>
              <w:left w:val="single" w:color="000000" w:sz="8" w:space="0"/>
              <w:bottom w:val="single" w:color="000000" w:sz="8" w:space="0"/>
              <w:right w:val="single" w:color="000000" w:sz="8" w:space="0"/>
            </w:tcBorders>
            <w:shd w:val="clear" w:color="auto" w:fill="DEEAF6"/>
            <w:vAlign w:val="center"/>
          </w:tcPr>
          <w:p w14:paraId="0071DD01">
            <w:pPr>
              <w:jc w:val="center"/>
              <w:rPr>
                <w:rFonts w:hint="default" w:ascii="Times New Roman" w:hAnsi="Times New Roman" w:eastAsia="宋体" w:cs="Times New Roman"/>
                <w:b/>
                <w:bCs/>
                <w:color w:val="auto"/>
                <w:sz w:val="21"/>
                <w:szCs w:val="21"/>
                <w:highlight w:val="none"/>
              </w:rPr>
            </w:pPr>
          </w:p>
        </w:tc>
        <w:tc>
          <w:tcPr>
            <w:tcW w:w="3651" w:type="pct"/>
            <w:vMerge w:val="continue"/>
            <w:tcBorders>
              <w:top w:val="single" w:color="000000" w:sz="8" w:space="0"/>
              <w:left w:val="single" w:color="000000" w:sz="8" w:space="0"/>
              <w:bottom w:val="single" w:color="000000" w:sz="8" w:space="0"/>
              <w:right w:val="single" w:color="000000" w:sz="8" w:space="0"/>
            </w:tcBorders>
            <w:shd w:val="clear" w:color="auto" w:fill="DEEAF6"/>
            <w:vAlign w:val="center"/>
          </w:tcPr>
          <w:p w14:paraId="26E516E5">
            <w:pPr>
              <w:jc w:val="center"/>
              <w:rPr>
                <w:rFonts w:hint="default" w:ascii="Times New Roman" w:hAnsi="Times New Roman" w:eastAsia="宋体" w:cs="Times New Roman"/>
                <w:b/>
                <w:bCs/>
                <w:color w:val="auto"/>
                <w:sz w:val="21"/>
                <w:szCs w:val="21"/>
                <w:highlight w:val="none"/>
              </w:rPr>
            </w:pPr>
          </w:p>
        </w:tc>
      </w:tr>
      <w:tr w14:paraId="2B91FE10">
        <w:tblPrEx>
          <w:tblCellMar>
            <w:top w:w="0" w:type="dxa"/>
            <w:left w:w="108" w:type="dxa"/>
            <w:bottom w:w="0" w:type="dxa"/>
            <w:right w:w="108" w:type="dxa"/>
          </w:tblCellMar>
        </w:tblPrEx>
        <w:trPr>
          <w:trHeight w:val="303" w:hRule="atLeast"/>
        </w:trPr>
        <w:tc>
          <w:tcPr>
            <w:tcW w:w="49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6BF1556">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准备阶段</w:t>
            </w:r>
          </w:p>
        </w:tc>
        <w:tc>
          <w:tcPr>
            <w:tcW w:w="85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C6D4017">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直接工人</w:t>
            </w:r>
          </w:p>
        </w:tc>
        <w:tc>
          <w:tcPr>
            <w:tcW w:w="3651" w:type="pct"/>
            <w:tcBorders>
              <w:top w:val="single" w:color="000000" w:sz="8" w:space="0"/>
              <w:left w:val="nil"/>
              <w:bottom w:val="single" w:color="000000" w:sz="8" w:space="0"/>
              <w:right w:val="single" w:color="000000" w:sz="8" w:space="0"/>
            </w:tcBorders>
            <w:shd w:val="clear" w:color="auto" w:fill="auto"/>
            <w:noWrap/>
            <w:vAlign w:val="center"/>
          </w:tcPr>
          <w:p w14:paraId="60C39DA6">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项目办及项目执行机构前期负责项目准备、批准等相关事宜的工作人员</w:t>
            </w:r>
          </w:p>
        </w:tc>
      </w:tr>
      <w:tr w14:paraId="57E07457">
        <w:tblPrEx>
          <w:tblCellMar>
            <w:top w:w="0" w:type="dxa"/>
            <w:left w:w="108" w:type="dxa"/>
            <w:bottom w:w="0" w:type="dxa"/>
            <w:right w:w="108" w:type="dxa"/>
          </w:tblCellMar>
        </w:tblPrEx>
        <w:trPr>
          <w:trHeight w:val="678" w:hRule="atLeast"/>
        </w:trPr>
        <w:tc>
          <w:tcPr>
            <w:tcW w:w="496"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F65C526">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建设期</w:t>
            </w:r>
          </w:p>
        </w:tc>
        <w:tc>
          <w:tcPr>
            <w:tcW w:w="85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4C46389">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合同工人（承包商工人）</w:t>
            </w:r>
          </w:p>
        </w:tc>
        <w:tc>
          <w:tcPr>
            <w:tcW w:w="3651" w:type="pct"/>
            <w:tcBorders>
              <w:top w:val="single" w:color="000000" w:sz="8" w:space="0"/>
              <w:left w:val="nil"/>
              <w:bottom w:val="single" w:color="000000" w:sz="8" w:space="0"/>
              <w:right w:val="single" w:color="000000" w:sz="8" w:space="0"/>
            </w:tcBorders>
            <w:shd w:val="clear" w:color="auto" w:fill="auto"/>
            <w:noWrap/>
            <w:vAlign w:val="center"/>
          </w:tcPr>
          <w:p w14:paraId="7738C689">
            <w:pP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工程承包商雇佣的工人，负责所有子项目的土建工程、绿化、设备安装等。</w:t>
            </w:r>
          </w:p>
        </w:tc>
      </w:tr>
      <w:tr w14:paraId="50093C43">
        <w:tblPrEx>
          <w:tblCellMar>
            <w:top w:w="0" w:type="dxa"/>
            <w:left w:w="108" w:type="dxa"/>
            <w:bottom w:w="0" w:type="dxa"/>
            <w:right w:w="108" w:type="dxa"/>
          </w:tblCellMar>
        </w:tblPrEx>
        <w:trPr>
          <w:trHeight w:val="318" w:hRule="atLeast"/>
        </w:trPr>
        <w:tc>
          <w:tcPr>
            <w:tcW w:w="496"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2DE36CC6">
            <w:pPr>
              <w:jc w:val="center"/>
              <w:rPr>
                <w:rFonts w:hint="default" w:ascii="Times New Roman" w:hAnsi="Times New Roman" w:eastAsia="宋体" w:cs="Times New Roman"/>
                <w:color w:val="auto"/>
                <w:sz w:val="21"/>
                <w:szCs w:val="21"/>
                <w:highlight w:val="none"/>
              </w:rPr>
            </w:pPr>
          </w:p>
        </w:tc>
        <w:tc>
          <w:tcPr>
            <w:tcW w:w="8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C9AEA72">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主要供应商工人</w:t>
            </w:r>
          </w:p>
        </w:tc>
        <w:tc>
          <w:tcPr>
            <w:tcW w:w="3651" w:type="pct"/>
            <w:tcBorders>
              <w:top w:val="single" w:color="000000" w:sz="8" w:space="0"/>
              <w:left w:val="nil"/>
              <w:bottom w:val="single" w:color="000000" w:sz="8" w:space="0"/>
              <w:right w:val="single" w:color="000000" w:sz="8" w:space="0"/>
            </w:tcBorders>
            <w:shd w:val="clear" w:color="auto" w:fill="auto"/>
            <w:noWrap/>
            <w:vAlign w:val="center"/>
          </w:tcPr>
          <w:p w14:paraId="580D5C59">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由货物或材料生产厂商雇佣的工人，持续地直接向项目提供至关重要的货物或材料</w:t>
            </w:r>
          </w:p>
        </w:tc>
      </w:tr>
      <w:tr w14:paraId="26AEE0CD">
        <w:tblPrEx>
          <w:tblCellMar>
            <w:top w:w="0" w:type="dxa"/>
            <w:left w:w="108" w:type="dxa"/>
            <w:bottom w:w="0" w:type="dxa"/>
            <w:right w:w="108" w:type="dxa"/>
          </w:tblCellMar>
        </w:tblPrEx>
        <w:trPr>
          <w:trHeight w:val="318" w:hRule="atLeast"/>
        </w:trPr>
        <w:tc>
          <w:tcPr>
            <w:tcW w:w="49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D3FE5E8">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运营期</w:t>
            </w:r>
          </w:p>
        </w:tc>
        <w:tc>
          <w:tcPr>
            <w:tcW w:w="8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1B50184">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直接工人</w:t>
            </w:r>
          </w:p>
        </w:tc>
        <w:tc>
          <w:tcPr>
            <w:tcW w:w="3651" w:type="pct"/>
            <w:tcBorders>
              <w:top w:val="single" w:color="000000" w:sz="8" w:space="0"/>
              <w:left w:val="nil"/>
              <w:bottom w:val="single" w:color="000000" w:sz="8" w:space="0"/>
              <w:right w:val="single" w:color="000000" w:sz="8" w:space="0"/>
            </w:tcBorders>
            <w:shd w:val="clear" w:color="auto" w:fill="auto"/>
            <w:noWrap/>
            <w:vAlign w:val="center"/>
          </w:tcPr>
          <w:p w14:paraId="01A82E76">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由项目执行机构下的市政、城管等相关科室或直属公司聘请的管理人员、市政维护人员、公园工作人员、保洁等，负责项目建成后的运行。</w:t>
            </w:r>
          </w:p>
        </w:tc>
      </w:tr>
    </w:tbl>
    <w:p w14:paraId="5454CC2A">
      <w:pPr>
        <w:adjustRightInd w:val="0"/>
        <w:snapToGrid w:val="0"/>
        <w:spacing w:before="120" w:beforeLines="50" w:after="120" w:afterLines="50" w:line="276" w:lineRule="auto"/>
        <w:rPr>
          <w:rFonts w:hint="default" w:ascii="Times New Roman" w:hAnsi="Times New Roman" w:eastAsia="宋体" w:cs="Times New Roman"/>
          <w:color w:val="auto"/>
          <w:highlight w:val="none"/>
        </w:rPr>
      </w:pPr>
    </w:p>
    <w:p w14:paraId="6CDCE6FB">
      <w:pPr>
        <w:pStyle w:val="76"/>
        <w:numPr>
          <w:ilvl w:val="0"/>
          <w:numId w:val="40"/>
        </w:numPr>
        <w:spacing w:before="120" w:beforeLines="50" w:after="120" w:afterLines="50" w:line="276" w:lineRule="auto"/>
        <w:ind w:left="426"/>
        <w:rPr>
          <w:rFonts w:hint="default" w:ascii="Times New Roman" w:hAnsi="Times New Roman" w:eastAsia="宋体" w:cs="Times New Roman"/>
          <w:b/>
          <w:color w:val="auto"/>
          <w:highlight w:val="none"/>
        </w:rPr>
      </w:pPr>
      <w:bookmarkStart w:id="484" w:name="_Toc18438"/>
      <w:r>
        <w:rPr>
          <w:rFonts w:hint="default" w:ascii="Times New Roman" w:hAnsi="Times New Roman" w:eastAsia="宋体" w:cs="Times New Roman"/>
          <w:b/>
          <w:color w:val="auto"/>
          <w:highlight w:val="none"/>
        </w:rPr>
        <w:t>潜在的风险和影响</w:t>
      </w:r>
      <w:bookmarkEnd w:id="484"/>
    </w:p>
    <w:p w14:paraId="742E9FB7">
      <w:pPr>
        <w:spacing w:before="120" w:beforeLines="50" w:after="120" w:afterLines="50" w:line="276"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本项目准备期间，通过资料收集、座谈会、关键信息人访谈等方式，进行了社会影响调查和广泛的利益相关方参与，根据项目活动的社会风险和影响的性质、涉及的工种及相关子项目和活动的不同阶段，识别了活动对不同类型劳动者产生的风险和影响。</w:t>
      </w:r>
    </w:p>
    <w:p w14:paraId="13FCA82A">
      <w:pPr>
        <w:spacing w:before="120" w:beforeLines="50" w:after="120" w:afterLines="50" w:line="276"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根据社评调查的发现，建设期、运营期的项目办/执行机构主要为政府相关部门以及下属机构，均采纳较为完善的劳动者管理和监督体系，项目下涉及童工、强迫劳动和招聘歧视等方面的劳动者风险不会出现。</w:t>
      </w:r>
    </w:p>
    <w:p w14:paraId="6C575B5B">
      <w:pPr>
        <w:spacing w:before="120" w:beforeLines="50" w:after="120" w:afterLines="50" w:line="276"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项目下劳动者风险主要集中在工作条款及条件和职业健康安全等方面。下表对各自不同阶段的风险和影响分别进行说明。</w:t>
      </w:r>
    </w:p>
    <w:p w14:paraId="2855020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表2建设类子项目工人潜在的风险及影响</w:t>
      </w:r>
    </w:p>
    <w:tbl>
      <w:tblPr>
        <w:tblStyle w:val="43"/>
        <w:tblW w:w="5000" w:type="pct"/>
        <w:tblInd w:w="0" w:type="dxa"/>
        <w:tblLayout w:type="fixed"/>
        <w:tblCellMar>
          <w:top w:w="0" w:type="dxa"/>
          <w:left w:w="108" w:type="dxa"/>
          <w:bottom w:w="0" w:type="dxa"/>
          <w:right w:w="108" w:type="dxa"/>
        </w:tblCellMar>
      </w:tblPr>
      <w:tblGrid>
        <w:gridCol w:w="846"/>
        <w:gridCol w:w="1452"/>
        <w:gridCol w:w="6224"/>
      </w:tblGrid>
      <w:tr w14:paraId="587D9109">
        <w:tblPrEx>
          <w:tblCellMar>
            <w:top w:w="0" w:type="dxa"/>
            <w:left w:w="108" w:type="dxa"/>
            <w:bottom w:w="0" w:type="dxa"/>
            <w:right w:w="108" w:type="dxa"/>
          </w:tblCellMar>
        </w:tblPrEx>
        <w:trPr>
          <w:trHeight w:val="288" w:hRule="atLeast"/>
        </w:trPr>
        <w:tc>
          <w:tcPr>
            <w:tcW w:w="496" w:type="pct"/>
            <w:vMerge w:val="restart"/>
            <w:tcBorders>
              <w:top w:val="single" w:color="000000" w:sz="8" w:space="0"/>
              <w:left w:val="single" w:color="000000" w:sz="8" w:space="0"/>
              <w:bottom w:val="single" w:color="000000" w:sz="8" w:space="0"/>
              <w:right w:val="single" w:color="000000" w:sz="8" w:space="0"/>
            </w:tcBorders>
            <w:shd w:val="clear" w:color="auto" w:fill="DEEAF6"/>
            <w:noWrap/>
            <w:vAlign w:val="center"/>
          </w:tcPr>
          <w:p w14:paraId="65A837CE">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阶段</w:t>
            </w:r>
          </w:p>
        </w:tc>
        <w:tc>
          <w:tcPr>
            <w:tcW w:w="852" w:type="pct"/>
            <w:vMerge w:val="restart"/>
            <w:tcBorders>
              <w:top w:val="single" w:color="000000" w:sz="8" w:space="0"/>
              <w:left w:val="single" w:color="000000" w:sz="8" w:space="0"/>
              <w:bottom w:val="single" w:color="000000" w:sz="8" w:space="0"/>
              <w:right w:val="single" w:color="000000" w:sz="8" w:space="0"/>
            </w:tcBorders>
            <w:shd w:val="clear" w:color="auto" w:fill="DEEAF6"/>
            <w:vAlign w:val="center"/>
          </w:tcPr>
          <w:p w14:paraId="4675CEDB">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工人类型</w:t>
            </w:r>
          </w:p>
        </w:tc>
        <w:tc>
          <w:tcPr>
            <w:tcW w:w="3651" w:type="pct"/>
            <w:vMerge w:val="restart"/>
            <w:tcBorders>
              <w:top w:val="single" w:color="000000" w:sz="8" w:space="0"/>
              <w:left w:val="single" w:color="000000" w:sz="8" w:space="0"/>
              <w:bottom w:val="single" w:color="000000" w:sz="8" w:space="0"/>
              <w:right w:val="single" w:color="000000" w:sz="8" w:space="0"/>
            </w:tcBorders>
            <w:shd w:val="clear" w:color="auto" w:fill="DEEAF6"/>
            <w:vAlign w:val="center"/>
          </w:tcPr>
          <w:p w14:paraId="0DE7D4AD">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潜在的风险及影响</w:t>
            </w:r>
          </w:p>
        </w:tc>
      </w:tr>
      <w:tr w14:paraId="38CBA51C">
        <w:tblPrEx>
          <w:tblCellMar>
            <w:top w:w="0" w:type="dxa"/>
            <w:left w:w="108" w:type="dxa"/>
            <w:bottom w:w="0" w:type="dxa"/>
            <w:right w:w="108" w:type="dxa"/>
          </w:tblCellMar>
        </w:tblPrEx>
        <w:trPr>
          <w:trHeight w:val="318" w:hRule="atLeast"/>
        </w:trPr>
        <w:tc>
          <w:tcPr>
            <w:tcW w:w="496" w:type="pct"/>
            <w:vMerge w:val="continue"/>
            <w:tcBorders>
              <w:top w:val="single" w:color="000000" w:sz="8" w:space="0"/>
              <w:left w:val="single" w:color="000000" w:sz="8" w:space="0"/>
              <w:bottom w:val="single" w:color="000000" w:sz="8" w:space="0"/>
              <w:right w:val="single" w:color="000000" w:sz="8" w:space="0"/>
            </w:tcBorders>
            <w:shd w:val="clear" w:color="auto" w:fill="DEEAF6"/>
            <w:noWrap/>
            <w:vAlign w:val="center"/>
          </w:tcPr>
          <w:p w14:paraId="10D83331">
            <w:pPr>
              <w:jc w:val="center"/>
              <w:rPr>
                <w:rFonts w:hint="default" w:ascii="Times New Roman" w:hAnsi="Times New Roman" w:eastAsia="宋体" w:cs="Times New Roman"/>
                <w:b/>
                <w:bCs/>
                <w:color w:val="auto"/>
                <w:sz w:val="21"/>
                <w:szCs w:val="21"/>
                <w:highlight w:val="none"/>
              </w:rPr>
            </w:pPr>
          </w:p>
        </w:tc>
        <w:tc>
          <w:tcPr>
            <w:tcW w:w="852" w:type="pct"/>
            <w:vMerge w:val="continue"/>
            <w:tcBorders>
              <w:top w:val="single" w:color="000000" w:sz="8" w:space="0"/>
              <w:left w:val="single" w:color="000000" w:sz="8" w:space="0"/>
              <w:bottom w:val="single" w:color="000000" w:sz="8" w:space="0"/>
              <w:right w:val="single" w:color="000000" w:sz="8" w:space="0"/>
            </w:tcBorders>
            <w:shd w:val="clear" w:color="auto" w:fill="DEEAF6"/>
            <w:vAlign w:val="center"/>
          </w:tcPr>
          <w:p w14:paraId="620B1661">
            <w:pPr>
              <w:jc w:val="center"/>
              <w:rPr>
                <w:rFonts w:hint="default" w:ascii="Times New Roman" w:hAnsi="Times New Roman" w:eastAsia="宋体" w:cs="Times New Roman"/>
                <w:b/>
                <w:bCs/>
                <w:color w:val="auto"/>
                <w:sz w:val="21"/>
                <w:szCs w:val="21"/>
                <w:highlight w:val="none"/>
              </w:rPr>
            </w:pPr>
          </w:p>
        </w:tc>
        <w:tc>
          <w:tcPr>
            <w:tcW w:w="3651" w:type="pct"/>
            <w:vMerge w:val="continue"/>
            <w:tcBorders>
              <w:top w:val="single" w:color="000000" w:sz="8" w:space="0"/>
              <w:left w:val="single" w:color="000000" w:sz="8" w:space="0"/>
              <w:bottom w:val="single" w:color="000000" w:sz="8" w:space="0"/>
              <w:right w:val="single" w:color="000000" w:sz="8" w:space="0"/>
            </w:tcBorders>
            <w:shd w:val="clear" w:color="auto" w:fill="DEEAF6"/>
            <w:vAlign w:val="center"/>
          </w:tcPr>
          <w:p w14:paraId="790BE38F">
            <w:pPr>
              <w:jc w:val="center"/>
              <w:rPr>
                <w:rFonts w:hint="default" w:ascii="Times New Roman" w:hAnsi="Times New Roman" w:eastAsia="宋体" w:cs="Times New Roman"/>
                <w:b/>
                <w:bCs/>
                <w:color w:val="auto"/>
                <w:sz w:val="21"/>
                <w:szCs w:val="21"/>
                <w:highlight w:val="none"/>
              </w:rPr>
            </w:pPr>
          </w:p>
        </w:tc>
      </w:tr>
      <w:tr w14:paraId="31A45B77">
        <w:tblPrEx>
          <w:tblCellMar>
            <w:top w:w="0" w:type="dxa"/>
            <w:left w:w="108" w:type="dxa"/>
            <w:bottom w:w="0" w:type="dxa"/>
            <w:right w:w="108" w:type="dxa"/>
          </w:tblCellMar>
        </w:tblPrEx>
        <w:trPr>
          <w:trHeight w:val="303" w:hRule="atLeast"/>
        </w:trPr>
        <w:tc>
          <w:tcPr>
            <w:tcW w:w="49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93F34E">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准备阶段</w:t>
            </w:r>
          </w:p>
        </w:tc>
        <w:tc>
          <w:tcPr>
            <w:tcW w:w="85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8B38656">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直接工人</w:t>
            </w:r>
          </w:p>
        </w:tc>
        <w:tc>
          <w:tcPr>
            <w:tcW w:w="3651" w:type="pct"/>
            <w:tcBorders>
              <w:top w:val="single" w:color="000000" w:sz="8" w:space="0"/>
              <w:left w:val="nil"/>
              <w:bottom w:val="single" w:color="000000" w:sz="8" w:space="0"/>
              <w:right w:val="single" w:color="000000" w:sz="8" w:space="0"/>
            </w:tcBorders>
            <w:shd w:val="clear" w:color="auto" w:fill="auto"/>
            <w:noWrap/>
            <w:vAlign w:val="center"/>
          </w:tcPr>
          <w:p w14:paraId="65C5FA31">
            <w:pPr>
              <w:numPr>
                <w:ilvl w:val="0"/>
                <w:numId w:val="42"/>
              </w:num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较为完善的劳动者管理和监督体系，几乎没有风险。</w:t>
            </w:r>
          </w:p>
        </w:tc>
      </w:tr>
      <w:tr w14:paraId="68DED7BB">
        <w:tblPrEx>
          <w:tblCellMar>
            <w:top w:w="0" w:type="dxa"/>
            <w:left w:w="108" w:type="dxa"/>
            <w:bottom w:w="0" w:type="dxa"/>
            <w:right w:w="108" w:type="dxa"/>
          </w:tblCellMar>
        </w:tblPrEx>
        <w:trPr>
          <w:trHeight w:val="678" w:hRule="atLeast"/>
        </w:trPr>
        <w:tc>
          <w:tcPr>
            <w:tcW w:w="496"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3474D91">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建设期</w:t>
            </w:r>
          </w:p>
        </w:tc>
        <w:tc>
          <w:tcPr>
            <w:tcW w:w="85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E3FED0A">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合同工人（承包商工人）</w:t>
            </w:r>
          </w:p>
        </w:tc>
        <w:tc>
          <w:tcPr>
            <w:tcW w:w="3651" w:type="pct"/>
            <w:tcBorders>
              <w:top w:val="single" w:color="000000" w:sz="8" w:space="0"/>
              <w:left w:val="nil"/>
              <w:bottom w:val="single" w:color="000000" w:sz="8" w:space="0"/>
              <w:right w:val="single" w:color="000000" w:sz="8" w:space="0"/>
            </w:tcBorders>
            <w:shd w:val="clear" w:color="auto" w:fill="auto"/>
            <w:noWrap/>
            <w:vAlign w:val="center"/>
          </w:tcPr>
          <w:p w14:paraId="37BB27B2">
            <w:pPr>
              <w:numPr>
                <w:ilvl w:val="0"/>
                <w:numId w:val="43"/>
              </w:numP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机械/设备操作事故风险、运输车辆的道路安全风险、室内装修时粉尘、异味等风险、施工场地上的意外伤害风险；</w:t>
            </w:r>
          </w:p>
          <w:p w14:paraId="6BF4901E">
            <w:pPr>
              <w:numPr>
                <w:ilvl w:val="0"/>
                <w:numId w:val="43"/>
              </w:numP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2"/>
                <w:szCs w:val="22"/>
                <w:highlight w:val="none"/>
              </w:rPr>
              <w:t>工人劳动合同管理可能存在不完善的情况，如未与临时工签订劳务协议，劳动合同中必要信息缺失等。</w:t>
            </w:r>
          </w:p>
        </w:tc>
      </w:tr>
      <w:tr w14:paraId="07DA7E7C">
        <w:tblPrEx>
          <w:tblCellMar>
            <w:top w:w="0" w:type="dxa"/>
            <w:left w:w="108" w:type="dxa"/>
            <w:bottom w:w="0" w:type="dxa"/>
            <w:right w:w="108" w:type="dxa"/>
          </w:tblCellMar>
        </w:tblPrEx>
        <w:trPr>
          <w:trHeight w:val="318" w:hRule="atLeast"/>
        </w:trPr>
        <w:tc>
          <w:tcPr>
            <w:tcW w:w="496"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5A3DBB4B">
            <w:pPr>
              <w:jc w:val="center"/>
              <w:rPr>
                <w:rFonts w:hint="default" w:ascii="Times New Roman" w:hAnsi="Times New Roman" w:eastAsia="宋体" w:cs="Times New Roman"/>
                <w:color w:val="auto"/>
                <w:sz w:val="21"/>
                <w:szCs w:val="21"/>
                <w:highlight w:val="none"/>
              </w:rPr>
            </w:pPr>
          </w:p>
        </w:tc>
        <w:tc>
          <w:tcPr>
            <w:tcW w:w="8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31D4549">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主要供应商工人</w:t>
            </w:r>
          </w:p>
        </w:tc>
        <w:tc>
          <w:tcPr>
            <w:tcW w:w="3651" w:type="pct"/>
            <w:tcBorders>
              <w:top w:val="single" w:color="000000" w:sz="8" w:space="0"/>
              <w:left w:val="nil"/>
              <w:bottom w:val="single" w:color="000000" w:sz="8" w:space="0"/>
              <w:right w:val="single" w:color="000000" w:sz="8" w:space="0"/>
            </w:tcBorders>
            <w:shd w:val="clear" w:color="auto" w:fill="auto"/>
            <w:noWrap/>
            <w:vAlign w:val="center"/>
          </w:tcPr>
          <w:p w14:paraId="6FE80E11">
            <w:pPr>
              <w:numPr>
                <w:ilvl w:val="0"/>
                <w:numId w:val="44"/>
              </w:num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工人工作条件的风险</w:t>
            </w:r>
          </w:p>
        </w:tc>
      </w:tr>
      <w:tr w14:paraId="64C05679">
        <w:tblPrEx>
          <w:tblCellMar>
            <w:top w:w="0" w:type="dxa"/>
            <w:left w:w="108" w:type="dxa"/>
            <w:bottom w:w="0" w:type="dxa"/>
            <w:right w:w="108" w:type="dxa"/>
          </w:tblCellMar>
        </w:tblPrEx>
        <w:trPr>
          <w:trHeight w:val="318" w:hRule="atLeast"/>
        </w:trPr>
        <w:tc>
          <w:tcPr>
            <w:tcW w:w="49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780BE04">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运营期</w:t>
            </w:r>
          </w:p>
        </w:tc>
        <w:tc>
          <w:tcPr>
            <w:tcW w:w="8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83DAA96">
            <w:pP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直接工人</w:t>
            </w:r>
          </w:p>
        </w:tc>
        <w:tc>
          <w:tcPr>
            <w:tcW w:w="3651" w:type="pct"/>
            <w:tcBorders>
              <w:top w:val="single" w:color="000000" w:sz="8" w:space="0"/>
              <w:left w:val="nil"/>
              <w:bottom w:val="single" w:color="000000" w:sz="8" w:space="0"/>
              <w:right w:val="single" w:color="000000" w:sz="8" w:space="0"/>
            </w:tcBorders>
            <w:shd w:val="clear" w:color="auto" w:fill="auto"/>
            <w:noWrap/>
            <w:vAlign w:val="center"/>
          </w:tcPr>
          <w:p w14:paraId="237BEE45">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工人雇佣及工作条件的风险</w:t>
            </w:r>
          </w:p>
        </w:tc>
      </w:tr>
    </w:tbl>
    <w:p w14:paraId="307918FE">
      <w:pPr>
        <w:pStyle w:val="2"/>
        <w:rPr>
          <w:rFonts w:hint="default" w:ascii="Times New Roman" w:hAnsi="Times New Roman" w:eastAsia="宋体" w:cs="Times New Roman"/>
          <w:color w:val="auto"/>
          <w:highlight w:val="none"/>
        </w:rPr>
      </w:pPr>
    </w:p>
    <w:p w14:paraId="48AFBE5A">
      <w:pPr>
        <w:pStyle w:val="76"/>
        <w:numPr>
          <w:ilvl w:val="0"/>
          <w:numId w:val="40"/>
        </w:numPr>
        <w:spacing w:before="120" w:beforeLines="50" w:after="120" w:afterLines="50" w:line="276" w:lineRule="auto"/>
        <w:ind w:left="426"/>
        <w:rPr>
          <w:rFonts w:hint="default" w:ascii="Times New Roman" w:hAnsi="Times New Roman" w:eastAsia="宋体" w:cs="Times New Roman"/>
          <w:b/>
          <w:color w:val="auto"/>
          <w:highlight w:val="none"/>
          <w:lang w:bidi="en-US"/>
        </w:rPr>
      </w:pPr>
      <w:bookmarkStart w:id="485" w:name="_Toc1125"/>
      <w:r>
        <w:rPr>
          <w:rFonts w:hint="default" w:ascii="Times New Roman" w:hAnsi="Times New Roman" w:eastAsia="宋体" w:cs="Times New Roman"/>
          <w:b/>
          <w:color w:val="auto"/>
          <w:highlight w:val="none"/>
          <w:lang w:bidi="en-US"/>
        </w:rPr>
        <w:t>中国劳动立法概述</w:t>
      </w:r>
      <w:bookmarkEnd w:id="485"/>
    </w:p>
    <w:p w14:paraId="0A179FD7">
      <w:pPr>
        <w:rPr>
          <w:rFonts w:hint="default" w:ascii="Times New Roman" w:hAnsi="Times New Roman" w:eastAsia="宋体" w:cs="Times New Roman"/>
          <w:b/>
          <w:bCs/>
          <w:color w:val="auto"/>
          <w:highlight w:val="none"/>
        </w:rPr>
      </w:pPr>
      <w:bookmarkStart w:id="486" w:name="_Toc113175784"/>
      <w:bookmarkStart w:id="487" w:name="_Toc13614"/>
      <w:bookmarkStart w:id="488" w:name="_Toc14175"/>
      <w:bookmarkStart w:id="489" w:name="_Toc23930"/>
      <w:bookmarkStart w:id="490" w:name="_Toc1185"/>
      <w:bookmarkStart w:id="491" w:name="_Toc113122940"/>
      <w:r>
        <w:rPr>
          <w:rFonts w:hint="default" w:ascii="Times New Roman" w:hAnsi="Times New Roman" w:eastAsia="宋体" w:cs="Times New Roman"/>
          <w:b/>
          <w:bCs/>
          <w:color w:val="auto"/>
          <w:highlight w:val="none"/>
        </w:rPr>
        <w:t>3.1 雇佣和条件</w:t>
      </w:r>
      <w:bookmarkEnd w:id="486"/>
      <w:bookmarkEnd w:id="487"/>
      <w:bookmarkEnd w:id="488"/>
      <w:bookmarkEnd w:id="489"/>
      <w:bookmarkEnd w:id="490"/>
      <w:bookmarkEnd w:id="491"/>
    </w:p>
    <w:p w14:paraId="52544A13">
      <w:pPr>
        <w:adjustRightInd w:val="0"/>
        <w:snapToGrid w:val="0"/>
        <w:spacing w:after="120" w:afterLines="50" w:line="276" w:lineRule="auto"/>
        <w:ind w:firstLine="480" w:firstLineChars="200"/>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highlight w:val="none"/>
        </w:rPr>
        <w:t>中国建立了完善的有关劳动管理的法律及法规体系</w:t>
      </w:r>
      <w:r>
        <w:rPr>
          <w:rFonts w:hint="default" w:ascii="Times New Roman" w:hAnsi="Times New Roman" w:eastAsia="宋体" w:cs="Times New Roman"/>
          <w:color w:val="auto"/>
          <w:kern w:val="2"/>
          <w:highlight w:val="none"/>
        </w:rPr>
        <w:t>。作为国际劳动者组织（ILO）的成员，中国批准了28项公约（包括20项已生效，见表7），涉及同工同酬、歧视、最低年龄、童工、职业健康安全、强制劳动、就业政策、咨询、结社权等。</w:t>
      </w:r>
      <w:r>
        <w:rPr>
          <w:rFonts w:hint="default" w:ascii="Times New Roman" w:hAnsi="Times New Roman" w:eastAsia="宋体" w:cs="Times New Roman"/>
          <w:color w:val="auto"/>
          <w:highlight w:val="none"/>
        </w:rPr>
        <w:t>中国和陕西省的法律法规对工资标准</w:t>
      </w:r>
      <w:r>
        <w:rPr>
          <w:rFonts w:hint="default" w:ascii="Times New Roman" w:hAnsi="Times New Roman" w:eastAsia="宋体" w:cs="Times New Roman"/>
          <w:color w:val="auto"/>
          <w:kern w:val="2"/>
          <w:highlight w:val="none"/>
        </w:rPr>
        <w:t>、工作时间、劳动保护和劳资纠纷进行了规定，禁止强制劳动和/或童工，</w:t>
      </w:r>
      <w:r>
        <w:rPr>
          <w:rFonts w:hint="default" w:ascii="Times New Roman" w:hAnsi="Times New Roman" w:eastAsia="宋体" w:cs="Times New Roman"/>
          <w:bCs/>
          <w:color w:val="auto"/>
          <w:highlight w:val="none"/>
        </w:rPr>
        <w:t>对女职工和未成年工实行特殊劳动保护。</w:t>
      </w:r>
      <w:r>
        <w:rPr>
          <w:rFonts w:hint="default" w:ascii="Times New Roman" w:hAnsi="Times New Roman" w:eastAsia="宋体" w:cs="Times New Roman"/>
          <w:color w:val="auto"/>
          <w:kern w:val="2"/>
          <w:highlight w:val="none"/>
        </w:rPr>
        <w:t>这完全符合亚投行ESS2的相关要求。表6列出了第一批子项目适用的中国法律和法规。</w:t>
      </w:r>
    </w:p>
    <w:p w14:paraId="6EFDE23C">
      <w:pPr>
        <w:pStyle w:val="76"/>
        <w:numPr>
          <w:ilvl w:val="0"/>
          <w:numId w:val="45"/>
        </w:numPr>
        <w:adjustRightInd w:val="0"/>
        <w:snapToGrid w:val="0"/>
        <w:spacing w:before="60" w:after="60" w:line="276" w:lineRule="auto"/>
        <w:ind w:hanging="418"/>
        <w:rPr>
          <w:rFonts w:hint="default" w:ascii="Times New Roman" w:hAnsi="Times New Roman" w:eastAsia="宋体" w:cs="Times New Roman"/>
          <w:color w:val="auto"/>
          <w:highlight w:val="none"/>
          <w:u w:val="single"/>
        </w:rPr>
      </w:pPr>
      <w:r>
        <w:rPr>
          <w:rFonts w:hint="default" w:ascii="Times New Roman" w:hAnsi="Times New Roman" w:eastAsia="宋体" w:cs="Times New Roman"/>
          <w:b/>
          <w:color w:val="auto"/>
          <w:highlight w:val="none"/>
        </w:rPr>
        <w:t>劳动合同管理：</w:t>
      </w:r>
      <w:r>
        <w:rPr>
          <w:rFonts w:hint="default" w:ascii="Times New Roman" w:hAnsi="Times New Roman" w:eastAsia="宋体" w:cs="Times New Roman"/>
          <w:bCs/>
          <w:color w:val="auto"/>
          <w:highlight w:val="none"/>
        </w:rPr>
        <w:t>中国劳动法与劳动合同法规定，用人单位应该与劳动者以书面的形式签订劳动合同。劳动合同内容应包括劳动合同期限、工作内容和工作地点、工作时间和休息休假、劳动报酬、加班补偿、社会保险、劳动保护、劳动条件和职业危害防护等内容。</w:t>
      </w:r>
    </w:p>
    <w:p w14:paraId="31D48C16">
      <w:pPr>
        <w:pStyle w:val="76"/>
        <w:numPr>
          <w:ilvl w:val="0"/>
          <w:numId w:val="45"/>
        </w:numPr>
        <w:adjustRightInd w:val="0"/>
        <w:snapToGrid w:val="0"/>
        <w:spacing w:before="60" w:after="60" w:line="276" w:lineRule="auto"/>
        <w:ind w:hanging="418"/>
        <w:rPr>
          <w:rFonts w:hint="default" w:ascii="Times New Roman" w:hAnsi="Times New Roman" w:eastAsia="宋体" w:cs="Times New Roman"/>
          <w:bCs/>
          <w:color w:val="auto"/>
          <w:highlight w:val="none"/>
        </w:rPr>
      </w:pPr>
      <w:r>
        <w:rPr>
          <w:rFonts w:hint="default" w:ascii="Times New Roman" w:hAnsi="Times New Roman" w:eastAsia="宋体" w:cs="Times New Roman"/>
          <w:b/>
          <w:color w:val="auto"/>
          <w:highlight w:val="none"/>
        </w:rPr>
        <w:t>劳动时间</w:t>
      </w:r>
      <w:r>
        <w:rPr>
          <w:rFonts w:hint="default" w:ascii="Times New Roman" w:hAnsi="Times New Roman" w:eastAsia="宋体" w:cs="Times New Roman"/>
          <w:bCs/>
          <w:color w:val="auto"/>
          <w:highlight w:val="none"/>
        </w:rPr>
        <w:t>：劳动法规定，国家实行劳动者每日工作时间不超过八小时、平均每周工作时间不超过四十小时的工时制度；用人单位应当保证劳动者每周至少休息一日；用人单位应在法定节假日期间法安排劳动者休假。不能实行统一工作时间的事业单位，可以根据实际情况灵活安排周休息日。</w:t>
      </w:r>
    </w:p>
    <w:p w14:paraId="63D299C7">
      <w:pPr>
        <w:pStyle w:val="76"/>
        <w:numPr>
          <w:ilvl w:val="0"/>
          <w:numId w:val="45"/>
        </w:numPr>
        <w:adjustRightInd w:val="0"/>
        <w:snapToGrid w:val="0"/>
        <w:spacing w:before="60" w:after="60" w:line="276" w:lineRule="auto"/>
        <w:ind w:hanging="418"/>
        <w:rPr>
          <w:rFonts w:hint="default" w:ascii="Times New Roman" w:hAnsi="Times New Roman" w:eastAsia="宋体" w:cs="Times New Roman"/>
          <w:bCs/>
          <w:color w:val="auto"/>
          <w:highlight w:val="none"/>
        </w:rPr>
      </w:pPr>
      <w:r>
        <w:rPr>
          <w:rFonts w:hint="default" w:ascii="Times New Roman" w:hAnsi="Times New Roman" w:eastAsia="宋体" w:cs="Times New Roman"/>
          <w:b/>
          <w:color w:val="auto"/>
          <w:highlight w:val="none"/>
        </w:rPr>
        <w:t>加班时间：</w:t>
      </w:r>
      <w:r>
        <w:rPr>
          <w:rFonts w:hint="default" w:ascii="Times New Roman" w:hAnsi="Times New Roman" w:eastAsia="宋体" w:cs="Times New Roman"/>
          <w:bCs/>
          <w:color w:val="auto"/>
          <w:highlight w:val="none"/>
          <w:u w:val="single"/>
        </w:rPr>
        <w:t>用人单位应当严格执行劳动定额标准</w:t>
      </w:r>
      <w:r>
        <w:rPr>
          <w:rFonts w:hint="default" w:ascii="Times New Roman" w:hAnsi="Times New Roman" w:eastAsia="宋体" w:cs="Times New Roman"/>
          <w:bCs/>
          <w:color w:val="auto"/>
          <w:highlight w:val="none"/>
        </w:rPr>
        <w:t>，不得强迫或者变相强迫劳动者加班。用人单位安排加班的，应当按照国家有关规定向劳动者支付加班费。用人单位由于生产经营需要，经与工会和劳动者协商后可以延长工作时间，一般每日不得超过一小时；因特殊原因需要延长工作时间的，在保障劳动者身体健康的条件下延长工作时间每日不得超过三小时，但是每月不得超过三十六小时。</w:t>
      </w:r>
    </w:p>
    <w:p w14:paraId="252D5817">
      <w:pPr>
        <w:pStyle w:val="76"/>
        <w:numPr>
          <w:ilvl w:val="0"/>
          <w:numId w:val="45"/>
        </w:numPr>
        <w:adjustRightInd w:val="0"/>
        <w:snapToGrid w:val="0"/>
        <w:spacing w:before="60" w:after="60" w:line="276" w:lineRule="auto"/>
        <w:ind w:hanging="418"/>
        <w:rPr>
          <w:rFonts w:hint="default" w:ascii="Times New Roman" w:hAnsi="Times New Roman" w:eastAsia="宋体" w:cs="Times New Roman"/>
          <w:bCs/>
          <w:color w:val="auto"/>
          <w:highlight w:val="none"/>
        </w:rPr>
      </w:pPr>
      <w:r>
        <w:rPr>
          <w:rFonts w:hint="default" w:ascii="Times New Roman" w:hAnsi="Times New Roman" w:eastAsia="宋体" w:cs="Times New Roman"/>
          <w:b/>
          <w:color w:val="auto"/>
          <w:highlight w:val="none"/>
        </w:rPr>
        <w:t>劳动报酬和福利：</w:t>
      </w:r>
      <w:r>
        <w:rPr>
          <w:rFonts w:hint="default" w:ascii="Times New Roman" w:hAnsi="Times New Roman" w:eastAsia="宋体" w:cs="Times New Roman"/>
          <w:bCs/>
          <w:color w:val="auto"/>
          <w:highlight w:val="none"/>
        </w:rPr>
        <w:t>国家实行最低工资保障制度，中国劳动法规定用人单位支付劳动者的工资不得低于当地最低工资标准；工资应当以货币形式按月支付给劳动者本人。不得克扣或者无故拖欠劳动者的工资。在法定休假日、婚丧假等期间用人单位应当依法支付工资；用人单位和劳动者必须依法参加社会保险，缴纳社会保险费。</w:t>
      </w:r>
    </w:p>
    <w:p w14:paraId="68797CF5">
      <w:pPr>
        <w:adjustRightInd w:val="0"/>
        <w:snapToGrid w:val="0"/>
        <w:spacing w:after="120" w:afterLines="50" w:line="276" w:lineRule="auto"/>
        <w:ind w:firstLine="480" w:firstLineChars="200"/>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kern w:val="2"/>
          <w:highlight w:val="none"/>
        </w:rPr>
        <w:t>亚投行要求用人单位针对所有类型的劳动者制定并实施适用于项目的书面劳动管理程序，比如，为劳动者提供能明确清晰地说明雇用条款和条件的信息和文件，列明劳动者按照国家法律法规应享有的权利，包括工作时长、工资、加班、薪酬和福利方面的相关权利等；并根据国家法律和劳动管理程序要求定期为项目劳动者支付薪资，并提供足够的周休、年假以及病假、产假和家事假。对于社区工人，还需明确从事社区劳动的雇佣与条件，包括付款金额和付款方式（如适用）和工作时间，以及如何提出与项目有关的申诉。</w:t>
      </w:r>
    </w:p>
    <w:p w14:paraId="6B49527C">
      <w:pPr>
        <w:pStyle w:val="13"/>
        <w:spacing w:after="12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表 </w:t>
      </w:r>
      <w:bookmarkStart w:id="492" w:name="_Toc17530"/>
      <w:bookmarkStart w:id="493" w:name="_Toc15882"/>
      <w:bookmarkStart w:id="494" w:name="_Toc9859"/>
      <w:bookmarkStart w:id="495" w:name="_Toc28238"/>
      <w:r>
        <w:rPr>
          <w:rFonts w:hint="default" w:ascii="Times New Roman" w:hAnsi="Times New Roman" w:eastAsia="宋体" w:cs="Times New Roman"/>
          <w:color w:val="auto"/>
          <w:highlight w:val="none"/>
        </w:rPr>
        <w:t>3 关于劳动者和工作条件的适用法律法规</w:t>
      </w:r>
      <w:bookmarkEnd w:id="492"/>
      <w:bookmarkEnd w:id="493"/>
      <w:bookmarkEnd w:id="494"/>
      <w:bookmarkEnd w:id="495"/>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4702"/>
        <w:gridCol w:w="2707"/>
      </w:tblGrid>
      <w:tr w14:paraId="752E7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53" w:type="pct"/>
            <w:shd w:val="clear" w:color="auto" w:fill="DEEAF6" w:themeFill="accent5" w:themeFillTint="33"/>
          </w:tcPr>
          <w:p w14:paraId="39C862AA">
            <w:pPr>
              <w:snapToGrid w:val="0"/>
              <w:spacing w:before="12" w:after="12" w:line="300" w:lineRule="auto"/>
              <w:jc w:val="center"/>
              <w:rPr>
                <w:rFonts w:hint="default" w:ascii="Times New Roman" w:hAnsi="Times New Roman" w:eastAsia="宋体" w:cs="Times New Roman"/>
                <w:b/>
                <w:color w:val="auto"/>
                <w:sz w:val="20"/>
                <w:szCs w:val="20"/>
                <w:highlight w:val="none"/>
              </w:rPr>
            </w:pPr>
            <w:r>
              <w:rPr>
                <w:rFonts w:hint="default" w:ascii="Times New Roman" w:hAnsi="Times New Roman" w:eastAsia="宋体" w:cs="Times New Roman"/>
                <w:b/>
                <w:color w:val="auto"/>
                <w:sz w:val="20"/>
                <w:szCs w:val="20"/>
                <w:highlight w:val="none"/>
              </w:rPr>
              <w:t>序号</w:t>
            </w:r>
          </w:p>
        </w:tc>
        <w:tc>
          <w:tcPr>
            <w:tcW w:w="2758" w:type="pct"/>
            <w:shd w:val="clear" w:color="auto" w:fill="DEEAF6" w:themeFill="accent5" w:themeFillTint="33"/>
          </w:tcPr>
          <w:p w14:paraId="179C3E76">
            <w:pPr>
              <w:snapToGrid w:val="0"/>
              <w:spacing w:before="12" w:after="12" w:line="300" w:lineRule="auto"/>
              <w:jc w:val="center"/>
              <w:rPr>
                <w:rFonts w:hint="default" w:ascii="Times New Roman" w:hAnsi="Times New Roman" w:eastAsia="宋体" w:cs="Times New Roman"/>
                <w:b/>
                <w:color w:val="auto"/>
                <w:sz w:val="20"/>
                <w:szCs w:val="20"/>
                <w:highlight w:val="none"/>
              </w:rPr>
            </w:pPr>
            <w:r>
              <w:rPr>
                <w:rFonts w:hint="default" w:ascii="Times New Roman" w:hAnsi="Times New Roman" w:eastAsia="宋体" w:cs="Times New Roman"/>
                <w:b/>
                <w:color w:val="auto"/>
                <w:sz w:val="20"/>
                <w:szCs w:val="20"/>
                <w:highlight w:val="none"/>
              </w:rPr>
              <w:t>法律法规名称</w:t>
            </w:r>
          </w:p>
        </w:tc>
        <w:tc>
          <w:tcPr>
            <w:tcW w:w="1587" w:type="pct"/>
            <w:shd w:val="clear" w:color="auto" w:fill="DEEAF6" w:themeFill="accent5" w:themeFillTint="33"/>
            <w:vAlign w:val="center"/>
          </w:tcPr>
          <w:p w14:paraId="043604D6">
            <w:pPr>
              <w:snapToGrid w:val="0"/>
              <w:spacing w:before="12" w:after="12" w:line="300" w:lineRule="auto"/>
              <w:jc w:val="center"/>
              <w:rPr>
                <w:rFonts w:hint="default" w:ascii="Times New Roman" w:hAnsi="Times New Roman" w:eastAsia="宋体" w:cs="Times New Roman"/>
                <w:b/>
                <w:color w:val="auto"/>
                <w:sz w:val="20"/>
                <w:szCs w:val="20"/>
                <w:highlight w:val="none"/>
              </w:rPr>
            </w:pPr>
            <w:r>
              <w:rPr>
                <w:rFonts w:hint="default" w:ascii="Times New Roman" w:hAnsi="Times New Roman" w:eastAsia="宋体" w:cs="Times New Roman"/>
                <w:b/>
                <w:color w:val="auto"/>
                <w:sz w:val="20"/>
                <w:szCs w:val="20"/>
                <w:highlight w:val="none"/>
              </w:rPr>
              <w:t>实施年份</w:t>
            </w:r>
          </w:p>
        </w:tc>
      </w:tr>
      <w:tr w14:paraId="3112B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Align w:val="center"/>
          </w:tcPr>
          <w:p w14:paraId="59A36840">
            <w:pPr>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w:t>
            </w:r>
          </w:p>
        </w:tc>
        <w:tc>
          <w:tcPr>
            <w:tcW w:w="2758" w:type="pct"/>
          </w:tcPr>
          <w:p w14:paraId="370B315A">
            <w:pPr>
              <w:snapToGrid w:val="0"/>
              <w:spacing w:before="12" w:after="12" w:line="300" w:lineRule="auto"/>
              <w:jc w:val="both"/>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《中华人民共和国劳动法》</w:t>
            </w:r>
          </w:p>
        </w:tc>
        <w:tc>
          <w:tcPr>
            <w:tcW w:w="1587" w:type="pct"/>
            <w:vAlign w:val="center"/>
          </w:tcPr>
          <w:p w14:paraId="59941898">
            <w:pPr>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1995年，2018年修订</w:t>
            </w:r>
          </w:p>
        </w:tc>
      </w:tr>
      <w:tr w14:paraId="392F1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Align w:val="center"/>
          </w:tcPr>
          <w:p w14:paraId="154B532B">
            <w:pPr>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w:t>
            </w:r>
          </w:p>
        </w:tc>
        <w:tc>
          <w:tcPr>
            <w:tcW w:w="2758" w:type="pct"/>
          </w:tcPr>
          <w:p w14:paraId="309D2139">
            <w:pPr>
              <w:snapToGrid w:val="0"/>
              <w:spacing w:before="12" w:after="12" w:line="300" w:lineRule="auto"/>
              <w:jc w:val="both"/>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《国务院关于职工工作时间的规定》</w:t>
            </w:r>
          </w:p>
        </w:tc>
        <w:tc>
          <w:tcPr>
            <w:tcW w:w="1587" w:type="pct"/>
            <w:vAlign w:val="center"/>
          </w:tcPr>
          <w:p w14:paraId="3A13239A">
            <w:pPr>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1995年</w:t>
            </w:r>
          </w:p>
        </w:tc>
      </w:tr>
      <w:tr w14:paraId="4492A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Align w:val="center"/>
          </w:tcPr>
          <w:p w14:paraId="7E8281C1">
            <w:pPr>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3</w:t>
            </w:r>
          </w:p>
        </w:tc>
        <w:tc>
          <w:tcPr>
            <w:tcW w:w="2758" w:type="pct"/>
          </w:tcPr>
          <w:p w14:paraId="100CC16D">
            <w:pPr>
              <w:snapToGrid w:val="0"/>
              <w:spacing w:before="12" w:after="12" w:line="300" w:lineRule="auto"/>
              <w:jc w:val="both"/>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《&lt;中华人民共和国劳动合同法&gt;实施条例》</w:t>
            </w:r>
          </w:p>
        </w:tc>
        <w:tc>
          <w:tcPr>
            <w:tcW w:w="1587" w:type="pct"/>
            <w:vAlign w:val="center"/>
          </w:tcPr>
          <w:p w14:paraId="7AA90045">
            <w:pPr>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2008年</w:t>
            </w:r>
          </w:p>
        </w:tc>
      </w:tr>
      <w:tr w14:paraId="74B78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Align w:val="center"/>
          </w:tcPr>
          <w:p w14:paraId="21F76305">
            <w:pPr>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4</w:t>
            </w:r>
          </w:p>
        </w:tc>
        <w:tc>
          <w:tcPr>
            <w:tcW w:w="2758" w:type="pct"/>
          </w:tcPr>
          <w:p w14:paraId="4305FA97">
            <w:pPr>
              <w:snapToGrid w:val="0"/>
              <w:spacing w:before="12" w:after="12" w:line="300" w:lineRule="auto"/>
              <w:jc w:val="both"/>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《中华人民共和国劳动合同法》</w:t>
            </w:r>
          </w:p>
        </w:tc>
        <w:tc>
          <w:tcPr>
            <w:tcW w:w="1587" w:type="pct"/>
            <w:vAlign w:val="center"/>
          </w:tcPr>
          <w:p w14:paraId="2999AF61">
            <w:pPr>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2008年，2012年修订</w:t>
            </w:r>
          </w:p>
        </w:tc>
      </w:tr>
      <w:tr w14:paraId="24358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Align w:val="center"/>
          </w:tcPr>
          <w:p w14:paraId="65BA248C">
            <w:pPr>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5</w:t>
            </w:r>
          </w:p>
        </w:tc>
        <w:tc>
          <w:tcPr>
            <w:tcW w:w="2758" w:type="pct"/>
          </w:tcPr>
          <w:p w14:paraId="1EDFA201">
            <w:pPr>
              <w:snapToGrid w:val="0"/>
              <w:spacing w:before="12" w:after="12" w:line="300" w:lineRule="auto"/>
              <w:jc w:val="both"/>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《女职工劳动保护特别规定》</w:t>
            </w:r>
          </w:p>
        </w:tc>
        <w:tc>
          <w:tcPr>
            <w:tcW w:w="1587" w:type="pct"/>
            <w:vAlign w:val="center"/>
          </w:tcPr>
          <w:p w14:paraId="36F9D10D">
            <w:pPr>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2012年</w:t>
            </w:r>
          </w:p>
        </w:tc>
      </w:tr>
      <w:tr w14:paraId="10AB3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Align w:val="center"/>
          </w:tcPr>
          <w:p w14:paraId="0903775E">
            <w:pPr>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6</w:t>
            </w:r>
          </w:p>
        </w:tc>
        <w:tc>
          <w:tcPr>
            <w:tcW w:w="2758" w:type="pct"/>
          </w:tcPr>
          <w:p w14:paraId="4923C243">
            <w:pPr>
              <w:snapToGrid w:val="0"/>
              <w:spacing w:before="12" w:after="12" w:line="300" w:lineRule="auto"/>
              <w:jc w:val="both"/>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陕西省实施《工伤保险条例》办法</w:t>
            </w:r>
          </w:p>
        </w:tc>
        <w:tc>
          <w:tcPr>
            <w:tcW w:w="1587" w:type="pct"/>
            <w:vAlign w:val="center"/>
          </w:tcPr>
          <w:p w14:paraId="4E6889AF">
            <w:pPr>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2004年，2011年修订</w:t>
            </w:r>
          </w:p>
        </w:tc>
      </w:tr>
      <w:tr w14:paraId="2940A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Align w:val="center"/>
          </w:tcPr>
          <w:p w14:paraId="3D2189A7">
            <w:pPr>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7</w:t>
            </w:r>
          </w:p>
        </w:tc>
        <w:tc>
          <w:tcPr>
            <w:tcW w:w="2758" w:type="pct"/>
          </w:tcPr>
          <w:p w14:paraId="4EC1060A">
            <w:pPr>
              <w:snapToGrid w:val="0"/>
              <w:spacing w:before="12" w:after="12" w:line="300" w:lineRule="auto"/>
              <w:jc w:val="both"/>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《陕西省最低工资规定》</w:t>
            </w:r>
          </w:p>
        </w:tc>
        <w:tc>
          <w:tcPr>
            <w:tcW w:w="1587" w:type="pct"/>
            <w:vAlign w:val="center"/>
          </w:tcPr>
          <w:p w14:paraId="3E488642">
            <w:pPr>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2006</w:t>
            </w:r>
          </w:p>
        </w:tc>
      </w:tr>
      <w:tr w14:paraId="7222C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Align w:val="center"/>
          </w:tcPr>
          <w:p w14:paraId="524C00F4">
            <w:pPr>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8</w:t>
            </w:r>
          </w:p>
        </w:tc>
        <w:tc>
          <w:tcPr>
            <w:tcW w:w="2758" w:type="pct"/>
          </w:tcPr>
          <w:p w14:paraId="724D5AA8">
            <w:pPr>
              <w:snapToGrid w:val="0"/>
              <w:spacing w:before="12" w:after="12" w:line="300" w:lineRule="auto"/>
              <w:jc w:val="both"/>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《陕西省实施女职工劳动保护特别规定》</w:t>
            </w:r>
          </w:p>
        </w:tc>
        <w:tc>
          <w:tcPr>
            <w:tcW w:w="1587" w:type="pct"/>
            <w:vAlign w:val="center"/>
          </w:tcPr>
          <w:p w14:paraId="73880277">
            <w:pPr>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2018年</w:t>
            </w:r>
          </w:p>
        </w:tc>
      </w:tr>
      <w:tr w14:paraId="79D8B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Align w:val="center"/>
          </w:tcPr>
          <w:p w14:paraId="78CD71EB">
            <w:pPr>
              <w:widowControl w:val="0"/>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9</w:t>
            </w:r>
          </w:p>
        </w:tc>
        <w:tc>
          <w:tcPr>
            <w:tcW w:w="2758" w:type="pct"/>
          </w:tcPr>
          <w:p w14:paraId="46F65FBA">
            <w:pPr>
              <w:widowControl w:val="0"/>
              <w:snapToGrid w:val="0"/>
              <w:spacing w:before="12" w:after="12" w:line="300" w:lineRule="auto"/>
              <w:jc w:val="both"/>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《陕西省公益性岗位开发管理办法》</w:t>
            </w:r>
          </w:p>
        </w:tc>
        <w:tc>
          <w:tcPr>
            <w:tcW w:w="1587" w:type="pct"/>
            <w:vAlign w:val="center"/>
          </w:tcPr>
          <w:p w14:paraId="6FC2698B">
            <w:pPr>
              <w:widowControl w:val="0"/>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2019年</w:t>
            </w:r>
          </w:p>
        </w:tc>
      </w:tr>
      <w:tr w14:paraId="2698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Align w:val="center"/>
          </w:tcPr>
          <w:p w14:paraId="6635A1CC">
            <w:pPr>
              <w:widowControl w:val="0"/>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10</w:t>
            </w:r>
          </w:p>
        </w:tc>
        <w:tc>
          <w:tcPr>
            <w:tcW w:w="2758" w:type="pct"/>
          </w:tcPr>
          <w:p w14:paraId="76736744">
            <w:pPr>
              <w:widowControl w:val="0"/>
              <w:snapToGrid w:val="0"/>
              <w:spacing w:before="12" w:after="12" w:line="300" w:lineRule="auto"/>
              <w:jc w:val="both"/>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《关于做好公益性岗位开发管理有关工作的通知》</w:t>
            </w:r>
          </w:p>
        </w:tc>
        <w:tc>
          <w:tcPr>
            <w:tcW w:w="1587" w:type="pct"/>
            <w:vAlign w:val="center"/>
          </w:tcPr>
          <w:p w14:paraId="15D2CEDF">
            <w:pPr>
              <w:widowControl w:val="0"/>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2020年</w:t>
            </w:r>
          </w:p>
        </w:tc>
      </w:tr>
    </w:tbl>
    <w:p w14:paraId="38E666BF">
      <w:pPr>
        <w:spacing w:before="12" w:after="12" w:line="300" w:lineRule="auto"/>
        <w:ind w:right="57"/>
        <w:jc w:val="both"/>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bCs/>
          <w:color w:val="auto"/>
          <w:sz w:val="18"/>
          <w:szCs w:val="18"/>
          <w:highlight w:val="none"/>
        </w:rPr>
        <w:t>资料来源:</w:t>
      </w:r>
      <w:r>
        <w:rPr>
          <w:rFonts w:hint="default" w:ascii="Times New Roman" w:hAnsi="Times New Roman" w:eastAsia="宋体" w:cs="Times New Roman"/>
          <w:color w:val="auto"/>
          <w:sz w:val="18"/>
          <w:szCs w:val="18"/>
          <w:highlight w:val="none"/>
        </w:rPr>
        <w:t xml:space="preserve"> 社会咨询机构的案头工作。</w:t>
      </w:r>
    </w:p>
    <w:p w14:paraId="5DD7EE56">
      <w:pPr>
        <w:pStyle w:val="13"/>
        <w:spacing w:after="12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w:t>
      </w:r>
      <w:bookmarkStart w:id="496" w:name="_Toc10881"/>
      <w:bookmarkStart w:id="497" w:name="_Toc3303"/>
      <w:bookmarkStart w:id="498" w:name="_Toc5741"/>
      <w:r>
        <w:rPr>
          <w:rFonts w:hint="default" w:ascii="Times New Roman" w:hAnsi="Times New Roman" w:eastAsia="宋体" w:cs="Times New Roman"/>
          <w:color w:val="auto"/>
          <w:highlight w:val="none"/>
        </w:rPr>
        <w:t>4 中国批准的国际劳动组织公约（生效）清单</w:t>
      </w:r>
      <w:r>
        <w:rPr>
          <w:rStyle w:val="50"/>
          <w:rFonts w:hint="default" w:ascii="Times New Roman" w:hAnsi="Times New Roman" w:eastAsia="宋体" w:cs="Times New Roman"/>
          <w:color w:val="auto"/>
          <w:highlight w:val="none"/>
        </w:rPr>
        <w:footnoteReference w:id="8"/>
      </w:r>
      <w:bookmarkEnd w:id="496"/>
      <w:bookmarkEnd w:id="497"/>
      <w:bookmarkEnd w:id="498"/>
    </w:p>
    <w:tbl>
      <w:tblPr>
        <w:tblStyle w:val="8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5"/>
        <w:gridCol w:w="1725"/>
      </w:tblGrid>
      <w:tr w14:paraId="14CB6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565" w:type="dxa"/>
            <w:shd w:val="clear" w:color="auto" w:fill="DEEAF6" w:themeFill="accent5" w:themeFillTint="33"/>
            <w:vAlign w:val="center"/>
          </w:tcPr>
          <w:p w14:paraId="16346F3F">
            <w:pPr>
              <w:widowControl w:val="0"/>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
                <w:bCs/>
                <w:color w:val="auto"/>
                <w:sz w:val="20"/>
                <w:szCs w:val="20"/>
                <w:highlight w:val="none"/>
              </w:rPr>
              <w:t>公约</w:t>
            </w:r>
          </w:p>
        </w:tc>
        <w:tc>
          <w:tcPr>
            <w:tcW w:w="1725" w:type="dxa"/>
            <w:shd w:val="clear" w:color="auto" w:fill="DEEAF6" w:themeFill="accent5" w:themeFillTint="33"/>
            <w:vAlign w:val="center"/>
          </w:tcPr>
          <w:p w14:paraId="55151143">
            <w:pPr>
              <w:widowControl w:val="0"/>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
                <w:bCs/>
                <w:color w:val="auto"/>
                <w:sz w:val="20"/>
                <w:szCs w:val="20"/>
                <w:highlight w:val="none"/>
              </w:rPr>
              <w:t>日期</w:t>
            </w:r>
          </w:p>
        </w:tc>
      </w:tr>
      <w:tr w14:paraId="2462E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shd w:val="clear" w:color="auto" w:fill="auto"/>
          </w:tcPr>
          <w:p w14:paraId="4DAA67F2">
            <w:pPr>
              <w:widowControl w:val="0"/>
              <w:snapToGrid w:val="0"/>
              <w:spacing w:before="12" w:after="12" w:line="300" w:lineRule="auto"/>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sz w:val="20"/>
                <w:szCs w:val="20"/>
                <w:highlight w:val="none"/>
              </w:rPr>
              <w:t>基本约定(5)</w:t>
            </w:r>
          </w:p>
        </w:tc>
      </w:tr>
      <w:tr w14:paraId="25A25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2F9953A5">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C100-1951年《同酬公约》（第100号）</w:t>
            </w:r>
          </w:p>
        </w:tc>
        <w:tc>
          <w:tcPr>
            <w:tcW w:w="1725" w:type="dxa"/>
            <w:shd w:val="clear" w:color="auto" w:fill="auto"/>
          </w:tcPr>
          <w:p w14:paraId="758881F9">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1990.12.02</w:t>
            </w:r>
          </w:p>
        </w:tc>
      </w:tr>
      <w:tr w14:paraId="45F43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4152DF52">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C111-1958年《（就业和职业）歧视公约》（第111号）</w:t>
            </w:r>
          </w:p>
        </w:tc>
        <w:tc>
          <w:tcPr>
            <w:tcW w:w="1725" w:type="dxa"/>
            <w:shd w:val="clear" w:color="auto" w:fill="auto"/>
          </w:tcPr>
          <w:p w14:paraId="3717B6B0">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2006.01.12</w:t>
            </w:r>
          </w:p>
        </w:tc>
      </w:tr>
      <w:tr w14:paraId="5456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6565" w:type="dxa"/>
            <w:shd w:val="clear" w:color="auto" w:fill="auto"/>
          </w:tcPr>
          <w:p w14:paraId="4F957F1E">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C138-1973年《最低年龄公约》（第138号）规定最低年龄：16岁</w:t>
            </w:r>
          </w:p>
        </w:tc>
        <w:tc>
          <w:tcPr>
            <w:tcW w:w="1725" w:type="dxa"/>
            <w:shd w:val="clear" w:color="auto" w:fill="auto"/>
          </w:tcPr>
          <w:p w14:paraId="699FE0D7">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1999.04.28</w:t>
            </w:r>
          </w:p>
        </w:tc>
      </w:tr>
      <w:tr w14:paraId="3D5F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6565" w:type="dxa"/>
            <w:shd w:val="clear" w:color="auto" w:fill="auto"/>
          </w:tcPr>
          <w:p w14:paraId="6CFCDAD1">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"https://www.ilo.org/dyn/normlex/en/f?p=NORMLEXPUB:12100:0::NO:12100:P12100_INSTRUMENT_ID:312300:NO"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sz w:val="20"/>
                <w:szCs w:val="20"/>
                <w:highlight w:val="none"/>
              </w:rPr>
              <w:t>C155-1981年《职业安全与卫生公约》（第155号）</w:t>
            </w:r>
            <w:r>
              <w:rPr>
                <w:rFonts w:hint="default" w:ascii="Times New Roman" w:hAnsi="Times New Roman" w:eastAsia="宋体" w:cs="Times New Roman"/>
                <w:color w:val="auto"/>
                <w:sz w:val="20"/>
                <w:szCs w:val="20"/>
                <w:highlight w:val="none"/>
              </w:rPr>
              <w:fldChar w:fldCharType="end"/>
            </w:r>
          </w:p>
        </w:tc>
        <w:tc>
          <w:tcPr>
            <w:tcW w:w="1725" w:type="dxa"/>
            <w:shd w:val="clear" w:color="auto" w:fill="auto"/>
          </w:tcPr>
          <w:p w14:paraId="699B0694">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2007.01.25</w:t>
            </w:r>
          </w:p>
        </w:tc>
      </w:tr>
      <w:tr w14:paraId="52E4B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1F88BCC8">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C182-1999年《最恶劣形式的童工劳动公约》（第182号）</w:t>
            </w:r>
          </w:p>
        </w:tc>
        <w:tc>
          <w:tcPr>
            <w:tcW w:w="1725" w:type="dxa"/>
            <w:shd w:val="clear" w:color="auto" w:fill="auto"/>
          </w:tcPr>
          <w:p w14:paraId="04068F7D">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2002.08.08</w:t>
            </w:r>
          </w:p>
        </w:tc>
      </w:tr>
      <w:tr w14:paraId="347DA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shd w:val="clear" w:color="auto" w:fill="auto"/>
          </w:tcPr>
          <w:p w14:paraId="36A82D0F">
            <w:pPr>
              <w:widowControl w:val="0"/>
              <w:snapToGrid w:val="0"/>
              <w:spacing w:before="12" w:after="12" w:line="300" w:lineRule="auto"/>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sz w:val="20"/>
                <w:szCs w:val="20"/>
                <w:highlight w:val="none"/>
              </w:rPr>
              <w:t>治理（优先）公约(2)</w:t>
            </w:r>
          </w:p>
        </w:tc>
      </w:tr>
      <w:tr w14:paraId="4165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15FE7195">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C122-1964年《就业政策公约》（第122号）</w:t>
            </w:r>
          </w:p>
        </w:tc>
        <w:tc>
          <w:tcPr>
            <w:tcW w:w="1725" w:type="dxa"/>
            <w:shd w:val="clear" w:color="auto" w:fill="auto"/>
          </w:tcPr>
          <w:p w14:paraId="577EEAFF">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1997.12.17</w:t>
            </w:r>
          </w:p>
        </w:tc>
      </w:tr>
      <w:tr w14:paraId="78680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092F7037">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C144-</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"http://www.ilo.org/dyn/normlex/en/f?p=NORMLEXPUB:12100:::NO:12100:P12100_ILO_CODE:C144:NO" \t "https://www.ilo.org/global/standards/introduction-to-international-labour-standards/conventions-and-recommendations/lang--en/_top"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sz w:val="20"/>
                <w:szCs w:val="20"/>
                <w:highlight w:val="none"/>
              </w:rPr>
              <w:t>1976年《</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color w:val="auto"/>
                <w:sz w:val="20"/>
                <w:szCs w:val="20"/>
                <w:highlight w:val="none"/>
              </w:rPr>
              <w:t>三方协商（国际劳动者标准）公约》（第144号）</w:t>
            </w:r>
          </w:p>
        </w:tc>
        <w:tc>
          <w:tcPr>
            <w:tcW w:w="1725" w:type="dxa"/>
            <w:shd w:val="clear" w:color="auto" w:fill="auto"/>
          </w:tcPr>
          <w:p w14:paraId="38419E49">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1990.11.02</w:t>
            </w:r>
          </w:p>
        </w:tc>
      </w:tr>
      <w:tr w14:paraId="45DD1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shd w:val="clear" w:color="auto" w:fill="auto"/>
          </w:tcPr>
          <w:p w14:paraId="3FD8D393">
            <w:pPr>
              <w:widowControl w:val="0"/>
              <w:snapToGrid w:val="0"/>
              <w:spacing w:before="12" w:after="12" w:line="300" w:lineRule="auto"/>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sz w:val="20"/>
                <w:szCs w:val="20"/>
                <w:highlight w:val="none"/>
              </w:rPr>
              <w:t>技术(13)</w:t>
            </w:r>
          </w:p>
        </w:tc>
      </w:tr>
      <w:tr w14:paraId="4A9AF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565" w:type="dxa"/>
            <w:shd w:val="clear" w:color="auto" w:fill="auto"/>
          </w:tcPr>
          <w:p w14:paraId="00F90435">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C011-1921年（农业）结社权公约（第11号）</w:t>
            </w:r>
          </w:p>
        </w:tc>
        <w:tc>
          <w:tcPr>
            <w:tcW w:w="1725" w:type="dxa"/>
            <w:shd w:val="clear" w:color="auto" w:fill="auto"/>
          </w:tcPr>
          <w:p w14:paraId="70AD900F">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1934.04.27</w:t>
            </w:r>
          </w:p>
        </w:tc>
      </w:tr>
      <w:tr w14:paraId="6B76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662837EF">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C014-1921年《每周（工业）休息公约》（第14号）</w:t>
            </w:r>
          </w:p>
        </w:tc>
        <w:tc>
          <w:tcPr>
            <w:tcW w:w="1725" w:type="dxa"/>
            <w:shd w:val="clear" w:color="auto" w:fill="auto"/>
          </w:tcPr>
          <w:p w14:paraId="4C263572">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1934.05.17</w:t>
            </w:r>
          </w:p>
        </w:tc>
      </w:tr>
      <w:tr w14:paraId="0C057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15F8FCCB">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C019-1925年《平等待遇（事故赔偿）公约》（第19号）</w:t>
            </w:r>
          </w:p>
        </w:tc>
        <w:tc>
          <w:tcPr>
            <w:tcW w:w="1725" w:type="dxa"/>
            <w:shd w:val="clear" w:color="auto" w:fill="auto"/>
          </w:tcPr>
          <w:p w14:paraId="64266037">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1934.04.27</w:t>
            </w:r>
          </w:p>
        </w:tc>
      </w:tr>
      <w:tr w14:paraId="6281C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6A501AD0">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C026-1928年最低工资固定机器公约（第26号）</w:t>
            </w:r>
          </w:p>
        </w:tc>
        <w:tc>
          <w:tcPr>
            <w:tcW w:w="1725" w:type="dxa"/>
            <w:shd w:val="clear" w:color="auto" w:fill="auto"/>
          </w:tcPr>
          <w:p w14:paraId="24E137BF">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1930.05.05</w:t>
            </w:r>
          </w:p>
        </w:tc>
      </w:tr>
      <w:tr w14:paraId="39F2E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2770359D">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C027-1929年（行李运输标记）公约（第27号）</w:t>
            </w:r>
          </w:p>
        </w:tc>
        <w:tc>
          <w:tcPr>
            <w:tcW w:w="1725" w:type="dxa"/>
            <w:shd w:val="clear" w:color="auto" w:fill="auto"/>
          </w:tcPr>
          <w:p w14:paraId="5AC533DA">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1931.06.24</w:t>
            </w:r>
          </w:p>
        </w:tc>
      </w:tr>
      <w:tr w14:paraId="1FB11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00BE81A0">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C032-1932防止意外事故（Docker）公约（修订），1932年（第32号）</w:t>
            </w:r>
          </w:p>
        </w:tc>
        <w:tc>
          <w:tcPr>
            <w:tcW w:w="1725" w:type="dxa"/>
            <w:shd w:val="clear" w:color="auto" w:fill="auto"/>
          </w:tcPr>
          <w:p w14:paraId="6D497BF9">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1935.11.30</w:t>
            </w:r>
          </w:p>
        </w:tc>
      </w:tr>
      <w:tr w14:paraId="32773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5FD952AA">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C045-1935年（妇女）地下工程公约（第45号）</w:t>
            </w:r>
          </w:p>
        </w:tc>
        <w:tc>
          <w:tcPr>
            <w:tcW w:w="1725" w:type="dxa"/>
            <w:shd w:val="clear" w:color="auto" w:fill="auto"/>
          </w:tcPr>
          <w:p w14:paraId="404F4FF6">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1936.12.02</w:t>
            </w:r>
          </w:p>
        </w:tc>
      </w:tr>
      <w:tr w14:paraId="55CA2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308008CC">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C080-1946年最后条款修订公约（第80号）</w:t>
            </w:r>
          </w:p>
        </w:tc>
        <w:tc>
          <w:tcPr>
            <w:tcW w:w="1725" w:type="dxa"/>
            <w:shd w:val="clear" w:color="auto" w:fill="auto"/>
          </w:tcPr>
          <w:p w14:paraId="29A2709A">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1947.08.04</w:t>
            </w:r>
          </w:p>
        </w:tc>
      </w:tr>
      <w:tr w14:paraId="445AE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10189964">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C150-1978年劳动行政管理公约（第150号）</w:t>
            </w:r>
          </w:p>
        </w:tc>
        <w:tc>
          <w:tcPr>
            <w:tcW w:w="1725" w:type="dxa"/>
            <w:shd w:val="clear" w:color="auto" w:fill="auto"/>
          </w:tcPr>
          <w:p w14:paraId="1DE71C3A">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2002.03.07</w:t>
            </w:r>
          </w:p>
        </w:tc>
      </w:tr>
      <w:tr w14:paraId="70CCA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0D85D878">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C159-1983年《残疾人职业康复和就业公约》（第159号）</w:t>
            </w:r>
          </w:p>
        </w:tc>
        <w:tc>
          <w:tcPr>
            <w:tcW w:w="1725" w:type="dxa"/>
            <w:shd w:val="clear" w:color="auto" w:fill="auto"/>
          </w:tcPr>
          <w:p w14:paraId="79E0A953">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1988.02.02</w:t>
            </w:r>
          </w:p>
        </w:tc>
      </w:tr>
      <w:tr w14:paraId="0E27C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2589BD7A">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C167-1988年《建筑安全与健康公约》（第167号）</w:t>
            </w:r>
          </w:p>
        </w:tc>
        <w:tc>
          <w:tcPr>
            <w:tcW w:w="1725" w:type="dxa"/>
            <w:shd w:val="clear" w:color="auto" w:fill="auto"/>
          </w:tcPr>
          <w:p w14:paraId="4ACB646A">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2002.03.07</w:t>
            </w:r>
          </w:p>
        </w:tc>
      </w:tr>
      <w:tr w14:paraId="495C3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32BDF7C9">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C170-1990年《化学品公约》（第170号）</w:t>
            </w:r>
          </w:p>
        </w:tc>
        <w:tc>
          <w:tcPr>
            <w:tcW w:w="1725" w:type="dxa"/>
            <w:shd w:val="clear" w:color="auto" w:fill="auto"/>
          </w:tcPr>
          <w:p w14:paraId="34FEF592">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1995.01.11</w:t>
            </w:r>
          </w:p>
        </w:tc>
      </w:tr>
      <w:tr w14:paraId="57FEF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5" w:type="dxa"/>
            <w:shd w:val="clear" w:color="auto" w:fill="auto"/>
          </w:tcPr>
          <w:p w14:paraId="75519129">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"https://www.ilo.org/dyn/normlex/en/f?p=NORMLEXPUB:91:0::NO:91:P91_INSTRUMENT_ID:312331:NO"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sz w:val="20"/>
                <w:szCs w:val="20"/>
                <w:highlight w:val="none"/>
              </w:rPr>
              <w:t>2006年海事劳动者公约-2006年海事劳动者公约（MLC，2006）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color w:val="auto"/>
                <w:sz w:val="20"/>
                <w:szCs w:val="20"/>
                <w:highlight w:val="none"/>
              </w:rPr>
              <w:t>根据标准A4.5（2）和（10），政府指定了以下社会保障部门：医疗；失业补助；养老金；工伤津贴和生育津贴。</w:t>
            </w:r>
          </w:p>
        </w:tc>
        <w:tc>
          <w:tcPr>
            <w:tcW w:w="1725" w:type="dxa"/>
            <w:shd w:val="clear" w:color="auto" w:fill="auto"/>
          </w:tcPr>
          <w:p w14:paraId="037C7768">
            <w:pPr>
              <w:widowControl w:val="0"/>
              <w:snapToGrid w:val="0"/>
              <w:spacing w:before="12" w:after="12" w:line="30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2015.12.12, 2016年和2018年修订</w:t>
            </w:r>
          </w:p>
        </w:tc>
      </w:tr>
    </w:tbl>
    <w:p w14:paraId="79EC482C">
      <w:pPr>
        <w:widowControl w:val="0"/>
        <w:snapToGrid w:val="0"/>
        <w:spacing w:before="12" w:after="12" w:line="300" w:lineRule="auto"/>
        <w:jc w:val="both"/>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bCs/>
          <w:color w:val="auto"/>
          <w:sz w:val="18"/>
          <w:szCs w:val="18"/>
          <w:highlight w:val="none"/>
        </w:rPr>
        <w:t>数据来源:</w:t>
      </w:r>
      <w:r>
        <w:rPr>
          <w:rFonts w:hint="default" w:ascii="Times New Roman" w:hAnsi="Times New Roman" w:eastAsia="宋体" w:cs="Times New Roman"/>
          <w:color w:val="auto"/>
          <w:sz w:val="18"/>
          <w:szCs w:val="18"/>
          <w:highlight w:val="none"/>
        </w:rPr>
        <w:t xml:space="preserve"> 国际劳工组织官方网站，2022年8月</w:t>
      </w:r>
    </w:p>
    <w:p w14:paraId="439E8DC2">
      <w:pPr>
        <w:rPr>
          <w:rFonts w:hint="default" w:ascii="Times New Roman" w:hAnsi="Times New Roman" w:eastAsia="宋体" w:cs="Times New Roman"/>
          <w:color w:val="auto"/>
          <w:highlight w:val="none"/>
        </w:rPr>
      </w:pPr>
    </w:p>
    <w:p w14:paraId="490A6583">
      <w:pPr>
        <w:rPr>
          <w:rFonts w:hint="default" w:ascii="Times New Roman" w:hAnsi="Times New Roman" w:eastAsia="宋体" w:cs="Times New Roman"/>
          <w:b/>
          <w:bCs/>
          <w:color w:val="auto"/>
          <w:highlight w:val="none"/>
        </w:rPr>
      </w:pPr>
      <w:bookmarkStart w:id="499" w:name="_Toc3364"/>
      <w:bookmarkStart w:id="500" w:name="_Toc8500"/>
      <w:bookmarkStart w:id="501" w:name="_Toc113175785"/>
      <w:bookmarkStart w:id="502" w:name="_Toc20717"/>
      <w:bookmarkStart w:id="503" w:name="_Toc113122941"/>
      <w:bookmarkStart w:id="504" w:name="_Toc12698"/>
      <w:r>
        <w:rPr>
          <w:rFonts w:hint="default" w:ascii="Times New Roman" w:hAnsi="Times New Roman" w:eastAsia="宋体" w:cs="Times New Roman"/>
          <w:b/>
          <w:bCs/>
          <w:color w:val="auto"/>
          <w:highlight w:val="none"/>
        </w:rPr>
        <w:t>3.2职业健康和安全</w:t>
      </w:r>
      <w:bookmarkEnd w:id="499"/>
      <w:bookmarkEnd w:id="500"/>
      <w:bookmarkEnd w:id="501"/>
      <w:bookmarkEnd w:id="502"/>
      <w:bookmarkEnd w:id="503"/>
      <w:bookmarkEnd w:id="504"/>
    </w:p>
    <w:p w14:paraId="073C82E2">
      <w:pPr>
        <w:adjustRightInd w:val="0"/>
        <w:snapToGrid w:val="0"/>
        <w:spacing w:after="120" w:afterLines="50" w:line="276" w:lineRule="auto"/>
        <w:ind w:firstLine="480" w:firstLineChars="200"/>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kern w:val="2"/>
          <w:highlight w:val="none"/>
        </w:rPr>
        <w:t>据不完全统计，中国有100多条职业安全和疾病防治技术规范和标准。这些技术规范和标准是根据行业最佳做法制定的，或者是根据行业最佳做法更新的，比如世卫组织、欧盟或美国的相关技术法规/规范以及国际劳动者公约的要求。这些技术规格和标准必须适用于设施的设计和运行。中国和陕西省的法律法规对保护劳动者职业健康与安全进行了规定，见表9。</w:t>
      </w:r>
    </w:p>
    <w:p w14:paraId="3A80A2C4">
      <w:pPr>
        <w:pStyle w:val="13"/>
        <w:spacing w:after="12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表 </w:t>
      </w:r>
      <w:bookmarkStart w:id="505" w:name="_Toc2596"/>
      <w:bookmarkStart w:id="506" w:name="_Toc22662"/>
      <w:bookmarkStart w:id="507" w:name="_Toc9058"/>
      <w:bookmarkStart w:id="508" w:name="_Toc29576"/>
      <w:r>
        <w:rPr>
          <w:rFonts w:hint="default" w:ascii="Times New Roman" w:hAnsi="Times New Roman" w:eastAsia="宋体" w:cs="Times New Roman"/>
          <w:color w:val="auto"/>
          <w:highlight w:val="none"/>
        </w:rPr>
        <w:t>5 关于劳动者职业健康与安全的适用法律法规</w:t>
      </w:r>
      <w:bookmarkEnd w:id="505"/>
      <w:bookmarkEnd w:id="506"/>
      <w:bookmarkEnd w:id="507"/>
      <w:bookmarkEnd w:id="508"/>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5025"/>
        <w:gridCol w:w="2384"/>
      </w:tblGrid>
      <w:tr w14:paraId="79463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53" w:type="pct"/>
            <w:shd w:val="clear" w:color="auto" w:fill="E7E6E6" w:themeFill="background2"/>
            <w:vAlign w:val="center"/>
          </w:tcPr>
          <w:p w14:paraId="72D5D9E6">
            <w:pPr>
              <w:snapToGrid w:val="0"/>
              <w:spacing w:before="12" w:after="12" w:line="300" w:lineRule="auto"/>
              <w:jc w:val="center"/>
              <w:rPr>
                <w:rFonts w:hint="default" w:ascii="Times New Roman" w:hAnsi="Times New Roman" w:eastAsia="宋体" w:cs="Times New Roman"/>
                <w:b/>
                <w:color w:val="auto"/>
                <w:sz w:val="20"/>
                <w:szCs w:val="20"/>
                <w:highlight w:val="none"/>
              </w:rPr>
            </w:pPr>
            <w:r>
              <w:rPr>
                <w:rFonts w:hint="default" w:ascii="Times New Roman" w:hAnsi="Times New Roman" w:eastAsia="宋体" w:cs="Times New Roman"/>
                <w:b/>
                <w:color w:val="auto"/>
                <w:sz w:val="20"/>
                <w:szCs w:val="20"/>
                <w:highlight w:val="none"/>
              </w:rPr>
              <w:t>序号</w:t>
            </w:r>
          </w:p>
        </w:tc>
        <w:tc>
          <w:tcPr>
            <w:tcW w:w="2948" w:type="pct"/>
            <w:shd w:val="clear" w:color="auto" w:fill="E7E6E6" w:themeFill="background2"/>
            <w:vAlign w:val="center"/>
          </w:tcPr>
          <w:p w14:paraId="10E207D1">
            <w:pPr>
              <w:snapToGrid w:val="0"/>
              <w:spacing w:before="12" w:after="12" w:line="300" w:lineRule="auto"/>
              <w:jc w:val="center"/>
              <w:rPr>
                <w:rFonts w:hint="default" w:ascii="Times New Roman" w:hAnsi="Times New Roman" w:eastAsia="宋体" w:cs="Times New Roman"/>
                <w:b/>
                <w:color w:val="auto"/>
                <w:sz w:val="20"/>
                <w:szCs w:val="20"/>
                <w:highlight w:val="none"/>
              </w:rPr>
            </w:pPr>
            <w:r>
              <w:rPr>
                <w:rFonts w:hint="default" w:ascii="Times New Roman" w:hAnsi="Times New Roman" w:eastAsia="宋体" w:cs="Times New Roman"/>
                <w:b/>
                <w:color w:val="auto"/>
                <w:sz w:val="20"/>
                <w:szCs w:val="20"/>
                <w:highlight w:val="none"/>
              </w:rPr>
              <w:t>法律法规名称</w:t>
            </w:r>
          </w:p>
        </w:tc>
        <w:tc>
          <w:tcPr>
            <w:tcW w:w="1399" w:type="pct"/>
            <w:shd w:val="clear" w:color="auto" w:fill="E7E6E6" w:themeFill="background2"/>
            <w:vAlign w:val="center"/>
          </w:tcPr>
          <w:p w14:paraId="03DB7BF7">
            <w:pPr>
              <w:snapToGrid w:val="0"/>
              <w:spacing w:before="12" w:after="12" w:line="300" w:lineRule="auto"/>
              <w:jc w:val="center"/>
              <w:rPr>
                <w:rFonts w:hint="default" w:ascii="Times New Roman" w:hAnsi="Times New Roman" w:eastAsia="宋体" w:cs="Times New Roman"/>
                <w:b/>
                <w:color w:val="auto"/>
                <w:sz w:val="20"/>
                <w:szCs w:val="20"/>
                <w:highlight w:val="none"/>
              </w:rPr>
            </w:pPr>
            <w:r>
              <w:rPr>
                <w:rFonts w:hint="default" w:ascii="Times New Roman" w:hAnsi="Times New Roman" w:eastAsia="宋体" w:cs="Times New Roman"/>
                <w:b/>
                <w:color w:val="auto"/>
                <w:sz w:val="20"/>
                <w:szCs w:val="20"/>
                <w:highlight w:val="none"/>
              </w:rPr>
              <w:t>实施年份</w:t>
            </w:r>
          </w:p>
        </w:tc>
      </w:tr>
      <w:tr w14:paraId="7559B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Align w:val="center"/>
          </w:tcPr>
          <w:p w14:paraId="1D203F4E">
            <w:pPr>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w:t>
            </w:r>
          </w:p>
        </w:tc>
        <w:tc>
          <w:tcPr>
            <w:tcW w:w="2948" w:type="pct"/>
          </w:tcPr>
          <w:p w14:paraId="6F4AD55E">
            <w:pPr>
              <w:widowControl w:val="0"/>
              <w:snapToGrid w:val="0"/>
              <w:spacing w:before="12" w:after="12" w:line="300" w:lineRule="auto"/>
              <w:jc w:val="both"/>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shd w:val="clear" w:color="auto" w:fill="FFFFFF"/>
              </w:rPr>
              <w:t>《中华人民共和国安全生产法》</w:t>
            </w:r>
          </w:p>
        </w:tc>
        <w:tc>
          <w:tcPr>
            <w:tcW w:w="1399" w:type="pct"/>
            <w:vAlign w:val="center"/>
          </w:tcPr>
          <w:p w14:paraId="78C679ED">
            <w:pPr>
              <w:widowControl w:val="0"/>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shd w:val="clear" w:color="auto" w:fill="FFFFFF"/>
              </w:rPr>
              <w:t>2021年修订</w:t>
            </w:r>
          </w:p>
        </w:tc>
      </w:tr>
      <w:tr w14:paraId="1C97C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Align w:val="center"/>
          </w:tcPr>
          <w:p w14:paraId="69E69188">
            <w:pPr>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w:t>
            </w:r>
          </w:p>
        </w:tc>
        <w:tc>
          <w:tcPr>
            <w:tcW w:w="2948" w:type="pct"/>
          </w:tcPr>
          <w:p w14:paraId="425B9FED">
            <w:pPr>
              <w:snapToGrid w:val="0"/>
              <w:spacing w:before="12" w:after="12" w:line="300" w:lineRule="auto"/>
              <w:jc w:val="both"/>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《中华人民共和国职业病防治法》</w:t>
            </w:r>
          </w:p>
        </w:tc>
        <w:tc>
          <w:tcPr>
            <w:tcW w:w="1399" w:type="pct"/>
            <w:vAlign w:val="center"/>
          </w:tcPr>
          <w:p w14:paraId="2E114691">
            <w:pPr>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2018年修订</w:t>
            </w:r>
          </w:p>
        </w:tc>
      </w:tr>
      <w:tr w14:paraId="3603D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Align w:val="center"/>
          </w:tcPr>
          <w:p w14:paraId="585F1E62">
            <w:pPr>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3</w:t>
            </w:r>
          </w:p>
        </w:tc>
        <w:tc>
          <w:tcPr>
            <w:tcW w:w="2948" w:type="pct"/>
          </w:tcPr>
          <w:p w14:paraId="7A90B871">
            <w:pPr>
              <w:widowControl w:val="0"/>
              <w:jc w:val="both"/>
              <w:rPr>
                <w:rFonts w:hint="default" w:ascii="Times New Roman" w:hAnsi="Times New Roman" w:eastAsia="宋体" w:cs="Times New Roman"/>
                <w:color w:val="auto"/>
                <w:sz w:val="20"/>
                <w:szCs w:val="20"/>
                <w:highlight w:val="none"/>
                <w:shd w:val="clear" w:color="auto" w:fill="FFFFFF"/>
              </w:rPr>
            </w:pPr>
            <w:r>
              <w:rPr>
                <w:rFonts w:hint="default" w:ascii="Times New Roman" w:hAnsi="Times New Roman" w:eastAsia="宋体" w:cs="Times New Roman"/>
                <w:color w:val="auto"/>
                <w:sz w:val="20"/>
                <w:szCs w:val="20"/>
                <w:highlight w:val="none"/>
                <w:shd w:val="clear" w:color="auto" w:fill="FFFFFF"/>
              </w:rPr>
              <w:t>《使用有毒物质作业场所劳动保护条例》</w:t>
            </w:r>
          </w:p>
        </w:tc>
        <w:tc>
          <w:tcPr>
            <w:tcW w:w="1399" w:type="pct"/>
            <w:vAlign w:val="center"/>
          </w:tcPr>
          <w:p w14:paraId="0FB0904C">
            <w:pPr>
              <w:widowControl w:val="0"/>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shd w:val="clear" w:color="auto" w:fill="FFFFFF"/>
              </w:rPr>
              <w:t>2002年</w:t>
            </w:r>
          </w:p>
        </w:tc>
      </w:tr>
      <w:tr w14:paraId="2B5B8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Align w:val="center"/>
          </w:tcPr>
          <w:p w14:paraId="3F35FE9C">
            <w:pPr>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4</w:t>
            </w:r>
          </w:p>
        </w:tc>
        <w:tc>
          <w:tcPr>
            <w:tcW w:w="2948" w:type="pct"/>
          </w:tcPr>
          <w:p w14:paraId="0E696B18">
            <w:pPr>
              <w:snapToGrid w:val="0"/>
              <w:spacing w:before="12" w:after="12" w:line="300" w:lineRule="auto"/>
              <w:jc w:val="both"/>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《中华人民共和国突发事件应对法》</w:t>
            </w:r>
          </w:p>
        </w:tc>
        <w:tc>
          <w:tcPr>
            <w:tcW w:w="1399" w:type="pct"/>
            <w:vAlign w:val="center"/>
          </w:tcPr>
          <w:p w14:paraId="6B6F3660">
            <w:pPr>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2007年</w:t>
            </w:r>
          </w:p>
        </w:tc>
      </w:tr>
      <w:tr w14:paraId="3BD1E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Align w:val="center"/>
          </w:tcPr>
          <w:p w14:paraId="635F7F00">
            <w:pPr>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5</w:t>
            </w:r>
          </w:p>
        </w:tc>
        <w:tc>
          <w:tcPr>
            <w:tcW w:w="2948" w:type="pct"/>
          </w:tcPr>
          <w:p w14:paraId="0642E0C6">
            <w:pPr>
              <w:widowControl w:val="0"/>
              <w:jc w:val="both"/>
              <w:rPr>
                <w:rFonts w:hint="default" w:ascii="Times New Roman" w:hAnsi="Times New Roman" w:eastAsia="宋体" w:cs="Times New Roman"/>
                <w:color w:val="auto"/>
                <w:sz w:val="20"/>
                <w:szCs w:val="20"/>
                <w:highlight w:val="none"/>
                <w:shd w:val="clear" w:color="auto" w:fill="FFFFFF"/>
              </w:rPr>
            </w:pPr>
            <w:r>
              <w:rPr>
                <w:rFonts w:hint="default" w:ascii="Times New Roman" w:hAnsi="Times New Roman" w:eastAsia="宋体" w:cs="Times New Roman"/>
                <w:color w:val="auto"/>
                <w:sz w:val="20"/>
                <w:szCs w:val="20"/>
                <w:highlight w:val="none"/>
                <w:shd w:val="clear" w:color="auto" w:fill="FFFFFF"/>
              </w:rPr>
              <w:t>《用人单位职业健康监护监督管理办法》</w:t>
            </w:r>
          </w:p>
        </w:tc>
        <w:tc>
          <w:tcPr>
            <w:tcW w:w="1399" w:type="pct"/>
            <w:vAlign w:val="center"/>
          </w:tcPr>
          <w:p w14:paraId="0EC3B1DA">
            <w:pPr>
              <w:widowControl w:val="0"/>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shd w:val="clear" w:color="auto" w:fill="FFFFFF"/>
              </w:rPr>
              <w:t>2012年</w:t>
            </w:r>
          </w:p>
        </w:tc>
      </w:tr>
      <w:tr w14:paraId="375B1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Align w:val="center"/>
          </w:tcPr>
          <w:p w14:paraId="0FD2F27B">
            <w:pPr>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6</w:t>
            </w:r>
          </w:p>
        </w:tc>
        <w:tc>
          <w:tcPr>
            <w:tcW w:w="2948" w:type="pct"/>
          </w:tcPr>
          <w:p w14:paraId="606C9986">
            <w:pPr>
              <w:widowControl w:val="0"/>
              <w:snapToGrid w:val="0"/>
              <w:spacing w:before="12" w:after="12" w:line="300" w:lineRule="auto"/>
              <w:jc w:val="both"/>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《建设项目安全设施“三同时”监督管理办法》</w:t>
            </w:r>
          </w:p>
        </w:tc>
        <w:tc>
          <w:tcPr>
            <w:tcW w:w="1399" w:type="pct"/>
            <w:vAlign w:val="center"/>
          </w:tcPr>
          <w:p w14:paraId="563B4B09">
            <w:pPr>
              <w:widowControl w:val="0"/>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2015年修订</w:t>
            </w:r>
          </w:p>
        </w:tc>
      </w:tr>
      <w:tr w14:paraId="7FA4A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Align w:val="center"/>
          </w:tcPr>
          <w:p w14:paraId="0DD740CE">
            <w:pPr>
              <w:widowControl w:val="0"/>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7</w:t>
            </w:r>
          </w:p>
        </w:tc>
        <w:tc>
          <w:tcPr>
            <w:tcW w:w="2948" w:type="pct"/>
          </w:tcPr>
          <w:p w14:paraId="0E174839">
            <w:pPr>
              <w:widowControl w:val="0"/>
              <w:snapToGrid w:val="0"/>
              <w:spacing w:before="12" w:after="12" w:line="300" w:lineRule="auto"/>
              <w:jc w:val="both"/>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《建设项目职业病防护设施“三同时”监督管理办法》</w:t>
            </w:r>
          </w:p>
        </w:tc>
        <w:tc>
          <w:tcPr>
            <w:tcW w:w="1399" w:type="pct"/>
            <w:vAlign w:val="center"/>
          </w:tcPr>
          <w:p w14:paraId="494A27FD">
            <w:pPr>
              <w:widowControl w:val="0"/>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2017年</w:t>
            </w:r>
          </w:p>
        </w:tc>
      </w:tr>
      <w:tr w14:paraId="05175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Align w:val="center"/>
          </w:tcPr>
          <w:p w14:paraId="13D7576A">
            <w:pPr>
              <w:widowControl w:val="0"/>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8</w:t>
            </w:r>
          </w:p>
        </w:tc>
        <w:tc>
          <w:tcPr>
            <w:tcW w:w="2948" w:type="pct"/>
          </w:tcPr>
          <w:p w14:paraId="45BF0515">
            <w:pPr>
              <w:widowControl w:val="0"/>
              <w:snapToGrid w:val="0"/>
              <w:spacing w:before="12" w:after="12" w:line="300" w:lineRule="auto"/>
              <w:jc w:val="both"/>
              <w:rPr>
                <w:rFonts w:hint="default" w:ascii="Times New Roman" w:hAnsi="Times New Roman" w:eastAsia="宋体" w:cs="Times New Roman"/>
                <w:color w:val="auto"/>
                <w:sz w:val="20"/>
                <w:szCs w:val="20"/>
                <w:highlight w:val="none"/>
                <w:shd w:val="clear" w:color="auto" w:fill="FFFFFF"/>
              </w:rPr>
            </w:pPr>
            <w:r>
              <w:rPr>
                <w:rFonts w:hint="default" w:ascii="Times New Roman" w:hAnsi="Times New Roman" w:eastAsia="宋体" w:cs="Times New Roman"/>
                <w:color w:val="auto"/>
                <w:sz w:val="20"/>
                <w:szCs w:val="20"/>
                <w:highlight w:val="none"/>
                <w:shd w:val="clear" w:color="auto" w:fill="FFFFFF"/>
              </w:rPr>
              <w:t>《工作场所职业卫生管理规定》</w:t>
            </w:r>
          </w:p>
        </w:tc>
        <w:tc>
          <w:tcPr>
            <w:tcW w:w="1399" w:type="pct"/>
            <w:vAlign w:val="center"/>
          </w:tcPr>
          <w:p w14:paraId="7C7F85A5">
            <w:pPr>
              <w:widowControl w:val="0"/>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shd w:val="clear" w:color="auto" w:fill="FFFFFF"/>
              </w:rPr>
              <w:t>2021年</w:t>
            </w:r>
          </w:p>
        </w:tc>
      </w:tr>
      <w:tr w14:paraId="1B62D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Align w:val="center"/>
          </w:tcPr>
          <w:p w14:paraId="0E73B24F">
            <w:pPr>
              <w:widowControl w:val="0"/>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9</w:t>
            </w:r>
          </w:p>
        </w:tc>
        <w:tc>
          <w:tcPr>
            <w:tcW w:w="2948" w:type="pct"/>
          </w:tcPr>
          <w:p w14:paraId="3C8B6F04">
            <w:pPr>
              <w:widowControl w:val="0"/>
              <w:jc w:val="both"/>
              <w:rPr>
                <w:rFonts w:hint="default" w:ascii="Times New Roman" w:hAnsi="Times New Roman" w:eastAsia="宋体" w:cs="Times New Roman"/>
                <w:color w:val="auto"/>
                <w:sz w:val="20"/>
                <w:szCs w:val="20"/>
                <w:highlight w:val="none"/>
                <w:shd w:val="clear" w:color="auto" w:fill="FFFFFF"/>
              </w:rPr>
            </w:pPr>
            <w:r>
              <w:rPr>
                <w:rFonts w:hint="default" w:ascii="Times New Roman" w:hAnsi="Times New Roman" w:eastAsia="宋体" w:cs="Times New Roman"/>
                <w:color w:val="auto"/>
                <w:sz w:val="20"/>
                <w:szCs w:val="20"/>
                <w:highlight w:val="none"/>
                <w:shd w:val="clear" w:color="auto" w:fill="FFFFFF"/>
              </w:rPr>
              <w:t>《陕西省生产经营单位安全生产主体责任规定》</w:t>
            </w:r>
          </w:p>
        </w:tc>
        <w:tc>
          <w:tcPr>
            <w:tcW w:w="1399" w:type="pct"/>
            <w:vAlign w:val="center"/>
          </w:tcPr>
          <w:p w14:paraId="031285EC">
            <w:pPr>
              <w:widowControl w:val="0"/>
              <w:snapToGrid w:val="0"/>
              <w:spacing w:before="12" w:after="12" w:line="300" w:lineRule="auto"/>
              <w:jc w:val="center"/>
              <w:rPr>
                <w:rFonts w:hint="default" w:ascii="Times New Roman" w:hAnsi="Times New Roman" w:eastAsia="宋体" w:cs="Times New Roman"/>
                <w:color w:val="auto"/>
                <w:sz w:val="20"/>
                <w:szCs w:val="20"/>
                <w:highlight w:val="none"/>
                <w:shd w:val="clear" w:color="auto" w:fill="FFFFFF"/>
              </w:rPr>
            </w:pPr>
            <w:r>
              <w:rPr>
                <w:rFonts w:hint="default" w:ascii="Times New Roman" w:hAnsi="Times New Roman" w:eastAsia="宋体" w:cs="Times New Roman"/>
                <w:color w:val="auto"/>
                <w:sz w:val="20"/>
                <w:szCs w:val="20"/>
                <w:highlight w:val="none"/>
                <w:shd w:val="clear" w:color="auto" w:fill="FFFFFF"/>
              </w:rPr>
              <w:t>2012年</w:t>
            </w:r>
          </w:p>
        </w:tc>
      </w:tr>
      <w:tr w14:paraId="118F8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Align w:val="center"/>
          </w:tcPr>
          <w:p w14:paraId="55D6384B">
            <w:pPr>
              <w:widowControl w:val="0"/>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10</w:t>
            </w:r>
          </w:p>
        </w:tc>
        <w:tc>
          <w:tcPr>
            <w:tcW w:w="2948" w:type="pct"/>
          </w:tcPr>
          <w:p w14:paraId="022133BA">
            <w:pPr>
              <w:widowControl w:val="0"/>
              <w:jc w:val="both"/>
              <w:rPr>
                <w:rFonts w:hint="default" w:ascii="Times New Roman" w:hAnsi="Times New Roman" w:eastAsia="宋体" w:cs="Times New Roman"/>
                <w:color w:val="auto"/>
                <w:sz w:val="20"/>
                <w:szCs w:val="20"/>
                <w:highlight w:val="none"/>
                <w:shd w:val="clear" w:color="auto" w:fill="FFFFFF"/>
              </w:rPr>
            </w:pPr>
            <w:r>
              <w:rPr>
                <w:rFonts w:hint="default" w:ascii="Times New Roman" w:hAnsi="Times New Roman" w:eastAsia="宋体" w:cs="Times New Roman"/>
                <w:color w:val="auto"/>
                <w:sz w:val="20"/>
                <w:szCs w:val="20"/>
                <w:highlight w:val="none"/>
                <w:shd w:val="clear" w:color="auto" w:fill="FFFFFF"/>
              </w:rPr>
              <w:t>《陕西省突发事件总体应急预案》</w:t>
            </w:r>
          </w:p>
        </w:tc>
        <w:tc>
          <w:tcPr>
            <w:tcW w:w="1399" w:type="pct"/>
            <w:vAlign w:val="center"/>
          </w:tcPr>
          <w:p w14:paraId="0D488B9A">
            <w:pPr>
              <w:widowControl w:val="0"/>
              <w:snapToGrid w:val="0"/>
              <w:spacing w:before="12" w:after="12" w:line="300" w:lineRule="auto"/>
              <w:jc w:val="center"/>
              <w:rPr>
                <w:rFonts w:hint="default" w:ascii="Times New Roman" w:hAnsi="Times New Roman" w:eastAsia="宋体" w:cs="Times New Roman"/>
                <w:color w:val="auto"/>
                <w:sz w:val="20"/>
                <w:szCs w:val="20"/>
                <w:highlight w:val="none"/>
                <w:shd w:val="clear" w:color="auto" w:fill="FFFFFF"/>
              </w:rPr>
            </w:pPr>
            <w:r>
              <w:rPr>
                <w:rFonts w:hint="default" w:ascii="Times New Roman" w:hAnsi="Times New Roman" w:eastAsia="宋体" w:cs="Times New Roman"/>
                <w:color w:val="auto"/>
                <w:sz w:val="20"/>
                <w:szCs w:val="20"/>
                <w:highlight w:val="none"/>
                <w:shd w:val="clear" w:color="auto" w:fill="FFFFFF"/>
              </w:rPr>
              <w:t>2021年</w:t>
            </w:r>
          </w:p>
        </w:tc>
      </w:tr>
      <w:tr w14:paraId="28C16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Align w:val="center"/>
          </w:tcPr>
          <w:p w14:paraId="0F9E9DCC">
            <w:pPr>
              <w:widowControl w:val="0"/>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11</w:t>
            </w:r>
          </w:p>
        </w:tc>
        <w:tc>
          <w:tcPr>
            <w:tcW w:w="2948" w:type="pct"/>
          </w:tcPr>
          <w:p w14:paraId="1E30DE07">
            <w:pPr>
              <w:widowControl w:val="0"/>
              <w:jc w:val="both"/>
              <w:rPr>
                <w:rFonts w:hint="default" w:ascii="Times New Roman" w:hAnsi="Times New Roman" w:eastAsia="宋体" w:cs="Times New Roman"/>
                <w:color w:val="auto"/>
                <w:sz w:val="20"/>
                <w:szCs w:val="20"/>
                <w:highlight w:val="none"/>
                <w:shd w:val="clear" w:color="auto" w:fill="FFFFFF"/>
              </w:rPr>
            </w:pPr>
            <w:r>
              <w:rPr>
                <w:rFonts w:hint="default" w:ascii="Times New Roman" w:hAnsi="Times New Roman" w:eastAsia="宋体" w:cs="Times New Roman"/>
                <w:color w:val="auto"/>
                <w:sz w:val="20"/>
                <w:szCs w:val="20"/>
                <w:highlight w:val="none"/>
                <w:shd w:val="clear" w:color="auto" w:fill="FFFFFF"/>
              </w:rPr>
              <w:t>《陕西省特种设备事故应急预案》</w:t>
            </w:r>
          </w:p>
        </w:tc>
        <w:tc>
          <w:tcPr>
            <w:tcW w:w="1399" w:type="pct"/>
            <w:vAlign w:val="center"/>
          </w:tcPr>
          <w:p w14:paraId="3DBEE7DD">
            <w:pPr>
              <w:widowControl w:val="0"/>
              <w:snapToGrid w:val="0"/>
              <w:spacing w:before="12" w:after="12" w:line="300" w:lineRule="auto"/>
              <w:jc w:val="center"/>
              <w:rPr>
                <w:rFonts w:hint="default" w:ascii="Times New Roman" w:hAnsi="Times New Roman" w:eastAsia="宋体" w:cs="Times New Roman"/>
                <w:color w:val="auto"/>
                <w:sz w:val="20"/>
                <w:szCs w:val="20"/>
                <w:highlight w:val="none"/>
                <w:shd w:val="clear" w:color="auto" w:fill="FFFFFF"/>
              </w:rPr>
            </w:pPr>
            <w:r>
              <w:rPr>
                <w:rFonts w:hint="default" w:ascii="Times New Roman" w:hAnsi="Times New Roman" w:eastAsia="宋体" w:cs="Times New Roman"/>
                <w:color w:val="auto"/>
                <w:sz w:val="20"/>
                <w:szCs w:val="20"/>
                <w:highlight w:val="none"/>
                <w:shd w:val="clear" w:color="auto" w:fill="FFFFFF"/>
              </w:rPr>
              <w:t>2022年</w:t>
            </w:r>
          </w:p>
        </w:tc>
      </w:tr>
      <w:tr w14:paraId="2579D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Align w:val="center"/>
          </w:tcPr>
          <w:p w14:paraId="4F11061E">
            <w:pPr>
              <w:widowControl w:val="0"/>
              <w:snapToGrid w:val="0"/>
              <w:spacing w:before="12" w:after="12" w:line="30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12</w:t>
            </w:r>
          </w:p>
        </w:tc>
        <w:tc>
          <w:tcPr>
            <w:tcW w:w="2948" w:type="pct"/>
          </w:tcPr>
          <w:p w14:paraId="3A3833AD">
            <w:pPr>
              <w:widowControl w:val="0"/>
              <w:jc w:val="both"/>
              <w:rPr>
                <w:rFonts w:hint="default" w:ascii="Times New Roman" w:hAnsi="Times New Roman" w:eastAsia="宋体" w:cs="Times New Roman"/>
                <w:color w:val="auto"/>
                <w:sz w:val="20"/>
                <w:szCs w:val="20"/>
                <w:highlight w:val="none"/>
                <w:shd w:val="clear" w:color="auto" w:fill="FFFFFF"/>
              </w:rPr>
            </w:pPr>
            <w:r>
              <w:rPr>
                <w:rFonts w:hint="default" w:ascii="Times New Roman" w:hAnsi="Times New Roman" w:eastAsia="宋体" w:cs="Times New Roman"/>
                <w:color w:val="auto"/>
                <w:sz w:val="20"/>
                <w:szCs w:val="20"/>
                <w:highlight w:val="none"/>
                <w:shd w:val="clear" w:color="auto" w:fill="FFFFFF"/>
              </w:rPr>
              <w:t>《陕西省职业病防治规划（2021—2025年）》</w:t>
            </w:r>
          </w:p>
        </w:tc>
        <w:tc>
          <w:tcPr>
            <w:tcW w:w="1399" w:type="pct"/>
            <w:vAlign w:val="center"/>
          </w:tcPr>
          <w:p w14:paraId="232EBCFE">
            <w:pPr>
              <w:widowControl w:val="0"/>
              <w:snapToGrid w:val="0"/>
              <w:spacing w:before="12" w:after="12" w:line="300" w:lineRule="auto"/>
              <w:jc w:val="center"/>
              <w:rPr>
                <w:rFonts w:hint="default" w:ascii="Times New Roman" w:hAnsi="Times New Roman" w:eastAsia="宋体" w:cs="Times New Roman"/>
                <w:color w:val="auto"/>
                <w:sz w:val="20"/>
                <w:szCs w:val="20"/>
                <w:highlight w:val="none"/>
                <w:shd w:val="clear" w:color="auto" w:fill="FFFFFF"/>
              </w:rPr>
            </w:pPr>
            <w:r>
              <w:rPr>
                <w:rFonts w:hint="default" w:ascii="Times New Roman" w:hAnsi="Times New Roman" w:eastAsia="宋体" w:cs="Times New Roman"/>
                <w:color w:val="auto"/>
                <w:sz w:val="20"/>
                <w:szCs w:val="20"/>
                <w:highlight w:val="none"/>
                <w:shd w:val="clear" w:color="auto" w:fill="FFFFFF"/>
              </w:rPr>
              <w:t>2022年</w:t>
            </w:r>
          </w:p>
        </w:tc>
      </w:tr>
    </w:tbl>
    <w:p w14:paraId="5E1E138C">
      <w:pPr>
        <w:spacing w:before="12" w:after="12" w:line="300" w:lineRule="auto"/>
        <w:ind w:right="57"/>
        <w:jc w:val="both"/>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bCs/>
          <w:color w:val="auto"/>
          <w:sz w:val="18"/>
          <w:szCs w:val="18"/>
          <w:highlight w:val="none"/>
        </w:rPr>
        <w:t>资料来源:</w:t>
      </w:r>
      <w:r>
        <w:rPr>
          <w:rFonts w:hint="default" w:ascii="Times New Roman" w:hAnsi="Times New Roman" w:eastAsia="宋体" w:cs="Times New Roman"/>
          <w:color w:val="auto"/>
          <w:sz w:val="18"/>
          <w:szCs w:val="18"/>
          <w:highlight w:val="none"/>
        </w:rPr>
        <w:t xml:space="preserve"> 社会咨询机构的案头工作。</w:t>
      </w:r>
    </w:p>
    <w:p w14:paraId="77EC341F">
      <w:pPr>
        <w:adjustRightInd w:val="0"/>
        <w:snapToGrid w:val="0"/>
        <w:spacing w:after="120" w:afterLines="50" w:line="276"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2"/>
          <w:highlight w:val="none"/>
        </w:rPr>
        <w:t>根据以上相关法规</w:t>
      </w:r>
      <w:r>
        <w:rPr>
          <w:rFonts w:hint="default" w:ascii="Times New Roman" w:hAnsi="Times New Roman" w:eastAsia="宋体" w:cs="Times New Roman"/>
          <w:color w:val="auto"/>
          <w:highlight w:val="none"/>
        </w:rPr>
        <w:t>，中国有关职业健康和安全方面的主要要求有：</w:t>
      </w:r>
    </w:p>
    <w:p w14:paraId="1FCB2269">
      <w:pPr>
        <w:adjustRightInd w:val="0"/>
        <w:snapToGrid w:val="0"/>
        <w:spacing w:before="60" w:after="60" w:line="276" w:lineRule="auto"/>
        <w:ind w:firstLine="480" w:firstLineChars="200"/>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highlight w:val="none"/>
        </w:rPr>
        <w:t>1</w:t>
      </w:r>
      <w:r>
        <w:rPr>
          <w:rFonts w:hint="default" w:ascii="Times New Roman" w:hAnsi="Times New Roman" w:eastAsia="宋体" w:cs="Times New Roman"/>
          <w:color w:val="auto"/>
          <w:kern w:val="2"/>
          <w:highlight w:val="none"/>
        </w:rPr>
        <w:t>）用人单位必须建立、健全劳动安全卫生制度，严格执行国家劳动安全卫生规程和标准，对劳动者进行劳动安全卫生教育，防止劳动过程中的事故，减少职业危害。</w:t>
      </w:r>
    </w:p>
    <w:p w14:paraId="76B06516">
      <w:pPr>
        <w:adjustRightInd w:val="0"/>
        <w:snapToGrid w:val="0"/>
        <w:spacing w:before="60" w:after="60" w:line="276" w:lineRule="auto"/>
        <w:ind w:firstLine="480" w:firstLineChars="200"/>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kern w:val="2"/>
          <w:highlight w:val="none"/>
        </w:rPr>
        <w:t>2）劳动安全卫生设施必须符合国家规定的标准。新建、改建、扩建工程的劳动安全卫生设施必须与主体工程同时设计、同时施工、同时投入生产和使用</w:t>
      </w:r>
      <w:r>
        <w:rPr>
          <w:rFonts w:hint="default" w:ascii="Times New Roman" w:hAnsi="Times New Roman" w:eastAsia="宋体" w:cs="Times New Roman"/>
          <w:color w:val="auto"/>
          <w:kern w:val="2"/>
          <w:highlight w:val="none"/>
          <w:vertAlign w:val="superscript"/>
        </w:rPr>
        <w:footnoteReference w:id="9"/>
      </w:r>
      <w:r>
        <w:rPr>
          <w:rFonts w:hint="default" w:ascii="Times New Roman" w:hAnsi="Times New Roman" w:eastAsia="宋体" w:cs="Times New Roman"/>
          <w:color w:val="auto"/>
          <w:kern w:val="2"/>
          <w:highlight w:val="none"/>
        </w:rPr>
        <w:t>。</w:t>
      </w:r>
    </w:p>
    <w:p w14:paraId="19CD2354">
      <w:pPr>
        <w:adjustRightInd w:val="0"/>
        <w:snapToGrid w:val="0"/>
        <w:spacing w:before="60" w:after="60" w:line="276" w:lineRule="auto"/>
        <w:ind w:firstLine="480" w:firstLineChars="200"/>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kern w:val="2"/>
          <w:highlight w:val="none"/>
        </w:rPr>
        <w:t>3）用人单位必须为劳动者提供符合国家规定的劳动安全卫生条件和必要的劳动防护用品，对从事有职业危害作业的劳动者应当定期进行健康检查。</w:t>
      </w:r>
    </w:p>
    <w:p w14:paraId="70DFA849">
      <w:pPr>
        <w:adjustRightInd w:val="0"/>
        <w:snapToGrid w:val="0"/>
        <w:spacing w:before="60" w:after="60" w:line="276" w:lineRule="auto"/>
        <w:ind w:firstLine="480" w:firstLineChars="200"/>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kern w:val="2"/>
          <w:highlight w:val="none"/>
        </w:rPr>
        <w:t>4）从事特种作业的劳动者必须经过专门培训并取得特种作业资格。</w:t>
      </w:r>
    </w:p>
    <w:p w14:paraId="6D385B15">
      <w:pPr>
        <w:adjustRightInd w:val="0"/>
        <w:snapToGrid w:val="0"/>
        <w:spacing w:before="60" w:after="60" w:line="276" w:lineRule="auto"/>
        <w:ind w:firstLine="480" w:firstLineChars="200"/>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kern w:val="2"/>
          <w:highlight w:val="none"/>
        </w:rPr>
        <w:t>5）对劳动者提供必要的安全培训和劳动防护用品。</w:t>
      </w:r>
    </w:p>
    <w:p w14:paraId="5EA6A114">
      <w:pPr>
        <w:adjustRightInd w:val="0"/>
        <w:snapToGrid w:val="0"/>
        <w:spacing w:before="60" w:after="60" w:line="276" w:lineRule="auto"/>
        <w:ind w:firstLine="480" w:firstLineChars="200"/>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kern w:val="2"/>
          <w:highlight w:val="none"/>
        </w:rPr>
        <w:t>6）为劳动者提供岗前、在岗、离岗时职业健康体检。</w:t>
      </w:r>
    </w:p>
    <w:p w14:paraId="29A1A211">
      <w:pPr>
        <w:adjustRightInd w:val="0"/>
        <w:snapToGrid w:val="0"/>
        <w:spacing w:before="60" w:after="60" w:line="276" w:lineRule="auto"/>
        <w:ind w:firstLine="480" w:firstLineChars="200"/>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kern w:val="2"/>
          <w:highlight w:val="none"/>
        </w:rPr>
        <w:t>7）为劳动者购买工伤保险。</w:t>
      </w:r>
    </w:p>
    <w:p w14:paraId="19AD6313">
      <w:pPr>
        <w:adjustRightInd w:val="0"/>
        <w:snapToGrid w:val="0"/>
        <w:spacing w:before="60" w:after="60" w:line="276" w:lineRule="auto"/>
        <w:ind w:firstLine="480" w:firstLineChars="200"/>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kern w:val="2"/>
          <w:highlight w:val="none"/>
        </w:rPr>
        <w:t>8）劳动者在劳动过程中必须严格遵守安全操作规程。劳动者对用人单位管理人员违章指挥、强令冒险作业，有权拒绝执行；对危害生命安全和身体健康的行为，有权提出批评、检举和控告。</w:t>
      </w:r>
    </w:p>
    <w:p w14:paraId="496F49AD">
      <w:pPr>
        <w:adjustRightInd w:val="0"/>
        <w:snapToGrid w:val="0"/>
        <w:spacing w:before="60" w:after="60" w:line="276" w:lineRule="auto"/>
        <w:ind w:firstLine="480" w:firstLineChars="200"/>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kern w:val="2"/>
          <w:highlight w:val="none"/>
        </w:rPr>
        <w:t>9）国家建立伤亡事故和职业病统计报告和处理制度。县级以上各级人民政府劳动行政部门、有关部门和用人单位应当依法对劳动者在劳动过程中发生的伤亡事故和劳动者的职业病状况，进行统计、报告和处理。</w:t>
      </w:r>
    </w:p>
    <w:p w14:paraId="4B889656">
      <w:pPr>
        <w:pStyle w:val="2"/>
        <w:rPr>
          <w:rFonts w:hint="default" w:ascii="Times New Roman" w:hAnsi="Times New Roman" w:eastAsia="宋体" w:cs="Times New Roman"/>
          <w:color w:val="auto"/>
          <w:highlight w:val="none"/>
        </w:rPr>
      </w:pPr>
    </w:p>
    <w:p w14:paraId="482ADBE2">
      <w:pPr>
        <w:pStyle w:val="76"/>
        <w:numPr>
          <w:ilvl w:val="0"/>
          <w:numId w:val="40"/>
        </w:numPr>
        <w:spacing w:before="120" w:beforeLines="50" w:after="120" w:afterLines="50" w:line="276" w:lineRule="auto"/>
        <w:ind w:left="426"/>
        <w:rPr>
          <w:rFonts w:hint="default" w:ascii="Times New Roman" w:hAnsi="Times New Roman" w:eastAsia="宋体" w:cs="Times New Roman"/>
          <w:b/>
          <w:color w:val="auto"/>
          <w:highlight w:val="none"/>
          <w:lang w:bidi="en-US"/>
        </w:rPr>
      </w:pPr>
      <w:bookmarkStart w:id="509" w:name="_Toc18881"/>
      <w:r>
        <w:rPr>
          <w:rFonts w:hint="default" w:ascii="Times New Roman" w:hAnsi="Times New Roman" w:eastAsia="宋体" w:cs="Times New Roman"/>
          <w:b/>
          <w:color w:val="auto"/>
          <w:highlight w:val="none"/>
          <w:lang w:bidi="en-US"/>
        </w:rPr>
        <w:t>责任主体、职责及资源</w:t>
      </w:r>
      <w:bookmarkEnd w:id="509"/>
    </w:p>
    <w:p w14:paraId="046DCB9D">
      <w:pPr>
        <w:spacing w:before="120" w:beforeLines="50" w:after="120" w:afterLines="50" w:line="276"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针对项目办以及项目执行机构，需要明确各自在劳动者管理中的职责以及资源的安排。以下分析可供参考，未来根据实际情况进行动态调整。</w:t>
      </w:r>
    </w:p>
    <w:p w14:paraId="5F573D81">
      <w:pPr>
        <w:numPr>
          <w:ilvl w:val="1"/>
          <w:numId w:val="46"/>
        </w:numPr>
        <w:spacing w:after="120" w:afterLines="50" w:line="276" w:lineRule="auto"/>
        <w:ind w:left="1170" w:hanging="420"/>
        <w:rPr>
          <w:rFonts w:hint="default" w:ascii="Times New Roman" w:hAnsi="Times New Roman" w:eastAsia="宋体" w:cs="Times New Roman"/>
          <w:b/>
          <w:bCs/>
          <w:color w:val="auto"/>
          <w:highlight w:val="none"/>
        </w:rPr>
      </w:pPr>
      <w:bookmarkStart w:id="510" w:name="_Toc32564"/>
      <w:bookmarkStart w:id="511" w:name="_Hlk110865658"/>
      <w:r>
        <w:rPr>
          <w:rFonts w:hint="default" w:ascii="Times New Roman" w:hAnsi="Times New Roman" w:eastAsia="宋体" w:cs="Times New Roman"/>
          <w:b/>
          <w:bCs/>
          <w:color w:val="auto"/>
          <w:highlight w:val="none"/>
        </w:rPr>
        <w:t>汉滨区政府项目办</w:t>
      </w:r>
      <w:bookmarkEnd w:id="510"/>
    </w:p>
    <w:p w14:paraId="22710294">
      <w:pPr>
        <w:adjustRightInd w:val="0"/>
        <w:snapToGrid w:val="0"/>
        <w:spacing w:after="120" w:afterLines="50" w:line="276"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汉滨区政府项目办将负责整个项目的具体组织、协调、监督和指导等，包括协调项目办和执行机构对不同类型劳动者绩效进行管理，并向亚投行报告。汉滨区政府项目办在劳动者管理方面的主要职责包括：</w:t>
      </w:r>
    </w:p>
    <w:p w14:paraId="096FEE4A">
      <w:pPr>
        <w:pStyle w:val="76"/>
        <w:numPr>
          <w:ilvl w:val="0"/>
          <w:numId w:val="45"/>
        </w:numPr>
        <w:adjustRightInd w:val="0"/>
        <w:snapToGrid w:val="0"/>
        <w:spacing w:before="60" w:after="60" w:line="276" w:lineRule="auto"/>
        <w:ind w:left="816" w:hanging="25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项目实施过程中，定期组织相关项目办、执行机构、承包商、不同类型工人等就如何实施各劳动者管理程序中的行动和措施进行专题培训；</w:t>
      </w:r>
    </w:p>
    <w:p w14:paraId="02BAC747">
      <w:pPr>
        <w:pStyle w:val="76"/>
        <w:numPr>
          <w:ilvl w:val="0"/>
          <w:numId w:val="45"/>
        </w:numPr>
        <w:adjustRightInd w:val="0"/>
        <w:snapToGrid w:val="0"/>
        <w:spacing w:before="60" w:after="60" w:line="276" w:lineRule="auto"/>
        <w:ind w:left="816" w:hanging="25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针对项目建设运营阶段的承包商合同工人管理，对项目执行机构在招标采购过程中的劳动者管理要求并纳入相关协议提供指导。</w:t>
      </w:r>
    </w:p>
    <w:p w14:paraId="04B391A9">
      <w:pPr>
        <w:numPr>
          <w:ilvl w:val="1"/>
          <w:numId w:val="46"/>
        </w:numPr>
        <w:spacing w:after="120" w:afterLines="50" w:line="276" w:lineRule="auto"/>
        <w:ind w:left="1170" w:hanging="42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项目执行机构</w:t>
      </w:r>
    </w:p>
    <w:p w14:paraId="421BB0AF">
      <w:pPr>
        <w:adjustRightInd w:val="0"/>
        <w:snapToGrid w:val="0"/>
        <w:spacing w:after="120" w:afterLines="50" w:line="276"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根据现有的信息，项目执行机构设置在汉滨区五里工业集中区管委会，主要职责包括：</w:t>
      </w:r>
    </w:p>
    <w:p w14:paraId="12EC7699">
      <w:pPr>
        <w:pStyle w:val="76"/>
        <w:numPr>
          <w:ilvl w:val="0"/>
          <w:numId w:val="45"/>
        </w:numPr>
        <w:adjustRightInd w:val="0"/>
        <w:snapToGrid w:val="0"/>
        <w:spacing w:before="60" w:after="60" w:line="276" w:lineRule="auto"/>
        <w:ind w:left="816" w:hanging="25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至少安排环境专员和社会专员各1名，负责协调和监督项目的社会风险管理（包括劳动者管理），并协调安排相关人员和预算。</w:t>
      </w:r>
    </w:p>
    <w:p w14:paraId="13C81EE8">
      <w:pPr>
        <w:pStyle w:val="76"/>
        <w:numPr>
          <w:ilvl w:val="0"/>
          <w:numId w:val="45"/>
        </w:numPr>
        <w:adjustRightInd w:val="0"/>
        <w:snapToGrid w:val="0"/>
        <w:spacing w:before="60" w:after="60" w:line="276" w:lineRule="auto"/>
        <w:ind w:left="816" w:hanging="25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督促本区域各建设和运营执行机构落实劳动者管理程序和环境社会承诺计划中相关措施和行动。</w:t>
      </w:r>
    </w:p>
    <w:p w14:paraId="6E03B09B">
      <w:pPr>
        <w:pStyle w:val="76"/>
        <w:numPr>
          <w:ilvl w:val="0"/>
          <w:numId w:val="45"/>
        </w:numPr>
        <w:adjustRightInd w:val="0"/>
        <w:snapToGrid w:val="0"/>
        <w:spacing w:before="60" w:after="60" w:line="276" w:lineRule="auto"/>
        <w:ind w:left="816" w:hanging="25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在招标采购文件中落实针对承包商合同工人的劳动者管理要求并且纳入合同文本，并在合同中纳入相关的不合规项补救条款。</w:t>
      </w:r>
    </w:p>
    <w:p w14:paraId="0F15203A">
      <w:pPr>
        <w:pStyle w:val="76"/>
        <w:numPr>
          <w:ilvl w:val="0"/>
          <w:numId w:val="45"/>
        </w:numPr>
        <w:adjustRightInd w:val="0"/>
        <w:snapToGrid w:val="0"/>
        <w:spacing w:before="60" w:after="60" w:line="276" w:lineRule="auto"/>
        <w:ind w:left="816" w:hanging="25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要求项目执行机构对各自社会风险管理（含劳动者管理程序）实施情况进行监督，定期项目办报告。</w:t>
      </w:r>
    </w:p>
    <w:p w14:paraId="0A376680">
      <w:pPr>
        <w:pStyle w:val="76"/>
        <w:numPr>
          <w:ilvl w:val="0"/>
          <w:numId w:val="45"/>
        </w:numPr>
        <w:adjustRightInd w:val="0"/>
        <w:snapToGrid w:val="0"/>
        <w:spacing w:before="60" w:after="60" w:line="276" w:lineRule="auto"/>
        <w:ind w:left="816" w:hanging="25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聘请社会外部顾问开展社会外部监测，包括对劳动者程序和环境社会管理计划中相关措施和行动的实施效果进行监测。</w:t>
      </w:r>
    </w:p>
    <w:p w14:paraId="32434CB3">
      <w:pPr>
        <w:pStyle w:val="76"/>
        <w:numPr>
          <w:ilvl w:val="0"/>
          <w:numId w:val="45"/>
        </w:numPr>
        <w:adjustRightInd w:val="0"/>
        <w:snapToGrid w:val="0"/>
        <w:spacing w:before="60" w:after="60" w:line="276" w:lineRule="auto"/>
        <w:ind w:left="816" w:hanging="25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协助社会外部监测对各子项目的社会风险管理实施情况（包括劳动者管理绩效）进行外部监测，并向项目办报告。</w:t>
      </w:r>
    </w:p>
    <w:p w14:paraId="3A4374E3">
      <w:pPr>
        <w:adjustRightInd w:val="0"/>
        <w:snapToGrid w:val="0"/>
        <w:spacing w:after="120" w:afterLines="50" w:line="276"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执行机构将在项目建设启动前设立/指定具体的部门来负责项目建设和运营过程中的劳动者管理，包括劳动者雇佣条款与条件（劳动合同、劳动报酬、加班补贴、工作时间安排等）、职业健康安全、承包商合同工人管理、申诉处理等。相应的责任部门和专员明确后统一报告给各项目办，并公示。同时，应预留充足的预算用于劳动者风险管理。</w:t>
      </w:r>
    </w:p>
    <w:bookmarkEnd w:id="511"/>
    <w:p w14:paraId="105A6D48">
      <w:pPr>
        <w:pStyle w:val="76"/>
        <w:numPr>
          <w:ilvl w:val="0"/>
          <w:numId w:val="40"/>
        </w:numPr>
        <w:spacing w:before="120" w:beforeLines="50" w:after="120" w:afterLines="50" w:line="276" w:lineRule="auto"/>
        <w:ind w:left="426"/>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lang w:bidi="en-US"/>
        </w:rPr>
        <w:t>执行机构的劳动者政策与程序</w:t>
      </w:r>
    </w:p>
    <w:p w14:paraId="50E72108">
      <w:pPr>
        <w:adjustRightInd w:val="0"/>
        <w:snapToGrid w:val="0"/>
        <w:spacing w:after="120" w:afterLines="50" w:line="276"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社评的发现，对执行机构在劳动者雇佣条款与工作条件、职业健康安全、申诉处理等方面已建立的制度和程序进行评估，并重点说明需要完善和加强的制度和程序。执行机构需在项目生效后、相关子项目建设启动前完善相关的制度和程序。</w:t>
      </w:r>
    </w:p>
    <w:p w14:paraId="2BF82155">
      <w:pPr>
        <w:adjustRightInd w:val="0"/>
        <w:snapToGrid w:val="0"/>
        <w:spacing w:before="50" w:after="120" w:afterLines="50" w:line="276"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按照中国相关法规和亚投行ESF的要求，基于尽调的发现，项目执行机构应需建立和完善如下有关劳动者管理的制度和程序，设立相关的管理职位，指定专门人员负责实施：</w:t>
      </w:r>
    </w:p>
    <w:p w14:paraId="7AB00EB6">
      <w:pPr>
        <w:pStyle w:val="76"/>
        <w:numPr>
          <w:ilvl w:val="0"/>
          <w:numId w:val="45"/>
        </w:numPr>
        <w:adjustRightInd w:val="0"/>
        <w:snapToGrid w:val="0"/>
        <w:spacing w:before="60" w:after="60" w:line="276" w:lineRule="auto"/>
        <w:ind w:left="816" w:hanging="25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u w:val="single"/>
        </w:rPr>
        <w:t>完善劳动者雇佣和工作条件方面的管理制度和程序：</w:t>
      </w:r>
      <w:r>
        <w:rPr>
          <w:rFonts w:hint="default" w:ascii="Times New Roman" w:hAnsi="Times New Roman" w:eastAsia="宋体" w:cs="Times New Roman"/>
          <w:color w:val="auto"/>
          <w:highlight w:val="none"/>
        </w:rPr>
        <w:t>按照中国劳动法、劳动合同法以及亚投行ESF的相关要求，完善劳动合同，尤其是临时工，确保签订劳务协议及劳动报酬不低于当地最低工资水平。</w:t>
      </w:r>
    </w:p>
    <w:p w14:paraId="59A41FD1">
      <w:pPr>
        <w:pStyle w:val="76"/>
        <w:numPr>
          <w:ilvl w:val="0"/>
          <w:numId w:val="45"/>
        </w:numPr>
        <w:adjustRightInd w:val="0"/>
        <w:snapToGrid w:val="0"/>
        <w:spacing w:before="60" w:after="60" w:line="276" w:lineRule="auto"/>
        <w:ind w:left="816" w:hanging="25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u w:val="single"/>
        </w:rPr>
        <w:t>完善职业健康安全方面的管理制度和程序：</w:t>
      </w:r>
      <w:r>
        <w:rPr>
          <w:rFonts w:hint="default" w:ascii="Times New Roman" w:hAnsi="Times New Roman" w:eastAsia="宋体" w:cs="Times New Roman"/>
          <w:color w:val="auto"/>
          <w:highlight w:val="none"/>
        </w:rPr>
        <w:t>根据国家有关规定，加强工作场所的职业健康安全管理，包括告知工人场地内职业病危害因素，定期开展员工职业健康安全（包括传染病防控）等方面的培训、提供必要的PPE等。</w:t>
      </w:r>
    </w:p>
    <w:p w14:paraId="2D411045">
      <w:pPr>
        <w:pStyle w:val="76"/>
        <w:numPr>
          <w:ilvl w:val="0"/>
          <w:numId w:val="45"/>
        </w:numPr>
        <w:adjustRightInd w:val="0"/>
        <w:snapToGrid w:val="0"/>
        <w:spacing w:before="60" w:after="60" w:line="276" w:lineRule="auto"/>
        <w:ind w:left="816" w:hanging="25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u w:val="single"/>
        </w:rPr>
        <w:t>建立管理承包商劳动者管理绩效的制度和程序</w:t>
      </w:r>
      <w:r>
        <w:rPr>
          <w:rFonts w:hint="default" w:ascii="Times New Roman" w:hAnsi="Times New Roman" w:eastAsia="宋体" w:cs="Times New Roman"/>
          <w:color w:val="auto"/>
          <w:highlight w:val="none"/>
        </w:rPr>
        <w:t>：按照中国劳动法和亚投行ESF的相关要求，通过招标文件的相应要求以及合同条款的约定，通过完善现有人事制度或指定专门的制度加强承包商的劳动者管理。</w:t>
      </w:r>
    </w:p>
    <w:p w14:paraId="46A40411">
      <w:pPr>
        <w:pStyle w:val="76"/>
        <w:numPr>
          <w:ilvl w:val="0"/>
          <w:numId w:val="45"/>
        </w:numPr>
        <w:adjustRightInd w:val="0"/>
        <w:snapToGrid w:val="0"/>
        <w:spacing w:before="60" w:after="60" w:line="276" w:lineRule="auto"/>
        <w:ind w:left="816" w:hanging="25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u w:val="single"/>
        </w:rPr>
        <w:t>建立主要供应商劳动者管理程序</w:t>
      </w:r>
      <w:r>
        <w:rPr>
          <w:rFonts w:hint="default" w:ascii="Times New Roman" w:hAnsi="Times New Roman" w:eastAsia="宋体" w:cs="Times New Roman"/>
          <w:color w:val="auto"/>
          <w:highlight w:val="none"/>
        </w:rPr>
        <w:t>，主要供应商在招投标时应提供货物生产厂家关于劳动者及工作条件的尽职调查报告，项目执行机构对报告进行审查，并提交亚投行审查；</w:t>
      </w:r>
    </w:p>
    <w:p w14:paraId="4889086E">
      <w:pPr>
        <w:pStyle w:val="76"/>
        <w:numPr>
          <w:ilvl w:val="0"/>
          <w:numId w:val="45"/>
        </w:numPr>
        <w:adjustRightInd w:val="0"/>
        <w:snapToGrid w:val="0"/>
        <w:spacing w:before="60" w:after="60" w:line="276" w:lineRule="auto"/>
        <w:ind w:left="816" w:hanging="25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u w:val="single"/>
        </w:rPr>
        <w:t>完善各类劳动者的申诉处理机制</w:t>
      </w:r>
      <w:r>
        <w:rPr>
          <w:rFonts w:hint="default" w:ascii="Times New Roman" w:hAnsi="Times New Roman" w:eastAsia="宋体" w:cs="Times New Roman"/>
          <w:color w:val="auto"/>
          <w:highlight w:val="none"/>
        </w:rPr>
        <w:t>：按照亚投行ESF的要求，完善项目各类劳动者的申诉机制，确保申诉机制包括多种渠道、书面记录、公开程序、透明性以及无法解决时的上诉程序等要素；</w:t>
      </w:r>
    </w:p>
    <w:p w14:paraId="7C4B53F6">
      <w:pPr>
        <w:pStyle w:val="76"/>
        <w:numPr>
          <w:ilvl w:val="0"/>
          <w:numId w:val="45"/>
        </w:numPr>
        <w:adjustRightInd w:val="0"/>
        <w:snapToGrid w:val="0"/>
        <w:spacing w:before="60" w:after="60" w:line="276" w:lineRule="auto"/>
        <w:ind w:left="816" w:hanging="25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u w:val="single"/>
        </w:rPr>
        <w:t>建立劳动者管理绩效的监测与上报程序</w:t>
      </w:r>
      <w:r>
        <w:rPr>
          <w:rFonts w:hint="default" w:ascii="Times New Roman" w:hAnsi="Times New Roman" w:eastAsia="宋体" w:cs="Times New Roman"/>
          <w:color w:val="auto"/>
          <w:highlight w:val="none"/>
        </w:rPr>
        <w:t>：监测承包商的劳动者管理绩效（包括申诉处理情况），汇总后定期向项目办及项目执行机构汇报。</w:t>
      </w:r>
    </w:p>
    <w:p w14:paraId="6B48DED3">
      <w:pPr>
        <w:pStyle w:val="76"/>
        <w:numPr>
          <w:ilvl w:val="0"/>
          <w:numId w:val="40"/>
        </w:numPr>
        <w:spacing w:before="120" w:beforeLines="50" w:after="120" w:afterLines="50" w:line="276" w:lineRule="auto"/>
        <w:ind w:left="426"/>
        <w:rPr>
          <w:rFonts w:hint="default" w:ascii="Times New Roman" w:hAnsi="Times New Roman" w:eastAsia="宋体" w:cs="Times New Roman"/>
          <w:b/>
          <w:color w:val="auto"/>
          <w:highlight w:val="none"/>
        </w:rPr>
      </w:pPr>
      <w:bookmarkStart w:id="512" w:name="_Toc19929"/>
      <w:r>
        <w:rPr>
          <w:rFonts w:hint="default" w:ascii="Times New Roman" w:hAnsi="Times New Roman" w:eastAsia="宋体" w:cs="Times New Roman"/>
          <w:b/>
          <w:color w:val="auto"/>
          <w:highlight w:val="none"/>
        </w:rPr>
        <w:t>雇用年龄</w:t>
      </w:r>
      <w:bookmarkEnd w:id="512"/>
    </w:p>
    <w:p w14:paraId="351AF74F">
      <w:pPr>
        <w:spacing w:before="120" w:beforeLines="50" w:after="120" w:afterLines="50" w:line="276" w:lineRule="auto"/>
        <w:ind w:left="14" w:right="58" w:firstLine="42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bidi="en-US"/>
        </w:rPr>
        <w:t>中国《劳动法》（2018年）将最低工作年龄定为16岁，这比《环境与社会标准2》（14岁）</w:t>
      </w:r>
      <w:r>
        <w:rPr>
          <w:rFonts w:hint="default" w:ascii="Times New Roman" w:hAnsi="Times New Roman" w:eastAsia="宋体" w:cs="Times New Roman"/>
          <w:color w:val="auto"/>
          <w:highlight w:val="none"/>
        </w:rPr>
        <w:t>的要求更为严格</w:t>
      </w:r>
      <w:r>
        <w:rPr>
          <w:rFonts w:hint="default" w:ascii="Times New Roman" w:hAnsi="Times New Roman" w:eastAsia="宋体" w:cs="Times New Roman"/>
          <w:color w:val="auto"/>
          <w:highlight w:val="none"/>
          <w:lang w:bidi="en-US"/>
        </w:rPr>
        <w:t>。</w:t>
      </w:r>
    </w:p>
    <w:p w14:paraId="5DC6BA2E">
      <w:pPr>
        <w:spacing w:before="120" w:beforeLines="50" w:after="120" w:afterLines="50" w:line="276" w:lineRule="auto"/>
        <w:ind w:left="14" w:right="58" w:firstLine="42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bidi="en-US"/>
        </w:rPr>
        <w:t>中国《劳动法》（2018年）和《未成年工特别保护条例》（1994年）都对未成年工（16至18岁）做出了具体的保护。禁止未成年工在不健康、有害或有毒的环境中，夜间使用危险的机械、设备或工具，或参与搬运或运输重物等危险岗位工作。</w:t>
      </w:r>
    </w:p>
    <w:p w14:paraId="2609E36F">
      <w:pPr>
        <w:snapToGrid w:val="0"/>
        <w:spacing w:before="120" w:beforeLines="50" w:after="120" w:afterLines="50" w:line="276" w:lineRule="auto"/>
        <w:ind w:firstLine="480" w:firstLineChars="200"/>
        <w:rPr>
          <w:rFonts w:hint="default" w:ascii="Times New Roman" w:hAnsi="Times New Roman" w:eastAsia="宋体" w:cs="Times New Roman"/>
          <w:color w:val="auto"/>
          <w:highlight w:val="none"/>
          <w:lang w:bidi="en-US"/>
        </w:rPr>
      </w:pPr>
      <w:r>
        <w:rPr>
          <w:rFonts w:hint="default" w:ascii="Times New Roman" w:hAnsi="Times New Roman" w:eastAsia="宋体" w:cs="Times New Roman"/>
          <w:color w:val="auto"/>
          <w:highlight w:val="none"/>
          <w:lang w:bidi="en-US"/>
        </w:rPr>
        <w:t>项目办／项目执行机构及其承包商和主要供应商需核实所有工人的身份和年龄，</w:t>
      </w:r>
      <w:r>
        <w:rPr>
          <w:rFonts w:hint="default" w:ascii="Times New Roman" w:hAnsi="Times New Roman" w:eastAsia="宋体" w:cs="Times New Roman"/>
          <w:color w:val="auto"/>
          <w:highlight w:val="none"/>
        </w:rPr>
        <w:t>以确保子项目不会雇用或雇用童工</w:t>
      </w:r>
      <w:r>
        <w:rPr>
          <w:rFonts w:hint="default" w:ascii="Times New Roman" w:hAnsi="Times New Roman" w:eastAsia="宋体" w:cs="Times New Roman"/>
          <w:color w:val="auto"/>
          <w:highlight w:val="none"/>
          <w:lang w:bidi="en-US"/>
        </w:rPr>
        <w:t>。这将要求工人提供正式文件，包括出生证明或身份证。</w:t>
      </w:r>
    </w:p>
    <w:p w14:paraId="6AD0F4B3">
      <w:pPr>
        <w:snapToGrid w:val="0"/>
        <w:spacing w:before="120" w:beforeLines="50" w:after="120" w:afterLines="50" w:line="276" w:lineRule="auto"/>
        <w:ind w:firstLine="480" w:firstLineChars="200"/>
        <w:rPr>
          <w:rFonts w:hint="default" w:ascii="Times New Roman" w:hAnsi="Times New Roman" w:eastAsia="宋体" w:cs="Times New Roman"/>
          <w:color w:val="auto"/>
          <w:highlight w:val="none"/>
          <w:lang w:bidi="en-US"/>
        </w:rPr>
      </w:pPr>
      <w:r>
        <w:rPr>
          <w:rFonts w:hint="default" w:ascii="Times New Roman" w:hAnsi="Times New Roman" w:eastAsia="宋体" w:cs="Times New Roman"/>
          <w:color w:val="auto"/>
          <w:highlight w:val="none"/>
          <w:lang w:bidi="en-US"/>
        </w:rPr>
        <w:t>本项目应严格遵守禁止雇用童工（16岁以下）和任何形式的强迫劳动的规定。</w:t>
      </w:r>
      <w:r>
        <w:rPr>
          <w:rFonts w:hint="default" w:ascii="Times New Roman" w:hAnsi="Times New Roman" w:eastAsia="宋体" w:cs="Times New Roman"/>
          <w:color w:val="auto"/>
          <w:highlight w:val="none"/>
        </w:rPr>
        <w:t>如果发现有未满最低年龄的儿童在项目中工作</w:t>
      </w:r>
      <w:r>
        <w:rPr>
          <w:rFonts w:hint="default" w:ascii="Times New Roman" w:hAnsi="Times New Roman" w:eastAsia="宋体" w:cs="Times New Roman"/>
          <w:color w:val="auto"/>
          <w:highlight w:val="none"/>
          <w:lang w:bidi="en-US"/>
        </w:rPr>
        <w:t>，将采取措施以负责任的方式立即终止对该儿童的雇用或聘用，同时考虑到该儿童的最大利益。</w:t>
      </w:r>
    </w:p>
    <w:p w14:paraId="3382D2F0">
      <w:pPr>
        <w:snapToGrid w:val="0"/>
        <w:spacing w:before="120" w:beforeLines="50" w:after="120" w:afterLines="50" w:line="276" w:lineRule="auto"/>
        <w:ind w:firstLine="480" w:firstLineChars="200"/>
        <w:rPr>
          <w:rFonts w:hint="default" w:ascii="Times New Roman" w:hAnsi="Times New Roman" w:eastAsia="宋体" w:cs="Times New Roman"/>
          <w:color w:val="auto"/>
          <w:highlight w:val="none"/>
          <w:lang w:bidi="en-US"/>
        </w:rPr>
      </w:pPr>
      <w:r>
        <w:rPr>
          <w:rFonts w:hint="default" w:ascii="Times New Roman" w:hAnsi="Times New Roman" w:eastAsia="宋体" w:cs="Times New Roman"/>
          <w:color w:val="auto"/>
          <w:highlight w:val="none"/>
          <w:lang w:bidi="en-US"/>
        </w:rPr>
        <w:t>项目办／项目实施单位不得在法律规定和《环境与社会标准2》（第18-19条）禁止的任何特定条件下雇用或聘用未成年工（如有）。</w:t>
      </w:r>
      <w:r>
        <w:rPr>
          <w:rFonts w:hint="default" w:ascii="Times New Roman" w:hAnsi="Times New Roman" w:eastAsia="宋体" w:cs="Times New Roman"/>
          <w:color w:val="auto"/>
          <w:highlight w:val="none"/>
        </w:rPr>
        <w:t>所有未成年工必须在当地劳动和社会保障部门登记</w:t>
      </w:r>
      <w:r>
        <w:rPr>
          <w:rFonts w:hint="default" w:ascii="Times New Roman" w:hAnsi="Times New Roman" w:eastAsia="宋体" w:cs="Times New Roman"/>
          <w:color w:val="auto"/>
          <w:highlight w:val="none"/>
          <w:lang w:bidi="en-US"/>
        </w:rPr>
        <w:t>。未成年工入职前将进行健康检查，每半年定期进行一次，直至其年满18岁。</w:t>
      </w:r>
    </w:p>
    <w:p w14:paraId="5DF76D85">
      <w:pPr>
        <w:pStyle w:val="76"/>
        <w:numPr>
          <w:ilvl w:val="0"/>
          <w:numId w:val="40"/>
        </w:numPr>
        <w:spacing w:before="120" w:beforeLines="50" w:after="120" w:afterLines="50" w:line="276" w:lineRule="auto"/>
        <w:ind w:left="426"/>
        <w:rPr>
          <w:rFonts w:hint="default" w:ascii="Times New Roman" w:hAnsi="Times New Roman" w:eastAsia="宋体" w:cs="Times New Roman"/>
          <w:b/>
          <w:color w:val="auto"/>
          <w:highlight w:val="none"/>
        </w:rPr>
      </w:pPr>
      <w:bookmarkStart w:id="513" w:name="_Toc6799"/>
      <w:r>
        <w:rPr>
          <w:rFonts w:hint="default" w:ascii="Times New Roman" w:hAnsi="Times New Roman" w:eastAsia="宋体" w:cs="Times New Roman"/>
          <w:b/>
          <w:color w:val="auto"/>
          <w:highlight w:val="none"/>
        </w:rPr>
        <w:t>直接工人</w:t>
      </w:r>
      <w:bookmarkEnd w:id="513"/>
    </w:p>
    <w:p w14:paraId="3442BAC3">
      <w:pPr>
        <w:snapToGrid w:val="0"/>
        <w:spacing w:before="120" w:beforeLines="50" w:after="120" w:afterLines="50" w:line="276" w:lineRule="auto"/>
        <w:ind w:firstLine="480" w:firstLineChars="200"/>
        <w:rPr>
          <w:rFonts w:hint="default" w:ascii="Times New Roman" w:hAnsi="Times New Roman" w:eastAsia="宋体" w:cs="Times New Roman"/>
          <w:color w:val="auto"/>
          <w:highlight w:val="none"/>
          <w:lang w:bidi="en-US"/>
        </w:rPr>
      </w:pPr>
      <w:r>
        <w:rPr>
          <w:rFonts w:hint="default" w:ascii="Times New Roman" w:hAnsi="Times New Roman" w:eastAsia="宋体" w:cs="Times New Roman"/>
          <w:color w:val="auto"/>
          <w:highlight w:val="none"/>
          <w:lang w:bidi="en-US"/>
        </w:rPr>
        <w:t>针对直接工人，项目办和执行机构基本上建立并实施了相对完善的劳动者合同条款和条件的规定，其工作人员有较好的工作条件保障。</w:t>
      </w:r>
    </w:p>
    <w:p w14:paraId="76A99685">
      <w:pPr>
        <w:pStyle w:val="76"/>
        <w:numPr>
          <w:ilvl w:val="0"/>
          <w:numId w:val="40"/>
        </w:numPr>
        <w:spacing w:before="120" w:beforeLines="50" w:after="120" w:afterLines="50" w:line="276" w:lineRule="auto"/>
        <w:ind w:left="426"/>
        <w:rPr>
          <w:rFonts w:hint="default" w:ascii="Times New Roman" w:hAnsi="Times New Roman" w:eastAsia="宋体" w:cs="Times New Roman"/>
          <w:b/>
          <w:color w:val="auto"/>
          <w:highlight w:val="none"/>
        </w:rPr>
      </w:pPr>
      <w:bookmarkStart w:id="514" w:name="_Toc11569"/>
      <w:r>
        <w:rPr>
          <w:rFonts w:hint="default" w:ascii="Times New Roman" w:hAnsi="Times New Roman" w:eastAsia="宋体" w:cs="Times New Roman"/>
          <w:b/>
          <w:color w:val="auto"/>
          <w:highlight w:val="none"/>
        </w:rPr>
        <w:t>承包商管理</w:t>
      </w:r>
      <w:bookmarkEnd w:id="514"/>
    </w:p>
    <w:p w14:paraId="4473BE9F">
      <w:pPr>
        <w:snapToGrid w:val="0"/>
        <w:spacing w:before="120" w:beforeLines="50" w:after="120" w:afterLines="50" w:line="276" w:lineRule="auto"/>
        <w:ind w:firstLine="480" w:firstLineChars="200"/>
        <w:rPr>
          <w:rFonts w:hint="default" w:ascii="Times New Roman" w:hAnsi="Times New Roman" w:eastAsia="宋体" w:cs="Times New Roman"/>
          <w:color w:val="auto"/>
          <w:highlight w:val="none"/>
          <w:lang w:bidi="en-US"/>
        </w:rPr>
      </w:pPr>
      <w:r>
        <w:rPr>
          <w:rFonts w:hint="default" w:ascii="Times New Roman" w:hAnsi="Times New Roman" w:eastAsia="宋体" w:cs="Times New Roman"/>
          <w:color w:val="auto"/>
          <w:highlight w:val="none"/>
          <w:lang w:bidi="en-US"/>
        </w:rPr>
        <w:t>本节主要根据社评的发现，简要说明项目建设和运营期间可能涉及的承包商，并对承包商管理的要求进行说明。</w:t>
      </w:r>
    </w:p>
    <w:p w14:paraId="1362A55F">
      <w:pPr>
        <w:snapToGrid w:val="0"/>
        <w:spacing w:before="120" w:beforeLines="50" w:after="120" w:afterLines="50" w:line="276" w:lineRule="auto"/>
        <w:ind w:firstLine="480" w:firstLineChars="200"/>
        <w:rPr>
          <w:rFonts w:hint="default" w:ascii="Times New Roman" w:hAnsi="Times New Roman" w:eastAsia="宋体" w:cs="Times New Roman"/>
          <w:color w:val="auto"/>
          <w:highlight w:val="none"/>
          <w:lang w:bidi="en-US"/>
        </w:rPr>
      </w:pPr>
      <w:r>
        <w:rPr>
          <w:rFonts w:hint="default" w:ascii="Times New Roman" w:hAnsi="Times New Roman" w:eastAsia="宋体" w:cs="Times New Roman"/>
          <w:color w:val="auto"/>
          <w:highlight w:val="none"/>
          <w:lang w:bidi="en-US"/>
        </w:rPr>
        <w:t>一般而言，类似工程的雇佣工人面临类似的风险和影响。针对项目办以及项目建设期和运营期的执行机构，需要明确其在承包商选择、管理和绩效监测中的职责以及资源的安排。</w:t>
      </w:r>
    </w:p>
    <w:p w14:paraId="2D9CBFA3">
      <w:pPr>
        <w:snapToGrid w:val="0"/>
        <w:spacing w:before="120" w:beforeLines="50" w:after="120" w:afterLines="50" w:line="276" w:lineRule="auto"/>
        <w:ind w:firstLine="482" w:firstLineChars="200"/>
        <w:rPr>
          <w:rFonts w:hint="default" w:ascii="Times New Roman" w:hAnsi="Times New Roman" w:eastAsia="宋体" w:cs="Times New Roman"/>
          <w:b/>
          <w:bCs/>
          <w:color w:val="auto"/>
          <w:highlight w:val="none"/>
          <w:lang w:bidi="en-US"/>
        </w:rPr>
      </w:pPr>
      <w:r>
        <w:rPr>
          <w:rFonts w:hint="default" w:ascii="Times New Roman" w:hAnsi="Times New Roman" w:eastAsia="宋体" w:cs="Times New Roman"/>
          <w:b/>
          <w:bCs/>
          <w:color w:val="auto"/>
          <w:highlight w:val="none"/>
          <w:lang w:bidi="en-US"/>
        </w:rPr>
        <w:t>（1）承包商职责要求</w:t>
      </w:r>
    </w:p>
    <w:p w14:paraId="5F16F300">
      <w:pPr>
        <w:snapToGrid w:val="0"/>
        <w:spacing w:before="120" w:beforeLines="50" w:after="120" w:afterLines="50" w:line="276"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承包商及分包商（如有）需承担以下责任（但不限于）：</w:t>
      </w:r>
    </w:p>
    <w:p w14:paraId="222A3583">
      <w:pPr>
        <w:pStyle w:val="76"/>
        <w:numPr>
          <w:ilvl w:val="0"/>
          <w:numId w:val="45"/>
        </w:numPr>
        <w:adjustRightInd w:val="0"/>
        <w:snapToGrid w:val="0"/>
        <w:spacing w:before="120" w:beforeLines="50" w:after="120" w:afterLines="50" w:line="276" w:lineRule="auto"/>
        <w:ind w:hanging="4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根据ESF制定并实施项目的具体劳工管理程序，包括招聘和员工入职导向中的非歧视原则（请参见下文行为准则模板）；这些程序和计划将提交项目执行机构审批；</w:t>
      </w:r>
    </w:p>
    <w:p w14:paraId="01EE40C4">
      <w:pPr>
        <w:pStyle w:val="76"/>
        <w:numPr>
          <w:ilvl w:val="0"/>
          <w:numId w:val="45"/>
        </w:numPr>
        <w:adjustRightInd w:val="0"/>
        <w:snapToGrid w:val="0"/>
        <w:spacing w:before="120" w:beforeLines="50" w:after="120" w:afterLines="50" w:line="276" w:lineRule="auto"/>
        <w:ind w:hanging="4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维护合同工人的招聘和雇佣记录；</w:t>
      </w:r>
    </w:p>
    <w:p w14:paraId="051FFDBA">
      <w:pPr>
        <w:pStyle w:val="76"/>
        <w:numPr>
          <w:ilvl w:val="0"/>
          <w:numId w:val="45"/>
        </w:numPr>
        <w:adjustRightInd w:val="0"/>
        <w:snapToGrid w:val="0"/>
        <w:spacing w:before="120" w:beforeLines="50" w:after="120" w:afterLines="50" w:line="276" w:lineRule="auto"/>
        <w:ind w:hanging="4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明确告知合同工人的岗位描述和劳动条件；</w:t>
      </w:r>
    </w:p>
    <w:p w14:paraId="6137C97B">
      <w:pPr>
        <w:pStyle w:val="76"/>
        <w:numPr>
          <w:ilvl w:val="0"/>
          <w:numId w:val="45"/>
        </w:numPr>
        <w:adjustRightInd w:val="0"/>
        <w:snapToGrid w:val="0"/>
        <w:spacing w:before="120" w:beforeLines="50" w:after="120" w:afterLines="50" w:line="276" w:lineRule="auto"/>
        <w:ind w:hanging="4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制定并实施劳工申诉机制，解决合同工人的申诉问题；</w:t>
      </w:r>
    </w:p>
    <w:p w14:paraId="594BEFE0">
      <w:pPr>
        <w:pStyle w:val="76"/>
        <w:numPr>
          <w:ilvl w:val="0"/>
          <w:numId w:val="45"/>
        </w:numPr>
        <w:adjustRightInd w:val="0"/>
        <w:snapToGrid w:val="0"/>
        <w:spacing w:before="120" w:beforeLines="50" w:after="120" w:afterLines="50" w:line="276" w:lineRule="auto"/>
        <w:ind w:hanging="4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根据合同要求，实施传染病具体防治措施；</w:t>
      </w:r>
    </w:p>
    <w:p w14:paraId="1839DF0E">
      <w:pPr>
        <w:pStyle w:val="76"/>
        <w:numPr>
          <w:ilvl w:val="0"/>
          <w:numId w:val="45"/>
        </w:numPr>
        <w:adjustRightInd w:val="0"/>
        <w:snapToGrid w:val="0"/>
        <w:spacing w:before="120" w:beforeLines="50" w:after="120" w:afterLines="50" w:line="276" w:lineRule="auto"/>
        <w:ind w:hanging="4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监测、监督和报告与传染病相关的健康和安全问题；</w:t>
      </w:r>
    </w:p>
    <w:p w14:paraId="4A45BA41">
      <w:pPr>
        <w:pStyle w:val="76"/>
        <w:numPr>
          <w:ilvl w:val="0"/>
          <w:numId w:val="45"/>
        </w:numPr>
        <w:adjustRightInd w:val="0"/>
        <w:snapToGrid w:val="0"/>
        <w:spacing w:before="120" w:beforeLines="50" w:after="120" w:afterLines="50" w:line="276" w:lineRule="auto"/>
        <w:ind w:hanging="4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加强工人意识和培训，预防和减少传染病的传播风险；</w:t>
      </w:r>
    </w:p>
    <w:p w14:paraId="3AED4CFC">
      <w:pPr>
        <w:pStyle w:val="76"/>
        <w:numPr>
          <w:ilvl w:val="0"/>
          <w:numId w:val="45"/>
        </w:numPr>
        <w:adjustRightInd w:val="0"/>
        <w:snapToGrid w:val="0"/>
        <w:spacing w:before="120" w:beforeLines="50" w:after="120" w:afterLines="50" w:line="276" w:lineRule="auto"/>
        <w:ind w:hanging="4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加强工人意识和培训，预防和减少性暴力和骚扰</w:t>
      </w:r>
    </w:p>
    <w:p w14:paraId="07B5046B">
      <w:pPr>
        <w:pStyle w:val="76"/>
        <w:numPr>
          <w:ilvl w:val="0"/>
          <w:numId w:val="45"/>
        </w:numPr>
        <w:adjustRightInd w:val="0"/>
        <w:snapToGrid w:val="0"/>
        <w:spacing w:before="120" w:beforeLines="50" w:after="120" w:afterLines="50" w:line="276" w:lineRule="auto"/>
        <w:ind w:hanging="4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建立工人职业安全与健康表现定期审查和报告制度；</w:t>
      </w:r>
    </w:p>
    <w:p w14:paraId="2E42323D">
      <w:pPr>
        <w:pStyle w:val="76"/>
        <w:numPr>
          <w:ilvl w:val="0"/>
          <w:numId w:val="45"/>
        </w:numPr>
        <w:adjustRightInd w:val="0"/>
        <w:snapToGrid w:val="0"/>
        <w:spacing w:before="120" w:beforeLines="50" w:after="120" w:afterLines="50" w:line="276" w:lineRule="auto"/>
        <w:ind w:hanging="4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对工人进行定期入职(包括社会入职)和健康与安全教育培训；</w:t>
      </w:r>
    </w:p>
    <w:p w14:paraId="19541C1A">
      <w:pPr>
        <w:pStyle w:val="76"/>
        <w:numPr>
          <w:ilvl w:val="0"/>
          <w:numId w:val="45"/>
        </w:numPr>
        <w:adjustRightInd w:val="0"/>
        <w:snapToGrid w:val="0"/>
        <w:spacing w:before="120" w:beforeLines="50" w:after="120" w:afterLines="50" w:line="276" w:lineRule="auto"/>
        <w:ind w:hanging="4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确保所有承包商雇用的劳动者在开始工作前了解并签署[其已知]工作要求[的文件]；</w:t>
      </w:r>
    </w:p>
    <w:p w14:paraId="476BA88F">
      <w:pPr>
        <w:pStyle w:val="76"/>
        <w:numPr>
          <w:ilvl w:val="0"/>
          <w:numId w:val="45"/>
        </w:numPr>
        <w:adjustRightInd w:val="0"/>
        <w:snapToGrid w:val="0"/>
        <w:spacing w:before="120" w:beforeLines="50" w:after="120" w:afterLines="50" w:line="276" w:lineRule="auto"/>
        <w:ind w:hanging="4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如有需要，更新其劳工管理程序。</w:t>
      </w:r>
    </w:p>
    <w:p w14:paraId="28BD4062">
      <w:pPr>
        <w:pStyle w:val="76"/>
        <w:numPr>
          <w:ilvl w:val="0"/>
          <w:numId w:val="45"/>
        </w:numPr>
        <w:adjustRightInd w:val="0"/>
        <w:snapToGrid w:val="0"/>
        <w:spacing w:before="120" w:beforeLines="50" w:after="120" w:afterLines="50" w:line="276" w:lineRule="auto"/>
        <w:ind w:hanging="4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承包商</w:t>
      </w:r>
      <w:r>
        <w:rPr>
          <w:rFonts w:hint="default" w:ascii="Times New Roman" w:hAnsi="Times New Roman" w:eastAsia="宋体" w:cs="Times New Roman"/>
          <w:i/>
          <w:iCs/>
          <w:color w:val="auto"/>
          <w:highlight w:val="none"/>
          <w:u w:val="single"/>
        </w:rPr>
        <w:t>每季度</w:t>
      </w:r>
      <w:r>
        <w:rPr>
          <w:rFonts w:hint="default" w:ascii="Times New Roman" w:hAnsi="Times New Roman" w:eastAsia="宋体" w:cs="Times New Roman"/>
          <w:color w:val="auto"/>
          <w:highlight w:val="none"/>
        </w:rPr>
        <w:t>向执行机构报告合同工人劳动者管理绩效。</w:t>
      </w:r>
    </w:p>
    <w:p w14:paraId="353762FA">
      <w:pPr>
        <w:snapToGrid w:val="0"/>
        <w:spacing w:before="120" w:beforeLines="50" w:after="120" w:afterLines="50" w:line="276" w:lineRule="auto"/>
        <w:ind w:firstLine="482"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（2）项目办和执行机构对承包商的管理</w:t>
      </w:r>
    </w:p>
    <w:p w14:paraId="30FCA08C">
      <w:pPr>
        <w:snapToGrid w:val="0"/>
        <w:spacing w:before="120" w:beforeLines="50" w:after="120" w:afterLines="50" w:line="276"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项目办将对承包商的资质等进行审查，并要求项目的所有承包商以符合亚投行ESF和《环境与社会管理计划》中规定的具体要求的方式运作。</w:t>
      </w:r>
    </w:p>
    <w:p w14:paraId="6EEEB861">
      <w:pPr>
        <w:snapToGrid w:val="0"/>
        <w:spacing w:before="120" w:beforeLines="50" w:after="120" w:afterLines="50" w:line="276" w:lineRule="auto"/>
        <w:ind w:firstLine="482" w:firstLineChars="200"/>
        <w:rPr>
          <w:rFonts w:hint="default" w:ascii="Times New Roman" w:hAnsi="Times New Roman" w:eastAsia="宋体" w:cs="Times New Roman"/>
          <w:b/>
          <w:bCs/>
          <w:color w:val="auto"/>
          <w:highlight w:val="none"/>
          <w:u w:val="single"/>
        </w:rPr>
      </w:pPr>
      <w:r>
        <w:rPr>
          <w:rFonts w:hint="default" w:ascii="Times New Roman" w:hAnsi="Times New Roman" w:eastAsia="宋体" w:cs="Times New Roman"/>
          <w:b/>
          <w:bCs/>
          <w:color w:val="auto"/>
          <w:highlight w:val="none"/>
          <w:u w:val="single"/>
        </w:rPr>
        <w:t>资格审查</w:t>
      </w:r>
    </w:p>
    <w:p w14:paraId="27726811">
      <w:pPr>
        <w:snapToGrid w:val="0"/>
        <w:spacing w:before="120" w:beforeLines="50" w:after="120" w:afterLines="50" w:line="276"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作为选择雇佣承包商过程的一部分，</w:t>
      </w:r>
      <w:r>
        <w:rPr>
          <w:rFonts w:hint="default" w:ascii="Times New Roman" w:hAnsi="Times New Roman" w:eastAsia="宋体" w:cs="Times New Roman"/>
          <w:b/>
          <w:bCs/>
          <w:color w:val="auto"/>
          <w:highlight w:val="none"/>
          <w:u w:val="single"/>
        </w:rPr>
        <w:t>项目办和执行机构</w:t>
      </w:r>
      <w:r>
        <w:rPr>
          <w:rFonts w:hint="default" w:ascii="Times New Roman" w:hAnsi="Times New Roman" w:eastAsia="宋体" w:cs="Times New Roman"/>
          <w:color w:val="auto"/>
          <w:highlight w:val="none"/>
        </w:rPr>
        <w:t>将审查以下信息：</w:t>
      </w:r>
    </w:p>
    <w:p w14:paraId="3AF5BA36">
      <w:pPr>
        <w:pStyle w:val="76"/>
        <w:numPr>
          <w:ilvl w:val="0"/>
          <w:numId w:val="45"/>
        </w:numPr>
        <w:adjustRightInd w:val="0"/>
        <w:snapToGrid w:val="0"/>
        <w:spacing w:before="120" w:beforeLines="50" w:after="120" w:afterLines="50" w:line="276" w:lineRule="auto"/>
        <w:ind w:hanging="4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营业执照、工商注册、相关许可和批准等手续；</w:t>
      </w:r>
    </w:p>
    <w:p w14:paraId="7CCB1A46">
      <w:pPr>
        <w:pStyle w:val="76"/>
        <w:numPr>
          <w:ilvl w:val="0"/>
          <w:numId w:val="45"/>
        </w:numPr>
        <w:adjustRightInd w:val="0"/>
        <w:snapToGrid w:val="0"/>
        <w:spacing w:before="120" w:beforeLines="50" w:after="120" w:afterLines="50" w:line="276" w:lineRule="auto"/>
        <w:ind w:hanging="4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与劳工管理有关的制度性文件，包括OHS问题，例如LMP和行为准则（请参见下文行为准则模板），包括非歧视原则、工作场所预防SEA/SH的规定，以及当地社区中工人的住宿管理；</w:t>
      </w:r>
    </w:p>
    <w:p w14:paraId="3B3DC5BF">
      <w:pPr>
        <w:pStyle w:val="76"/>
        <w:numPr>
          <w:ilvl w:val="0"/>
          <w:numId w:val="45"/>
        </w:numPr>
        <w:adjustRightInd w:val="0"/>
        <w:snapToGrid w:val="0"/>
        <w:spacing w:before="120" w:beforeLines="50" w:after="120" w:afterLines="50" w:line="276" w:lineRule="auto"/>
        <w:ind w:hanging="4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审查负责劳工管理、职业安全与健康的工作人员或部门的信息，包括资质和证书等；</w:t>
      </w:r>
    </w:p>
    <w:p w14:paraId="0E448BC2">
      <w:pPr>
        <w:pStyle w:val="76"/>
        <w:numPr>
          <w:ilvl w:val="0"/>
          <w:numId w:val="45"/>
        </w:numPr>
        <w:adjustRightInd w:val="0"/>
        <w:snapToGrid w:val="0"/>
        <w:spacing w:before="120" w:beforeLines="50" w:after="120" w:afterLines="50" w:line="276" w:lineRule="auto"/>
        <w:ind w:hanging="4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劳动者的合同模板；</w:t>
      </w:r>
    </w:p>
    <w:p w14:paraId="0138448A">
      <w:pPr>
        <w:pStyle w:val="76"/>
        <w:numPr>
          <w:ilvl w:val="0"/>
          <w:numId w:val="45"/>
        </w:numPr>
        <w:adjustRightInd w:val="0"/>
        <w:snapToGrid w:val="0"/>
        <w:spacing w:before="120" w:beforeLines="50" w:after="120" w:afterLines="50" w:line="276" w:lineRule="auto"/>
        <w:ind w:hanging="4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劳动者的工资记录，包括工作时间(小时数)和收到的工资；</w:t>
      </w:r>
    </w:p>
    <w:p w14:paraId="27377CFB">
      <w:pPr>
        <w:pStyle w:val="76"/>
        <w:numPr>
          <w:ilvl w:val="0"/>
          <w:numId w:val="45"/>
        </w:numPr>
        <w:adjustRightInd w:val="0"/>
        <w:snapToGrid w:val="0"/>
        <w:spacing w:before="120" w:beforeLines="50" w:after="120" w:afterLines="50" w:line="276" w:lineRule="auto"/>
        <w:ind w:hanging="4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劳动者福利发放记录；</w:t>
      </w:r>
    </w:p>
    <w:p w14:paraId="3CFAC3B5">
      <w:pPr>
        <w:pStyle w:val="76"/>
        <w:numPr>
          <w:ilvl w:val="0"/>
          <w:numId w:val="45"/>
        </w:numPr>
        <w:adjustRightInd w:val="0"/>
        <w:snapToGrid w:val="0"/>
        <w:spacing w:before="120" w:beforeLines="50" w:after="120" w:afterLines="50" w:line="276" w:lineRule="auto"/>
        <w:ind w:hanging="4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劳工履行工作所需的证书、许可证和培训；</w:t>
      </w:r>
    </w:p>
    <w:p w14:paraId="40C5456E">
      <w:pPr>
        <w:pStyle w:val="76"/>
        <w:numPr>
          <w:ilvl w:val="0"/>
          <w:numId w:val="45"/>
        </w:numPr>
        <w:adjustRightInd w:val="0"/>
        <w:snapToGrid w:val="0"/>
        <w:spacing w:before="120" w:beforeLines="50" w:after="120" w:afterLines="50" w:line="276" w:lineRule="auto"/>
        <w:ind w:hanging="4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安全和健康违规记录，以及应答记录；</w:t>
      </w:r>
    </w:p>
    <w:p w14:paraId="2029F132">
      <w:pPr>
        <w:pStyle w:val="76"/>
        <w:numPr>
          <w:ilvl w:val="0"/>
          <w:numId w:val="45"/>
        </w:numPr>
        <w:adjustRightInd w:val="0"/>
        <w:snapToGrid w:val="0"/>
        <w:spacing w:before="120" w:beforeLines="50" w:after="120" w:afterLines="50" w:line="276" w:lineRule="auto"/>
        <w:ind w:hanging="4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事故和死亡记录以及告知相关部门的记录；</w:t>
      </w:r>
    </w:p>
    <w:p w14:paraId="5EDD327B">
      <w:pPr>
        <w:pStyle w:val="76"/>
        <w:numPr>
          <w:ilvl w:val="0"/>
          <w:numId w:val="45"/>
        </w:numPr>
        <w:adjustRightInd w:val="0"/>
        <w:snapToGrid w:val="0"/>
        <w:spacing w:before="120" w:beforeLines="50" w:after="120" w:afterLines="50" w:line="276" w:lineRule="auto"/>
        <w:ind w:hanging="4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公共记录信息，例如与违反现有劳动法规定的有关公司登记材料和公共文件，包括劳动监察机构和其他执法机构的报告；</w:t>
      </w:r>
    </w:p>
    <w:p w14:paraId="68128989">
      <w:pPr>
        <w:pStyle w:val="76"/>
        <w:numPr>
          <w:ilvl w:val="0"/>
          <w:numId w:val="45"/>
        </w:numPr>
        <w:adjustRightInd w:val="0"/>
        <w:snapToGrid w:val="0"/>
        <w:spacing w:before="120" w:beforeLines="50" w:after="120" w:afterLines="50" w:line="276" w:lineRule="auto"/>
        <w:ind w:hanging="4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之前与承包商和主要供应商签订的合同副本，表明包含了可反映ESS2的规定和条款。</w:t>
      </w:r>
    </w:p>
    <w:p w14:paraId="5B4E3C81">
      <w:pPr>
        <w:snapToGrid w:val="0"/>
        <w:spacing w:before="120" w:beforeLines="50" w:after="120" w:afterLines="50" w:line="276" w:lineRule="auto"/>
        <w:ind w:firstLine="480" w:firstLineChars="20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rPr>
        <w:t>需要特别注意，</w:t>
      </w:r>
      <w:r>
        <w:rPr>
          <w:rFonts w:hint="default" w:ascii="Times New Roman" w:hAnsi="Times New Roman" w:eastAsia="宋体" w:cs="Times New Roman"/>
          <w:color w:val="auto"/>
          <w:highlight w:val="none"/>
          <w:u w:val="single"/>
        </w:rPr>
        <w:t>任何使用或曾使用过童工的承包商均无资格参加投标。</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ED40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8" w:type="dxa"/>
          </w:tcPr>
          <w:p w14:paraId="383131B7">
            <w:pPr>
              <w:rPr>
                <w:rFonts w:hint="default" w:ascii="Times New Roman" w:hAnsi="Times New Roman" w:eastAsia="宋体" w:cs="Times New Roman"/>
                <w:b/>
                <w:bCs/>
                <w:color w:val="auto"/>
                <w:highlight w:val="none"/>
              </w:rPr>
            </w:pPr>
            <w:r>
              <w:rPr>
                <w:rFonts w:hint="default" w:ascii="Times New Roman" w:hAnsi="Times New Roman" w:eastAsia="宋体" w:cs="Times New Roman"/>
                <w:b/>
                <w:color w:val="auto"/>
                <w:sz w:val="21"/>
                <w:highlight w:val="none"/>
              </w:rPr>
              <w:t>框：行为准则模板</w:t>
            </w:r>
          </w:p>
          <w:p w14:paraId="166855D5">
            <w:pPr>
              <w:pStyle w:val="86"/>
              <w:spacing w:before="0" w:after="0"/>
              <w:ind w:left="3360"/>
              <w:jc w:val="both"/>
              <w:rPr>
                <w:rFonts w:hint="default" w:ascii="Times New Roman" w:hAnsi="Times New Roman" w:eastAsia="宋体" w:cs="Times New Roman"/>
                <w:color w:val="auto"/>
                <w:sz w:val="20"/>
                <w:szCs w:val="20"/>
                <w:highlight w:val="none"/>
                <w:lang w:eastAsia="zh-CN"/>
              </w:rPr>
            </w:pPr>
          </w:p>
          <w:p w14:paraId="78B14304">
            <w:pPr>
              <w:pStyle w:val="86"/>
              <w:spacing w:before="0" w:after="0"/>
              <w:jc w:val="both"/>
              <w:rPr>
                <w:rFonts w:hint="default" w:ascii="Times New Roman" w:hAnsi="Times New Roman" w:eastAsia="宋体" w:cs="Times New Roman"/>
                <w:b/>
                <w:bCs/>
                <w:color w:val="auto"/>
                <w:sz w:val="20"/>
                <w:szCs w:val="20"/>
                <w:highlight w:val="none"/>
                <w:lang w:eastAsia="zh-CN"/>
              </w:rPr>
            </w:pPr>
            <w:r>
              <w:rPr>
                <w:rFonts w:hint="default" w:ascii="Times New Roman" w:hAnsi="Times New Roman" w:eastAsia="宋体" w:cs="Times New Roman"/>
                <w:b/>
                <w:color w:val="auto"/>
                <w:sz w:val="20"/>
                <w:highlight w:val="none"/>
                <w:lang w:eastAsia="zh-CN"/>
              </w:rPr>
              <w:t>承包商行为准则（模板）</w:t>
            </w:r>
          </w:p>
          <w:p w14:paraId="5DA116E0">
            <w:pPr>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sz w:val="21"/>
                <w:highlight w:val="none"/>
              </w:rPr>
              <w:t>最高管理者寄语</w:t>
            </w:r>
          </w:p>
          <w:p w14:paraId="2ECEBAF4">
            <w:pPr>
              <w:pStyle w:val="18"/>
              <w:tabs>
                <w:tab w:val="center" w:pos="4153"/>
                <w:tab w:val="right" w:pos="8306"/>
                <w:tab w:val="clear" w:pos="4320"/>
                <w:tab w:val="clear" w:pos="8640"/>
              </w:tabs>
              <w:ind w:left="6000"/>
              <w:jc w:val="both"/>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highlight w:val="none"/>
              </w:rPr>
              <w:t>包含关于承包商道德承诺和行为准则重要性的信息。</w:t>
            </w:r>
          </w:p>
          <w:p w14:paraId="5C8708A2">
            <w:pPr>
              <w:pStyle w:val="18"/>
              <w:tabs>
                <w:tab w:val="center" w:pos="4153"/>
                <w:tab w:val="right" w:pos="8306"/>
                <w:tab w:val="clear" w:pos="4320"/>
                <w:tab w:val="clear" w:pos="8640"/>
              </w:tabs>
              <w:ind w:left="6000"/>
              <w:jc w:val="both"/>
              <w:rPr>
                <w:rFonts w:hint="default" w:ascii="Times New Roman" w:hAnsi="Times New Roman" w:eastAsia="宋体" w:cs="Times New Roman"/>
                <w:color w:val="auto"/>
                <w:sz w:val="20"/>
                <w:szCs w:val="20"/>
                <w:highlight w:val="none"/>
              </w:rPr>
            </w:pPr>
          </w:p>
          <w:p w14:paraId="37C45207">
            <w:pPr>
              <w:pStyle w:val="18"/>
              <w:tabs>
                <w:tab w:val="center" w:pos="4153"/>
                <w:tab w:val="right" w:pos="8306"/>
                <w:tab w:val="clear" w:pos="4320"/>
                <w:tab w:val="clear" w:pos="8640"/>
              </w:tabs>
              <w:ind w:left="6000"/>
              <w:jc w:val="both"/>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
                <w:color w:val="auto"/>
                <w:sz w:val="20"/>
                <w:highlight w:val="none"/>
              </w:rPr>
              <w:t>引言</w:t>
            </w:r>
          </w:p>
          <w:p w14:paraId="5ED3CC35">
            <w:pPr>
              <w:pStyle w:val="18"/>
              <w:tabs>
                <w:tab w:val="center" w:pos="4153"/>
                <w:tab w:val="right" w:pos="8306"/>
                <w:tab w:val="clear" w:pos="4320"/>
                <w:tab w:val="clear" w:pos="8640"/>
              </w:tabs>
              <w:ind w:left="6000"/>
              <w:jc w:val="both"/>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highlight w:val="none"/>
              </w:rPr>
              <w:t>提供如何使用行为准则的信息。</w:t>
            </w:r>
          </w:p>
          <w:p w14:paraId="384BBE82">
            <w:pPr>
              <w:rPr>
                <w:rFonts w:hint="default" w:ascii="Times New Roman" w:hAnsi="Times New Roman" w:eastAsia="宋体" w:cs="Times New Roman"/>
                <w:i/>
                <w:color w:val="auto"/>
                <w:highlight w:val="none"/>
              </w:rPr>
            </w:pPr>
            <w:r>
              <w:rPr>
                <w:rFonts w:hint="default" w:ascii="Times New Roman" w:hAnsi="Times New Roman" w:eastAsia="宋体" w:cs="Times New Roman"/>
                <w:i/>
                <w:color w:val="auto"/>
                <w:sz w:val="21"/>
                <w:highlight w:val="none"/>
              </w:rPr>
              <w:t>例如：</w:t>
            </w:r>
          </w:p>
          <w:p w14:paraId="3DC9F3FA">
            <w:pPr>
              <w:rPr>
                <w:rFonts w:hint="default" w:ascii="Times New Roman" w:hAnsi="Times New Roman" w:eastAsia="宋体" w:cs="Times New Roman"/>
                <w:i/>
                <w:color w:val="auto"/>
                <w:highlight w:val="none"/>
              </w:rPr>
            </w:pPr>
            <w:r>
              <w:rPr>
                <w:rFonts w:hint="default" w:ascii="Times New Roman" w:hAnsi="Times New Roman" w:eastAsia="宋体" w:cs="Times New Roman"/>
                <w:i/>
                <w:color w:val="auto"/>
                <w:sz w:val="21"/>
                <w:highlight w:val="none"/>
              </w:rPr>
              <w:t>适用对象是谁？</w:t>
            </w:r>
          </w:p>
          <w:p w14:paraId="3524655A">
            <w:pPr>
              <w:rPr>
                <w:rFonts w:hint="default" w:ascii="Times New Roman" w:hAnsi="Times New Roman" w:eastAsia="宋体" w:cs="Times New Roman"/>
                <w:color w:val="auto"/>
                <w:highlight w:val="none"/>
              </w:rPr>
            </w:pPr>
            <w:r>
              <w:rPr>
                <w:rFonts w:hint="default" w:ascii="Times New Roman" w:hAnsi="Times New Roman" w:eastAsia="宋体" w:cs="Times New Roman"/>
                <w:i/>
                <w:color w:val="auto"/>
                <w:sz w:val="21"/>
                <w:highlight w:val="none"/>
              </w:rPr>
              <w:t>本准则是否也适用于承包商和主要供应商工人？</w:t>
            </w:r>
          </w:p>
          <w:p w14:paraId="1EC6A34B">
            <w:pPr>
              <w:pStyle w:val="76"/>
              <w:ind w:left="480" w:firstLine="400"/>
              <w:jc w:val="both"/>
              <w:rPr>
                <w:rFonts w:hint="default" w:ascii="Times New Roman" w:hAnsi="Times New Roman" w:eastAsia="宋体" w:cs="Times New Roman"/>
                <w:color w:val="auto"/>
                <w:sz w:val="20"/>
                <w:szCs w:val="20"/>
                <w:highlight w:val="none"/>
              </w:rPr>
            </w:pPr>
          </w:p>
          <w:p w14:paraId="759F9C5A">
            <w:pPr>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sz w:val="21"/>
                <w:highlight w:val="none"/>
              </w:rPr>
              <w:t>伦理原则和核心价值观</w:t>
            </w:r>
          </w:p>
          <w:p w14:paraId="21236F92">
            <w:pPr>
              <w:pStyle w:val="18"/>
              <w:tabs>
                <w:tab w:val="center" w:pos="4153"/>
                <w:tab w:val="right" w:pos="8306"/>
                <w:tab w:val="clear" w:pos="4320"/>
                <w:tab w:val="clear" w:pos="8640"/>
              </w:tabs>
              <w:ind w:left="6000"/>
              <w:jc w:val="both"/>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highlight w:val="none"/>
              </w:rPr>
              <w:t>说明承包商的核心信念和价值观。</w:t>
            </w:r>
          </w:p>
          <w:p w14:paraId="0E7CA531">
            <w:pPr>
              <w:rPr>
                <w:rFonts w:hint="default" w:ascii="Times New Roman" w:hAnsi="Times New Roman" w:eastAsia="宋体" w:cs="Times New Roman"/>
                <w:i/>
                <w:color w:val="auto"/>
                <w:highlight w:val="none"/>
              </w:rPr>
            </w:pPr>
            <w:r>
              <w:rPr>
                <w:rFonts w:hint="default" w:ascii="Times New Roman" w:hAnsi="Times New Roman" w:eastAsia="宋体" w:cs="Times New Roman"/>
                <w:i/>
                <w:color w:val="auto"/>
                <w:sz w:val="21"/>
                <w:highlight w:val="none"/>
              </w:rPr>
              <w:t>例如：</w:t>
            </w:r>
          </w:p>
          <w:p w14:paraId="799C6C89">
            <w:pPr>
              <w:pStyle w:val="76"/>
              <w:numPr>
                <w:ilvl w:val="0"/>
                <w:numId w:val="47"/>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诚信</w:t>
            </w:r>
          </w:p>
          <w:p w14:paraId="3B543BF8">
            <w:pPr>
              <w:pStyle w:val="76"/>
              <w:numPr>
                <w:ilvl w:val="0"/>
                <w:numId w:val="47"/>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正直</w:t>
            </w:r>
          </w:p>
          <w:p w14:paraId="5E8C01F5">
            <w:pPr>
              <w:pStyle w:val="76"/>
              <w:numPr>
                <w:ilvl w:val="0"/>
                <w:numId w:val="47"/>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守信</w:t>
            </w:r>
          </w:p>
          <w:p w14:paraId="707B039C">
            <w:pPr>
              <w:pStyle w:val="76"/>
              <w:numPr>
                <w:ilvl w:val="0"/>
                <w:numId w:val="47"/>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尊重他人</w:t>
            </w:r>
          </w:p>
          <w:p w14:paraId="48005864">
            <w:pPr>
              <w:pStyle w:val="76"/>
              <w:numPr>
                <w:ilvl w:val="0"/>
                <w:numId w:val="47"/>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负责</w:t>
            </w:r>
          </w:p>
          <w:p w14:paraId="0326CB43">
            <w:pPr>
              <w:pStyle w:val="76"/>
              <w:numPr>
                <w:ilvl w:val="0"/>
                <w:numId w:val="47"/>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守法</w:t>
            </w:r>
          </w:p>
          <w:p w14:paraId="7D719669">
            <w:pPr>
              <w:pStyle w:val="76"/>
              <w:numPr>
                <w:ilvl w:val="0"/>
                <w:numId w:val="47"/>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同理心</w:t>
            </w:r>
          </w:p>
          <w:p w14:paraId="0B6BB624">
            <w:pPr>
              <w:pStyle w:val="76"/>
              <w:numPr>
                <w:ilvl w:val="0"/>
                <w:numId w:val="47"/>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团队协作</w:t>
            </w:r>
          </w:p>
          <w:p w14:paraId="6958554D">
            <w:pPr>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sz w:val="21"/>
                <w:highlight w:val="none"/>
              </w:rPr>
              <w:t>申诉机制（GRM）</w:t>
            </w:r>
          </w:p>
          <w:p w14:paraId="5BD0C895">
            <w:pPr>
              <w:pStyle w:val="18"/>
              <w:tabs>
                <w:tab w:val="center" w:pos="4153"/>
                <w:tab w:val="right" w:pos="8306"/>
                <w:tab w:val="clear" w:pos="4320"/>
                <w:tab w:val="clear" w:pos="8640"/>
              </w:tabs>
              <w:ind w:left="60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color w:val="auto"/>
                <w:sz w:val="20"/>
                <w:highlight w:val="none"/>
              </w:rPr>
              <w:t>本部分除清楚地标明联系电话和通信渠道外，还包括工人申诉机制，例如：</w:t>
            </w:r>
          </w:p>
          <w:p w14:paraId="72BDEA8F">
            <w:pPr>
              <w:rPr>
                <w:rFonts w:hint="default" w:ascii="Times New Roman" w:hAnsi="Times New Roman" w:eastAsia="宋体" w:cs="Times New Roman"/>
                <w:i/>
                <w:color w:val="auto"/>
                <w:highlight w:val="none"/>
              </w:rPr>
            </w:pPr>
            <w:r>
              <w:rPr>
                <w:rFonts w:hint="default" w:ascii="Times New Roman" w:hAnsi="Times New Roman" w:eastAsia="宋体" w:cs="Times New Roman"/>
                <w:i/>
                <w:color w:val="auto"/>
                <w:sz w:val="21"/>
                <w:highlight w:val="none"/>
              </w:rPr>
              <w:t>报告问题：</w:t>
            </w:r>
          </w:p>
          <w:p w14:paraId="36A57B35">
            <w:pPr>
              <w:pStyle w:val="76"/>
              <w:numPr>
                <w:ilvl w:val="0"/>
                <w:numId w:val="48"/>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与管理人沟通</w:t>
            </w:r>
          </w:p>
          <w:p w14:paraId="6EC4595C">
            <w:pPr>
              <w:pStyle w:val="76"/>
              <w:numPr>
                <w:ilvl w:val="0"/>
                <w:numId w:val="48"/>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网址：</w:t>
            </w:r>
          </w:p>
          <w:p w14:paraId="00426966">
            <w:pPr>
              <w:pStyle w:val="76"/>
              <w:numPr>
                <w:ilvl w:val="0"/>
                <w:numId w:val="48"/>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电子邮箱：</w:t>
            </w:r>
          </w:p>
          <w:p w14:paraId="7E13912F">
            <w:pPr>
              <w:pStyle w:val="76"/>
              <w:numPr>
                <w:ilvl w:val="0"/>
                <w:numId w:val="48"/>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电话号码：</w:t>
            </w:r>
          </w:p>
          <w:p w14:paraId="269F43BB">
            <w:pPr>
              <w:pStyle w:val="76"/>
              <w:numPr>
                <w:ilvl w:val="0"/>
                <w:numId w:val="48"/>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地址：</w:t>
            </w:r>
          </w:p>
          <w:p w14:paraId="3E4F613C">
            <w:pPr>
              <w:pStyle w:val="76"/>
              <w:numPr>
                <w:ilvl w:val="0"/>
                <w:numId w:val="48"/>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其他特定的有效渠道</w:t>
            </w:r>
          </w:p>
          <w:p w14:paraId="1E02EB2E">
            <w:pPr>
              <w:pStyle w:val="18"/>
              <w:tabs>
                <w:tab w:val="center" w:pos="4153"/>
                <w:tab w:val="right" w:pos="8306"/>
                <w:tab w:val="clear" w:pos="4320"/>
                <w:tab w:val="clear" w:pos="8640"/>
              </w:tabs>
              <w:ind w:left="6000"/>
              <w:jc w:val="both"/>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highlight w:val="none"/>
              </w:rPr>
              <w:t>概述公司的不报复政策，以及确保任何人举报任何问题都不会遭到报复的承诺。说明公司对报复行为的处罚立场。确保清楚解释报复的含义。</w:t>
            </w:r>
          </w:p>
          <w:p w14:paraId="11619FAF">
            <w:pPr>
              <w:rPr>
                <w:rFonts w:hint="default" w:ascii="Times New Roman" w:hAnsi="Times New Roman" w:eastAsia="宋体" w:cs="Times New Roman"/>
                <w:i/>
                <w:color w:val="auto"/>
                <w:highlight w:val="none"/>
              </w:rPr>
            </w:pPr>
            <w:r>
              <w:rPr>
                <w:rFonts w:hint="default" w:ascii="Times New Roman" w:hAnsi="Times New Roman" w:eastAsia="宋体" w:cs="Times New Roman"/>
                <w:i/>
                <w:color w:val="auto"/>
                <w:sz w:val="21"/>
                <w:highlight w:val="none"/>
              </w:rPr>
              <w:t>例如：</w:t>
            </w:r>
          </w:p>
          <w:p w14:paraId="61C5DDE3">
            <w:pPr>
              <w:rPr>
                <w:rFonts w:hint="default" w:ascii="Times New Roman" w:hAnsi="Times New Roman" w:eastAsia="宋体" w:cs="Times New Roman"/>
                <w:i/>
                <w:color w:val="auto"/>
                <w:highlight w:val="none"/>
              </w:rPr>
            </w:pPr>
            <w:r>
              <w:rPr>
                <w:rFonts w:hint="default" w:ascii="Times New Roman" w:hAnsi="Times New Roman" w:eastAsia="宋体" w:cs="Times New Roman"/>
                <w:i/>
                <w:color w:val="auto"/>
                <w:sz w:val="21"/>
                <w:highlight w:val="none"/>
              </w:rPr>
              <w:t>善意报告问题的工人不能受到就业方面任何不利的对待，包括：</w:t>
            </w:r>
          </w:p>
          <w:p w14:paraId="2C13A2A8">
            <w:pPr>
              <w:pStyle w:val="76"/>
              <w:numPr>
                <w:ilvl w:val="0"/>
                <w:numId w:val="49"/>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不公平地将其解雇或停职</w:t>
            </w:r>
          </w:p>
          <w:p w14:paraId="60FC87BB">
            <w:pPr>
              <w:pStyle w:val="76"/>
              <w:numPr>
                <w:ilvl w:val="0"/>
                <w:numId w:val="49"/>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不公平地拒绝其晋升或享受其他就业福利</w:t>
            </w:r>
          </w:p>
          <w:p w14:paraId="4809B0C7">
            <w:pPr>
              <w:pStyle w:val="76"/>
              <w:numPr>
                <w:ilvl w:val="0"/>
                <w:numId w:val="49"/>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面对面或网上进行欺凌和骚扰</w:t>
            </w:r>
          </w:p>
          <w:p w14:paraId="7F44FB3C">
            <w:pPr>
              <w:ind w:left="1560"/>
              <w:rPr>
                <w:rFonts w:hint="default" w:ascii="Times New Roman" w:hAnsi="Times New Roman" w:eastAsia="宋体" w:cs="Times New Roman"/>
                <w:i/>
                <w:color w:val="auto"/>
                <w:highlight w:val="none"/>
              </w:rPr>
            </w:pPr>
          </w:p>
          <w:p w14:paraId="417AFC0A">
            <w:pPr>
              <w:rPr>
                <w:rFonts w:hint="default" w:ascii="Times New Roman" w:hAnsi="Times New Roman" w:eastAsia="宋体" w:cs="Times New Roman"/>
                <w:b/>
                <w:bCs/>
                <w:color w:val="auto"/>
                <w:highlight w:val="none"/>
              </w:rPr>
            </w:pPr>
            <w:r>
              <w:rPr>
                <w:rFonts w:hint="default" w:ascii="Times New Roman" w:hAnsi="Times New Roman" w:eastAsia="宋体" w:cs="Times New Roman"/>
                <w:b/>
                <w:color w:val="auto"/>
                <w:sz w:val="21"/>
                <w:highlight w:val="none"/>
              </w:rPr>
              <w:t>歧视</w:t>
            </w:r>
          </w:p>
          <w:p w14:paraId="0A0BD645">
            <w:pPr>
              <w:pStyle w:val="39"/>
              <w:ind w:firstLine="400"/>
              <w:jc w:val="both"/>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highlight w:val="none"/>
              </w:rPr>
              <w:t>概述承包商对保护工人不受歧视、获得平等机会的承诺。</w:t>
            </w:r>
          </w:p>
          <w:p w14:paraId="17EDFCA8">
            <w:pPr>
              <w:pStyle w:val="39"/>
              <w:ind w:firstLine="4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例如：</w:t>
            </w:r>
          </w:p>
          <w:p w14:paraId="48263C75">
            <w:pPr>
              <w:rPr>
                <w:rFonts w:hint="default" w:ascii="Times New Roman" w:hAnsi="Times New Roman" w:eastAsia="宋体" w:cs="Times New Roman"/>
                <w:i/>
                <w:iCs/>
                <w:color w:val="auto"/>
                <w:highlight w:val="none"/>
              </w:rPr>
            </w:pPr>
            <w:r>
              <w:rPr>
                <w:rFonts w:hint="default" w:ascii="Times New Roman" w:hAnsi="Times New Roman" w:eastAsia="宋体" w:cs="Times New Roman"/>
                <w:i/>
                <w:color w:val="auto"/>
                <w:sz w:val="21"/>
                <w:highlight w:val="none"/>
              </w:rPr>
              <w:t>项目工人的雇用将基于平等机会和公平待遇的原则。</w:t>
            </w:r>
          </w:p>
          <w:p w14:paraId="2ECD35D7">
            <w:pPr>
              <w:rPr>
                <w:rFonts w:hint="default" w:ascii="Times New Roman" w:hAnsi="Times New Roman" w:eastAsia="宋体" w:cs="Times New Roman"/>
                <w:i/>
                <w:iCs/>
                <w:color w:val="auto"/>
                <w:highlight w:val="none"/>
              </w:rPr>
            </w:pPr>
            <w:r>
              <w:rPr>
                <w:rFonts w:hint="default" w:ascii="Times New Roman" w:hAnsi="Times New Roman" w:eastAsia="宋体" w:cs="Times New Roman"/>
                <w:i/>
                <w:color w:val="auto"/>
                <w:sz w:val="21"/>
                <w:highlight w:val="none"/>
              </w:rPr>
              <w:t>在雇佣关系的任何方面，包括招聘和雇用、工资和福利、工作条件和雇用条件、获得培训、工作分配、晋升、终止雇用或退休或纪律处分方面，没有歧视。</w:t>
            </w:r>
          </w:p>
          <w:p w14:paraId="4BC18D54">
            <w:pPr>
              <w:rPr>
                <w:rFonts w:hint="default" w:ascii="Times New Roman" w:hAnsi="Times New Roman" w:eastAsia="宋体" w:cs="Times New Roman"/>
                <w:b/>
                <w:bCs/>
                <w:color w:val="auto"/>
                <w:highlight w:val="none"/>
              </w:rPr>
            </w:pPr>
          </w:p>
          <w:p w14:paraId="4341C6F3">
            <w:pPr>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sz w:val="21"/>
                <w:highlight w:val="none"/>
              </w:rPr>
              <w:t>性剥削和性虐待（SEA）/性骚扰（SH）</w:t>
            </w:r>
          </w:p>
          <w:p w14:paraId="4947C902">
            <w:pPr>
              <w:pStyle w:val="18"/>
              <w:tabs>
                <w:tab w:val="center" w:pos="4153"/>
                <w:tab w:val="right" w:pos="8306"/>
                <w:tab w:val="clear" w:pos="4320"/>
                <w:tab w:val="clear" w:pos="8640"/>
              </w:tabs>
              <w:ind w:left="6000"/>
              <w:jc w:val="both"/>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highlight w:val="none"/>
              </w:rPr>
              <w:t>解释承包商对工作场所SEA/SA的零容忍政策</w:t>
            </w:r>
          </w:p>
          <w:p w14:paraId="7B948852">
            <w:pPr>
              <w:rPr>
                <w:rFonts w:hint="default" w:ascii="Times New Roman" w:hAnsi="Times New Roman" w:eastAsia="宋体" w:cs="Times New Roman"/>
                <w:i/>
                <w:color w:val="auto"/>
                <w:highlight w:val="none"/>
              </w:rPr>
            </w:pPr>
            <w:r>
              <w:rPr>
                <w:rFonts w:hint="default" w:ascii="Times New Roman" w:hAnsi="Times New Roman" w:eastAsia="宋体" w:cs="Times New Roman"/>
                <w:i/>
                <w:color w:val="auto"/>
                <w:sz w:val="21"/>
                <w:highlight w:val="none"/>
              </w:rPr>
              <w:t>例如：</w:t>
            </w:r>
          </w:p>
          <w:p w14:paraId="11D7F3ED">
            <w:pPr>
              <w:rPr>
                <w:rFonts w:hint="default" w:ascii="Times New Roman" w:hAnsi="Times New Roman" w:eastAsia="宋体" w:cs="Times New Roman"/>
                <w:i/>
                <w:color w:val="auto"/>
                <w:highlight w:val="none"/>
              </w:rPr>
            </w:pPr>
            <w:r>
              <w:rPr>
                <w:rFonts w:hint="default" w:ascii="Times New Roman" w:hAnsi="Times New Roman" w:eastAsia="宋体" w:cs="Times New Roman"/>
                <w:i/>
                <w:color w:val="auto"/>
                <w:sz w:val="21"/>
                <w:highlight w:val="none"/>
              </w:rPr>
              <w:t>始终以尊严和尊重的态度对待所有同事、客户、商业伙伴和其他利益相关者。</w:t>
            </w:r>
          </w:p>
          <w:p w14:paraId="27FAD4A0">
            <w:pPr>
              <w:rPr>
                <w:rFonts w:hint="default" w:ascii="Times New Roman" w:hAnsi="Times New Roman" w:eastAsia="宋体" w:cs="Times New Roman"/>
                <w:i/>
                <w:color w:val="auto"/>
                <w:highlight w:val="none"/>
              </w:rPr>
            </w:pPr>
            <w:r>
              <w:rPr>
                <w:rFonts w:hint="default" w:ascii="Times New Roman" w:hAnsi="Times New Roman" w:eastAsia="宋体" w:cs="Times New Roman"/>
                <w:i/>
                <w:color w:val="auto"/>
                <w:sz w:val="21"/>
                <w:highlight w:val="none"/>
              </w:rPr>
              <w:t>禁止任何形式的骚扰，包括身体骚扰、性骚扰、口头骚扰或其他骚扰，并对骚扰者作出纪律处分，严重地甚至包括解雇。</w:t>
            </w:r>
          </w:p>
          <w:p w14:paraId="06E80A36">
            <w:pPr>
              <w:rPr>
                <w:rFonts w:hint="default" w:ascii="Times New Roman" w:hAnsi="Times New Roman" w:eastAsia="宋体" w:cs="Times New Roman"/>
                <w:i/>
                <w:color w:val="auto"/>
                <w:highlight w:val="none"/>
              </w:rPr>
            </w:pPr>
            <w:r>
              <w:rPr>
                <w:rFonts w:hint="default" w:ascii="Times New Roman" w:hAnsi="Times New Roman" w:eastAsia="宋体" w:cs="Times New Roman"/>
                <w:i/>
                <w:color w:val="auto"/>
                <w:sz w:val="21"/>
                <w:highlight w:val="none"/>
              </w:rPr>
              <w:t>骚扰可能包括造成恐吓或敌对工作环境的行为、语言、文字或物体，例如：</w:t>
            </w:r>
          </w:p>
          <w:p w14:paraId="62D58B40">
            <w:pPr>
              <w:pStyle w:val="76"/>
              <w:numPr>
                <w:ilvl w:val="0"/>
                <w:numId w:val="50"/>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对某人大喊大叫或羞辱某人</w:t>
            </w:r>
          </w:p>
          <w:p w14:paraId="020C12D4">
            <w:pPr>
              <w:pStyle w:val="76"/>
              <w:numPr>
                <w:ilvl w:val="0"/>
                <w:numId w:val="50"/>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身体暴力或恐吓</w:t>
            </w:r>
          </w:p>
          <w:p w14:paraId="27C0F7D5">
            <w:pPr>
              <w:pStyle w:val="76"/>
              <w:numPr>
                <w:ilvl w:val="0"/>
                <w:numId w:val="50"/>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令人反感的性挑逗、邀请或评论</w:t>
            </w:r>
          </w:p>
          <w:p w14:paraId="40D36D7C">
            <w:pPr>
              <w:pStyle w:val="76"/>
              <w:numPr>
                <w:ilvl w:val="0"/>
                <w:numId w:val="50"/>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身体行为，包括殴打或令人反感的触摸</w:t>
            </w:r>
          </w:p>
          <w:p w14:paraId="6E4BE33C">
            <w:pPr>
              <w:pStyle w:val="76"/>
              <w:numPr>
                <w:ilvl w:val="0"/>
                <w:numId w:val="50"/>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尽量减少噪音、干扰和对居民造成的不便；</w:t>
            </w:r>
          </w:p>
          <w:p w14:paraId="0FE1332F">
            <w:pPr>
              <w:pStyle w:val="76"/>
              <w:numPr>
                <w:ilvl w:val="0"/>
                <w:numId w:val="50"/>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尊重并根据居民文化做出适当反应；</w:t>
            </w:r>
          </w:p>
          <w:p w14:paraId="63AA185B">
            <w:pPr>
              <w:pStyle w:val="76"/>
              <w:ind w:left="900"/>
              <w:jc w:val="both"/>
              <w:rPr>
                <w:rFonts w:hint="default" w:ascii="Times New Roman" w:hAnsi="Times New Roman" w:eastAsia="宋体" w:cs="Times New Roman"/>
                <w:i/>
                <w:color w:val="auto"/>
                <w:sz w:val="20"/>
                <w:highlight w:val="none"/>
              </w:rPr>
            </w:pPr>
          </w:p>
          <w:p w14:paraId="3719AF8A">
            <w:pPr>
              <w:pStyle w:val="76"/>
              <w:ind w:left="900"/>
              <w:jc w:val="both"/>
              <w:rPr>
                <w:rFonts w:hint="default" w:ascii="Times New Roman" w:hAnsi="Times New Roman" w:eastAsia="宋体" w:cs="Times New Roman"/>
                <w:i/>
                <w:color w:val="auto"/>
                <w:sz w:val="20"/>
                <w:szCs w:val="20"/>
                <w:highlight w:val="none"/>
              </w:rPr>
            </w:pPr>
          </w:p>
          <w:p w14:paraId="2C55D8BB">
            <w:pPr>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sz w:val="21"/>
                <w:highlight w:val="none"/>
              </w:rPr>
              <w:t>社区健康与安全</w:t>
            </w:r>
          </w:p>
          <w:p w14:paraId="23677CA5">
            <w:pPr>
              <w:pStyle w:val="18"/>
              <w:tabs>
                <w:tab w:val="center" w:pos="4153"/>
                <w:tab w:val="right" w:pos="8306"/>
                <w:tab w:val="clear" w:pos="4320"/>
                <w:tab w:val="clear" w:pos="8640"/>
              </w:tabs>
              <w:ind w:left="6000"/>
              <w:jc w:val="both"/>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highlight w:val="none"/>
              </w:rPr>
              <w:t>概述承包商对保护周围社区健康和安全的承诺</w:t>
            </w:r>
          </w:p>
          <w:p w14:paraId="45DD4902">
            <w:pPr>
              <w:rPr>
                <w:rFonts w:hint="default" w:ascii="Times New Roman" w:hAnsi="Times New Roman" w:eastAsia="宋体" w:cs="Times New Roman"/>
                <w:i/>
                <w:color w:val="auto"/>
                <w:highlight w:val="none"/>
              </w:rPr>
            </w:pPr>
            <w:r>
              <w:rPr>
                <w:rFonts w:hint="default" w:ascii="Times New Roman" w:hAnsi="Times New Roman" w:eastAsia="宋体" w:cs="Times New Roman"/>
                <w:i/>
                <w:color w:val="auto"/>
                <w:sz w:val="21"/>
                <w:highlight w:val="none"/>
              </w:rPr>
              <w:t>例如：</w:t>
            </w:r>
          </w:p>
          <w:p w14:paraId="5F97C7DD">
            <w:pPr>
              <w:rPr>
                <w:rFonts w:hint="default" w:ascii="Times New Roman" w:hAnsi="Times New Roman" w:eastAsia="宋体" w:cs="Times New Roman"/>
                <w:i/>
                <w:color w:val="auto"/>
                <w:highlight w:val="none"/>
              </w:rPr>
            </w:pPr>
            <w:r>
              <w:rPr>
                <w:rFonts w:hint="default" w:ascii="Times New Roman" w:hAnsi="Times New Roman" w:eastAsia="宋体" w:cs="Times New Roman"/>
                <w:i/>
                <w:color w:val="auto"/>
                <w:sz w:val="21"/>
                <w:highlight w:val="none"/>
              </w:rPr>
              <w:t>场地的运作方式不应对社区的健康和安全造成任何损害。您应始终采取以下措施：</w:t>
            </w:r>
          </w:p>
          <w:p w14:paraId="6383D1E2">
            <w:pPr>
              <w:pStyle w:val="76"/>
              <w:numPr>
                <w:ilvl w:val="0"/>
                <w:numId w:val="50"/>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披露项目信息、GRM和定期监测报告；</w:t>
            </w:r>
          </w:p>
          <w:p w14:paraId="1A900A5B">
            <w:pPr>
              <w:pStyle w:val="76"/>
              <w:numPr>
                <w:ilvl w:val="0"/>
                <w:numId w:val="50"/>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与居民，包括弱势居民进行协商；</w:t>
            </w:r>
          </w:p>
          <w:p w14:paraId="028A8617">
            <w:pPr>
              <w:pStyle w:val="76"/>
              <w:numPr>
                <w:ilvl w:val="0"/>
                <w:numId w:val="50"/>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始终保持礼貌和谦恭；</w:t>
            </w:r>
          </w:p>
          <w:p w14:paraId="1C713854">
            <w:pPr>
              <w:rPr>
                <w:rFonts w:hint="default" w:ascii="Times New Roman" w:hAnsi="Times New Roman" w:eastAsia="宋体" w:cs="Times New Roman"/>
                <w:i/>
                <w:color w:val="auto"/>
                <w:highlight w:val="none"/>
              </w:rPr>
            </w:pPr>
            <w:r>
              <w:rPr>
                <w:rFonts w:hint="default" w:ascii="Times New Roman" w:hAnsi="Times New Roman" w:eastAsia="宋体" w:cs="Times New Roman"/>
                <w:i/>
                <w:color w:val="auto"/>
                <w:sz w:val="21"/>
                <w:highlight w:val="none"/>
              </w:rPr>
              <w:t>不得：</w:t>
            </w:r>
          </w:p>
          <w:p w14:paraId="429151CA">
            <w:pPr>
              <w:pStyle w:val="76"/>
              <w:numPr>
                <w:ilvl w:val="0"/>
                <w:numId w:val="50"/>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使用攻击性语言，或做出大声或喧闹的行为；</w:t>
            </w:r>
          </w:p>
          <w:p w14:paraId="31736B88">
            <w:pPr>
              <w:pStyle w:val="76"/>
              <w:numPr>
                <w:ilvl w:val="0"/>
                <w:numId w:val="50"/>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评论地产、居民或其生活方式；</w:t>
            </w:r>
          </w:p>
          <w:p w14:paraId="11B4801B">
            <w:pPr>
              <w:pStyle w:val="76"/>
              <w:numPr>
                <w:ilvl w:val="0"/>
                <w:numId w:val="50"/>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乱动或虐待居民的动物或宠物；</w:t>
            </w:r>
          </w:p>
          <w:p w14:paraId="7BFC4759">
            <w:pPr>
              <w:pStyle w:val="76"/>
              <w:numPr>
                <w:ilvl w:val="0"/>
                <w:numId w:val="50"/>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未经事先许可，堵塞阻挠私人或公共车道、通道、十字路口、居民停车区或车辆，且时间超过必要时间；</w:t>
            </w:r>
          </w:p>
          <w:p w14:paraId="48136A45">
            <w:pPr>
              <w:pStyle w:val="76"/>
              <w:numPr>
                <w:ilvl w:val="0"/>
                <w:numId w:val="50"/>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未经居民事先许可，在居民不在场的情况下进入或留在有人居住或使用的场所；</w:t>
            </w:r>
          </w:p>
          <w:p w14:paraId="2BDE1493">
            <w:pPr>
              <w:pStyle w:val="76"/>
              <w:numPr>
                <w:ilvl w:val="0"/>
                <w:numId w:val="50"/>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未妥善遮蔽危险物品，如电线；</w:t>
            </w:r>
          </w:p>
          <w:p w14:paraId="7241CE7D">
            <w:pPr>
              <w:pStyle w:val="76"/>
              <w:numPr>
                <w:ilvl w:val="0"/>
                <w:numId w:val="50"/>
              </w:numPr>
              <w:ind w:left="900"/>
              <w:jc w:val="both"/>
              <w:rPr>
                <w:rFonts w:hint="default" w:ascii="Times New Roman" w:hAnsi="Times New Roman" w:eastAsia="宋体" w:cs="Times New Roman"/>
                <w:i/>
                <w:color w:val="auto"/>
                <w:sz w:val="20"/>
                <w:szCs w:val="20"/>
                <w:highlight w:val="none"/>
              </w:rPr>
            </w:pPr>
            <w:r>
              <w:rPr>
                <w:rFonts w:hint="default" w:ascii="Times New Roman" w:hAnsi="Times New Roman" w:eastAsia="宋体" w:cs="Times New Roman"/>
                <w:i/>
                <w:color w:val="auto"/>
                <w:sz w:val="20"/>
                <w:highlight w:val="none"/>
              </w:rPr>
              <w:t>在有争议的情况下，保持冷静和礼貌，如有任何问题，请向我们提出。请拨打电话......</w:t>
            </w:r>
          </w:p>
          <w:p w14:paraId="4656AAB1">
            <w:pPr>
              <w:rPr>
                <w:rFonts w:hint="default" w:ascii="Times New Roman" w:hAnsi="Times New Roman" w:eastAsia="宋体" w:cs="Times New Roman"/>
                <w:b/>
                <w:color w:val="auto"/>
                <w:sz w:val="21"/>
                <w:highlight w:val="none"/>
              </w:rPr>
            </w:pPr>
          </w:p>
          <w:p w14:paraId="3FF9D1A8">
            <w:pPr>
              <w:rPr>
                <w:rFonts w:hint="default" w:ascii="Times New Roman" w:hAnsi="Times New Roman" w:eastAsia="宋体" w:cs="Times New Roman"/>
                <w:b/>
                <w:color w:val="auto"/>
                <w:sz w:val="21"/>
                <w:highlight w:val="none"/>
              </w:rPr>
            </w:pPr>
          </w:p>
          <w:p w14:paraId="065C2CF2">
            <w:pPr>
              <w:rPr>
                <w:rFonts w:hint="default" w:ascii="Times New Roman" w:hAnsi="Times New Roman" w:eastAsia="宋体" w:cs="Times New Roman"/>
                <w:b/>
                <w:bCs/>
                <w:color w:val="auto"/>
                <w:highlight w:val="none"/>
              </w:rPr>
            </w:pPr>
            <w:r>
              <w:rPr>
                <w:rFonts w:hint="default" w:ascii="Times New Roman" w:hAnsi="Times New Roman" w:eastAsia="宋体" w:cs="Times New Roman"/>
                <w:b/>
                <w:color w:val="auto"/>
                <w:sz w:val="21"/>
                <w:highlight w:val="none"/>
              </w:rPr>
              <w:t>职业健康与安全</w:t>
            </w:r>
          </w:p>
          <w:p w14:paraId="7B05E5CB">
            <w:pPr>
              <w:pStyle w:val="18"/>
              <w:tabs>
                <w:tab w:val="center" w:pos="4153"/>
                <w:tab w:val="right" w:pos="8306"/>
                <w:tab w:val="clear" w:pos="4320"/>
                <w:tab w:val="clear" w:pos="8640"/>
              </w:tabs>
              <w:ind w:left="6000"/>
              <w:jc w:val="both"/>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highlight w:val="none"/>
              </w:rPr>
              <w:t>概述公司为员工提供安全与健康工作场所的承诺。</w:t>
            </w:r>
          </w:p>
          <w:p w14:paraId="5E141145">
            <w:pPr>
              <w:rPr>
                <w:rFonts w:hint="default" w:ascii="Times New Roman" w:hAnsi="Times New Roman" w:eastAsia="宋体" w:cs="Times New Roman"/>
                <w:i/>
                <w:color w:val="auto"/>
                <w:highlight w:val="none"/>
              </w:rPr>
            </w:pPr>
            <w:r>
              <w:rPr>
                <w:rFonts w:hint="default" w:ascii="Times New Roman" w:hAnsi="Times New Roman" w:eastAsia="宋体" w:cs="Times New Roman"/>
                <w:i/>
                <w:color w:val="auto"/>
                <w:sz w:val="21"/>
                <w:highlight w:val="none"/>
              </w:rPr>
              <w:t>例如：</w:t>
            </w:r>
          </w:p>
          <w:p w14:paraId="059B0130">
            <w:pPr>
              <w:rPr>
                <w:rFonts w:hint="default" w:ascii="Times New Roman" w:hAnsi="Times New Roman" w:eastAsia="宋体" w:cs="Times New Roman"/>
                <w:i/>
                <w:color w:val="auto"/>
                <w:highlight w:val="none"/>
              </w:rPr>
            </w:pPr>
            <w:r>
              <w:rPr>
                <w:rFonts w:hint="default" w:ascii="Times New Roman" w:hAnsi="Times New Roman" w:eastAsia="宋体" w:cs="Times New Roman"/>
                <w:i/>
                <w:color w:val="auto"/>
                <w:sz w:val="21"/>
                <w:highlight w:val="none"/>
              </w:rPr>
              <w:t>公司按照符合国内要求和ESS2要求的适用健康与安全要求运营，并努力持续改进其健康与安全政策和程序。</w:t>
            </w:r>
          </w:p>
          <w:p w14:paraId="2DAB3E52">
            <w:pPr>
              <w:rPr>
                <w:rFonts w:hint="default" w:ascii="Times New Roman" w:hAnsi="Times New Roman" w:eastAsia="宋体" w:cs="Times New Roman"/>
                <w:i/>
                <w:color w:val="auto"/>
                <w:highlight w:val="none"/>
              </w:rPr>
            </w:pPr>
            <w:r>
              <w:rPr>
                <w:rFonts w:hint="default" w:ascii="Times New Roman" w:hAnsi="Times New Roman" w:eastAsia="宋体" w:cs="Times New Roman"/>
                <w:i/>
                <w:color w:val="auto"/>
                <w:sz w:val="21"/>
                <w:highlight w:val="none"/>
              </w:rPr>
              <w:t>所有员工都应遵守适用的健康与安全法律、法规、制度和程序开展工作，并始终在所有地点应用安全工作实践。</w:t>
            </w:r>
          </w:p>
          <w:p w14:paraId="785109F5">
            <w:pPr>
              <w:rPr>
                <w:rFonts w:hint="default" w:ascii="Times New Roman" w:hAnsi="Times New Roman" w:eastAsia="宋体" w:cs="Times New Roman"/>
                <w:i/>
                <w:color w:val="auto"/>
                <w:highlight w:val="none"/>
              </w:rPr>
            </w:pPr>
            <w:r>
              <w:rPr>
                <w:rFonts w:hint="default" w:ascii="Times New Roman" w:hAnsi="Times New Roman" w:eastAsia="宋体" w:cs="Times New Roman"/>
                <w:i/>
                <w:color w:val="auto"/>
                <w:sz w:val="21"/>
                <w:highlight w:val="none"/>
              </w:rPr>
              <w:t>适用的安全与健康要求必须传达给任何公司所在地的访客或承包商。</w:t>
            </w:r>
          </w:p>
          <w:p w14:paraId="5ED295B3">
            <w:pPr>
              <w:rPr>
                <w:rFonts w:hint="default" w:ascii="Times New Roman" w:hAnsi="Times New Roman" w:eastAsia="宋体" w:cs="Times New Roman"/>
                <w:i/>
                <w:color w:val="auto"/>
                <w:highlight w:val="none"/>
              </w:rPr>
            </w:pPr>
            <w:r>
              <w:rPr>
                <w:rFonts w:hint="default" w:ascii="Times New Roman" w:hAnsi="Times New Roman" w:eastAsia="宋体" w:cs="Times New Roman"/>
                <w:i/>
                <w:color w:val="auto"/>
                <w:sz w:val="21"/>
                <w:highlight w:val="none"/>
              </w:rPr>
              <w:t>员工要立即报告工作场所的伤害、疾病或不安全状况。</w:t>
            </w:r>
          </w:p>
          <w:p w14:paraId="19E2E180">
            <w:pPr>
              <w:rPr>
                <w:rFonts w:hint="default" w:ascii="Times New Roman" w:hAnsi="Times New Roman" w:eastAsia="宋体" w:cs="Times New Roman"/>
                <w:color w:val="auto"/>
                <w:highlight w:val="none"/>
                <w:lang w:val="en-GB"/>
              </w:rPr>
            </w:pPr>
          </w:p>
          <w:p w14:paraId="2FB3737F">
            <w:pPr>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sz w:val="21"/>
                <w:highlight w:val="none"/>
              </w:rPr>
              <w:t>环境与社会风险管理</w:t>
            </w:r>
          </w:p>
          <w:p w14:paraId="75157F77">
            <w:pPr>
              <w:pStyle w:val="18"/>
              <w:tabs>
                <w:tab w:val="center" w:pos="4153"/>
                <w:tab w:val="right" w:pos="8306"/>
                <w:tab w:val="clear" w:pos="4320"/>
                <w:tab w:val="clear" w:pos="8640"/>
              </w:tabs>
              <w:ind w:left="6000"/>
              <w:jc w:val="both"/>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highlight w:val="none"/>
              </w:rPr>
              <w:t>概述公司将其所有活动对环境与社会的影响降至最低的承诺。</w:t>
            </w:r>
          </w:p>
          <w:p w14:paraId="3F860DF3">
            <w:pPr>
              <w:rPr>
                <w:rFonts w:hint="default" w:ascii="Times New Roman" w:hAnsi="Times New Roman" w:eastAsia="宋体" w:cs="Times New Roman"/>
                <w:i/>
                <w:color w:val="auto"/>
                <w:highlight w:val="none"/>
              </w:rPr>
            </w:pPr>
            <w:r>
              <w:rPr>
                <w:rFonts w:hint="default" w:ascii="Times New Roman" w:hAnsi="Times New Roman" w:eastAsia="宋体" w:cs="Times New Roman"/>
                <w:i/>
                <w:color w:val="auto"/>
                <w:sz w:val="21"/>
                <w:highlight w:val="none"/>
              </w:rPr>
              <w:t>例如：</w:t>
            </w:r>
          </w:p>
          <w:p w14:paraId="395393CA">
            <w:pPr>
              <w:rPr>
                <w:rFonts w:hint="default" w:ascii="Times New Roman" w:hAnsi="Times New Roman" w:eastAsia="宋体" w:cs="Times New Roman"/>
                <w:i/>
                <w:color w:val="auto"/>
                <w:highlight w:val="none"/>
              </w:rPr>
            </w:pPr>
            <w:r>
              <w:rPr>
                <w:rFonts w:hint="default" w:ascii="Times New Roman" w:hAnsi="Times New Roman" w:eastAsia="宋体" w:cs="Times New Roman"/>
                <w:i/>
                <w:color w:val="auto"/>
                <w:sz w:val="21"/>
                <w:highlight w:val="none"/>
              </w:rPr>
              <w:t>公司致力于以对环境负责的方式运营，包括废物运输及废物转移和处置、主要供应商选择等活动。</w:t>
            </w:r>
          </w:p>
          <w:p w14:paraId="18F01A26">
            <w:pPr>
              <w:rPr>
                <w:rFonts w:hint="default" w:ascii="Times New Roman" w:hAnsi="Times New Roman" w:eastAsia="宋体" w:cs="Times New Roman"/>
                <w:i/>
                <w:color w:val="auto"/>
                <w:highlight w:val="none"/>
              </w:rPr>
            </w:pPr>
            <w:r>
              <w:rPr>
                <w:rFonts w:hint="default" w:ascii="Times New Roman" w:hAnsi="Times New Roman" w:eastAsia="宋体" w:cs="Times New Roman"/>
                <w:i/>
                <w:color w:val="auto"/>
                <w:sz w:val="21"/>
                <w:highlight w:val="none"/>
              </w:rPr>
              <w:t>公司遵守所有适用的环境法律法规，以及对可持续实践和环境保护的承诺。</w:t>
            </w:r>
          </w:p>
          <w:p w14:paraId="64BDB3F9">
            <w:pPr>
              <w:rPr>
                <w:rFonts w:hint="default" w:ascii="Times New Roman" w:hAnsi="Times New Roman" w:eastAsia="宋体" w:cs="Times New Roman"/>
                <w:i/>
                <w:color w:val="auto"/>
                <w:highlight w:val="none"/>
              </w:rPr>
            </w:pPr>
            <w:r>
              <w:rPr>
                <w:rFonts w:hint="default" w:ascii="Times New Roman" w:hAnsi="Times New Roman" w:eastAsia="宋体" w:cs="Times New Roman"/>
                <w:i/>
                <w:color w:val="auto"/>
                <w:sz w:val="21"/>
                <w:highlight w:val="none"/>
              </w:rPr>
              <w:t>强迫劳动：公司及其主要供应商雇用的所有员工应出于自愿劳动，不得强迫任何人劳动。</w:t>
            </w:r>
          </w:p>
          <w:p w14:paraId="4063D725">
            <w:pPr>
              <w:rPr>
                <w:rFonts w:hint="default" w:ascii="Times New Roman" w:hAnsi="Times New Roman" w:eastAsia="宋体" w:cs="Times New Roman"/>
                <w:i/>
                <w:color w:val="auto"/>
                <w:highlight w:val="none"/>
              </w:rPr>
            </w:pPr>
            <w:r>
              <w:rPr>
                <w:rFonts w:hint="default" w:ascii="Times New Roman" w:hAnsi="Times New Roman" w:eastAsia="宋体" w:cs="Times New Roman"/>
                <w:i/>
                <w:color w:val="auto"/>
                <w:sz w:val="21"/>
                <w:highlight w:val="none"/>
              </w:rPr>
              <w:t>童工：公司不得雇用低于其工作所在国最低法定工作年龄（本项目中为16岁）的人员。</w:t>
            </w:r>
          </w:p>
          <w:p w14:paraId="74AB7565">
            <w:pPr>
              <w:rPr>
                <w:rFonts w:hint="default" w:ascii="Times New Roman" w:hAnsi="Times New Roman" w:eastAsia="宋体" w:cs="Times New Roman"/>
                <w:color w:val="auto"/>
                <w:highlight w:val="none"/>
              </w:rPr>
            </w:pPr>
          </w:p>
          <w:p w14:paraId="2CC262C7">
            <w:pP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sz w:val="21"/>
                <w:highlight w:val="none"/>
              </w:rPr>
              <w:t>行为准则确认</w:t>
            </w:r>
          </w:p>
          <w:p w14:paraId="5B200222">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highlight w:val="none"/>
              </w:rPr>
              <w:t>通过核证公司行为准则，您承认：</w:t>
            </w:r>
          </w:p>
          <w:p w14:paraId="238F21BB">
            <w:pPr>
              <w:rPr>
                <w:rFonts w:hint="default" w:ascii="Times New Roman" w:hAnsi="Times New Roman" w:eastAsia="宋体" w:cs="Times New Roman"/>
                <w:i/>
                <w:color w:val="auto"/>
                <w:highlight w:val="none"/>
              </w:rPr>
            </w:pPr>
            <w:r>
              <w:rPr>
                <w:rFonts w:hint="default" w:ascii="Times New Roman" w:hAnsi="Times New Roman" w:eastAsia="宋体" w:cs="Times New Roman"/>
                <w:i/>
                <w:color w:val="auto"/>
                <w:sz w:val="21"/>
                <w:highlight w:val="none"/>
              </w:rPr>
              <w:t>例如：</w:t>
            </w:r>
          </w:p>
          <w:p w14:paraId="51D2747A">
            <w:pPr>
              <w:widowControl w:val="0"/>
              <w:numPr>
                <w:ilvl w:val="0"/>
                <w:numId w:val="51"/>
              </w:numPr>
              <w:jc w:val="both"/>
              <w:rPr>
                <w:rFonts w:hint="default" w:ascii="Times New Roman" w:hAnsi="Times New Roman" w:eastAsia="宋体" w:cs="Times New Roman"/>
                <w:i/>
                <w:color w:val="auto"/>
                <w:highlight w:val="none"/>
              </w:rPr>
            </w:pPr>
            <w:r>
              <w:rPr>
                <w:rFonts w:hint="default" w:ascii="Times New Roman" w:hAnsi="Times New Roman" w:eastAsia="宋体" w:cs="Times New Roman"/>
                <w:i/>
                <w:color w:val="auto"/>
                <w:sz w:val="21"/>
                <w:highlight w:val="none"/>
              </w:rPr>
              <w:t>您已经完整阅读了行为准则，并理解了与之相关的责任。</w:t>
            </w:r>
          </w:p>
          <w:p w14:paraId="00352001">
            <w:pPr>
              <w:widowControl w:val="0"/>
              <w:numPr>
                <w:ilvl w:val="0"/>
                <w:numId w:val="51"/>
              </w:numPr>
              <w:jc w:val="both"/>
              <w:rPr>
                <w:rFonts w:hint="default" w:ascii="Times New Roman" w:hAnsi="Times New Roman" w:eastAsia="宋体" w:cs="Times New Roman"/>
                <w:i/>
                <w:color w:val="auto"/>
                <w:highlight w:val="none"/>
              </w:rPr>
            </w:pPr>
            <w:r>
              <w:rPr>
                <w:rFonts w:hint="default" w:ascii="Times New Roman" w:hAnsi="Times New Roman" w:eastAsia="宋体" w:cs="Times New Roman"/>
                <w:i/>
                <w:color w:val="auto"/>
                <w:sz w:val="21"/>
                <w:highlight w:val="none"/>
              </w:rPr>
              <w:t>您有机会提问弄清准则中任何尚不明确的内容。</w:t>
            </w:r>
          </w:p>
          <w:p w14:paraId="4D855786">
            <w:pPr>
              <w:widowControl w:val="0"/>
              <w:numPr>
                <w:ilvl w:val="0"/>
                <w:numId w:val="51"/>
              </w:numPr>
              <w:jc w:val="both"/>
              <w:rPr>
                <w:rFonts w:hint="default" w:ascii="Times New Roman" w:hAnsi="Times New Roman" w:eastAsia="宋体" w:cs="Times New Roman"/>
                <w:i/>
                <w:color w:val="auto"/>
                <w:highlight w:val="none"/>
              </w:rPr>
            </w:pPr>
            <w:r>
              <w:rPr>
                <w:rFonts w:hint="default" w:ascii="Times New Roman" w:hAnsi="Times New Roman" w:eastAsia="宋体" w:cs="Times New Roman"/>
                <w:i/>
                <w:color w:val="auto"/>
                <w:sz w:val="21"/>
                <w:highlight w:val="none"/>
              </w:rPr>
              <w:t>你同意遵守其规定。</w:t>
            </w:r>
          </w:p>
          <w:p w14:paraId="6E551D26">
            <w:pPr>
              <w:widowControl w:val="0"/>
              <w:numPr>
                <w:ilvl w:val="0"/>
                <w:numId w:val="51"/>
              </w:numPr>
              <w:jc w:val="both"/>
              <w:rPr>
                <w:rFonts w:hint="default" w:ascii="Times New Roman" w:hAnsi="Times New Roman" w:eastAsia="宋体" w:cs="Times New Roman"/>
                <w:i/>
                <w:color w:val="auto"/>
                <w:highlight w:val="none"/>
              </w:rPr>
            </w:pPr>
            <w:r>
              <w:rPr>
                <w:rFonts w:hint="default" w:ascii="Times New Roman" w:hAnsi="Times New Roman" w:eastAsia="宋体" w:cs="Times New Roman"/>
                <w:i/>
                <w:color w:val="auto"/>
                <w:sz w:val="21"/>
                <w:highlight w:val="none"/>
              </w:rPr>
              <w:t>您同意向公司报告任何违反本准则的行为。</w:t>
            </w:r>
          </w:p>
          <w:p w14:paraId="2EF090C9">
            <w:pPr>
              <w:snapToGrid w:val="0"/>
              <w:rPr>
                <w:rFonts w:hint="default" w:ascii="Times New Roman" w:hAnsi="Times New Roman" w:eastAsia="宋体" w:cs="Times New Roman"/>
                <w:color w:val="auto"/>
                <w:highlight w:val="none"/>
                <w:lang w:bidi="en-US"/>
              </w:rPr>
            </w:pPr>
            <w:r>
              <w:rPr>
                <w:rFonts w:hint="default" w:ascii="Times New Roman" w:hAnsi="Times New Roman" w:eastAsia="宋体" w:cs="Times New Roman"/>
                <w:i/>
                <w:color w:val="auto"/>
                <w:sz w:val="21"/>
                <w:highlight w:val="none"/>
              </w:rPr>
              <w:t>您同意配合针对本准则违反情况的任何调查。</w:t>
            </w:r>
          </w:p>
        </w:tc>
      </w:tr>
    </w:tbl>
    <w:p w14:paraId="22242866">
      <w:pPr>
        <w:snapToGrid w:val="0"/>
        <w:spacing w:before="120" w:beforeLines="50" w:after="120" w:afterLines="5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highlight w:val="none"/>
        </w:rPr>
        <w:t>注：项目办/项目执行机构可采用相关要素，以适应特定子项目或活动的特定背景和需求。</w:t>
      </w:r>
    </w:p>
    <w:p w14:paraId="5FE295F5">
      <w:pPr>
        <w:snapToGrid w:val="0"/>
        <w:spacing w:before="120" w:beforeLines="50" w:after="120" w:afterLines="50" w:line="276" w:lineRule="auto"/>
        <w:ind w:firstLine="482" w:firstLineChars="200"/>
        <w:rPr>
          <w:rFonts w:hint="default" w:ascii="Times New Roman" w:hAnsi="Times New Roman" w:eastAsia="宋体" w:cs="Times New Roman"/>
          <w:b/>
          <w:bCs/>
          <w:color w:val="auto"/>
          <w:highlight w:val="none"/>
          <w:u w:val="single"/>
        </w:rPr>
      </w:pPr>
      <w:r>
        <w:rPr>
          <w:rFonts w:hint="default" w:ascii="Times New Roman" w:hAnsi="Times New Roman" w:eastAsia="宋体" w:cs="Times New Roman"/>
          <w:b/>
          <w:bCs/>
          <w:color w:val="auto"/>
          <w:highlight w:val="none"/>
          <w:u w:val="single"/>
        </w:rPr>
        <w:t>采购与合同管理</w:t>
      </w:r>
    </w:p>
    <w:p w14:paraId="03B49031">
      <w:pPr>
        <w:snapToGrid w:val="0"/>
        <w:spacing w:before="120" w:beforeLines="50" w:after="120" w:afterLines="50" w:line="276"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与选定承包商的合同将包括《环境与社会标准》和中国法规中有关劳动和职业健康与安全的规定。</w:t>
      </w:r>
    </w:p>
    <w:p w14:paraId="254EB6A5">
      <w:pPr>
        <w:snapToGrid w:val="0"/>
        <w:spacing w:before="120" w:beforeLines="50" w:after="120" w:afterLines="50" w:line="276" w:lineRule="auto"/>
        <w:ind w:firstLine="482"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项目办</w:t>
      </w:r>
      <w:r>
        <w:rPr>
          <w:rFonts w:hint="default" w:ascii="Times New Roman" w:hAnsi="Times New Roman" w:eastAsia="宋体" w:cs="Times New Roman"/>
          <w:color w:val="auto"/>
          <w:highlight w:val="none"/>
        </w:rPr>
        <w:t>将指导</w:t>
      </w:r>
      <w:r>
        <w:rPr>
          <w:rFonts w:hint="default" w:ascii="Times New Roman" w:hAnsi="Times New Roman" w:eastAsia="宋体" w:cs="Times New Roman"/>
          <w:color w:val="auto"/>
          <w:highlight w:val="none"/>
          <w:u w:val="single"/>
        </w:rPr>
        <w:t>执行机构</w:t>
      </w:r>
      <w:r>
        <w:rPr>
          <w:rFonts w:hint="default" w:ascii="Times New Roman" w:hAnsi="Times New Roman" w:eastAsia="宋体" w:cs="Times New Roman"/>
          <w:color w:val="auto"/>
          <w:highlight w:val="none"/>
        </w:rPr>
        <w:t>编制招标采购文件的相关劳动者管理的条款，比如，在招标采购文件中要按照亚投行ESF的要求，落实承包商在合同工人管理相应的上述职责，包括劳动者雇佣条款和工作条件、职业健康安全（含传染病防控措施）以及申诉机制，并将相关条款纳入合同管理（包括不合规项的补救措施）。在分包的情况下，借款人将要求第三方将同等的要求和不合规补救措施包括在其与分包商的合同协议中。</w:t>
      </w:r>
    </w:p>
    <w:p w14:paraId="70D97B48">
      <w:pPr>
        <w:snapToGrid w:val="0"/>
        <w:spacing w:before="120" w:beforeLines="50" w:after="120" w:afterLines="50" w:line="276" w:lineRule="auto"/>
        <w:ind w:firstLine="482" w:firstLineChars="200"/>
        <w:rPr>
          <w:rFonts w:hint="default" w:ascii="Times New Roman" w:hAnsi="Times New Roman" w:eastAsia="宋体" w:cs="Times New Roman"/>
          <w:b/>
          <w:bCs/>
          <w:color w:val="auto"/>
          <w:highlight w:val="none"/>
          <w:u w:val="single"/>
        </w:rPr>
      </w:pPr>
      <w:r>
        <w:rPr>
          <w:rFonts w:hint="default" w:ascii="Times New Roman" w:hAnsi="Times New Roman" w:eastAsia="宋体" w:cs="Times New Roman"/>
          <w:b/>
          <w:bCs/>
          <w:color w:val="auto"/>
          <w:highlight w:val="none"/>
          <w:u w:val="single"/>
        </w:rPr>
        <w:t>监测与报告</w:t>
      </w:r>
    </w:p>
    <w:p w14:paraId="05A18B2A">
      <w:pPr>
        <w:snapToGrid w:val="0"/>
        <w:spacing w:before="120" w:beforeLines="50" w:after="120" w:afterLines="50" w:line="276"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承包商的劳动者管理绩效，包括申诉机制的建设和落实情况纳入执行机构的内部监测和项目办的外部监测。</w:t>
      </w:r>
    </w:p>
    <w:p w14:paraId="29013C13">
      <w:pPr>
        <w:snapToGrid w:val="0"/>
        <w:spacing w:before="120" w:beforeLines="50" w:after="120" w:afterLines="50" w:line="276"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相关项目办将管理和监督承包商的工作表现，重点关注承包商遵守其合同协议的情况。这可能包括定期审计，检查、抽查项目地点或工作现场，和/或承包商编制的劳动管理记录和报告。承包商的劳工管理绩效应作为向亚投行提交的项目实施进度报告的一部分。</w:t>
      </w:r>
    </w:p>
    <w:p w14:paraId="3085A277">
      <w:pPr>
        <w:snapToGrid w:val="0"/>
        <w:spacing w:before="120" w:beforeLines="50" w:after="120" w:afterLines="50" w:line="276"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承包商劳工管理监测的内容及报告可能包括（但不限于）：</w:t>
      </w:r>
    </w:p>
    <w:p w14:paraId="012AFAC5">
      <w:pPr>
        <w:pStyle w:val="76"/>
        <w:numPr>
          <w:ilvl w:val="0"/>
          <w:numId w:val="45"/>
        </w:numPr>
        <w:adjustRightInd w:val="0"/>
        <w:snapToGrid w:val="0"/>
        <w:spacing w:before="60" w:after="60" w:line="276" w:lineRule="auto"/>
        <w:ind w:left="879" w:hanging="32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承包商与合同工人之间的劳动合同或协议的代表性样本；</w:t>
      </w:r>
    </w:p>
    <w:p w14:paraId="3AD958A6">
      <w:pPr>
        <w:pStyle w:val="76"/>
        <w:numPr>
          <w:ilvl w:val="0"/>
          <w:numId w:val="45"/>
        </w:numPr>
        <w:adjustRightInd w:val="0"/>
        <w:snapToGrid w:val="0"/>
        <w:spacing w:before="60" w:after="60" w:line="276" w:lineRule="auto"/>
        <w:ind w:left="879" w:hanging="32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工资发放记录；</w:t>
      </w:r>
    </w:p>
    <w:p w14:paraId="3BF1DAC3">
      <w:pPr>
        <w:pStyle w:val="76"/>
        <w:numPr>
          <w:ilvl w:val="0"/>
          <w:numId w:val="45"/>
        </w:numPr>
        <w:adjustRightInd w:val="0"/>
        <w:snapToGrid w:val="0"/>
        <w:spacing w:before="60" w:after="60" w:line="276" w:lineRule="auto"/>
        <w:ind w:left="879" w:hanging="32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休息日的安排；</w:t>
      </w:r>
    </w:p>
    <w:p w14:paraId="06A9E9DF">
      <w:pPr>
        <w:pStyle w:val="76"/>
        <w:numPr>
          <w:ilvl w:val="0"/>
          <w:numId w:val="45"/>
        </w:numPr>
        <w:adjustRightInd w:val="0"/>
        <w:snapToGrid w:val="0"/>
        <w:spacing w:before="60" w:after="60" w:line="276" w:lineRule="auto"/>
        <w:ind w:left="879" w:hanging="32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劳保用品发放的记录；</w:t>
      </w:r>
    </w:p>
    <w:p w14:paraId="3608CC53">
      <w:pPr>
        <w:pStyle w:val="76"/>
        <w:numPr>
          <w:ilvl w:val="0"/>
          <w:numId w:val="45"/>
        </w:numPr>
        <w:adjustRightInd w:val="0"/>
        <w:snapToGrid w:val="0"/>
        <w:spacing w:before="60" w:after="60" w:line="276" w:lineRule="auto"/>
        <w:ind w:left="879" w:hanging="32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为合同工提供的相关培训，尤其是关于劳工与工作条件以及职业健康与安全方面的培训记录；</w:t>
      </w:r>
    </w:p>
    <w:p w14:paraId="6E416AB2">
      <w:pPr>
        <w:pStyle w:val="76"/>
        <w:numPr>
          <w:ilvl w:val="0"/>
          <w:numId w:val="45"/>
        </w:numPr>
        <w:adjustRightInd w:val="0"/>
        <w:snapToGrid w:val="0"/>
        <w:spacing w:before="120" w:beforeLines="50" w:after="120" w:afterLines="50" w:line="276" w:lineRule="auto"/>
        <w:ind w:left="879" w:hanging="32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收到的申诉及其解决相关的记录（包括恰当处理SEA/SH指控的记录）；</w:t>
      </w:r>
    </w:p>
    <w:p w14:paraId="70BFF396">
      <w:pPr>
        <w:pStyle w:val="76"/>
        <w:numPr>
          <w:ilvl w:val="0"/>
          <w:numId w:val="45"/>
        </w:numPr>
        <w:adjustRightInd w:val="0"/>
        <w:snapToGrid w:val="0"/>
        <w:spacing w:before="120" w:beforeLines="50" w:after="120" w:afterLines="50" w:line="276" w:lineRule="auto"/>
        <w:ind w:left="879" w:hanging="32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安全检查有关的报告，包括死亡和事故以及整改措施的实施。</w:t>
      </w:r>
    </w:p>
    <w:p w14:paraId="4325B191">
      <w:pPr>
        <w:pStyle w:val="76"/>
        <w:numPr>
          <w:ilvl w:val="0"/>
          <w:numId w:val="45"/>
        </w:numPr>
        <w:adjustRightInd w:val="0"/>
        <w:snapToGrid w:val="0"/>
        <w:spacing w:before="120" w:beforeLines="50" w:after="120" w:afterLines="50" w:line="276" w:lineRule="auto"/>
        <w:ind w:left="879" w:hanging="32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提供的培训的记录。</w:t>
      </w:r>
    </w:p>
    <w:p w14:paraId="10A1AE19">
      <w:pPr>
        <w:pStyle w:val="76"/>
        <w:adjustRightInd w:val="0"/>
        <w:snapToGrid w:val="0"/>
        <w:spacing w:before="120" w:beforeLines="50" w:after="120" w:afterLines="50" w:line="276" w:lineRule="auto"/>
        <w:ind w:left="0"/>
        <w:rPr>
          <w:rFonts w:hint="default" w:ascii="Times New Roman" w:hAnsi="Times New Roman" w:eastAsia="宋体" w:cs="Times New Roman"/>
          <w:color w:val="auto"/>
          <w:highlight w:val="none"/>
        </w:rPr>
      </w:pPr>
    </w:p>
    <w:p w14:paraId="29948E58">
      <w:pPr>
        <w:pStyle w:val="76"/>
        <w:numPr>
          <w:ilvl w:val="0"/>
          <w:numId w:val="40"/>
        </w:numPr>
        <w:spacing w:before="120" w:beforeLines="50" w:after="120" w:afterLines="50" w:line="276" w:lineRule="auto"/>
        <w:ind w:left="426"/>
        <w:rPr>
          <w:rFonts w:hint="default" w:ascii="Times New Roman" w:hAnsi="Times New Roman" w:eastAsia="宋体" w:cs="Times New Roman"/>
          <w:b/>
          <w:color w:val="auto"/>
          <w:highlight w:val="none"/>
        </w:rPr>
      </w:pPr>
      <w:bookmarkStart w:id="515" w:name="_Toc25348"/>
      <w:r>
        <w:rPr>
          <w:rFonts w:hint="default" w:ascii="Times New Roman" w:hAnsi="Times New Roman" w:eastAsia="宋体" w:cs="Times New Roman"/>
          <w:b/>
          <w:color w:val="auto"/>
          <w:highlight w:val="none"/>
        </w:rPr>
        <w:t>主要供应商工人管理</w:t>
      </w:r>
    </w:p>
    <w:p w14:paraId="679AF2F8">
      <w:pPr>
        <w:snapToGrid w:val="0"/>
        <w:spacing w:before="120" w:beforeLines="50" w:after="120" w:afterLines="50" w:line="276" w:lineRule="auto"/>
        <w:ind w:firstLine="480" w:firstLineChars="200"/>
        <w:rPr>
          <w:rFonts w:hint="default" w:ascii="Times New Roman" w:hAnsi="Times New Roman" w:eastAsia="宋体" w:cs="Times New Roman"/>
          <w:color w:val="auto"/>
          <w:highlight w:val="none"/>
          <w:lang w:bidi="en-US"/>
        </w:rPr>
      </w:pPr>
      <w:r>
        <w:rPr>
          <w:rFonts w:hint="default" w:ascii="Times New Roman" w:hAnsi="Times New Roman" w:eastAsia="宋体" w:cs="Times New Roman"/>
          <w:color w:val="auto"/>
          <w:highlight w:val="none"/>
          <w:lang w:bidi="en-US"/>
        </w:rPr>
        <w:t>本节主要根据社评的发现，简要说明项目建设期间可能涉及的主要供应商，并对供应管理的要求进行说明。</w:t>
      </w:r>
    </w:p>
    <w:p w14:paraId="66716A85">
      <w:pPr>
        <w:snapToGrid w:val="0"/>
        <w:spacing w:before="120" w:beforeLines="50" w:after="120" w:afterLines="50" w:line="276" w:lineRule="auto"/>
        <w:ind w:firstLine="482" w:firstLineChars="200"/>
        <w:rPr>
          <w:rFonts w:hint="default" w:ascii="Times New Roman" w:hAnsi="Times New Roman" w:eastAsia="宋体" w:cs="Times New Roman"/>
          <w:b/>
          <w:bCs/>
          <w:color w:val="auto"/>
          <w:highlight w:val="none"/>
          <w:lang w:bidi="en-US"/>
        </w:rPr>
      </w:pPr>
      <w:r>
        <w:rPr>
          <w:rFonts w:hint="default" w:ascii="Times New Roman" w:hAnsi="Times New Roman" w:eastAsia="宋体" w:cs="Times New Roman"/>
          <w:b/>
          <w:bCs/>
          <w:color w:val="auto"/>
          <w:highlight w:val="none"/>
          <w:lang w:bidi="en-US"/>
        </w:rPr>
        <w:t>（1）主要供应商职责要求</w:t>
      </w:r>
    </w:p>
    <w:p w14:paraId="05BAB328">
      <w:pPr>
        <w:snapToGrid w:val="0"/>
        <w:spacing w:before="120" w:beforeLines="50" w:after="120" w:afterLines="50" w:line="276"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主要供应商需承担以下责任（但不限于）：</w:t>
      </w:r>
    </w:p>
    <w:p w14:paraId="61D655F8">
      <w:pPr>
        <w:pStyle w:val="76"/>
        <w:numPr>
          <w:ilvl w:val="0"/>
          <w:numId w:val="45"/>
        </w:numPr>
        <w:adjustRightInd w:val="0"/>
        <w:snapToGrid w:val="0"/>
        <w:spacing w:before="120" w:beforeLines="50" w:after="120" w:afterLines="50" w:line="276" w:lineRule="auto"/>
        <w:ind w:hanging="4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主要供应商</w:t>
      </w:r>
      <w:r>
        <w:rPr>
          <w:rFonts w:hint="default" w:ascii="Times New Roman" w:hAnsi="Times New Roman" w:eastAsia="宋体" w:cs="Times New Roman"/>
          <w:color w:val="auto"/>
          <w:highlight w:val="none"/>
          <w:u w:val="single"/>
        </w:rPr>
        <w:t>在招投标时，</w:t>
      </w:r>
      <w:r>
        <w:rPr>
          <w:rFonts w:hint="default" w:ascii="Times New Roman" w:hAnsi="Times New Roman" w:eastAsia="宋体" w:cs="Times New Roman"/>
          <w:color w:val="auto"/>
          <w:highlight w:val="none"/>
        </w:rPr>
        <w:t>向执行机构提交针对代理商、货物生产厂商的</w:t>
      </w:r>
      <w:r>
        <w:rPr>
          <w:rFonts w:hint="default" w:ascii="Times New Roman" w:hAnsi="Times New Roman" w:eastAsia="宋体" w:cs="Times New Roman"/>
          <w:color w:val="auto"/>
          <w:highlight w:val="none"/>
          <w:u w:val="single"/>
        </w:rPr>
        <w:t>劳动者尽职调查报告</w:t>
      </w:r>
      <w:r>
        <w:rPr>
          <w:rFonts w:hint="default" w:ascii="Times New Roman" w:hAnsi="Times New Roman" w:eastAsia="宋体" w:cs="Times New Roman"/>
          <w:color w:val="auto"/>
          <w:highlight w:val="none"/>
        </w:rPr>
        <w:t>，其内容应包括：①与劳工管理有关的制度性文件，包括OHS问题，非歧视原则、工作场所预防SEA/SH的规定等；②劳动者的合同模板；③工人最小年龄；④生产厂商是否存在工人在非自愿情况下提供相关的任何工作；⑤工作时间及工资水平；⑥公共记录信息，例如与违反现有劳动法规定的有关公司登记材料和公共文件，包括劳动监察机构和其他执法机构的报告；</w:t>
      </w:r>
    </w:p>
    <w:p w14:paraId="3D091FD6">
      <w:pPr>
        <w:pStyle w:val="76"/>
        <w:numPr>
          <w:ilvl w:val="0"/>
          <w:numId w:val="45"/>
        </w:numPr>
        <w:adjustRightInd w:val="0"/>
        <w:snapToGrid w:val="0"/>
        <w:spacing w:before="120" w:beforeLines="50" w:after="120" w:afterLines="50" w:line="276" w:lineRule="auto"/>
        <w:ind w:hanging="4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确保所有主要供应商雇用的劳动者在开始工作前了解并签署[其已知]工作要求[的文件]；</w:t>
      </w:r>
    </w:p>
    <w:p w14:paraId="3E246416">
      <w:pPr>
        <w:pStyle w:val="76"/>
        <w:numPr>
          <w:ilvl w:val="0"/>
          <w:numId w:val="45"/>
        </w:numPr>
        <w:adjustRightInd w:val="0"/>
        <w:snapToGrid w:val="0"/>
        <w:spacing w:before="120" w:beforeLines="50" w:after="120" w:afterLines="50" w:line="276" w:lineRule="auto"/>
        <w:ind w:hanging="4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如有需要，更新其劳工管理程序。</w:t>
      </w:r>
    </w:p>
    <w:p w14:paraId="4A6D5C73">
      <w:pPr>
        <w:snapToGrid w:val="0"/>
        <w:spacing w:before="120" w:beforeLines="50" w:after="120" w:afterLines="50" w:line="276" w:lineRule="auto"/>
        <w:ind w:firstLine="482"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（2）项目办和执行机构对承包商的管理</w:t>
      </w:r>
    </w:p>
    <w:p w14:paraId="709A2F15">
      <w:pPr>
        <w:snapToGrid w:val="0"/>
        <w:spacing w:before="120" w:beforeLines="50" w:after="120" w:afterLines="50" w:line="276"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项目办将对主要供应商的资质等进行审查，并要求项目的所有承包商以符合亚投行ESF和《环境与社会管理计划》中规定的具体要求的方式运作。</w:t>
      </w:r>
    </w:p>
    <w:p w14:paraId="3EE935E7">
      <w:pPr>
        <w:snapToGrid w:val="0"/>
        <w:spacing w:before="120" w:beforeLines="50" w:after="120" w:afterLines="50" w:line="276" w:lineRule="auto"/>
        <w:ind w:firstLine="482" w:firstLineChars="200"/>
        <w:rPr>
          <w:rFonts w:hint="default" w:ascii="Times New Roman" w:hAnsi="Times New Roman" w:eastAsia="宋体" w:cs="Times New Roman"/>
          <w:b/>
          <w:bCs/>
          <w:color w:val="auto"/>
          <w:highlight w:val="none"/>
          <w:u w:val="single"/>
        </w:rPr>
      </w:pPr>
      <w:r>
        <w:rPr>
          <w:rFonts w:hint="default" w:ascii="Times New Roman" w:hAnsi="Times New Roman" w:eastAsia="宋体" w:cs="Times New Roman"/>
          <w:b/>
          <w:bCs/>
          <w:color w:val="auto"/>
          <w:highlight w:val="none"/>
          <w:u w:val="single"/>
        </w:rPr>
        <w:t>资格审查</w:t>
      </w:r>
    </w:p>
    <w:p w14:paraId="0FD18FB3">
      <w:pPr>
        <w:snapToGrid w:val="0"/>
        <w:spacing w:before="120" w:beforeLines="50" w:after="120" w:afterLines="50" w:line="276"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作为选择雇佣主要供应商过程的一部分，</w:t>
      </w:r>
      <w:r>
        <w:rPr>
          <w:rFonts w:hint="default" w:ascii="Times New Roman" w:hAnsi="Times New Roman" w:eastAsia="宋体" w:cs="Times New Roman"/>
          <w:b/>
          <w:bCs/>
          <w:color w:val="auto"/>
          <w:highlight w:val="none"/>
          <w:u w:val="single"/>
        </w:rPr>
        <w:t>项目办和执行机构</w:t>
      </w:r>
      <w:r>
        <w:rPr>
          <w:rFonts w:hint="default" w:ascii="Times New Roman" w:hAnsi="Times New Roman" w:eastAsia="宋体" w:cs="Times New Roman"/>
          <w:color w:val="auto"/>
          <w:highlight w:val="none"/>
        </w:rPr>
        <w:t>将审查以下信息：</w:t>
      </w:r>
    </w:p>
    <w:p w14:paraId="02EC7B49">
      <w:pPr>
        <w:pStyle w:val="76"/>
        <w:numPr>
          <w:ilvl w:val="0"/>
          <w:numId w:val="45"/>
        </w:numPr>
        <w:adjustRightInd w:val="0"/>
        <w:snapToGrid w:val="0"/>
        <w:spacing w:before="120" w:beforeLines="50" w:after="120" w:afterLines="50" w:line="276" w:lineRule="auto"/>
        <w:ind w:hanging="4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营业执照、工商注册、相关许可和批准等手续；</w:t>
      </w:r>
    </w:p>
    <w:p w14:paraId="3A4A4E04">
      <w:pPr>
        <w:pStyle w:val="76"/>
        <w:numPr>
          <w:ilvl w:val="0"/>
          <w:numId w:val="45"/>
        </w:numPr>
        <w:adjustRightInd w:val="0"/>
        <w:snapToGrid w:val="0"/>
        <w:spacing w:before="120" w:beforeLines="50" w:after="120" w:afterLines="50" w:line="276" w:lineRule="auto"/>
        <w:ind w:hanging="4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审查主要供应商提交的关于货物生产厂商的劳动者尽职调查报告，同时提交亚投行审查；</w:t>
      </w:r>
    </w:p>
    <w:p w14:paraId="4AFE22E0">
      <w:pPr>
        <w:pStyle w:val="76"/>
        <w:numPr>
          <w:ilvl w:val="0"/>
          <w:numId w:val="45"/>
        </w:numPr>
        <w:adjustRightInd w:val="0"/>
        <w:snapToGrid w:val="0"/>
        <w:spacing w:before="120" w:beforeLines="50" w:after="120" w:afterLines="50" w:line="276" w:lineRule="auto"/>
        <w:ind w:hanging="4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之前与主要供应商签订的合同副本，表明包含了可反映亚投行的相关规定和条款。</w:t>
      </w:r>
    </w:p>
    <w:p w14:paraId="4DAC826E">
      <w:pPr>
        <w:pStyle w:val="76"/>
        <w:spacing w:before="120" w:beforeLines="50" w:after="120" w:afterLines="50" w:line="276" w:lineRule="auto"/>
        <w:ind w:left="0" w:firstLine="480" w:firstLineChars="200"/>
        <w:rPr>
          <w:rFonts w:hint="default" w:ascii="Times New Roman" w:hAnsi="Times New Roman" w:eastAsia="宋体" w:cs="Times New Roman"/>
          <w:b/>
          <w:color w:val="auto"/>
          <w:highlight w:val="none"/>
        </w:rPr>
      </w:pPr>
      <w:r>
        <w:rPr>
          <w:rFonts w:hint="default" w:ascii="Times New Roman" w:hAnsi="Times New Roman" w:eastAsia="宋体" w:cs="Times New Roman"/>
          <w:color w:val="auto"/>
          <w:highlight w:val="none"/>
        </w:rPr>
        <w:t>需要特别注意，</w:t>
      </w:r>
      <w:r>
        <w:rPr>
          <w:rFonts w:hint="default" w:ascii="Times New Roman" w:hAnsi="Times New Roman" w:eastAsia="宋体" w:cs="Times New Roman"/>
          <w:color w:val="auto"/>
          <w:highlight w:val="none"/>
          <w:u w:val="single"/>
        </w:rPr>
        <w:t>任何使用或曾使用过童工以及任何类型的非自愿劳动的主要供应商及生产厂商均无资格为本项目提供货物。</w:t>
      </w:r>
    </w:p>
    <w:p w14:paraId="160523FF">
      <w:pPr>
        <w:pStyle w:val="76"/>
        <w:numPr>
          <w:ilvl w:val="0"/>
          <w:numId w:val="40"/>
        </w:numPr>
        <w:spacing w:before="120" w:beforeLines="50" w:after="120" w:afterLines="50" w:line="276" w:lineRule="auto"/>
        <w:ind w:left="426"/>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申诉机制</w:t>
      </w:r>
      <w:bookmarkEnd w:id="515"/>
    </w:p>
    <w:p w14:paraId="473B72BA">
      <w:pPr>
        <w:snapToGrid w:val="0"/>
        <w:spacing w:before="120" w:beforeLines="50" w:after="120" w:afterLines="50" w:line="300" w:lineRule="auto"/>
        <w:ind w:firstLine="480" w:firstLineChars="200"/>
        <w:rPr>
          <w:rFonts w:hint="default" w:ascii="Times New Roman" w:hAnsi="Times New Roman" w:eastAsia="宋体" w:cs="Times New Roman"/>
          <w:color w:val="auto"/>
          <w:highlight w:val="none"/>
          <w:lang w:val="en-GB"/>
        </w:rPr>
      </w:pPr>
      <w:r>
        <w:rPr>
          <w:rFonts w:hint="default" w:ascii="Times New Roman" w:hAnsi="Times New Roman" w:eastAsia="宋体" w:cs="Times New Roman"/>
          <w:color w:val="auto"/>
          <w:highlight w:val="none"/>
          <w:lang w:val="en-GB"/>
        </w:rPr>
        <w:t>根据</w:t>
      </w:r>
      <w:r>
        <w:rPr>
          <w:rFonts w:hint="default" w:ascii="Times New Roman" w:hAnsi="Times New Roman" w:eastAsia="宋体" w:cs="Times New Roman"/>
          <w:color w:val="auto"/>
          <w:highlight w:val="none"/>
        </w:rPr>
        <w:t>亚投行ESF</w:t>
      </w:r>
      <w:r>
        <w:rPr>
          <w:rFonts w:hint="default" w:ascii="Times New Roman" w:hAnsi="Times New Roman" w:eastAsia="宋体" w:cs="Times New Roman"/>
          <w:color w:val="auto"/>
          <w:highlight w:val="none"/>
          <w:lang w:val="en-GB"/>
        </w:rPr>
        <w:t>，申诉处理机制的范围、规模、类型应与项目的潜在风险和影响的性质和规模相适应，应包括不同的渠道、书面记录并归档、程序公开、决策透明以及无法解决时的上诉程序等要素。在进行申诉处理机制设计时，</w:t>
      </w:r>
      <w:r>
        <w:rPr>
          <w:rFonts w:hint="default" w:ascii="Times New Roman" w:hAnsi="Times New Roman" w:eastAsia="宋体" w:cs="Times New Roman"/>
          <w:color w:val="auto"/>
          <w:highlight w:val="none"/>
        </w:rPr>
        <w:t>可利用现有的申诉处理机制，在此基础上进行完善。</w:t>
      </w:r>
      <w:r>
        <w:rPr>
          <w:rFonts w:hint="default" w:ascii="Times New Roman" w:hAnsi="Times New Roman" w:eastAsia="宋体" w:cs="Times New Roman"/>
          <w:color w:val="auto"/>
          <w:highlight w:val="none"/>
          <w:lang w:val="en-GB"/>
        </w:rPr>
        <w:t>由于后续批次建设类项目的具体细节暂未确定，本框架仅确定原则性要求。一旦建设类项目确定，各执行机构应按照以下原则建立并实施系统有效的抱怨申诉处理机制。申诉机制的设计应符合项目潜在影响和风险的性质和规模，包括申诉渠道、书面记录、程序披露、决策透明、上诉程序等，同时遵守保密、数据私密性和透明度原则。申诉机制的最终设计将在项目实施期间与相关利益相关者协商，根据需要进行验证和调整，以确保其相关性和易用性。</w:t>
      </w:r>
    </w:p>
    <w:p w14:paraId="4906A478">
      <w:pPr>
        <w:snapToGrid w:val="0"/>
        <w:spacing w:before="120" w:beforeLines="50" w:after="120" w:afterLines="50" w:line="300" w:lineRule="auto"/>
        <w:ind w:firstLine="480" w:firstLineChars="200"/>
        <w:rPr>
          <w:rFonts w:hint="default" w:ascii="Times New Roman" w:hAnsi="Times New Roman" w:eastAsia="宋体" w:cs="Times New Roman"/>
          <w:color w:val="auto"/>
          <w:highlight w:val="none"/>
          <w:lang w:val="en-GB"/>
        </w:rPr>
      </w:pPr>
      <w:r>
        <w:rPr>
          <w:rFonts w:hint="default" w:ascii="Times New Roman" w:hAnsi="Times New Roman" w:eastAsia="宋体" w:cs="Times New Roman"/>
          <w:color w:val="auto"/>
          <w:highlight w:val="none"/>
          <w:lang w:val="en-GB"/>
        </w:rPr>
        <w:t>针对项目工人层面的申诉处理机制，应该包括项目涉及的所有工人类型，包括直接工人、合同工人和</w:t>
      </w:r>
      <w:r>
        <w:rPr>
          <w:rFonts w:hint="default" w:ascii="Times New Roman" w:hAnsi="Times New Roman" w:eastAsia="宋体" w:cs="Times New Roman"/>
          <w:color w:val="auto"/>
          <w:highlight w:val="none"/>
        </w:rPr>
        <w:t>主要供应商</w:t>
      </w:r>
      <w:r>
        <w:rPr>
          <w:rFonts w:hint="default" w:ascii="Times New Roman" w:hAnsi="Times New Roman" w:eastAsia="宋体" w:cs="Times New Roman"/>
          <w:color w:val="auto"/>
          <w:highlight w:val="none"/>
          <w:lang w:val="en-GB"/>
        </w:rPr>
        <w:t>工人。</w:t>
      </w:r>
      <w:bookmarkStart w:id="516" w:name="_Toc56632788"/>
      <w:bookmarkStart w:id="517" w:name="_Toc54776243"/>
    </w:p>
    <w:bookmarkEnd w:id="516"/>
    <w:bookmarkEnd w:id="517"/>
    <w:p w14:paraId="049D8169">
      <w:pPr>
        <w:snapToGrid w:val="0"/>
        <w:spacing w:before="120" w:beforeLines="50" w:after="120" w:afterLines="50" w:line="300" w:lineRule="auto"/>
        <w:ind w:firstLine="480" w:firstLineChars="200"/>
        <w:rPr>
          <w:rFonts w:hint="default" w:ascii="Times New Roman" w:hAnsi="Times New Roman" w:eastAsia="宋体" w:cs="Times New Roman"/>
          <w:color w:val="auto"/>
          <w:highlight w:val="none"/>
          <w:lang w:val="en-GB"/>
        </w:rPr>
      </w:pPr>
      <w:r>
        <w:rPr>
          <w:rFonts w:hint="default" w:ascii="Times New Roman" w:hAnsi="Times New Roman" w:eastAsia="宋体" w:cs="Times New Roman"/>
          <w:color w:val="auto"/>
          <w:highlight w:val="none"/>
          <w:lang w:val="en-GB"/>
        </w:rPr>
        <w:t>该种申诉处理机制应包括以下两种渠道，项目工人都可以其中一种或两种进行反映。</w:t>
      </w:r>
    </w:p>
    <w:p w14:paraId="1D17F8F4">
      <w:pPr>
        <w:spacing w:before="120" w:beforeLines="50" w:after="120" w:afterLines="50" w:line="276" w:lineRule="auto"/>
        <w:ind w:firstLine="482" w:firstLineChars="200"/>
        <w:rPr>
          <w:rFonts w:hint="default" w:ascii="Times New Roman" w:hAnsi="Times New Roman" w:eastAsia="宋体" w:cs="Times New Roman"/>
          <w:b/>
          <w:bCs/>
          <w:color w:val="auto"/>
          <w:highlight w:val="none"/>
          <w:u w:val="single"/>
          <w:lang w:val="en-GB"/>
        </w:rPr>
      </w:pPr>
      <w:r>
        <w:rPr>
          <w:rFonts w:hint="default" w:ascii="Times New Roman" w:hAnsi="Times New Roman" w:eastAsia="宋体" w:cs="Times New Roman"/>
          <w:b/>
          <w:bCs/>
          <w:color w:val="auto"/>
          <w:highlight w:val="none"/>
          <w:u w:val="single"/>
          <w:lang w:val="en-GB"/>
        </w:rPr>
        <w:t>1）内部申诉渠道</w:t>
      </w:r>
    </w:p>
    <w:p w14:paraId="2B451376">
      <w:pPr>
        <w:snapToGrid w:val="0"/>
        <w:spacing w:before="120" w:beforeLines="50" w:after="120" w:afterLines="50" w:line="300" w:lineRule="auto"/>
        <w:ind w:firstLine="480" w:firstLineChars="200"/>
        <w:rPr>
          <w:rFonts w:hint="default" w:ascii="Times New Roman" w:hAnsi="Times New Roman" w:eastAsia="宋体" w:cs="Times New Roman"/>
          <w:color w:val="auto"/>
          <w:highlight w:val="none"/>
          <w:lang w:val="en-GB"/>
        </w:rPr>
      </w:pPr>
      <w:r>
        <w:rPr>
          <w:rFonts w:hint="default" w:ascii="Times New Roman" w:hAnsi="Times New Roman" w:eastAsia="宋体" w:cs="Times New Roman"/>
          <w:color w:val="auto"/>
          <w:highlight w:val="none"/>
          <w:lang w:val="en-GB"/>
        </w:rPr>
        <w:t>执行机构应针对不同类型的工人，在其现有的申诉机制上，完善内部申诉处理机制，确定专门的部门和人员处理员工的申诉，并要求书面记录和归档。</w:t>
      </w:r>
    </w:p>
    <w:p w14:paraId="48DA0215">
      <w:pPr>
        <w:snapToGrid w:val="0"/>
        <w:spacing w:before="120" w:beforeLines="50" w:after="120" w:afterLines="50" w:line="300" w:lineRule="auto"/>
        <w:ind w:firstLine="480" w:firstLineChars="200"/>
        <w:rPr>
          <w:rFonts w:hint="default" w:ascii="Times New Roman" w:hAnsi="Times New Roman" w:eastAsia="宋体" w:cs="Times New Roman"/>
          <w:color w:val="auto"/>
          <w:highlight w:val="none"/>
          <w:lang w:val="en-GB"/>
        </w:rPr>
      </w:pPr>
      <w:r>
        <w:rPr>
          <w:rFonts w:hint="default" w:ascii="Times New Roman" w:hAnsi="Times New Roman" w:eastAsia="宋体" w:cs="Times New Roman"/>
          <w:color w:val="auto"/>
          <w:highlight w:val="none"/>
          <w:lang w:val="en-GB"/>
        </w:rPr>
        <w:t>针对直接工人，基于执行机构现有的申诉机制，延伸至上级主管部门。</w:t>
      </w:r>
    </w:p>
    <w:p w14:paraId="46993368">
      <w:pPr>
        <w:snapToGrid w:val="0"/>
        <w:spacing w:before="120" w:beforeLines="50" w:after="120" w:afterLines="50" w:line="300" w:lineRule="auto"/>
        <w:ind w:firstLine="480" w:firstLineChars="200"/>
        <w:rPr>
          <w:rFonts w:hint="default" w:ascii="Times New Roman" w:hAnsi="Times New Roman" w:eastAsia="宋体" w:cs="Times New Roman"/>
          <w:color w:val="auto"/>
          <w:highlight w:val="none"/>
          <w:lang w:val="en-GB"/>
        </w:rPr>
      </w:pPr>
      <w:r>
        <w:rPr>
          <w:rFonts w:hint="default" w:ascii="Times New Roman" w:hAnsi="Times New Roman" w:eastAsia="宋体" w:cs="Times New Roman"/>
          <w:color w:val="auto"/>
          <w:highlight w:val="none"/>
          <w:lang w:val="en-GB"/>
        </w:rPr>
        <w:t>针对合同工人，要求承包商建立针对合同工人的申诉处理机制，例如逐级报告制度或直接向承包商派驻在场地的负责人报告，并与执行机构的申诉处理部门对接。</w:t>
      </w:r>
    </w:p>
    <w:p w14:paraId="22FCB013">
      <w:pPr>
        <w:spacing w:before="120" w:beforeLines="50" w:after="120" w:afterLines="50" w:line="276" w:lineRule="auto"/>
        <w:ind w:firstLine="482" w:firstLineChars="200"/>
        <w:rPr>
          <w:rFonts w:hint="default" w:ascii="Times New Roman" w:hAnsi="Times New Roman" w:eastAsia="宋体" w:cs="Times New Roman"/>
          <w:b/>
          <w:bCs/>
          <w:color w:val="auto"/>
          <w:highlight w:val="none"/>
          <w:u w:val="single"/>
          <w:lang w:val="en-GB"/>
        </w:rPr>
      </w:pPr>
      <w:r>
        <w:rPr>
          <w:rFonts w:hint="default" w:ascii="Times New Roman" w:hAnsi="Times New Roman" w:eastAsia="宋体" w:cs="Times New Roman"/>
          <w:b/>
          <w:bCs/>
          <w:color w:val="auto"/>
          <w:highlight w:val="none"/>
          <w:u w:val="single"/>
          <w:lang w:val="en-GB"/>
        </w:rPr>
        <w:t>2）外部申诉渠道</w:t>
      </w:r>
    </w:p>
    <w:p w14:paraId="4043FE4C">
      <w:pPr>
        <w:spacing w:before="120" w:beforeLines="50" w:after="120" w:afterLines="50" w:line="276" w:lineRule="auto"/>
        <w:ind w:firstLine="480" w:firstLineChars="200"/>
        <w:rPr>
          <w:rFonts w:hint="default" w:ascii="Times New Roman" w:hAnsi="Times New Roman" w:eastAsia="宋体" w:cs="Times New Roman"/>
          <w:color w:val="auto"/>
          <w:highlight w:val="none"/>
          <w:lang w:val="en-GB"/>
        </w:rPr>
      </w:pPr>
      <w:r>
        <w:rPr>
          <w:rFonts w:hint="default" w:ascii="Times New Roman" w:hAnsi="Times New Roman" w:eastAsia="宋体" w:cs="Times New Roman"/>
          <w:color w:val="auto"/>
          <w:highlight w:val="none"/>
          <w:lang w:val="en-GB"/>
        </w:rPr>
        <w:t>外部申诉处理机制可包括地方人力资源和社会保障部门、妇联和总工会等渠道。申诉方式包括电话热线、网上平台、信访、等形式。政府部门接收到跟项目有关的投诉之后，会反馈给建设子项目执行机构。</w:t>
      </w:r>
    </w:p>
    <w:p w14:paraId="79E1B1DE">
      <w:pPr>
        <w:spacing w:before="120" w:beforeLines="50" w:after="120" w:afterLines="50" w:line="276" w:lineRule="auto"/>
        <w:ind w:firstLine="480" w:firstLineChars="200"/>
        <w:rPr>
          <w:rFonts w:hint="default" w:ascii="Times New Roman" w:hAnsi="Times New Roman" w:eastAsia="宋体" w:cs="Times New Roman"/>
          <w:color w:val="auto"/>
          <w:highlight w:val="none"/>
          <w:lang w:val="en-GB"/>
        </w:rPr>
      </w:pPr>
      <w:r>
        <w:rPr>
          <w:rFonts w:hint="default" w:ascii="Times New Roman" w:hAnsi="Times New Roman" w:eastAsia="宋体" w:cs="Times New Roman"/>
          <w:color w:val="auto"/>
          <w:highlight w:val="none"/>
          <w:lang w:val="en-GB"/>
        </w:rPr>
        <w:t>各类申诉渠道将在各类政府部门、建设子项目执行机构、承包商的官网发布，并通过内部职工会议等方式公开，确保申诉程序和决策的透明；应提供不同的申诉方式，包括亲自提交、使用手机、短信息、信件、电子邮件或通过网站提交。</w:t>
      </w:r>
    </w:p>
    <w:p w14:paraId="5F646145">
      <w:pPr>
        <w:spacing w:before="120" w:beforeLines="50" w:after="120" w:afterLines="50" w:line="276" w:lineRule="auto"/>
        <w:ind w:firstLine="480" w:firstLineChars="200"/>
        <w:rPr>
          <w:rFonts w:hint="default" w:ascii="Times New Roman" w:hAnsi="Times New Roman" w:eastAsia="宋体" w:cs="Times New Roman"/>
          <w:color w:val="auto"/>
          <w:highlight w:val="none"/>
          <w:lang w:val="en-GB"/>
        </w:rPr>
      </w:pPr>
      <w:r>
        <w:rPr>
          <w:rFonts w:hint="default" w:ascii="Times New Roman" w:hAnsi="Times New Roman" w:eastAsia="宋体" w:cs="Times New Roman"/>
          <w:color w:val="auto"/>
          <w:highlight w:val="none"/>
          <w:lang w:val="en-GB"/>
        </w:rPr>
        <w:t>各机构应安排专职人员进行记录，形成申诉日志，并进行调查。一旦调查完毕，应立即以书面形式/通过致电/向申诉人发送短信的方式将决定/解决方案/行动通知申诉人。申诉日志应包括：收到申诉的日期、申诉人的姓名、申诉的简短说明、已采取的措施（包括补救措施/决议/结果）以及申诉的最终解决日期。所有的记录以及由此产生的决议将反映到年度环境和社会监测报告中。</w:t>
      </w:r>
    </w:p>
    <w:p w14:paraId="19C0B91D">
      <w:pPr>
        <w:spacing w:before="120" w:beforeLines="50" w:after="120" w:afterLines="50" w:line="276" w:lineRule="auto"/>
        <w:ind w:firstLine="480" w:firstLineChars="200"/>
        <w:rPr>
          <w:rFonts w:hint="default" w:ascii="Times New Roman" w:hAnsi="Times New Roman" w:eastAsia="宋体" w:cs="Times New Roman"/>
          <w:color w:val="auto"/>
          <w:highlight w:val="none"/>
          <w:lang w:val="en-GB"/>
        </w:rPr>
      </w:pPr>
      <w:r>
        <w:rPr>
          <w:rFonts w:hint="default" w:ascii="Times New Roman" w:hAnsi="Times New Roman" w:eastAsia="宋体" w:cs="Times New Roman"/>
          <w:color w:val="auto"/>
          <w:highlight w:val="none"/>
          <w:lang w:val="en-GB"/>
        </w:rPr>
        <w:t>项目工人还可以使用《劳动法》规定的调解程序，其基本程序如下：</w:t>
      </w:r>
    </w:p>
    <w:p w14:paraId="221B3273">
      <w:pPr>
        <w:pStyle w:val="76"/>
        <w:numPr>
          <w:ilvl w:val="0"/>
          <w:numId w:val="52"/>
        </w:numPr>
        <w:spacing w:before="120" w:beforeLines="50" w:after="120" w:afterLines="50" w:line="276" w:lineRule="auto"/>
        <w:rPr>
          <w:rFonts w:hint="default" w:ascii="Times New Roman" w:hAnsi="Times New Roman" w:eastAsia="宋体" w:cs="Times New Roman"/>
          <w:color w:val="auto"/>
          <w:highlight w:val="none"/>
          <w:lang w:val="en-GB"/>
        </w:rPr>
      </w:pPr>
      <w:r>
        <w:rPr>
          <w:rFonts w:hint="default" w:ascii="Times New Roman" w:hAnsi="Times New Roman" w:eastAsia="宋体" w:cs="Times New Roman"/>
          <w:color w:val="auto"/>
          <w:highlight w:val="none"/>
          <w:lang w:val="en-GB"/>
        </w:rPr>
        <w:t>阶段1：提出仲裁的当事人应在发生劳动争议之日起60天内向劳动争议仲裁委员会提出书面申请。一般而言，仲裁委员会应在收到申请后60天内作出裁决。当事人对仲裁裁决没有异议的，应当执行仲裁裁决。劳动争议仲裁委员会由劳动行政部门的代表、同级工会的代表和用人单位的代表组成。该委员会的主席应由劳动行政管理部门的代表担任。</w:t>
      </w:r>
    </w:p>
    <w:p w14:paraId="29A48096">
      <w:pPr>
        <w:pStyle w:val="76"/>
        <w:numPr>
          <w:ilvl w:val="0"/>
          <w:numId w:val="52"/>
        </w:numPr>
        <w:spacing w:before="120" w:beforeLines="50" w:after="120" w:afterLines="50" w:line="276" w:lineRule="auto"/>
        <w:rPr>
          <w:rFonts w:hint="default" w:ascii="Times New Roman" w:hAnsi="Times New Roman" w:eastAsia="宋体" w:cs="Times New Roman"/>
          <w:color w:val="auto"/>
          <w:highlight w:val="none"/>
          <w:lang w:val="en-GB"/>
        </w:rPr>
      </w:pPr>
      <w:r>
        <w:rPr>
          <w:rFonts w:hint="default" w:ascii="Times New Roman" w:hAnsi="Times New Roman" w:eastAsia="宋体" w:cs="Times New Roman"/>
          <w:color w:val="auto"/>
          <w:highlight w:val="none"/>
          <w:lang w:val="en-GB"/>
        </w:rPr>
        <w:t>阶段2：如果劳资纠纷的任何一方对仲裁裁决有异议，则可以在收到裁决后15天内向人民法院提起诉讼。</w:t>
      </w:r>
    </w:p>
    <w:p w14:paraId="5C864C4D">
      <w:pPr>
        <w:spacing w:before="120" w:beforeLines="50" w:after="120" w:afterLines="50" w:line="276" w:lineRule="auto"/>
        <w:ind w:firstLine="482" w:firstLineChars="200"/>
        <w:rPr>
          <w:rFonts w:hint="default" w:ascii="Times New Roman" w:hAnsi="Times New Roman" w:eastAsia="宋体" w:cs="Times New Roman"/>
          <w:color w:val="auto"/>
          <w:sz w:val="32"/>
          <w:highlight w:val="none"/>
        </w:rPr>
      </w:pPr>
      <w:r>
        <w:rPr>
          <w:rFonts w:hint="default" w:ascii="Times New Roman" w:hAnsi="Times New Roman" w:eastAsia="宋体" w:cs="Times New Roman"/>
          <w:b/>
          <w:bCs/>
          <w:color w:val="auto"/>
          <w:highlight w:val="none"/>
          <w:u w:val="single"/>
        </w:rPr>
        <w:t>对于与SEA/SH相关的申诉</w:t>
      </w:r>
      <w:r>
        <w:rPr>
          <w:rFonts w:hint="default" w:ascii="Times New Roman" w:hAnsi="Times New Roman" w:eastAsia="宋体" w:cs="Times New Roman"/>
          <w:color w:val="auto"/>
          <w:highlight w:val="none"/>
        </w:rPr>
        <w:t>：项目办/执行机构将确保申诉机制中具有匿名申诉并以保密方式处理申诉的特定程序。项目执行机构将安排一名男性和一名女性工作人员负责处理此类申诉，员工可自行选择其中一名来处理其问题。</w:t>
      </w:r>
    </w:p>
    <w:p w14:paraId="091E26A6">
      <w:pPr>
        <w:spacing w:before="120" w:beforeLines="50" w:after="120" w:afterLines="50" w:line="276" w:lineRule="auto"/>
        <w:ind w:firstLine="480" w:firstLineChars="200"/>
        <w:rPr>
          <w:rFonts w:hint="default" w:ascii="Times New Roman" w:hAnsi="Times New Roman" w:eastAsia="宋体" w:cs="Times New Roman"/>
          <w:color w:val="auto"/>
          <w:sz w:val="32"/>
          <w:highlight w:val="none"/>
        </w:rPr>
      </w:pPr>
      <w:r>
        <w:rPr>
          <w:rFonts w:hint="default" w:ascii="Times New Roman" w:hAnsi="Times New Roman" w:eastAsia="宋体" w:cs="Times New Roman"/>
          <w:color w:val="auto"/>
          <w:highlight w:val="none"/>
        </w:rPr>
        <w:t>项目办/执行机构和承包商致力于保护工人所提出申诉的机密性，他们将采取以下措施确保数据的机密性得到妥善保护，即：</w:t>
      </w:r>
    </w:p>
    <w:p w14:paraId="6BBF714A">
      <w:pPr>
        <w:snapToGrid w:val="0"/>
        <w:spacing w:line="276" w:lineRule="auto"/>
        <w:ind w:firstLine="480" w:firstLineChars="200"/>
        <w:rPr>
          <w:rFonts w:hint="default" w:ascii="Times New Roman" w:hAnsi="Times New Roman" w:eastAsia="宋体" w:cs="Times New Roman"/>
          <w:color w:val="auto"/>
          <w:sz w:val="32"/>
          <w:highlight w:val="none"/>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 w:val="32"/>
          <w:highlight w:val="none"/>
        </w:rPr>
        <w:tab/>
      </w:r>
      <w:r>
        <w:rPr>
          <w:rFonts w:hint="default" w:ascii="Times New Roman" w:hAnsi="Times New Roman" w:eastAsia="宋体" w:cs="Times New Roman"/>
          <w:color w:val="auto"/>
          <w:highlight w:val="none"/>
        </w:rPr>
        <w:t>建立从社区到项目办的各级数据保密机制，确保数据安全。</w:t>
      </w:r>
    </w:p>
    <w:p w14:paraId="789DEE2C">
      <w:pPr>
        <w:snapToGrid w:val="0"/>
        <w:spacing w:line="276" w:lineRule="auto"/>
        <w:ind w:firstLine="480" w:firstLineChars="200"/>
        <w:rPr>
          <w:rFonts w:hint="default" w:ascii="Times New Roman" w:hAnsi="Times New Roman" w:eastAsia="宋体" w:cs="Times New Roman"/>
          <w:color w:val="auto"/>
          <w:sz w:val="32"/>
          <w:highlight w:val="none"/>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 w:val="32"/>
          <w:highlight w:val="none"/>
        </w:rPr>
        <w:tab/>
      </w:r>
      <w:r>
        <w:rPr>
          <w:rFonts w:hint="default" w:ascii="Times New Roman" w:hAnsi="Times New Roman" w:eastAsia="宋体" w:cs="Times New Roman"/>
          <w:color w:val="auto"/>
          <w:highlight w:val="none"/>
        </w:rPr>
        <w:t>对长期或频繁接触相关数据的员工进行适当的数据保护培训。</w:t>
      </w:r>
    </w:p>
    <w:p w14:paraId="7B53D9A4">
      <w:pPr>
        <w:snapToGrid w:val="0"/>
        <w:spacing w:line="276"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 w:val="32"/>
          <w:highlight w:val="none"/>
        </w:rPr>
        <w:tab/>
      </w:r>
      <w:r>
        <w:rPr>
          <w:rFonts w:hint="default" w:ascii="Times New Roman" w:hAnsi="Times New Roman" w:eastAsia="宋体" w:cs="Times New Roman"/>
          <w:color w:val="auto"/>
          <w:highlight w:val="none"/>
        </w:rPr>
        <w:t>建立数据保护奖惩机制。</w:t>
      </w:r>
    </w:p>
    <w:p w14:paraId="420C62A9">
      <w:pPr>
        <w:snapToGrid w:val="0"/>
        <w:spacing w:line="276"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认为自己受到项目不利影响的直接工人、合同工人和社区工人可向项目级申诉机构提出投诉，以解决项目相关问题。各类工人也可向独立检查小组提交投诉。</w:t>
      </w:r>
    </w:p>
    <w:p w14:paraId="443731CA">
      <w:pPr>
        <w:snapToGrid w:val="0"/>
        <w:spacing w:line="276"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汉滨区项目办/执行机构应对所有申诉进行监督，以验证过程。将编制半年度环境与社会监测报告，以跟踪提交的所有申诉。项目执行机构将进行内部申诉监测，并每季度向项目办报告，其中应包括以下指标的分析：</w:t>
      </w:r>
    </w:p>
    <w:p w14:paraId="7E73473D">
      <w:pPr>
        <w:pStyle w:val="76"/>
        <w:numPr>
          <w:ilvl w:val="0"/>
          <w:numId w:val="53"/>
        </w:numPr>
        <w:snapToGrid w:val="0"/>
        <w:spacing w:before="120" w:beforeLines="50" w:after="120" w:afterLines="50" w:line="300" w:lineRule="auto"/>
        <w:rPr>
          <w:rFonts w:hint="default" w:ascii="Times New Roman" w:hAnsi="Times New Roman" w:eastAsia="宋体" w:cs="Times New Roman"/>
          <w:color w:val="auto"/>
          <w:highlight w:val="none"/>
          <w:lang w:bidi="en-US"/>
        </w:rPr>
      </w:pPr>
      <w:r>
        <w:rPr>
          <w:rFonts w:hint="default" w:ascii="Times New Roman" w:hAnsi="Times New Roman" w:eastAsia="宋体" w:cs="Times New Roman"/>
          <w:color w:val="auto"/>
          <w:highlight w:val="none"/>
          <w:lang w:bidi="en-US"/>
        </w:rPr>
        <w:t>每月收到的申诉数量（按渠道、性别、年龄分类）；</w:t>
      </w:r>
    </w:p>
    <w:p w14:paraId="07B0CA23">
      <w:pPr>
        <w:pStyle w:val="76"/>
        <w:numPr>
          <w:ilvl w:val="0"/>
          <w:numId w:val="53"/>
        </w:numPr>
        <w:snapToGrid w:val="0"/>
        <w:spacing w:before="120" w:beforeLines="50" w:after="120" w:afterLines="50" w:line="300" w:lineRule="auto"/>
        <w:rPr>
          <w:rFonts w:hint="default" w:ascii="Times New Roman" w:hAnsi="Times New Roman" w:eastAsia="宋体" w:cs="Times New Roman"/>
          <w:color w:val="auto"/>
          <w:highlight w:val="none"/>
          <w:lang w:bidi="en-US"/>
        </w:rPr>
      </w:pPr>
      <w:r>
        <w:rPr>
          <w:rFonts w:hint="default" w:ascii="Times New Roman" w:hAnsi="Times New Roman" w:eastAsia="宋体" w:cs="Times New Roman"/>
          <w:color w:val="auto"/>
          <w:highlight w:val="none"/>
          <w:lang w:bidi="en-US"/>
        </w:rPr>
        <w:t>收到的申诉类别；</w:t>
      </w:r>
    </w:p>
    <w:p w14:paraId="6062D9B8">
      <w:pPr>
        <w:pStyle w:val="76"/>
        <w:numPr>
          <w:ilvl w:val="0"/>
          <w:numId w:val="53"/>
        </w:numPr>
        <w:snapToGrid w:val="0"/>
        <w:spacing w:before="120" w:beforeLines="50" w:after="120" w:afterLines="50" w:line="300" w:lineRule="auto"/>
        <w:rPr>
          <w:rFonts w:hint="default" w:ascii="Times New Roman" w:hAnsi="Times New Roman" w:eastAsia="宋体" w:cs="Times New Roman"/>
          <w:color w:val="auto"/>
          <w:highlight w:val="none"/>
          <w:lang w:bidi="en-US"/>
        </w:rPr>
      </w:pPr>
      <w:r>
        <w:rPr>
          <w:rFonts w:hint="default" w:ascii="Times New Roman" w:hAnsi="Times New Roman" w:eastAsia="宋体" w:cs="Times New Roman"/>
          <w:color w:val="auto"/>
          <w:highlight w:val="none"/>
          <w:lang w:bidi="en-US"/>
        </w:rPr>
        <w:t>解决的申诉数量；</w:t>
      </w:r>
    </w:p>
    <w:p w14:paraId="1BD42CAD">
      <w:pPr>
        <w:pStyle w:val="76"/>
        <w:numPr>
          <w:ilvl w:val="0"/>
          <w:numId w:val="53"/>
        </w:numPr>
        <w:snapToGrid w:val="0"/>
        <w:spacing w:before="120" w:beforeLines="50" w:after="120" w:afterLines="50" w:line="300" w:lineRule="auto"/>
        <w:rPr>
          <w:rFonts w:hint="default" w:ascii="Times New Roman" w:hAnsi="Times New Roman" w:eastAsia="宋体" w:cs="Times New Roman"/>
          <w:color w:val="auto"/>
          <w:highlight w:val="none"/>
          <w:lang w:bidi="en-US"/>
        </w:rPr>
      </w:pPr>
      <w:r>
        <w:rPr>
          <w:rFonts w:hint="default" w:ascii="Times New Roman" w:hAnsi="Times New Roman" w:eastAsia="宋体" w:cs="Times New Roman"/>
          <w:color w:val="auto"/>
          <w:highlight w:val="none"/>
          <w:lang w:bidi="en-US"/>
        </w:rPr>
        <w:t>未解决的投诉数量；</w:t>
      </w:r>
    </w:p>
    <w:p w14:paraId="21D23F7B">
      <w:pPr>
        <w:pStyle w:val="76"/>
        <w:numPr>
          <w:ilvl w:val="0"/>
          <w:numId w:val="53"/>
        </w:numPr>
        <w:snapToGrid w:val="0"/>
        <w:spacing w:before="120" w:beforeLines="50" w:after="120" w:afterLines="50" w:line="300" w:lineRule="auto"/>
        <w:rPr>
          <w:rFonts w:hint="default" w:ascii="Times New Roman" w:hAnsi="Times New Roman" w:eastAsia="宋体" w:cs="Times New Roman"/>
          <w:color w:val="auto"/>
          <w:highlight w:val="none"/>
          <w:lang w:bidi="en-US"/>
        </w:rPr>
      </w:pPr>
      <w:r>
        <w:rPr>
          <w:rFonts w:hint="default" w:ascii="Times New Roman" w:hAnsi="Times New Roman" w:eastAsia="宋体" w:cs="Times New Roman"/>
          <w:color w:val="auto"/>
          <w:highlight w:val="none"/>
          <w:lang w:bidi="en-US"/>
        </w:rPr>
        <w:t>回应或解决投诉的时间框架等。</w:t>
      </w:r>
    </w:p>
    <w:p w14:paraId="73DC6FED">
      <w:pPr>
        <w:numPr>
          <w:ilvl w:val="1"/>
          <w:numId w:val="0"/>
        </w:numPr>
        <w:rPr>
          <w:rFonts w:hint="default" w:ascii="Times New Roman" w:hAnsi="Times New Roman" w:eastAsia="宋体" w:cs="Times New Roman"/>
          <w:color w:val="auto"/>
          <w:sz w:val="28"/>
          <w:szCs w:val="36"/>
          <w:highlight w:val="none"/>
        </w:rPr>
      </w:pPr>
      <w:r>
        <w:rPr>
          <w:rFonts w:hint="default" w:ascii="Times New Roman" w:hAnsi="Times New Roman" w:eastAsia="宋体" w:cs="Times New Roman"/>
          <w:color w:val="auto"/>
          <w:sz w:val="28"/>
          <w:szCs w:val="36"/>
          <w:highlight w:val="none"/>
        </w:rPr>
        <w:br w:type="page"/>
      </w:r>
    </w:p>
    <w:p w14:paraId="47E6705A">
      <w:pPr>
        <w:keepNext/>
        <w:keepLines/>
        <w:spacing w:before="240" w:after="240" w:line="300" w:lineRule="auto"/>
        <w:outlineLvl w:val="1"/>
        <w:rPr>
          <w:rFonts w:hint="default" w:ascii="Times New Roman" w:hAnsi="Times New Roman" w:eastAsia="宋体" w:cs="Times New Roman"/>
          <w:b/>
          <w:color w:val="auto"/>
          <w:sz w:val="28"/>
          <w:szCs w:val="28"/>
          <w:highlight w:val="none"/>
        </w:rPr>
      </w:pPr>
      <w:bookmarkStart w:id="518" w:name="_Toc16665"/>
      <w:r>
        <w:rPr>
          <w:rFonts w:hint="default" w:ascii="Times New Roman" w:hAnsi="Times New Roman" w:eastAsia="宋体" w:cs="Times New Roman"/>
          <w:b/>
          <w:color w:val="auto"/>
          <w:sz w:val="28"/>
          <w:szCs w:val="28"/>
          <w:highlight w:val="none"/>
        </w:rPr>
        <w:t>附件3  GBV/SH风险预防措施框架</w:t>
      </w:r>
      <w:bookmarkEnd w:id="518"/>
    </w:p>
    <w:p w14:paraId="01073C05">
      <w:pPr>
        <w:spacing w:after="120" w:afterLines="50"/>
        <w:rPr>
          <w:rFonts w:hint="default" w:ascii="Times New Roman" w:hAnsi="Times New Roman" w:eastAsia="宋体" w:cs="Times New Roman"/>
          <w:b/>
          <w:bCs/>
          <w:color w:val="auto"/>
          <w:highlight w:val="none"/>
        </w:rPr>
      </w:pPr>
      <w:bookmarkStart w:id="519" w:name="_Toc29114"/>
      <w:bookmarkStart w:id="520" w:name="_Toc6474"/>
      <w:r>
        <w:rPr>
          <w:rFonts w:hint="default" w:ascii="Times New Roman" w:hAnsi="Times New Roman" w:eastAsia="宋体" w:cs="Times New Roman"/>
          <w:b/>
          <w:bCs/>
          <w:color w:val="auto"/>
          <w:highlight w:val="none"/>
        </w:rPr>
        <w:t>1.项目区GBV/SEA/SH风险分析</w:t>
      </w:r>
      <w:bookmarkEnd w:id="519"/>
      <w:bookmarkEnd w:id="520"/>
    </w:p>
    <w:p w14:paraId="526C2554">
      <w:pPr>
        <w:spacing w:line="276" w:lineRule="auto"/>
        <w:ind w:firstLine="480" w:firstLineChars="200"/>
        <w:rPr>
          <w:rFonts w:hint="default" w:ascii="Times New Roman" w:hAnsi="Times New Roman" w:eastAsia="宋体" w:cs="Times New Roman"/>
          <w:b/>
          <w:bCs/>
          <w:color w:val="auto"/>
          <w:highlight w:val="none"/>
        </w:rPr>
      </w:pPr>
      <w:bookmarkStart w:id="521" w:name="_Toc5004"/>
      <w:bookmarkStart w:id="522" w:name="_Toc325"/>
      <w:r>
        <w:rPr>
          <w:rFonts w:hint="default" w:ascii="Times New Roman" w:hAnsi="Times New Roman" w:eastAsia="宋体" w:cs="Times New Roman"/>
          <w:color w:val="auto"/>
          <w:highlight w:val="none"/>
        </w:rPr>
        <w:t>本项目拟议活动包括道路工程、绿色建筑工程、生态修复工程、防洪工程等，建设期涉及较大规模用工，对女性工人及周边社区女性可能存在性别暴力（GBV）的风险。</w:t>
      </w:r>
      <w:bookmarkEnd w:id="521"/>
      <w:bookmarkEnd w:id="522"/>
    </w:p>
    <w:p w14:paraId="72704822">
      <w:pPr>
        <w:spacing w:line="276" w:lineRule="auto"/>
        <w:ind w:firstLine="480" w:firstLineChars="200"/>
        <w:rPr>
          <w:rFonts w:hint="default" w:ascii="Times New Roman" w:hAnsi="Times New Roman" w:eastAsia="宋体" w:cs="Times New Roman"/>
          <w:color w:val="auto"/>
          <w:highlight w:val="none"/>
        </w:rPr>
      </w:pPr>
      <w:bookmarkStart w:id="523" w:name="_Toc1879"/>
      <w:bookmarkStart w:id="524" w:name="_Toc30623"/>
      <w:r>
        <w:rPr>
          <w:rFonts w:hint="default" w:ascii="Times New Roman" w:hAnsi="Times New Roman" w:eastAsia="宋体" w:cs="Times New Roman"/>
          <w:color w:val="auto"/>
          <w:highlight w:val="none"/>
        </w:rPr>
        <w:t>中国和陕西省政府已经制定了全面的法规来预防性剥削和性虐待/性骚扰风险，地方政府也不断加大执法力度。根据汉滨区妇联提供的数据，汉滨区2022年受理女性申诉案件35起，均为婚姻和家庭矛盾方面的案件。张滩镇区域也未发生性剥削和性虐待/性骚扰事件。而且，汉滨区设置有卫生服务机构（社区医院、妇幼保健院）、司法服务机构（社区派出所；公安局、区法院）及社会服务提供方（区法律援助中心、区妇联、社区女干部），这些机构可支持本项目处理可能出现的性剥削和性虐待/性骚扰事件以及协助本项目预防此类事件。因此，项目性剥削和性虐待/性骚扰风险为低风险。</w:t>
      </w:r>
      <w:bookmarkEnd w:id="523"/>
      <w:bookmarkEnd w:id="524"/>
    </w:p>
    <w:p w14:paraId="2E73116C">
      <w:pPr>
        <w:pStyle w:val="2"/>
        <w:rPr>
          <w:rFonts w:hint="default" w:ascii="Times New Roman" w:hAnsi="Times New Roman" w:eastAsia="宋体" w:cs="Times New Roman"/>
          <w:color w:val="auto"/>
          <w:highlight w:val="none"/>
        </w:rPr>
      </w:pPr>
    </w:p>
    <w:p w14:paraId="7DB497FD">
      <w:pPr>
        <w:spacing w:after="120" w:afterLines="50"/>
        <w:rPr>
          <w:rFonts w:hint="default" w:ascii="Times New Roman" w:hAnsi="Times New Roman" w:eastAsia="宋体" w:cs="Times New Roman"/>
          <w:b/>
          <w:bCs/>
          <w:color w:val="auto"/>
          <w:highlight w:val="none"/>
        </w:rPr>
      </w:pPr>
      <w:bookmarkStart w:id="525" w:name="_Toc9379"/>
      <w:bookmarkStart w:id="526" w:name="_Toc5601"/>
      <w:r>
        <w:rPr>
          <w:rFonts w:hint="default" w:ascii="Times New Roman" w:hAnsi="Times New Roman" w:eastAsia="宋体" w:cs="Times New Roman"/>
          <w:b/>
          <w:bCs/>
          <w:color w:val="auto"/>
          <w:highlight w:val="none"/>
        </w:rPr>
        <w:t>2. 法律框架</w:t>
      </w:r>
      <w:bookmarkEnd w:id="525"/>
      <w:bookmarkEnd w:id="526"/>
    </w:p>
    <w:p w14:paraId="469AC633">
      <w:pPr>
        <w:spacing w:line="276" w:lineRule="auto"/>
        <w:ind w:firstLine="480" w:firstLineChars="200"/>
        <w:rPr>
          <w:rFonts w:hint="default" w:ascii="Times New Roman" w:hAnsi="Times New Roman" w:eastAsia="宋体" w:cs="Times New Roman"/>
          <w:color w:val="auto"/>
          <w:highlight w:val="none"/>
        </w:rPr>
      </w:pPr>
      <w:bookmarkStart w:id="527" w:name="_Toc23696"/>
      <w:bookmarkStart w:id="528" w:name="_Toc2931"/>
      <w:r>
        <w:rPr>
          <w:rFonts w:hint="default" w:ascii="Times New Roman" w:hAnsi="Times New Roman" w:eastAsia="宋体" w:cs="Times New Roman"/>
          <w:color w:val="auto"/>
          <w:highlight w:val="none"/>
        </w:rPr>
        <w:t>中国和陕西省针对女性方面也有专门的法律和规定保障妇女的劳动权益，包括禁止性骚扰等。地方政府制定有相应的行动规划，并要求辖区内政府机构、企事业单位等严格按照规定执行。</w:t>
      </w:r>
      <w:bookmarkEnd w:id="527"/>
      <w:bookmarkEnd w:id="528"/>
    </w:p>
    <w:tbl>
      <w:tblPr>
        <w:tblStyle w:val="43"/>
        <w:tblW w:w="5090"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116"/>
        <w:gridCol w:w="5700"/>
        <w:gridCol w:w="1656"/>
      </w:tblGrid>
      <w:tr w14:paraId="5872560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blHeader/>
        </w:trPr>
        <w:tc>
          <w:tcPr>
            <w:tcW w:w="659" w:type="pct"/>
            <w:tcBorders>
              <w:top w:val="single" w:color="auto" w:sz="6" w:space="0"/>
              <w:left w:val="single" w:color="auto" w:sz="6" w:space="0"/>
              <w:bottom w:val="single" w:color="auto" w:sz="6" w:space="0"/>
              <w:right w:val="single" w:color="auto" w:sz="6" w:space="0"/>
            </w:tcBorders>
            <w:shd w:val="clear" w:color="auto" w:fill="F2F2F2"/>
            <w:vAlign w:val="center"/>
          </w:tcPr>
          <w:p w14:paraId="41DFD7AC">
            <w:pPr>
              <w:ind w:left="45"/>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20"/>
                <w:szCs w:val="20"/>
                <w:highlight w:val="none"/>
              </w:rPr>
              <w:t>政策层级</w:t>
            </w:r>
          </w:p>
        </w:tc>
        <w:tc>
          <w:tcPr>
            <w:tcW w:w="3363" w:type="pct"/>
            <w:tcBorders>
              <w:top w:val="single" w:color="auto" w:sz="6" w:space="0"/>
              <w:left w:val="single" w:color="auto" w:sz="6" w:space="0"/>
              <w:bottom w:val="single" w:color="auto" w:sz="6" w:space="0"/>
              <w:right w:val="single" w:color="auto" w:sz="6" w:space="0"/>
            </w:tcBorders>
            <w:shd w:val="clear" w:color="auto" w:fill="F2F2F2"/>
            <w:vAlign w:val="center"/>
          </w:tcPr>
          <w:p w14:paraId="0E9AA056">
            <w:pPr>
              <w:ind w:right="45"/>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bCs/>
                <w:color w:val="auto"/>
                <w:sz w:val="20"/>
                <w:szCs w:val="20"/>
                <w:highlight w:val="none"/>
              </w:rPr>
              <w:t>法规</w:t>
            </w:r>
            <w:r>
              <w:rPr>
                <w:rFonts w:hint="default" w:ascii="Times New Roman" w:hAnsi="Times New Roman" w:eastAsia="宋体" w:cs="Times New Roman"/>
                <w:color w:val="auto"/>
                <w:sz w:val="20"/>
                <w:szCs w:val="20"/>
                <w:highlight w:val="none"/>
              </w:rPr>
              <w:t> </w:t>
            </w:r>
          </w:p>
        </w:tc>
        <w:tc>
          <w:tcPr>
            <w:tcW w:w="977" w:type="pct"/>
            <w:tcBorders>
              <w:top w:val="single" w:color="auto" w:sz="6" w:space="0"/>
              <w:left w:val="single" w:color="auto" w:sz="6" w:space="0"/>
              <w:bottom w:val="single" w:color="auto" w:sz="6" w:space="0"/>
              <w:right w:val="single" w:color="auto" w:sz="6" w:space="0"/>
            </w:tcBorders>
            <w:shd w:val="clear" w:color="auto" w:fill="F2F2F2"/>
            <w:vAlign w:val="center"/>
          </w:tcPr>
          <w:p w14:paraId="19E66EBD">
            <w:pPr>
              <w:ind w:right="45"/>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bCs/>
                <w:color w:val="auto"/>
                <w:sz w:val="20"/>
                <w:szCs w:val="20"/>
                <w:highlight w:val="none"/>
              </w:rPr>
              <w:t>生效年份</w:t>
            </w:r>
          </w:p>
        </w:tc>
      </w:tr>
      <w:tr w14:paraId="29999DF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59" w:type="pct"/>
            <w:vMerge w:val="restart"/>
            <w:tcBorders>
              <w:top w:val="single" w:color="auto" w:sz="6" w:space="0"/>
              <w:left w:val="single" w:color="auto" w:sz="6" w:space="0"/>
              <w:right w:val="single" w:color="auto" w:sz="6" w:space="0"/>
            </w:tcBorders>
            <w:shd w:val="clear" w:color="auto" w:fill="auto"/>
            <w:vAlign w:val="center"/>
          </w:tcPr>
          <w:p w14:paraId="5F97E7B2">
            <w:pPr>
              <w:ind w:left="45"/>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国家</w:t>
            </w:r>
          </w:p>
        </w:tc>
        <w:tc>
          <w:tcPr>
            <w:tcW w:w="3363" w:type="pct"/>
            <w:tcBorders>
              <w:top w:val="single" w:color="auto" w:sz="6" w:space="0"/>
              <w:left w:val="single" w:color="auto" w:sz="6" w:space="0"/>
              <w:bottom w:val="single" w:color="auto" w:sz="6" w:space="0"/>
              <w:right w:val="single" w:color="auto" w:sz="6" w:space="0"/>
            </w:tcBorders>
            <w:shd w:val="clear" w:color="auto" w:fill="auto"/>
            <w:vAlign w:val="center"/>
          </w:tcPr>
          <w:p w14:paraId="6675FC59">
            <w:pPr>
              <w:ind w:left="105"/>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中华人民共和国妇女权益保障法</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7AD5F3FB">
            <w:pPr>
              <w:jc w:val="center"/>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2018修订</w:t>
            </w:r>
          </w:p>
        </w:tc>
      </w:tr>
      <w:tr w14:paraId="4DB21BA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59"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518E43E6">
            <w:pPr>
              <w:rPr>
                <w:rFonts w:hint="default" w:ascii="Times New Roman" w:hAnsi="Times New Roman" w:eastAsia="宋体" w:cs="Times New Roman"/>
                <w:color w:val="auto"/>
                <w:sz w:val="18"/>
                <w:szCs w:val="18"/>
                <w:highlight w:val="none"/>
              </w:rPr>
            </w:pPr>
          </w:p>
        </w:tc>
        <w:tc>
          <w:tcPr>
            <w:tcW w:w="3363" w:type="pct"/>
            <w:tcBorders>
              <w:top w:val="single" w:color="auto" w:sz="6" w:space="0"/>
              <w:left w:val="single" w:color="auto" w:sz="6" w:space="0"/>
              <w:bottom w:val="single" w:color="auto" w:sz="6" w:space="0"/>
              <w:right w:val="single" w:color="auto" w:sz="6" w:space="0"/>
            </w:tcBorders>
            <w:shd w:val="clear" w:color="auto" w:fill="auto"/>
            <w:vAlign w:val="center"/>
          </w:tcPr>
          <w:p w14:paraId="2C8B027E">
            <w:pPr>
              <w:ind w:left="105"/>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女职工劳动保护特别规定</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31FCE1C7">
            <w:pPr>
              <w:ind w:left="105"/>
              <w:jc w:val="center"/>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2017</w:t>
            </w:r>
          </w:p>
        </w:tc>
      </w:tr>
      <w:tr w14:paraId="0FB899E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59"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C2E8C90">
            <w:pPr>
              <w:rPr>
                <w:rFonts w:hint="default" w:ascii="Times New Roman" w:hAnsi="Times New Roman" w:eastAsia="宋体" w:cs="Times New Roman"/>
                <w:color w:val="auto"/>
                <w:sz w:val="18"/>
                <w:szCs w:val="18"/>
                <w:highlight w:val="none"/>
              </w:rPr>
            </w:pPr>
          </w:p>
        </w:tc>
        <w:tc>
          <w:tcPr>
            <w:tcW w:w="3363" w:type="pct"/>
            <w:tcBorders>
              <w:top w:val="single" w:color="auto" w:sz="6" w:space="0"/>
              <w:left w:val="single" w:color="auto" w:sz="6" w:space="0"/>
              <w:bottom w:val="single" w:color="auto" w:sz="6" w:space="0"/>
              <w:right w:val="single" w:color="auto" w:sz="6" w:space="0"/>
            </w:tcBorders>
            <w:shd w:val="clear" w:color="auto" w:fill="auto"/>
            <w:vAlign w:val="center"/>
          </w:tcPr>
          <w:p w14:paraId="477919A5">
            <w:pPr>
              <w:ind w:left="105"/>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中华人民共和国未成年人保护法</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76CA1F2D">
            <w:pPr>
              <w:ind w:left="105"/>
              <w:jc w:val="center"/>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2020修订</w:t>
            </w:r>
          </w:p>
        </w:tc>
      </w:tr>
      <w:tr w14:paraId="6663BC0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59" w:type="pct"/>
            <w:vMerge w:val="restart"/>
            <w:tcBorders>
              <w:top w:val="single" w:color="auto" w:sz="6" w:space="0"/>
              <w:left w:val="single" w:color="auto" w:sz="6" w:space="0"/>
              <w:right w:val="single" w:color="auto" w:sz="6" w:space="0"/>
            </w:tcBorders>
            <w:shd w:val="clear" w:color="auto" w:fill="auto"/>
            <w:vAlign w:val="center"/>
          </w:tcPr>
          <w:p w14:paraId="1F507C27">
            <w:pPr>
              <w:ind w:left="45"/>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20"/>
                <w:szCs w:val="20"/>
                <w:highlight w:val="none"/>
              </w:rPr>
              <w:t>陕西省 </w:t>
            </w:r>
          </w:p>
        </w:tc>
        <w:tc>
          <w:tcPr>
            <w:tcW w:w="3363" w:type="pct"/>
            <w:tcBorders>
              <w:top w:val="single" w:color="auto" w:sz="6" w:space="0"/>
              <w:left w:val="single" w:color="auto" w:sz="6" w:space="0"/>
              <w:bottom w:val="single" w:color="auto" w:sz="6" w:space="0"/>
              <w:right w:val="single" w:color="auto" w:sz="6" w:space="0"/>
            </w:tcBorders>
            <w:shd w:val="clear" w:color="auto" w:fill="auto"/>
            <w:vAlign w:val="center"/>
          </w:tcPr>
          <w:p w14:paraId="125C0581">
            <w:pPr>
              <w:ind w:left="105"/>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陕西省实施《中华人民共和国妇女权益保障法》办法</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4F3FAB46">
            <w:pPr>
              <w:ind w:left="105"/>
              <w:jc w:val="center"/>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2007年1月1日起施行</w:t>
            </w:r>
          </w:p>
        </w:tc>
      </w:tr>
      <w:tr w14:paraId="0BFF4BF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59" w:type="pct"/>
            <w:vMerge w:val="continue"/>
            <w:tcBorders>
              <w:left w:val="single" w:color="auto" w:sz="6" w:space="0"/>
              <w:right w:val="single" w:color="auto" w:sz="6" w:space="0"/>
            </w:tcBorders>
            <w:shd w:val="clear" w:color="auto" w:fill="auto"/>
            <w:vAlign w:val="center"/>
          </w:tcPr>
          <w:p w14:paraId="6EB55473">
            <w:pPr>
              <w:ind w:left="45"/>
              <w:jc w:val="center"/>
              <w:textAlignment w:val="baseline"/>
              <w:rPr>
                <w:rFonts w:hint="default" w:ascii="Times New Roman" w:hAnsi="Times New Roman" w:eastAsia="宋体" w:cs="Times New Roman"/>
                <w:color w:val="auto"/>
                <w:sz w:val="18"/>
                <w:szCs w:val="18"/>
                <w:highlight w:val="none"/>
              </w:rPr>
            </w:pPr>
          </w:p>
        </w:tc>
        <w:tc>
          <w:tcPr>
            <w:tcW w:w="3363" w:type="pct"/>
            <w:tcBorders>
              <w:top w:val="single" w:color="auto" w:sz="6" w:space="0"/>
              <w:left w:val="single" w:color="auto" w:sz="6" w:space="0"/>
              <w:bottom w:val="single" w:color="auto" w:sz="6" w:space="0"/>
              <w:right w:val="single" w:color="auto" w:sz="6" w:space="0"/>
            </w:tcBorders>
            <w:shd w:val="clear" w:color="auto" w:fill="auto"/>
            <w:vAlign w:val="center"/>
          </w:tcPr>
          <w:p w14:paraId="521E59BC">
            <w:pPr>
              <w:ind w:left="105"/>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陕西省实施女职工劳动保护特别规定(2018年1月12日陕西省人民政府令第209号公布)</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0D6B2B50">
            <w:pPr>
              <w:ind w:left="105"/>
              <w:jc w:val="center"/>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2018年3月1日起施行</w:t>
            </w:r>
          </w:p>
        </w:tc>
      </w:tr>
      <w:tr w14:paraId="29FBE84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rPr>
        <w:tc>
          <w:tcPr>
            <w:tcW w:w="659" w:type="pct"/>
            <w:tcBorders>
              <w:top w:val="single" w:color="auto" w:sz="6" w:space="0"/>
              <w:left w:val="single" w:color="auto" w:sz="6" w:space="0"/>
              <w:right w:val="single" w:color="auto" w:sz="6" w:space="0"/>
            </w:tcBorders>
            <w:shd w:val="clear" w:color="auto" w:fill="auto"/>
            <w:vAlign w:val="center"/>
          </w:tcPr>
          <w:p w14:paraId="4E8448B5">
            <w:pPr>
              <w:ind w:left="105"/>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20"/>
                <w:szCs w:val="20"/>
                <w:highlight w:val="none"/>
              </w:rPr>
              <w:t>市区级</w:t>
            </w:r>
          </w:p>
        </w:tc>
        <w:tc>
          <w:tcPr>
            <w:tcW w:w="3363" w:type="pct"/>
            <w:tcBorders>
              <w:top w:val="single" w:color="auto" w:sz="6" w:space="0"/>
              <w:left w:val="single" w:color="auto" w:sz="6" w:space="0"/>
              <w:bottom w:val="single" w:color="auto" w:sz="6" w:space="0"/>
              <w:right w:val="single" w:color="auto" w:sz="6" w:space="0"/>
            </w:tcBorders>
            <w:shd w:val="clear" w:color="auto" w:fill="auto"/>
            <w:vAlign w:val="center"/>
          </w:tcPr>
          <w:p w14:paraId="11AF2AB2">
            <w:pPr>
              <w:ind w:left="105"/>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安康市妇女儿童发展规划( 2021—2030年）</w:t>
            </w:r>
          </w:p>
        </w:tc>
        <w:tc>
          <w:tcPr>
            <w:tcW w:w="977" w:type="pct"/>
            <w:tcBorders>
              <w:top w:val="single" w:color="auto" w:sz="6" w:space="0"/>
              <w:left w:val="single" w:color="auto" w:sz="6" w:space="0"/>
              <w:bottom w:val="single" w:color="auto" w:sz="6" w:space="0"/>
              <w:right w:val="single" w:color="auto" w:sz="6" w:space="0"/>
            </w:tcBorders>
            <w:shd w:val="clear" w:color="auto" w:fill="auto"/>
            <w:vAlign w:val="center"/>
          </w:tcPr>
          <w:p w14:paraId="63B5C16E">
            <w:pPr>
              <w:ind w:left="105"/>
              <w:jc w:val="center"/>
              <w:textAlignment w:val="baseline"/>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2022</w:t>
            </w:r>
          </w:p>
        </w:tc>
      </w:tr>
    </w:tbl>
    <w:p w14:paraId="371CDFC4">
      <w:pPr>
        <w:spacing w:after="120" w:afterLines="50"/>
        <w:rPr>
          <w:rFonts w:hint="default" w:ascii="Times New Roman" w:hAnsi="Times New Roman" w:eastAsia="宋体" w:cs="Times New Roman"/>
          <w:b/>
          <w:bCs/>
          <w:color w:val="auto"/>
          <w:highlight w:val="none"/>
        </w:rPr>
      </w:pPr>
      <w:bookmarkStart w:id="529" w:name="_Toc152083565"/>
      <w:bookmarkEnd w:id="529"/>
    </w:p>
    <w:p w14:paraId="283C2A8C">
      <w:pPr>
        <w:spacing w:after="120" w:afterLines="5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 xml:space="preserve">3. </w:t>
      </w:r>
      <w:bookmarkStart w:id="530" w:name="_Toc27231"/>
      <w:bookmarkStart w:id="531" w:name="_Toc27212"/>
      <w:r>
        <w:rPr>
          <w:rFonts w:hint="default" w:ascii="Times New Roman" w:hAnsi="Times New Roman" w:eastAsia="宋体" w:cs="Times New Roman"/>
          <w:b/>
          <w:bCs/>
          <w:color w:val="auto"/>
          <w:highlight w:val="none"/>
        </w:rPr>
        <w:t>缓解措施</w:t>
      </w:r>
      <w:bookmarkEnd w:id="530"/>
      <w:bookmarkEnd w:id="531"/>
    </w:p>
    <w:p w14:paraId="2823CFA2">
      <w:pPr>
        <w:spacing w:line="276" w:lineRule="auto"/>
        <w:ind w:firstLine="480" w:firstLineChars="200"/>
        <w:rPr>
          <w:rFonts w:hint="default" w:ascii="Times New Roman" w:hAnsi="Times New Roman" w:eastAsia="宋体" w:cs="Times New Roman"/>
          <w:b/>
          <w:bCs/>
          <w:color w:val="auto"/>
          <w:highlight w:val="none"/>
        </w:rPr>
      </w:pPr>
      <w:bookmarkStart w:id="532" w:name="_Toc2368"/>
      <w:bookmarkStart w:id="533" w:name="_Toc25892"/>
      <w:r>
        <w:rPr>
          <w:rFonts w:hint="default" w:ascii="Times New Roman" w:hAnsi="Times New Roman" w:eastAsia="宋体" w:cs="Times New Roman"/>
          <w:color w:val="auto"/>
          <w:highlight w:val="none"/>
        </w:rPr>
        <w:t>考虑到项目影响人群中与项目相关的GBV潜在风险，虽然此类风险为低，但是为预防和妥善处理此类风险的影响，本框架将制定相应的缓解措施，如提高社区和其他利益相关方的认识和加强体制能力等。</w:t>
      </w:r>
      <w:bookmarkEnd w:id="532"/>
      <w:bookmarkEnd w:id="533"/>
    </w:p>
    <w:p w14:paraId="78185A0A">
      <w:pPr>
        <w:spacing w:line="276" w:lineRule="auto"/>
        <w:ind w:firstLine="480" w:firstLineChars="200"/>
        <w:rPr>
          <w:rFonts w:hint="default" w:ascii="Times New Roman" w:hAnsi="Times New Roman" w:eastAsia="宋体" w:cs="Times New Roman"/>
          <w:color w:val="auto"/>
          <w:highlight w:val="none"/>
        </w:rPr>
      </w:pPr>
    </w:p>
    <w:p w14:paraId="4761126C">
      <w:pPr>
        <w:spacing w:line="276" w:lineRule="auto"/>
        <w:ind w:firstLine="480" w:firstLineChars="200"/>
        <w:rPr>
          <w:rFonts w:hint="default" w:ascii="Times New Roman" w:hAnsi="Times New Roman" w:eastAsia="宋体" w:cs="Times New Roman"/>
          <w:color w:val="auto"/>
          <w:highlight w:val="none"/>
        </w:rPr>
        <w:sectPr>
          <w:pgSz w:w="11906" w:h="16838"/>
          <w:pgMar w:top="1440" w:right="1800" w:bottom="1440" w:left="1800" w:header="851" w:footer="992" w:gutter="0"/>
          <w:cols w:space="720" w:num="1"/>
          <w:docGrid w:linePitch="326" w:charSpace="0"/>
        </w:sectPr>
      </w:pPr>
    </w:p>
    <w:p w14:paraId="143A7FFF">
      <w:pPr>
        <w:spacing w:line="276" w:lineRule="auto"/>
        <w:ind w:firstLine="482" w:firstLineChars="200"/>
        <w:jc w:val="center"/>
        <w:rPr>
          <w:rFonts w:hint="default" w:ascii="Times New Roman" w:hAnsi="Times New Roman" w:eastAsia="宋体" w:cs="Times New Roman"/>
          <w:b/>
          <w:bCs/>
          <w:color w:val="auto"/>
          <w:highlight w:val="none"/>
        </w:rPr>
      </w:pPr>
      <w:bookmarkStart w:id="534" w:name="_Toc23001"/>
      <w:bookmarkStart w:id="535" w:name="_Toc27375"/>
      <w:r>
        <w:rPr>
          <w:rFonts w:hint="default" w:ascii="Times New Roman" w:hAnsi="Times New Roman" w:eastAsia="宋体" w:cs="Times New Roman"/>
          <w:b/>
          <w:bCs/>
          <w:color w:val="auto"/>
          <w:highlight w:val="none"/>
        </w:rPr>
        <w:t>表1  GBV/SH风险管理计划</w:t>
      </w:r>
      <w:bookmarkEnd w:id="534"/>
      <w:bookmarkEnd w:id="535"/>
    </w:p>
    <w:tbl>
      <w:tblPr>
        <w:tblStyle w:val="43"/>
        <w:tblW w:w="5000" w:type="pct"/>
        <w:tblInd w:w="0" w:type="dxa"/>
        <w:tblLayout w:type="fixed"/>
        <w:tblCellMar>
          <w:top w:w="0" w:type="dxa"/>
          <w:left w:w="108" w:type="dxa"/>
          <w:bottom w:w="0" w:type="dxa"/>
          <w:right w:w="108" w:type="dxa"/>
        </w:tblCellMar>
      </w:tblPr>
      <w:tblGrid>
        <w:gridCol w:w="392"/>
        <w:gridCol w:w="4089"/>
        <w:gridCol w:w="797"/>
        <w:gridCol w:w="1361"/>
        <w:gridCol w:w="2268"/>
        <w:gridCol w:w="3413"/>
        <w:gridCol w:w="1854"/>
      </w:tblGrid>
      <w:tr w14:paraId="7FCFF672">
        <w:tblPrEx>
          <w:tblCellMar>
            <w:top w:w="0" w:type="dxa"/>
            <w:left w:w="108" w:type="dxa"/>
            <w:bottom w:w="0" w:type="dxa"/>
            <w:right w:w="108" w:type="dxa"/>
          </w:tblCellMar>
        </w:tblPrEx>
        <w:trPr>
          <w:trHeight w:val="20" w:hRule="atLeast"/>
          <w:tblHeader/>
        </w:trPr>
        <w:tc>
          <w:tcPr>
            <w:tcW w:w="138" w:type="pct"/>
            <w:tcBorders>
              <w:top w:val="single" w:color="000000" w:sz="8" w:space="0"/>
              <w:left w:val="single" w:color="000000" w:sz="8" w:space="0"/>
              <w:bottom w:val="single" w:color="000000" w:sz="8" w:space="0"/>
              <w:right w:val="single" w:color="000000" w:sz="8" w:space="0"/>
            </w:tcBorders>
            <w:shd w:val="clear" w:color="auto" w:fill="D9D9D9"/>
            <w:vAlign w:val="center"/>
          </w:tcPr>
          <w:p w14:paraId="31C64CB2">
            <w:pPr>
              <w:textAlignment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lang w:bidi="ar"/>
              </w:rPr>
              <w:t>序号</w:t>
            </w:r>
          </w:p>
        </w:tc>
        <w:tc>
          <w:tcPr>
            <w:tcW w:w="1441" w:type="pct"/>
            <w:tcBorders>
              <w:top w:val="single" w:color="000000" w:sz="8" w:space="0"/>
              <w:left w:val="single" w:color="000000" w:sz="8" w:space="0"/>
              <w:bottom w:val="single" w:color="000000" w:sz="8" w:space="0"/>
              <w:right w:val="single" w:color="000000" w:sz="8" w:space="0"/>
            </w:tcBorders>
            <w:shd w:val="clear" w:color="auto" w:fill="D9D9D9"/>
            <w:vAlign w:val="center"/>
          </w:tcPr>
          <w:p w14:paraId="79CD923D">
            <w:pPr>
              <w:jc w:val="center"/>
              <w:textAlignment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lang w:bidi="ar"/>
              </w:rPr>
              <w:t>具体行动</w:t>
            </w:r>
          </w:p>
        </w:tc>
        <w:tc>
          <w:tcPr>
            <w:tcW w:w="281" w:type="pct"/>
            <w:tcBorders>
              <w:top w:val="single" w:color="000000" w:sz="8" w:space="0"/>
              <w:left w:val="single" w:color="000000" w:sz="8" w:space="0"/>
              <w:bottom w:val="single" w:color="000000" w:sz="8" w:space="0"/>
              <w:right w:val="single" w:color="000000" w:sz="8" w:space="0"/>
            </w:tcBorders>
            <w:shd w:val="clear" w:color="auto" w:fill="D9D9D9"/>
            <w:vAlign w:val="center"/>
          </w:tcPr>
          <w:p w14:paraId="366B56D2">
            <w:pPr>
              <w:textAlignment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lang w:bidi="ar"/>
              </w:rPr>
              <w:t>预算（万元）</w:t>
            </w:r>
          </w:p>
        </w:tc>
        <w:tc>
          <w:tcPr>
            <w:tcW w:w="480" w:type="pct"/>
            <w:tcBorders>
              <w:top w:val="single" w:color="000000" w:sz="8" w:space="0"/>
              <w:left w:val="single" w:color="000000" w:sz="8" w:space="0"/>
              <w:bottom w:val="single" w:color="000000" w:sz="8" w:space="0"/>
              <w:right w:val="single" w:color="000000" w:sz="8" w:space="0"/>
            </w:tcBorders>
            <w:shd w:val="clear" w:color="auto" w:fill="D9D9D9"/>
            <w:vAlign w:val="center"/>
          </w:tcPr>
          <w:p w14:paraId="66EC1483">
            <w:pPr>
              <w:jc w:val="center"/>
              <w:textAlignment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lang w:bidi="ar"/>
              </w:rPr>
              <w:t>实施时间</w:t>
            </w:r>
          </w:p>
        </w:tc>
        <w:tc>
          <w:tcPr>
            <w:tcW w:w="800" w:type="pct"/>
            <w:tcBorders>
              <w:top w:val="single" w:color="000000" w:sz="8" w:space="0"/>
              <w:left w:val="single" w:color="000000" w:sz="8" w:space="0"/>
              <w:bottom w:val="single" w:color="000000" w:sz="8" w:space="0"/>
              <w:right w:val="single" w:color="000000" w:sz="8" w:space="0"/>
            </w:tcBorders>
            <w:shd w:val="clear" w:color="auto" w:fill="D9D9D9"/>
            <w:vAlign w:val="center"/>
          </w:tcPr>
          <w:p w14:paraId="1D2CCAC9">
            <w:pPr>
              <w:jc w:val="center"/>
              <w:textAlignment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lang w:bidi="ar"/>
              </w:rPr>
              <w:t>责任主体</w:t>
            </w:r>
          </w:p>
        </w:tc>
        <w:tc>
          <w:tcPr>
            <w:tcW w:w="1204" w:type="pct"/>
            <w:tcBorders>
              <w:top w:val="single" w:color="000000" w:sz="8" w:space="0"/>
              <w:left w:val="single" w:color="000000" w:sz="8" w:space="0"/>
              <w:bottom w:val="single" w:color="000000" w:sz="8" w:space="0"/>
              <w:right w:val="single" w:color="000000" w:sz="8" w:space="0"/>
            </w:tcBorders>
            <w:shd w:val="clear" w:color="auto" w:fill="D9D9D9"/>
            <w:vAlign w:val="center"/>
          </w:tcPr>
          <w:p w14:paraId="1460FEC9">
            <w:pPr>
              <w:jc w:val="center"/>
              <w:textAlignment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lang w:bidi="ar"/>
              </w:rPr>
              <w:t>监测指标</w:t>
            </w:r>
          </w:p>
        </w:tc>
        <w:tc>
          <w:tcPr>
            <w:tcW w:w="654" w:type="pct"/>
            <w:tcBorders>
              <w:top w:val="single" w:color="000000" w:sz="8" w:space="0"/>
              <w:left w:val="single" w:color="000000" w:sz="8" w:space="0"/>
              <w:bottom w:val="single" w:color="000000" w:sz="8" w:space="0"/>
              <w:right w:val="single" w:color="000000" w:sz="8" w:space="0"/>
            </w:tcBorders>
            <w:shd w:val="clear" w:color="auto" w:fill="D9D9D9"/>
            <w:vAlign w:val="center"/>
          </w:tcPr>
          <w:p w14:paraId="1F2537CB">
            <w:pPr>
              <w:jc w:val="center"/>
              <w:textAlignment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lang w:bidi="ar"/>
              </w:rPr>
              <w:t>监测的时间和频率</w:t>
            </w:r>
          </w:p>
        </w:tc>
      </w:tr>
      <w:tr w14:paraId="104023EA">
        <w:tblPrEx>
          <w:tblCellMar>
            <w:top w:w="0" w:type="dxa"/>
            <w:left w:w="108" w:type="dxa"/>
            <w:bottom w:w="0" w:type="dxa"/>
            <w:right w:w="108" w:type="dxa"/>
          </w:tblCellMar>
        </w:tblPrEx>
        <w:trPr>
          <w:trHeight w:val="20" w:hRule="atLeast"/>
        </w:trPr>
        <w:tc>
          <w:tcPr>
            <w:tcW w:w="13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1CBF35B">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1</w:t>
            </w:r>
          </w:p>
        </w:tc>
        <w:tc>
          <w:tcPr>
            <w:tcW w:w="144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B884084">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组织关于GBV/SEA/SH风险培训，以提高项目办及执行机构在这一方面的敏感度。</w:t>
            </w:r>
          </w:p>
        </w:tc>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0B98751">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5</w:t>
            </w:r>
          </w:p>
        </w:tc>
        <w:tc>
          <w:tcPr>
            <w:tcW w:w="48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FE0EEDA">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项目实施以前及实施期间</w:t>
            </w:r>
          </w:p>
        </w:tc>
        <w:tc>
          <w:tcPr>
            <w:tcW w:w="80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FCE8383">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项目办及执行机构、社会顾问/性别顾问</w:t>
            </w:r>
          </w:p>
        </w:tc>
        <w:tc>
          <w:tcPr>
            <w:tcW w:w="12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A7DB39F">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项目办及执行机构的相关人员意识到了项目区的GBV/SEA/SH风险因素，并接受如何预防和应对GBV/SEA/SH的培训。</w:t>
            </w:r>
          </w:p>
          <w:p w14:paraId="42BC7376">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培训开展次数及人员参与数量。</w:t>
            </w:r>
          </w:p>
        </w:tc>
        <w:tc>
          <w:tcPr>
            <w:tcW w:w="6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426EED1">
            <w:pP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项目执行期（2024~2029年），每半年一次</w:t>
            </w:r>
          </w:p>
        </w:tc>
      </w:tr>
      <w:tr w14:paraId="49156E8B">
        <w:tblPrEx>
          <w:tblCellMar>
            <w:top w:w="0" w:type="dxa"/>
            <w:left w:w="108" w:type="dxa"/>
            <w:bottom w:w="0" w:type="dxa"/>
            <w:right w:w="108" w:type="dxa"/>
          </w:tblCellMar>
        </w:tblPrEx>
        <w:trPr>
          <w:trHeight w:val="20" w:hRule="atLeast"/>
        </w:trPr>
        <w:tc>
          <w:tcPr>
            <w:tcW w:w="13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C7B14F">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2</w:t>
            </w:r>
          </w:p>
        </w:tc>
        <w:tc>
          <w:tcPr>
            <w:tcW w:w="144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C38A4E1">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与当地妇女联合会合作，建立针对项目的GBV/SEA/SH申诉处理机制，以应对项目实施过程中潜在的GBV/SEA/SH事件。</w:t>
            </w:r>
          </w:p>
          <w:p w14:paraId="1F50BA46">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对负责申诉处理的人员进行培训，包括投诉登记和管理的适当文件编制；以及SEA/SH事件申诉者信息的保密。</w:t>
            </w:r>
          </w:p>
        </w:tc>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9461039">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4</w:t>
            </w:r>
          </w:p>
        </w:tc>
        <w:tc>
          <w:tcPr>
            <w:tcW w:w="48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6096946">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项目实施以前</w:t>
            </w:r>
          </w:p>
        </w:tc>
        <w:tc>
          <w:tcPr>
            <w:tcW w:w="80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B470A79">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项目办及执行机构、社会顾问/性别顾问</w:t>
            </w:r>
          </w:p>
        </w:tc>
        <w:tc>
          <w:tcPr>
            <w:tcW w:w="12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E944193">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负责申诉处理的人员到位；</w:t>
            </w:r>
          </w:p>
          <w:p w14:paraId="663ADE9D">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GBV/SEA/SH申诉记录；</w:t>
            </w:r>
          </w:p>
          <w:p w14:paraId="58AC448C">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培训开展次数及人员参与数量。</w:t>
            </w:r>
          </w:p>
        </w:tc>
        <w:tc>
          <w:tcPr>
            <w:tcW w:w="6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A76CD9E">
            <w:pP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项目执行期（2024~2029年），每半年一次</w:t>
            </w:r>
          </w:p>
        </w:tc>
      </w:tr>
      <w:tr w14:paraId="5907E97A">
        <w:tblPrEx>
          <w:tblCellMar>
            <w:top w:w="0" w:type="dxa"/>
            <w:left w:w="108" w:type="dxa"/>
            <w:bottom w:w="0" w:type="dxa"/>
            <w:right w:w="108" w:type="dxa"/>
          </w:tblCellMar>
        </w:tblPrEx>
        <w:trPr>
          <w:trHeight w:val="20" w:hRule="atLeast"/>
        </w:trPr>
        <w:tc>
          <w:tcPr>
            <w:tcW w:w="13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1028BC">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3</w:t>
            </w:r>
          </w:p>
        </w:tc>
        <w:tc>
          <w:tcPr>
            <w:tcW w:w="144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CC32FAA">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施工承包商编制GBV/SEA/SH行为管理办法，并确保施工工人清楚地理解管理办法中的要求。</w:t>
            </w:r>
          </w:p>
        </w:tc>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E14EC68">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2</w:t>
            </w:r>
          </w:p>
        </w:tc>
        <w:tc>
          <w:tcPr>
            <w:tcW w:w="48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69A8B66">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承包商进场前</w:t>
            </w:r>
          </w:p>
        </w:tc>
        <w:tc>
          <w:tcPr>
            <w:tcW w:w="80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4D0CE33">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承包商</w:t>
            </w:r>
          </w:p>
        </w:tc>
        <w:tc>
          <w:tcPr>
            <w:tcW w:w="12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8121072">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接受管理办法培训或宣导的管理人员及工人数量。</w:t>
            </w:r>
          </w:p>
        </w:tc>
        <w:tc>
          <w:tcPr>
            <w:tcW w:w="6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B8AF1AC">
            <w:pP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项目执行期（2024~2029年），每半年一次</w:t>
            </w:r>
          </w:p>
        </w:tc>
      </w:tr>
      <w:tr w14:paraId="611D3AB1">
        <w:tblPrEx>
          <w:tblCellMar>
            <w:top w:w="0" w:type="dxa"/>
            <w:left w:w="108" w:type="dxa"/>
            <w:bottom w:w="0" w:type="dxa"/>
            <w:right w:w="108" w:type="dxa"/>
          </w:tblCellMar>
        </w:tblPrEx>
        <w:trPr>
          <w:trHeight w:val="20" w:hRule="atLeast"/>
        </w:trPr>
        <w:tc>
          <w:tcPr>
            <w:tcW w:w="13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05220FC">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4</w:t>
            </w:r>
          </w:p>
        </w:tc>
        <w:tc>
          <w:tcPr>
            <w:tcW w:w="144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8F081AC">
            <w:pPr>
              <w:textAlignment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在招标文件中承诺响应GBV/SEA/SH相关要求。</w:t>
            </w:r>
          </w:p>
          <w:p w14:paraId="73089E50">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在施工合同中应设置有GBV/SEA/SH相关条款，包括具体要求、罚则等。</w:t>
            </w:r>
          </w:p>
        </w:tc>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009DDB6">
            <w:pPr>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w:t>
            </w:r>
          </w:p>
        </w:tc>
        <w:tc>
          <w:tcPr>
            <w:tcW w:w="48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2E66C8F">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招标采购时及合同签订时</w:t>
            </w:r>
          </w:p>
        </w:tc>
        <w:tc>
          <w:tcPr>
            <w:tcW w:w="80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6C9DB0F">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项目办及执行机构、承包商</w:t>
            </w:r>
          </w:p>
        </w:tc>
        <w:tc>
          <w:tcPr>
            <w:tcW w:w="12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6CA5907">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招标文件及施工合同中有相应的GBV/SEA/SH要求或条款</w:t>
            </w:r>
          </w:p>
        </w:tc>
        <w:tc>
          <w:tcPr>
            <w:tcW w:w="6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C11987">
            <w:pP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项目执行期（2024~2029年），每半年一次</w:t>
            </w:r>
          </w:p>
        </w:tc>
      </w:tr>
      <w:tr w14:paraId="6B48CF30">
        <w:tblPrEx>
          <w:tblCellMar>
            <w:top w:w="0" w:type="dxa"/>
            <w:left w:w="108" w:type="dxa"/>
            <w:bottom w:w="0" w:type="dxa"/>
            <w:right w:w="108" w:type="dxa"/>
          </w:tblCellMar>
        </w:tblPrEx>
        <w:trPr>
          <w:trHeight w:val="20" w:hRule="atLeast"/>
        </w:trPr>
        <w:tc>
          <w:tcPr>
            <w:tcW w:w="13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B2754BE">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5</w:t>
            </w:r>
          </w:p>
        </w:tc>
        <w:tc>
          <w:tcPr>
            <w:tcW w:w="144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06E1FC6">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GBV/SEA/SH相关行动的执行将纳入外部监测评估中</w:t>
            </w:r>
          </w:p>
        </w:tc>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C264622">
            <w:pPr>
              <w:jc w:val="right"/>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8</w:t>
            </w:r>
          </w:p>
        </w:tc>
        <w:tc>
          <w:tcPr>
            <w:tcW w:w="48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09BCEDC">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项目实施期</w:t>
            </w:r>
          </w:p>
        </w:tc>
        <w:tc>
          <w:tcPr>
            <w:tcW w:w="80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8F6E814">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项目办及执行机构、外部监测机构</w:t>
            </w:r>
          </w:p>
        </w:tc>
        <w:tc>
          <w:tcPr>
            <w:tcW w:w="120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CEB73F">
            <w:pP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提交的半年度外部监测报告</w:t>
            </w:r>
          </w:p>
        </w:tc>
        <w:tc>
          <w:tcPr>
            <w:tcW w:w="65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221F9C5">
            <w:pP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bidi="ar"/>
              </w:rPr>
              <w:t>项目执行期（2024~2029年），每半年一次</w:t>
            </w:r>
          </w:p>
        </w:tc>
      </w:tr>
    </w:tbl>
    <w:p w14:paraId="08BA881D">
      <w:pPr>
        <w:rPr>
          <w:rFonts w:hint="default" w:ascii="Times New Roman" w:hAnsi="Times New Roman" w:eastAsia="宋体" w:cs="Times New Roman"/>
          <w:color w:val="auto"/>
          <w:sz w:val="28"/>
          <w:szCs w:val="36"/>
          <w:highlight w:val="none"/>
        </w:rPr>
      </w:pPr>
    </w:p>
    <w:p w14:paraId="393ADED8">
      <w:pPr>
        <w:pStyle w:val="2"/>
        <w:rPr>
          <w:rFonts w:hint="default" w:ascii="Times New Roman" w:hAnsi="Times New Roman" w:eastAsia="宋体" w:cs="Times New Roman"/>
          <w:color w:val="auto"/>
          <w:sz w:val="28"/>
          <w:szCs w:val="36"/>
          <w:highlight w:val="none"/>
        </w:rPr>
        <w:sectPr>
          <w:pgSz w:w="16838" w:h="11906" w:orient="landscape"/>
          <w:pgMar w:top="1800" w:right="1440" w:bottom="1800" w:left="1440" w:header="851" w:footer="992" w:gutter="0"/>
          <w:cols w:space="720" w:num="1"/>
          <w:docGrid w:linePitch="326" w:charSpace="0"/>
        </w:sectPr>
      </w:pPr>
    </w:p>
    <w:p w14:paraId="48724A70">
      <w:pPr>
        <w:keepNext/>
        <w:keepLines/>
        <w:spacing w:before="240" w:after="240" w:line="300" w:lineRule="auto"/>
        <w:outlineLvl w:val="1"/>
        <w:rPr>
          <w:rFonts w:hint="default" w:ascii="Times New Roman" w:hAnsi="Times New Roman" w:eastAsia="宋体" w:cs="Times New Roman"/>
          <w:b/>
          <w:color w:val="auto"/>
          <w:sz w:val="28"/>
          <w:szCs w:val="28"/>
          <w:highlight w:val="none"/>
        </w:rPr>
      </w:pPr>
      <w:bookmarkStart w:id="536" w:name="_Toc4298"/>
      <w:r>
        <w:rPr>
          <w:rFonts w:hint="default" w:ascii="Times New Roman" w:hAnsi="Times New Roman" w:eastAsia="宋体" w:cs="Times New Roman"/>
          <w:b/>
          <w:color w:val="auto"/>
          <w:sz w:val="28"/>
          <w:szCs w:val="28"/>
          <w:highlight w:val="none"/>
        </w:rPr>
        <w:t>附件4 社会调查记录</w:t>
      </w:r>
      <w:bookmarkEnd w:id="536"/>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43"/>
        <w:gridCol w:w="109"/>
        <w:gridCol w:w="4370"/>
      </w:tblGrid>
      <w:tr w14:paraId="75DA2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shd w:val="clear" w:color="auto" w:fill="E2EFDA" w:themeFill="accent6" w:themeFillTint="32"/>
          </w:tcPr>
          <w:p w14:paraId="1E2B9AEC">
            <w:pPr>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受影响村公众参与现场</w:t>
            </w:r>
          </w:p>
        </w:tc>
      </w:tr>
      <w:tr w14:paraId="31156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6" w:type="pct"/>
            <w:gridSpan w:val="2"/>
          </w:tcPr>
          <w:p w14:paraId="1D49EF50">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2089150" cy="1567815"/>
                  <wp:effectExtent l="0" t="0" r="13970" b="1905"/>
                  <wp:docPr id="77" name="图片 77" descr="0c326d2c88193a9abab689d1927f9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0c326d2c88193a9abab689d1927f91f"/>
                          <pic:cNvPicPr>
                            <a:picLocks noChangeAspect="1"/>
                          </pic:cNvPicPr>
                        </pic:nvPicPr>
                        <pic:blipFill>
                          <a:blip r:embed="rId14"/>
                          <a:stretch>
                            <a:fillRect/>
                          </a:stretch>
                        </pic:blipFill>
                        <pic:spPr>
                          <a:xfrm>
                            <a:off x="0" y="0"/>
                            <a:ext cx="2089150" cy="1567815"/>
                          </a:xfrm>
                          <a:prstGeom prst="rect">
                            <a:avLst/>
                          </a:prstGeom>
                        </pic:spPr>
                      </pic:pic>
                    </a:graphicData>
                  </a:graphic>
                </wp:inline>
              </w:drawing>
            </w:r>
          </w:p>
        </w:tc>
        <w:tc>
          <w:tcPr>
            <w:tcW w:w="2563" w:type="pct"/>
          </w:tcPr>
          <w:p w14:paraId="1A7A19A3">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2117090" cy="1589405"/>
                  <wp:effectExtent l="0" t="0" r="1270" b="10795"/>
                  <wp:docPr id="76" name="图片 76" descr="b6b405125ca0e8eff51ef8f68ed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b6b405125ca0e8eff51ef8f68ed7066"/>
                          <pic:cNvPicPr>
                            <a:picLocks noChangeAspect="1"/>
                          </pic:cNvPicPr>
                        </pic:nvPicPr>
                        <pic:blipFill>
                          <a:blip r:embed="rId15"/>
                          <a:stretch>
                            <a:fillRect/>
                          </a:stretch>
                        </pic:blipFill>
                        <pic:spPr>
                          <a:xfrm>
                            <a:off x="0" y="0"/>
                            <a:ext cx="2117090" cy="1589405"/>
                          </a:xfrm>
                          <a:prstGeom prst="rect">
                            <a:avLst/>
                          </a:prstGeom>
                        </pic:spPr>
                      </pic:pic>
                    </a:graphicData>
                  </a:graphic>
                </wp:inline>
              </w:drawing>
            </w:r>
          </w:p>
        </w:tc>
      </w:tr>
      <w:tr w14:paraId="32DF6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6" w:type="pct"/>
            <w:gridSpan w:val="2"/>
          </w:tcPr>
          <w:p w14:paraId="6C1BBDA8">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在立石村开展公众咨询会议及问卷调查，了解村情、征地情况、以及对项目的意见建议。</w:t>
            </w:r>
          </w:p>
        </w:tc>
        <w:tc>
          <w:tcPr>
            <w:tcW w:w="2563" w:type="pct"/>
          </w:tcPr>
          <w:p w14:paraId="7B74C256">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在奠安村开展公众咨询会议及问卷调查，了解村情、征地情况、以及对项目的意见建议。</w:t>
            </w:r>
          </w:p>
        </w:tc>
      </w:tr>
      <w:tr w14:paraId="76FA0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6" w:type="pct"/>
            <w:gridSpan w:val="2"/>
          </w:tcPr>
          <w:p w14:paraId="69D51425">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2067560" cy="1550670"/>
                  <wp:effectExtent l="0" t="0" r="5080" b="3810"/>
                  <wp:docPr id="74" name="图片 74" descr="44bc9b7ea902c8e3084e545bd346c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44bc9b7ea902c8e3084e545bd346c83"/>
                          <pic:cNvPicPr>
                            <a:picLocks noChangeAspect="1"/>
                          </pic:cNvPicPr>
                        </pic:nvPicPr>
                        <pic:blipFill>
                          <a:blip r:embed="rId16"/>
                          <a:stretch>
                            <a:fillRect/>
                          </a:stretch>
                        </pic:blipFill>
                        <pic:spPr>
                          <a:xfrm>
                            <a:off x="0" y="0"/>
                            <a:ext cx="2067560" cy="1550670"/>
                          </a:xfrm>
                          <a:prstGeom prst="rect">
                            <a:avLst/>
                          </a:prstGeom>
                        </pic:spPr>
                      </pic:pic>
                    </a:graphicData>
                  </a:graphic>
                </wp:inline>
              </w:drawing>
            </w:r>
          </w:p>
        </w:tc>
        <w:tc>
          <w:tcPr>
            <w:tcW w:w="2563" w:type="pct"/>
          </w:tcPr>
          <w:p w14:paraId="32FDDB6E">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2219960" cy="1458595"/>
                  <wp:effectExtent l="0" t="0" r="5080" b="4445"/>
                  <wp:docPr id="75" name="图片 75" descr="e56391888fa88f61c42d3d65d8d83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e56391888fa88f61c42d3d65d8d835e"/>
                          <pic:cNvPicPr>
                            <a:picLocks noChangeAspect="1"/>
                          </pic:cNvPicPr>
                        </pic:nvPicPr>
                        <pic:blipFill>
                          <a:blip r:embed="rId17"/>
                          <a:stretch>
                            <a:fillRect/>
                          </a:stretch>
                        </pic:blipFill>
                        <pic:spPr>
                          <a:xfrm>
                            <a:off x="0" y="0"/>
                            <a:ext cx="2219960" cy="1458595"/>
                          </a:xfrm>
                          <a:prstGeom prst="rect">
                            <a:avLst/>
                          </a:prstGeom>
                        </pic:spPr>
                      </pic:pic>
                    </a:graphicData>
                  </a:graphic>
                </wp:inline>
              </w:drawing>
            </w:r>
          </w:p>
        </w:tc>
      </w:tr>
      <w:tr w14:paraId="21B5B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6" w:type="pct"/>
            <w:gridSpan w:val="2"/>
          </w:tcPr>
          <w:p w14:paraId="393FDDB0">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在邹坡村开展公众咨询会议及问卷调查，了解村情、征地情况、以及对项目的意见建议。</w:t>
            </w:r>
          </w:p>
        </w:tc>
        <w:tc>
          <w:tcPr>
            <w:tcW w:w="2563" w:type="pct"/>
          </w:tcPr>
          <w:p w14:paraId="48B6446E">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在兰沟村开展公众咨询会议及问卷调查，了解村情、征地情况、以及对项目的意见建议。</w:t>
            </w:r>
          </w:p>
        </w:tc>
      </w:tr>
      <w:tr w14:paraId="3F5A6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6" w:type="pct"/>
            <w:gridSpan w:val="2"/>
          </w:tcPr>
          <w:p w14:paraId="721C1C30">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2230755" cy="1673860"/>
                  <wp:effectExtent l="0" t="0" r="9525" b="2540"/>
                  <wp:docPr id="79" name="图片 79" descr="193ec1057456a0b223a9d8f039df6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93ec1057456a0b223a9d8f039df6e1"/>
                          <pic:cNvPicPr>
                            <a:picLocks noChangeAspect="1"/>
                          </pic:cNvPicPr>
                        </pic:nvPicPr>
                        <pic:blipFill>
                          <a:blip r:embed="rId18"/>
                          <a:stretch>
                            <a:fillRect/>
                          </a:stretch>
                        </pic:blipFill>
                        <pic:spPr>
                          <a:xfrm>
                            <a:off x="0" y="0"/>
                            <a:ext cx="2230755" cy="1673860"/>
                          </a:xfrm>
                          <a:prstGeom prst="rect">
                            <a:avLst/>
                          </a:prstGeom>
                        </pic:spPr>
                      </pic:pic>
                    </a:graphicData>
                  </a:graphic>
                </wp:inline>
              </w:drawing>
            </w:r>
          </w:p>
        </w:tc>
        <w:tc>
          <w:tcPr>
            <w:tcW w:w="2563" w:type="pct"/>
          </w:tcPr>
          <w:p w14:paraId="13233B84">
            <w:pPr>
              <w:snapToGrid w:val="0"/>
              <w:jc w:val="center"/>
              <w:rPr>
                <w:rFonts w:hint="default" w:ascii="Times New Roman" w:hAnsi="Times New Roman" w:eastAsia="宋体" w:cs="Times New Roman"/>
                <w:color w:val="auto"/>
                <w:sz w:val="21"/>
                <w:szCs w:val="21"/>
                <w:highlight w:val="none"/>
                <w:lang w:bidi="en-US"/>
              </w:rPr>
            </w:pPr>
            <w:r>
              <w:rPr>
                <w:rFonts w:hint="default" w:ascii="Times New Roman" w:hAnsi="Times New Roman" w:eastAsia="宋体" w:cs="Times New Roman"/>
                <w:color w:val="auto"/>
                <w:sz w:val="21"/>
                <w:szCs w:val="21"/>
                <w:highlight w:val="none"/>
              </w:rPr>
              <w:drawing>
                <wp:inline distT="0" distB="0" distL="114300" distR="114300">
                  <wp:extent cx="2172970" cy="1631315"/>
                  <wp:effectExtent l="0" t="0" r="6350" b="14605"/>
                  <wp:docPr id="78" name="图片 78" descr="d0f128bab744f0f772ce2121206f4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d0f128bab744f0f772ce2121206f4ed"/>
                          <pic:cNvPicPr>
                            <a:picLocks noChangeAspect="1"/>
                          </pic:cNvPicPr>
                        </pic:nvPicPr>
                        <pic:blipFill>
                          <a:blip r:embed="rId19"/>
                          <a:stretch>
                            <a:fillRect/>
                          </a:stretch>
                        </pic:blipFill>
                        <pic:spPr>
                          <a:xfrm>
                            <a:off x="0" y="0"/>
                            <a:ext cx="2172970" cy="1631315"/>
                          </a:xfrm>
                          <a:prstGeom prst="rect">
                            <a:avLst/>
                          </a:prstGeom>
                        </pic:spPr>
                      </pic:pic>
                    </a:graphicData>
                  </a:graphic>
                </wp:inline>
              </w:drawing>
            </w:r>
          </w:p>
        </w:tc>
      </w:tr>
      <w:tr w14:paraId="35168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6" w:type="pct"/>
            <w:gridSpan w:val="2"/>
          </w:tcPr>
          <w:p w14:paraId="0D65C1D5">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在双井村入户访谈及问卷调查，</w:t>
            </w:r>
            <w:r>
              <w:rPr>
                <w:rFonts w:hint="default" w:ascii="Times New Roman" w:hAnsi="Times New Roman" w:eastAsia="宋体" w:cs="Times New Roman"/>
                <w:color w:val="auto"/>
                <w:sz w:val="21"/>
                <w:szCs w:val="21"/>
                <w:highlight w:val="none"/>
                <w:lang w:bidi="en-US"/>
              </w:rPr>
              <w:t>了解家庭生活情况、征地情况，及对项目的意见和建议。</w:t>
            </w:r>
          </w:p>
        </w:tc>
        <w:tc>
          <w:tcPr>
            <w:tcW w:w="2563" w:type="pct"/>
          </w:tcPr>
          <w:p w14:paraId="581B2007">
            <w:pPr>
              <w:snapToGrid w:val="0"/>
              <w:rPr>
                <w:rFonts w:hint="default" w:ascii="Times New Roman" w:hAnsi="Times New Roman" w:eastAsia="宋体" w:cs="Times New Roman"/>
                <w:color w:val="auto"/>
                <w:sz w:val="21"/>
                <w:szCs w:val="21"/>
                <w:highlight w:val="none"/>
                <w:lang w:bidi="en-US"/>
              </w:rPr>
            </w:pPr>
            <w:r>
              <w:rPr>
                <w:rFonts w:hint="default" w:ascii="Times New Roman" w:hAnsi="Times New Roman" w:eastAsia="宋体" w:cs="Times New Roman"/>
                <w:color w:val="auto"/>
                <w:sz w:val="21"/>
                <w:szCs w:val="21"/>
                <w:highlight w:val="none"/>
                <w:lang w:bidi="en-US"/>
              </w:rPr>
              <w:t>石梯镇双村村村民访谈及问卷调查，了解村民家庭生活情况，及对项目的意见和建议。</w:t>
            </w:r>
          </w:p>
        </w:tc>
      </w:tr>
      <w:tr w14:paraId="61C86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6" w:type="pct"/>
            <w:gridSpan w:val="2"/>
          </w:tcPr>
          <w:p w14:paraId="2406411C">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2482850" cy="1863090"/>
                  <wp:effectExtent l="0" t="0" r="1270" b="11430"/>
                  <wp:docPr id="80" name="图片 80" descr="be96bd8ff41126e0973ba547cb05b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be96bd8ff41126e0973ba547cb05bb2"/>
                          <pic:cNvPicPr>
                            <a:picLocks noChangeAspect="1"/>
                          </pic:cNvPicPr>
                        </pic:nvPicPr>
                        <pic:blipFill>
                          <a:blip r:embed="rId20"/>
                          <a:stretch>
                            <a:fillRect/>
                          </a:stretch>
                        </pic:blipFill>
                        <pic:spPr>
                          <a:xfrm>
                            <a:off x="0" y="0"/>
                            <a:ext cx="2482850" cy="1863090"/>
                          </a:xfrm>
                          <a:prstGeom prst="rect">
                            <a:avLst/>
                          </a:prstGeom>
                        </pic:spPr>
                      </pic:pic>
                    </a:graphicData>
                  </a:graphic>
                </wp:inline>
              </w:drawing>
            </w:r>
          </w:p>
        </w:tc>
        <w:tc>
          <w:tcPr>
            <w:tcW w:w="2563" w:type="pct"/>
          </w:tcPr>
          <w:p w14:paraId="056156CA">
            <w:pPr>
              <w:snapToGrid w:val="0"/>
              <w:jc w:val="center"/>
              <w:rPr>
                <w:rFonts w:hint="default" w:ascii="Times New Roman" w:hAnsi="Times New Roman" w:eastAsia="宋体" w:cs="Times New Roman"/>
                <w:color w:val="auto"/>
                <w:sz w:val="21"/>
                <w:szCs w:val="21"/>
                <w:highlight w:val="none"/>
                <w:lang w:bidi="en-US"/>
              </w:rPr>
            </w:pPr>
            <w:r>
              <w:rPr>
                <w:rFonts w:hint="default" w:ascii="Times New Roman" w:hAnsi="Times New Roman" w:eastAsia="宋体" w:cs="Times New Roman"/>
                <w:color w:val="auto"/>
                <w:sz w:val="21"/>
                <w:szCs w:val="21"/>
                <w:highlight w:val="none"/>
              </w:rPr>
              <w:drawing>
                <wp:inline distT="0" distB="0" distL="114300" distR="114300">
                  <wp:extent cx="2452370" cy="1840230"/>
                  <wp:effectExtent l="0" t="0" r="1270" b="3810"/>
                  <wp:docPr id="81" name="图片 81" descr="2c9d2d7b91a4b67414f535dcca84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2c9d2d7b91a4b67414f535dcca84cca"/>
                          <pic:cNvPicPr>
                            <a:picLocks noChangeAspect="1"/>
                          </pic:cNvPicPr>
                        </pic:nvPicPr>
                        <pic:blipFill>
                          <a:blip r:embed="rId21"/>
                          <a:stretch>
                            <a:fillRect/>
                          </a:stretch>
                        </pic:blipFill>
                        <pic:spPr>
                          <a:xfrm>
                            <a:off x="0" y="0"/>
                            <a:ext cx="2452370" cy="1840230"/>
                          </a:xfrm>
                          <a:prstGeom prst="rect">
                            <a:avLst/>
                          </a:prstGeom>
                        </pic:spPr>
                      </pic:pic>
                    </a:graphicData>
                  </a:graphic>
                </wp:inline>
              </w:drawing>
            </w:r>
          </w:p>
        </w:tc>
      </w:tr>
      <w:tr w14:paraId="2AB8F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6" w:type="pct"/>
            <w:gridSpan w:val="2"/>
          </w:tcPr>
          <w:p w14:paraId="3300F60D">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在王湾村入户访谈及问卷调查，</w:t>
            </w:r>
            <w:r>
              <w:rPr>
                <w:rFonts w:hint="default" w:ascii="Times New Roman" w:hAnsi="Times New Roman" w:eastAsia="宋体" w:cs="Times New Roman"/>
                <w:color w:val="auto"/>
                <w:sz w:val="21"/>
                <w:szCs w:val="21"/>
                <w:highlight w:val="none"/>
                <w:lang w:bidi="en-US"/>
              </w:rPr>
              <w:t>了解家庭生活情况、征地情况，及对项目的意见和建议。</w:t>
            </w:r>
          </w:p>
        </w:tc>
        <w:tc>
          <w:tcPr>
            <w:tcW w:w="2563" w:type="pct"/>
          </w:tcPr>
          <w:p w14:paraId="25395110">
            <w:pPr>
              <w:snapToGrid w:val="0"/>
              <w:rPr>
                <w:rFonts w:hint="default" w:ascii="Times New Roman" w:hAnsi="Times New Roman" w:eastAsia="宋体" w:cs="Times New Roman"/>
                <w:color w:val="auto"/>
                <w:sz w:val="21"/>
                <w:szCs w:val="21"/>
                <w:highlight w:val="none"/>
                <w:lang w:bidi="en-US"/>
              </w:rPr>
            </w:pPr>
            <w:r>
              <w:rPr>
                <w:rFonts w:hint="default" w:ascii="Times New Roman" w:hAnsi="Times New Roman" w:eastAsia="宋体" w:cs="Times New Roman"/>
                <w:color w:val="auto"/>
                <w:sz w:val="21"/>
                <w:szCs w:val="21"/>
                <w:highlight w:val="none"/>
              </w:rPr>
              <w:t>在后堰村入户访谈及问卷调查，</w:t>
            </w:r>
            <w:r>
              <w:rPr>
                <w:rFonts w:hint="default" w:ascii="Times New Roman" w:hAnsi="Times New Roman" w:eastAsia="宋体" w:cs="Times New Roman"/>
                <w:color w:val="auto"/>
                <w:sz w:val="21"/>
                <w:szCs w:val="21"/>
                <w:highlight w:val="none"/>
                <w:lang w:bidi="en-US"/>
              </w:rPr>
              <w:t>了解家庭生活情况、征地情况，及对项目的意见和建议。</w:t>
            </w:r>
          </w:p>
        </w:tc>
      </w:tr>
      <w:tr w14:paraId="49B67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6" w:type="pct"/>
            <w:gridSpan w:val="2"/>
          </w:tcPr>
          <w:p w14:paraId="54FD2AD6">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2487295" cy="1865630"/>
                  <wp:effectExtent l="0" t="0" r="12065" b="8890"/>
                  <wp:docPr id="47" name="图片 47" descr="/private/var/folders/5v/xr7bg5vn0tgbfc2mz_m_vygh0000gn/T/com.kingsoft.wpsoffice.mac/picturecompress_2023082111192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private/var/folders/5v/xr7bg5vn0tgbfc2mz_m_vygh0000gn/T/com.kingsoft.wpsoffice.mac/picturecompress_20230821111922/output_1.jpgoutput_1"/>
                          <pic:cNvPicPr>
                            <a:picLocks noChangeAspect="1"/>
                          </pic:cNvPicPr>
                        </pic:nvPicPr>
                        <pic:blipFill>
                          <a:blip r:embed="rId22"/>
                          <a:stretch>
                            <a:fillRect/>
                          </a:stretch>
                        </pic:blipFill>
                        <pic:spPr>
                          <a:xfrm>
                            <a:off x="0" y="0"/>
                            <a:ext cx="2487295" cy="1865630"/>
                          </a:xfrm>
                          <a:prstGeom prst="rect">
                            <a:avLst/>
                          </a:prstGeom>
                        </pic:spPr>
                      </pic:pic>
                    </a:graphicData>
                  </a:graphic>
                </wp:inline>
              </w:drawing>
            </w:r>
          </w:p>
        </w:tc>
        <w:tc>
          <w:tcPr>
            <w:tcW w:w="2563" w:type="pct"/>
          </w:tcPr>
          <w:p w14:paraId="7FADA76E">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2513330" cy="1884680"/>
                  <wp:effectExtent l="0" t="0" r="1270" b="5080"/>
                  <wp:docPr id="48" name="图片 48" descr="/private/var/folders/5v/xr7bg5vn0tgbfc2mz_m_vygh0000gn/T/com.kingsoft.wpsoffice.mac/picturecompress_2023082111204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private/var/folders/5v/xr7bg5vn0tgbfc2mz_m_vygh0000gn/T/com.kingsoft.wpsoffice.mac/picturecompress_20230821112049/output_1.jpgoutput_1"/>
                          <pic:cNvPicPr>
                            <a:picLocks noChangeAspect="1"/>
                          </pic:cNvPicPr>
                        </pic:nvPicPr>
                        <pic:blipFill>
                          <a:blip r:embed="rId23"/>
                          <a:stretch>
                            <a:fillRect/>
                          </a:stretch>
                        </pic:blipFill>
                        <pic:spPr>
                          <a:xfrm>
                            <a:off x="0" y="0"/>
                            <a:ext cx="2513330" cy="1884680"/>
                          </a:xfrm>
                          <a:prstGeom prst="rect">
                            <a:avLst/>
                          </a:prstGeom>
                        </pic:spPr>
                      </pic:pic>
                    </a:graphicData>
                  </a:graphic>
                </wp:inline>
              </w:drawing>
            </w:r>
          </w:p>
        </w:tc>
      </w:tr>
      <w:tr w14:paraId="44A89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6" w:type="pct"/>
            <w:gridSpan w:val="2"/>
          </w:tcPr>
          <w:p w14:paraId="3A42509D">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Hans"/>
              </w:rPr>
              <w:t>在奠安村进行访谈及走访，了解脆弱群体家庭情况、征地情况。</w:t>
            </w:r>
          </w:p>
        </w:tc>
        <w:tc>
          <w:tcPr>
            <w:tcW w:w="2563" w:type="pct"/>
          </w:tcPr>
          <w:p w14:paraId="46255C54">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Hans"/>
              </w:rPr>
              <w:t>在王湾村进行访谈及走访，了解商户家庭情况、征地情况。</w:t>
            </w:r>
          </w:p>
        </w:tc>
      </w:tr>
      <w:tr w14:paraId="6D307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6" w:type="pct"/>
            <w:gridSpan w:val="2"/>
          </w:tcPr>
          <w:p w14:paraId="1C8315C9">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2487295" cy="1865630"/>
                  <wp:effectExtent l="0" t="0" r="12065" b="8890"/>
                  <wp:docPr id="49" name="图片 49" descr="/private/var/folders/5v/xr7bg5vn0tgbfc2mz_m_vygh0000gn/T/com.kingsoft.wpsoffice.mac/picturecompress_2023082111210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private/var/folders/5v/xr7bg5vn0tgbfc2mz_m_vygh0000gn/T/com.kingsoft.wpsoffice.mac/picturecompress_20230821112108/output_1.jpgoutput_1"/>
                          <pic:cNvPicPr>
                            <a:picLocks noChangeAspect="1"/>
                          </pic:cNvPicPr>
                        </pic:nvPicPr>
                        <pic:blipFill>
                          <a:blip r:embed="rId24"/>
                          <a:stretch>
                            <a:fillRect/>
                          </a:stretch>
                        </pic:blipFill>
                        <pic:spPr>
                          <a:xfrm>
                            <a:off x="0" y="0"/>
                            <a:ext cx="2487295" cy="1865630"/>
                          </a:xfrm>
                          <a:prstGeom prst="rect">
                            <a:avLst/>
                          </a:prstGeom>
                        </pic:spPr>
                      </pic:pic>
                    </a:graphicData>
                  </a:graphic>
                </wp:inline>
              </w:drawing>
            </w:r>
          </w:p>
        </w:tc>
        <w:tc>
          <w:tcPr>
            <w:tcW w:w="2563" w:type="pct"/>
          </w:tcPr>
          <w:p w14:paraId="02CC0E7C">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2513330" cy="1884680"/>
                  <wp:effectExtent l="0" t="0" r="1270" b="5080"/>
                  <wp:docPr id="50" name="图片 50" descr="/private/var/folders/5v/xr7bg5vn0tgbfc2mz_m_vygh0000gn/T/com.kingsoft.wpsoffice.mac/picturecompress_2023082111213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private/var/folders/5v/xr7bg5vn0tgbfc2mz_m_vygh0000gn/T/com.kingsoft.wpsoffice.mac/picturecompress_20230821112133/output_1.jpgoutput_1"/>
                          <pic:cNvPicPr>
                            <a:picLocks noChangeAspect="1"/>
                          </pic:cNvPicPr>
                        </pic:nvPicPr>
                        <pic:blipFill>
                          <a:blip r:embed="rId25"/>
                          <a:stretch>
                            <a:fillRect/>
                          </a:stretch>
                        </pic:blipFill>
                        <pic:spPr>
                          <a:xfrm>
                            <a:off x="0" y="0"/>
                            <a:ext cx="2513330" cy="1884680"/>
                          </a:xfrm>
                          <a:prstGeom prst="rect">
                            <a:avLst/>
                          </a:prstGeom>
                        </pic:spPr>
                      </pic:pic>
                    </a:graphicData>
                  </a:graphic>
                </wp:inline>
              </w:drawing>
            </w:r>
          </w:p>
        </w:tc>
      </w:tr>
      <w:tr w14:paraId="5850D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6" w:type="pct"/>
            <w:gridSpan w:val="2"/>
          </w:tcPr>
          <w:p w14:paraId="2A68DC69">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en-US"/>
              </w:rPr>
              <w:t>了解</w:t>
            </w:r>
            <w:r>
              <w:rPr>
                <w:rFonts w:hint="default" w:ascii="Times New Roman" w:hAnsi="Times New Roman" w:eastAsia="宋体" w:cs="Times New Roman"/>
                <w:color w:val="auto"/>
                <w:sz w:val="21"/>
                <w:szCs w:val="21"/>
                <w:highlight w:val="none"/>
                <w:lang w:eastAsia="zh-Hans" w:bidi="en-US"/>
              </w:rPr>
              <w:t>幼儿园经营</w:t>
            </w:r>
            <w:r>
              <w:rPr>
                <w:rFonts w:hint="default" w:ascii="Times New Roman" w:hAnsi="Times New Roman" w:eastAsia="宋体" w:cs="Times New Roman"/>
                <w:color w:val="auto"/>
                <w:sz w:val="21"/>
                <w:szCs w:val="21"/>
                <w:highlight w:val="none"/>
                <w:lang w:bidi="en-US"/>
              </w:rPr>
              <w:t>情况、征地情况，及对项目的意见和建议。</w:t>
            </w:r>
          </w:p>
        </w:tc>
        <w:tc>
          <w:tcPr>
            <w:tcW w:w="2563" w:type="pct"/>
          </w:tcPr>
          <w:p w14:paraId="10385244">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w:t>
            </w:r>
            <w:r>
              <w:rPr>
                <w:rFonts w:hint="default" w:ascii="Times New Roman" w:hAnsi="Times New Roman" w:eastAsia="宋体" w:cs="Times New Roman"/>
                <w:color w:val="auto"/>
                <w:sz w:val="21"/>
                <w:szCs w:val="21"/>
                <w:highlight w:val="none"/>
                <w:lang w:eastAsia="zh-Hans"/>
              </w:rPr>
              <w:t>张滩社区</w:t>
            </w:r>
            <w:r>
              <w:rPr>
                <w:rFonts w:hint="default" w:ascii="Times New Roman" w:hAnsi="Times New Roman" w:eastAsia="宋体" w:cs="Times New Roman"/>
                <w:color w:val="auto"/>
                <w:sz w:val="21"/>
                <w:szCs w:val="21"/>
                <w:highlight w:val="none"/>
              </w:rPr>
              <w:t>入户访谈及问卷调查，</w:t>
            </w:r>
            <w:r>
              <w:rPr>
                <w:rFonts w:hint="default" w:ascii="Times New Roman" w:hAnsi="Times New Roman" w:eastAsia="宋体" w:cs="Times New Roman"/>
                <w:color w:val="auto"/>
                <w:sz w:val="21"/>
                <w:szCs w:val="21"/>
                <w:highlight w:val="none"/>
                <w:lang w:bidi="en-US"/>
              </w:rPr>
              <w:t>了解家庭生活情况、征地情况，及对项目的意见和建议。</w:t>
            </w:r>
          </w:p>
        </w:tc>
      </w:tr>
      <w:tr w14:paraId="1283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6" w:type="pct"/>
            <w:gridSpan w:val="2"/>
          </w:tcPr>
          <w:p w14:paraId="7D71C3BB">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2487295" cy="1675130"/>
                  <wp:effectExtent l="0" t="0" r="12065" b="1270"/>
                  <wp:docPr id="57" name="图片 57" descr="/private/var/folders/5v/xr7bg5vn0tgbfc2mz_m_vygh0000gn/T/com.kingsoft.wpsoffice.mac/picturecompress_2023082111214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private/var/folders/5v/xr7bg5vn0tgbfc2mz_m_vygh0000gn/T/com.kingsoft.wpsoffice.mac/picturecompress_20230821112148/output_1.jpgoutput_1"/>
                          <pic:cNvPicPr>
                            <a:picLocks noChangeAspect="1"/>
                          </pic:cNvPicPr>
                        </pic:nvPicPr>
                        <pic:blipFill>
                          <a:blip r:embed="rId26"/>
                          <a:stretch>
                            <a:fillRect/>
                          </a:stretch>
                        </pic:blipFill>
                        <pic:spPr>
                          <a:xfrm>
                            <a:off x="0" y="0"/>
                            <a:ext cx="2487295" cy="1675130"/>
                          </a:xfrm>
                          <a:prstGeom prst="rect">
                            <a:avLst/>
                          </a:prstGeom>
                        </pic:spPr>
                      </pic:pic>
                    </a:graphicData>
                  </a:graphic>
                </wp:inline>
              </w:drawing>
            </w:r>
          </w:p>
        </w:tc>
        <w:tc>
          <w:tcPr>
            <w:tcW w:w="2563" w:type="pct"/>
          </w:tcPr>
          <w:p w14:paraId="07A28415">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2489200" cy="1670050"/>
                  <wp:effectExtent l="0" t="0" r="10160" b="6350"/>
                  <wp:docPr id="61" name="图片 61" descr="mmexport169258847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mmexport1692588472066"/>
                          <pic:cNvPicPr>
                            <a:picLocks noChangeAspect="1"/>
                          </pic:cNvPicPr>
                        </pic:nvPicPr>
                        <pic:blipFill>
                          <a:blip r:embed="rId27"/>
                          <a:stretch>
                            <a:fillRect/>
                          </a:stretch>
                        </pic:blipFill>
                        <pic:spPr>
                          <a:xfrm>
                            <a:off x="0" y="0"/>
                            <a:ext cx="2489200" cy="1670050"/>
                          </a:xfrm>
                          <a:prstGeom prst="rect">
                            <a:avLst/>
                          </a:prstGeom>
                        </pic:spPr>
                      </pic:pic>
                    </a:graphicData>
                  </a:graphic>
                </wp:inline>
              </w:drawing>
            </w:r>
          </w:p>
        </w:tc>
      </w:tr>
      <w:tr w14:paraId="54136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6" w:type="pct"/>
            <w:gridSpan w:val="2"/>
          </w:tcPr>
          <w:p w14:paraId="1508B432">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Hans"/>
              </w:rPr>
              <w:t>在双井村进行访谈及走访，了解商户家庭情况、征地情况。</w:t>
            </w:r>
          </w:p>
        </w:tc>
        <w:tc>
          <w:tcPr>
            <w:tcW w:w="2563" w:type="pct"/>
          </w:tcPr>
          <w:p w14:paraId="1DE5C130">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w:t>
            </w:r>
            <w:r>
              <w:rPr>
                <w:rFonts w:hint="default" w:ascii="Times New Roman" w:hAnsi="Times New Roman" w:eastAsia="宋体" w:cs="Times New Roman"/>
                <w:color w:val="auto"/>
                <w:sz w:val="21"/>
                <w:szCs w:val="21"/>
                <w:highlight w:val="none"/>
                <w:lang w:eastAsia="zh-Hans"/>
              </w:rPr>
              <w:t>兰沟</w:t>
            </w:r>
            <w:r>
              <w:rPr>
                <w:rFonts w:hint="default" w:ascii="Times New Roman" w:hAnsi="Times New Roman" w:eastAsia="宋体" w:cs="Times New Roman"/>
                <w:color w:val="auto"/>
                <w:sz w:val="21"/>
                <w:szCs w:val="21"/>
                <w:highlight w:val="none"/>
              </w:rPr>
              <w:t>村开展公众咨询会议，了解</w:t>
            </w:r>
            <w:r>
              <w:rPr>
                <w:rFonts w:hint="default" w:ascii="Times New Roman" w:hAnsi="Times New Roman" w:eastAsia="宋体" w:cs="Times New Roman"/>
                <w:color w:val="auto"/>
                <w:sz w:val="21"/>
                <w:szCs w:val="21"/>
                <w:highlight w:val="none"/>
                <w:lang w:eastAsia="zh-Hans"/>
              </w:rPr>
              <w:t>脆弱群体情况</w:t>
            </w:r>
            <w:r>
              <w:rPr>
                <w:rFonts w:hint="default" w:ascii="Times New Roman" w:hAnsi="Times New Roman" w:eastAsia="宋体" w:cs="Times New Roman"/>
                <w:color w:val="auto"/>
                <w:sz w:val="21"/>
                <w:szCs w:val="21"/>
                <w:highlight w:val="none"/>
              </w:rPr>
              <w:t>、征地情况、以及对项目的意见建议。</w:t>
            </w:r>
          </w:p>
        </w:tc>
      </w:tr>
      <w:tr w14:paraId="56EB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6" w:type="pct"/>
            <w:gridSpan w:val="2"/>
          </w:tcPr>
          <w:p w14:paraId="563C6AFB">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2470785" cy="1852930"/>
                  <wp:effectExtent l="0" t="0" r="13335" b="6350"/>
                  <wp:docPr id="62" name="图片 62" descr="d56799e255fe69fe587ea39c4b81c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56799e255fe69fe587ea39c4b81c6a"/>
                          <pic:cNvPicPr>
                            <a:picLocks noChangeAspect="1"/>
                          </pic:cNvPicPr>
                        </pic:nvPicPr>
                        <pic:blipFill>
                          <a:blip r:embed="rId28"/>
                          <a:stretch>
                            <a:fillRect/>
                          </a:stretch>
                        </pic:blipFill>
                        <pic:spPr>
                          <a:xfrm>
                            <a:off x="0" y="0"/>
                            <a:ext cx="2470785" cy="1852930"/>
                          </a:xfrm>
                          <a:prstGeom prst="rect">
                            <a:avLst/>
                          </a:prstGeom>
                        </pic:spPr>
                      </pic:pic>
                    </a:graphicData>
                  </a:graphic>
                </wp:inline>
              </w:drawing>
            </w:r>
          </w:p>
        </w:tc>
        <w:tc>
          <w:tcPr>
            <w:tcW w:w="2563" w:type="pct"/>
          </w:tcPr>
          <w:p w14:paraId="7A9810A9">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2440940" cy="1830705"/>
                  <wp:effectExtent l="0" t="0" r="12700" b="13335"/>
                  <wp:docPr id="65" name="图片 65" descr="d3f7189efb5310aac28c3efa354dd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d3f7189efb5310aac28c3efa354dd6f"/>
                          <pic:cNvPicPr>
                            <a:picLocks noChangeAspect="1"/>
                          </pic:cNvPicPr>
                        </pic:nvPicPr>
                        <pic:blipFill>
                          <a:blip r:embed="rId29"/>
                          <a:stretch>
                            <a:fillRect/>
                          </a:stretch>
                        </pic:blipFill>
                        <pic:spPr>
                          <a:xfrm>
                            <a:off x="0" y="0"/>
                            <a:ext cx="2440940" cy="1830705"/>
                          </a:xfrm>
                          <a:prstGeom prst="rect">
                            <a:avLst/>
                          </a:prstGeom>
                        </pic:spPr>
                      </pic:pic>
                    </a:graphicData>
                  </a:graphic>
                </wp:inline>
              </w:drawing>
            </w:r>
          </w:p>
        </w:tc>
      </w:tr>
      <w:tr w14:paraId="51EE5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6" w:type="pct"/>
            <w:gridSpan w:val="2"/>
          </w:tcPr>
          <w:p w14:paraId="67E196B6">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Hans"/>
              </w:rPr>
              <w:t>在</w:t>
            </w:r>
            <w:r>
              <w:rPr>
                <w:rFonts w:hint="default" w:ascii="Times New Roman" w:hAnsi="Times New Roman" w:eastAsia="宋体" w:cs="Times New Roman"/>
                <w:color w:val="auto"/>
                <w:sz w:val="21"/>
                <w:szCs w:val="21"/>
                <w:highlight w:val="none"/>
              </w:rPr>
              <w:t>九条沟村</w:t>
            </w:r>
            <w:r>
              <w:rPr>
                <w:rFonts w:hint="default" w:ascii="Times New Roman" w:hAnsi="Times New Roman" w:eastAsia="宋体" w:cs="Times New Roman"/>
                <w:color w:val="auto"/>
                <w:sz w:val="21"/>
                <w:szCs w:val="21"/>
                <w:highlight w:val="none"/>
                <w:lang w:eastAsia="zh-Hans"/>
              </w:rPr>
              <w:t>进行访谈</w:t>
            </w:r>
            <w:r>
              <w:rPr>
                <w:rFonts w:hint="default" w:ascii="Times New Roman" w:hAnsi="Times New Roman" w:eastAsia="宋体" w:cs="Times New Roman"/>
                <w:color w:val="auto"/>
                <w:sz w:val="21"/>
                <w:szCs w:val="21"/>
                <w:highlight w:val="none"/>
              </w:rPr>
              <w:t>，了解村土地范围、村情、以及意见建议。</w:t>
            </w:r>
          </w:p>
        </w:tc>
        <w:tc>
          <w:tcPr>
            <w:tcW w:w="2563" w:type="pct"/>
          </w:tcPr>
          <w:p w14:paraId="24FB956D">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Hans"/>
              </w:rPr>
              <w:t>在</w:t>
            </w:r>
            <w:r>
              <w:rPr>
                <w:rFonts w:hint="default" w:ascii="Times New Roman" w:hAnsi="Times New Roman" w:eastAsia="宋体" w:cs="Times New Roman"/>
                <w:color w:val="auto"/>
                <w:sz w:val="21"/>
                <w:szCs w:val="21"/>
                <w:highlight w:val="none"/>
              </w:rPr>
              <w:t>大树岭</w:t>
            </w:r>
            <w:r>
              <w:rPr>
                <w:rFonts w:hint="default" w:ascii="Times New Roman" w:hAnsi="Times New Roman" w:eastAsia="宋体" w:cs="Times New Roman"/>
                <w:color w:val="auto"/>
                <w:sz w:val="21"/>
                <w:szCs w:val="21"/>
                <w:highlight w:val="none"/>
                <w:lang w:eastAsia="zh-Hans"/>
              </w:rPr>
              <w:t>村进行</w:t>
            </w:r>
            <w:r>
              <w:rPr>
                <w:rFonts w:hint="default" w:ascii="Times New Roman" w:hAnsi="Times New Roman" w:eastAsia="宋体" w:cs="Times New Roman"/>
                <w:color w:val="auto"/>
                <w:sz w:val="21"/>
                <w:szCs w:val="21"/>
                <w:highlight w:val="none"/>
              </w:rPr>
              <w:t>座谈</w:t>
            </w:r>
            <w:r>
              <w:rPr>
                <w:rFonts w:hint="default" w:ascii="Times New Roman" w:hAnsi="Times New Roman" w:eastAsia="宋体" w:cs="Times New Roman"/>
                <w:color w:val="auto"/>
                <w:sz w:val="21"/>
                <w:szCs w:val="21"/>
                <w:highlight w:val="none"/>
                <w:lang w:eastAsia="zh-Hans"/>
              </w:rPr>
              <w:t>，了解</w:t>
            </w:r>
            <w:r>
              <w:rPr>
                <w:rFonts w:hint="default" w:ascii="Times New Roman" w:hAnsi="Times New Roman" w:eastAsia="宋体" w:cs="Times New Roman"/>
                <w:color w:val="auto"/>
                <w:sz w:val="21"/>
                <w:szCs w:val="21"/>
                <w:highlight w:val="none"/>
              </w:rPr>
              <w:t>村情、土地流转意愿</w:t>
            </w:r>
            <w:r>
              <w:rPr>
                <w:rFonts w:hint="default" w:ascii="Times New Roman" w:hAnsi="Times New Roman" w:eastAsia="宋体" w:cs="Times New Roman"/>
                <w:color w:val="auto"/>
                <w:sz w:val="21"/>
                <w:szCs w:val="21"/>
                <w:highlight w:val="none"/>
                <w:lang w:eastAsia="zh-Hans"/>
              </w:rPr>
              <w:t>。</w:t>
            </w:r>
          </w:p>
        </w:tc>
      </w:tr>
      <w:tr w14:paraId="218C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Pr>
          <w:p w14:paraId="5E048156">
            <w:pPr>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Cs w:val="18"/>
                <w:highlight w:val="none"/>
              </w:rPr>
              <w:t>机构访谈</w:t>
            </w:r>
          </w:p>
        </w:tc>
      </w:tr>
      <w:tr w14:paraId="0F9A2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tcPr>
          <w:p w14:paraId="63A50970">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18"/>
                <w:szCs w:val="18"/>
                <w:highlight w:val="none"/>
              </w:rPr>
              <w:drawing>
                <wp:inline distT="0" distB="0" distL="114300" distR="114300">
                  <wp:extent cx="2400300" cy="1363345"/>
                  <wp:effectExtent l="0" t="0" r="0" b="0"/>
                  <wp:docPr id="1" name="图片 1" descr="/private/var/folders/lb/b8ccn3rd1hz58jfh8369qpsh0000gn/T/com.kingsoft.wpsoffice.mac/picturecompress_2023041822152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rivate/var/folders/lb/b8ccn3rd1hz58jfh8369qpsh0000gn/T/com.kingsoft.wpsoffice.mac/picturecompress_20230418221527/output_1.jpgoutput_1"/>
                          <pic:cNvPicPr>
                            <a:picLocks noChangeAspect="1"/>
                          </pic:cNvPicPr>
                        </pic:nvPicPr>
                        <pic:blipFill>
                          <a:blip r:embed="rId30"/>
                          <a:srcRect t="16693" r="10384" b="15428"/>
                          <a:stretch>
                            <a:fillRect/>
                          </a:stretch>
                        </pic:blipFill>
                        <pic:spPr>
                          <a:xfrm>
                            <a:off x="0" y="0"/>
                            <a:ext cx="2400300" cy="1363345"/>
                          </a:xfrm>
                          <a:prstGeom prst="rect">
                            <a:avLst/>
                          </a:prstGeom>
                        </pic:spPr>
                      </pic:pic>
                    </a:graphicData>
                  </a:graphic>
                </wp:inline>
              </w:drawing>
            </w:r>
          </w:p>
        </w:tc>
        <w:tc>
          <w:tcPr>
            <w:tcW w:w="2627" w:type="pct"/>
            <w:gridSpan w:val="2"/>
          </w:tcPr>
          <w:p w14:paraId="22FB7BBA">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18"/>
                <w:szCs w:val="18"/>
                <w:highlight w:val="none"/>
              </w:rPr>
              <w:drawing>
                <wp:inline distT="0" distB="0" distL="114300" distR="114300">
                  <wp:extent cx="2297430" cy="1369060"/>
                  <wp:effectExtent l="0" t="0" r="3810" b="2540"/>
                  <wp:docPr id="2" name="图片 2" descr="/private/var/folders/lb/b8ccn3rd1hz58jfh8369qpsh0000gn/T/com.kingsoft.wpsoffice.mac/picturecompress_2023041822330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rivate/var/folders/lb/b8ccn3rd1hz58jfh8369qpsh0000gn/T/com.kingsoft.wpsoffice.mac/picturecompress_20230418223309/output_1.jpgoutput_1"/>
                          <pic:cNvPicPr>
                            <a:picLocks noChangeAspect="1"/>
                          </pic:cNvPicPr>
                        </pic:nvPicPr>
                        <pic:blipFill>
                          <a:blip r:embed="rId31"/>
                          <a:stretch>
                            <a:fillRect/>
                          </a:stretch>
                        </pic:blipFill>
                        <pic:spPr>
                          <a:xfrm>
                            <a:off x="0" y="0"/>
                            <a:ext cx="2297430" cy="1369060"/>
                          </a:xfrm>
                          <a:prstGeom prst="rect">
                            <a:avLst/>
                          </a:prstGeom>
                        </pic:spPr>
                      </pic:pic>
                    </a:graphicData>
                  </a:graphic>
                </wp:inline>
              </w:drawing>
            </w:r>
          </w:p>
        </w:tc>
      </w:tr>
      <w:tr w14:paraId="4EC53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tcPr>
          <w:p w14:paraId="14E67840">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区民政局访谈，了解农村低保认定标准，对弱势群体救助政策的落实执行情况。</w:t>
            </w:r>
          </w:p>
        </w:tc>
        <w:tc>
          <w:tcPr>
            <w:tcW w:w="2627" w:type="pct"/>
            <w:gridSpan w:val="2"/>
          </w:tcPr>
          <w:p w14:paraId="478644A6">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区人社局访谈，了解被征地农民养老政策，劳动者保障政策及监督情况。</w:t>
            </w:r>
          </w:p>
        </w:tc>
      </w:tr>
      <w:tr w14:paraId="6C3A0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tcPr>
          <w:p w14:paraId="7BD1D81E">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2343150" cy="1272540"/>
                  <wp:effectExtent l="0" t="0" r="3810" b="7620"/>
                  <wp:docPr id="3" name="图片 3" descr="mmexport168152220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681522202202"/>
                          <pic:cNvPicPr>
                            <a:picLocks noChangeAspect="1"/>
                          </pic:cNvPicPr>
                        </pic:nvPicPr>
                        <pic:blipFill>
                          <a:blip r:embed="rId32"/>
                          <a:stretch>
                            <a:fillRect/>
                          </a:stretch>
                        </pic:blipFill>
                        <pic:spPr>
                          <a:xfrm>
                            <a:off x="0" y="0"/>
                            <a:ext cx="2343150" cy="1272540"/>
                          </a:xfrm>
                          <a:prstGeom prst="rect">
                            <a:avLst/>
                          </a:prstGeom>
                        </pic:spPr>
                      </pic:pic>
                    </a:graphicData>
                  </a:graphic>
                </wp:inline>
              </w:drawing>
            </w:r>
          </w:p>
        </w:tc>
        <w:tc>
          <w:tcPr>
            <w:tcW w:w="2627" w:type="pct"/>
            <w:gridSpan w:val="2"/>
          </w:tcPr>
          <w:p w14:paraId="3DCDB22F">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2288540" cy="1359535"/>
                  <wp:effectExtent l="0" t="0" r="12700" b="12065"/>
                  <wp:docPr id="4" name="图片 4" descr="mmexport168152216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681522168234"/>
                          <pic:cNvPicPr>
                            <a:picLocks noChangeAspect="1"/>
                          </pic:cNvPicPr>
                        </pic:nvPicPr>
                        <pic:blipFill>
                          <a:blip r:embed="rId33"/>
                          <a:srcRect t="11456"/>
                          <a:stretch>
                            <a:fillRect/>
                          </a:stretch>
                        </pic:blipFill>
                        <pic:spPr>
                          <a:xfrm>
                            <a:off x="0" y="0"/>
                            <a:ext cx="2288540" cy="1359535"/>
                          </a:xfrm>
                          <a:prstGeom prst="rect">
                            <a:avLst/>
                          </a:prstGeom>
                        </pic:spPr>
                      </pic:pic>
                    </a:graphicData>
                  </a:graphic>
                </wp:inline>
              </w:drawing>
            </w:r>
          </w:p>
        </w:tc>
      </w:tr>
      <w:tr w14:paraId="10BB4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tcPr>
          <w:p w14:paraId="42801197">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区卫健局访谈，了解工人职业健康和安全，以及传染病防治的相关政策和监管情况。</w:t>
            </w:r>
          </w:p>
        </w:tc>
        <w:tc>
          <w:tcPr>
            <w:tcW w:w="2627" w:type="pct"/>
            <w:gridSpan w:val="2"/>
          </w:tcPr>
          <w:p w14:paraId="41B22B29">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区林业局访谈，了解林地</w:t>
            </w:r>
            <w:r>
              <w:rPr>
                <w:rFonts w:hint="default" w:ascii="Times New Roman" w:hAnsi="Times New Roman" w:eastAsia="宋体" w:cs="Times New Roman"/>
                <w:color w:val="auto"/>
                <w:sz w:val="21"/>
                <w:szCs w:val="21"/>
                <w:highlight w:val="none"/>
                <w:lang w:eastAsia="zh-Hans"/>
              </w:rPr>
              <w:t>征占用手续办理及审批流程</w:t>
            </w:r>
            <w:r>
              <w:rPr>
                <w:rFonts w:hint="default" w:ascii="Times New Roman" w:hAnsi="Times New Roman" w:eastAsia="宋体" w:cs="Times New Roman"/>
                <w:color w:val="auto"/>
                <w:sz w:val="21"/>
                <w:szCs w:val="21"/>
                <w:highlight w:val="none"/>
              </w:rPr>
              <w:t>。</w:t>
            </w:r>
          </w:p>
        </w:tc>
      </w:tr>
      <w:tr w14:paraId="1951F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tcPr>
          <w:p w14:paraId="51308CDE">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18"/>
                <w:szCs w:val="18"/>
                <w:highlight w:val="none"/>
              </w:rPr>
              <w:drawing>
                <wp:inline distT="0" distB="0" distL="114300" distR="114300">
                  <wp:extent cx="2266315" cy="1431925"/>
                  <wp:effectExtent l="0" t="0" r="4445" b="635"/>
                  <wp:docPr id="5" name="图片 5" descr="mmexport1681522138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681522138877"/>
                          <pic:cNvPicPr>
                            <a:picLocks noChangeAspect="1"/>
                          </pic:cNvPicPr>
                        </pic:nvPicPr>
                        <pic:blipFill>
                          <a:blip r:embed="rId34"/>
                          <a:stretch>
                            <a:fillRect/>
                          </a:stretch>
                        </pic:blipFill>
                        <pic:spPr>
                          <a:xfrm>
                            <a:off x="0" y="0"/>
                            <a:ext cx="2266315" cy="1431925"/>
                          </a:xfrm>
                          <a:prstGeom prst="rect">
                            <a:avLst/>
                          </a:prstGeom>
                        </pic:spPr>
                      </pic:pic>
                    </a:graphicData>
                  </a:graphic>
                </wp:inline>
              </w:drawing>
            </w:r>
          </w:p>
        </w:tc>
        <w:tc>
          <w:tcPr>
            <w:tcW w:w="2627" w:type="pct"/>
            <w:gridSpan w:val="2"/>
          </w:tcPr>
          <w:p w14:paraId="69C228FB">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2380615" cy="1446530"/>
                  <wp:effectExtent l="0" t="0" r="12065" b="1270"/>
                  <wp:docPr id="9" name="图片 9" descr="mmexport168187233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mmexport1681872336464"/>
                          <pic:cNvPicPr>
                            <a:picLocks noChangeAspect="1"/>
                          </pic:cNvPicPr>
                        </pic:nvPicPr>
                        <pic:blipFill>
                          <a:blip r:embed="rId35"/>
                          <a:stretch>
                            <a:fillRect/>
                          </a:stretch>
                        </pic:blipFill>
                        <pic:spPr>
                          <a:xfrm>
                            <a:off x="0" y="0"/>
                            <a:ext cx="2380615" cy="1446530"/>
                          </a:xfrm>
                          <a:prstGeom prst="rect">
                            <a:avLst/>
                          </a:prstGeom>
                        </pic:spPr>
                      </pic:pic>
                    </a:graphicData>
                  </a:graphic>
                </wp:inline>
              </w:drawing>
            </w:r>
          </w:p>
        </w:tc>
      </w:tr>
      <w:tr w14:paraId="61BD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tcPr>
          <w:p w14:paraId="218B4B66">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en-US"/>
              </w:rPr>
              <w:t>汉滨区住建局访谈，了解建设工程需要办理的手续及相关政策。</w:t>
            </w:r>
          </w:p>
        </w:tc>
        <w:tc>
          <w:tcPr>
            <w:tcW w:w="2627" w:type="pct"/>
            <w:gridSpan w:val="2"/>
          </w:tcPr>
          <w:p w14:paraId="19E2E9ED">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汉滨区自然资源局访谈，了解用地审批、土地规划以及相关政策和手续流程</w:t>
            </w:r>
            <w:r>
              <w:rPr>
                <w:rFonts w:hint="default" w:ascii="Times New Roman" w:hAnsi="Times New Roman" w:eastAsia="宋体" w:cs="Times New Roman"/>
                <w:color w:val="auto"/>
                <w:sz w:val="21"/>
                <w:szCs w:val="21"/>
                <w:highlight w:val="none"/>
                <w:lang w:bidi="en-US"/>
              </w:rPr>
              <w:t>。</w:t>
            </w:r>
          </w:p>
        </w:tc>
      </w:tr>
      <w:tr w14:paraId="5F33A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tcPr>
          <w:p w14:paraId="1CFB2D0E">
            <w:pPr>
              <w:snapToGrid w:val="0"/>
              <w:jc w:val="center"/>
              <w:rPr>
                <w:rFonts w:hint="default" w:ascii="Times New Roman" w:hAnsi="Times New Roman" w:eastAsia="宋体" w:cs="Times New Roman"/>
                <w:color w:val="auto"/>
                <w:sz w:val="21"/>
                <w:szCs w:val="21"/>
                <w:highlight w:val="none"/>
                <w:lang w:bidi="en-US"/>
              </w:rPr>
            </w:pPr>
            <w:r>
              <w:rPr>
                <w:rFonts w:hint="default" w:ascii="Times New Roman" w:hAnsi="Times New Roman" w:eastAsia="宋体" w:cs="Times New Roman"/>
                <w:color w:val="auto"/>
                <w:sz w:val="18"/>
                <w:szCs w:val="18"/>
                <w:highlight w:val="none"/>
              </w:rPr>
              <w:drawing>
                <wp:inline distT="0" distB="0" distL="114300" distR="114300">
                  <wp:extent cx="2348230" cy="1683385"/>
                  <wp:effectExtent l="0" t="0" r="13970" b="8255"/>
                  <wp:docPr id="21" name="图片 21" descr="mmexport1681830739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mmexport1681830739569"/>
                          <pic:cNvPicPr>
                            <a:picLocks noChangeAspect="1"/>
                          </pic:cNvPicPr>
                        </pic:nvPicPr>
                        <pic:blipFill>
                          <a:blip r:embed="rId36"/>
                          <a:stretch>
                            <a:fillRect/>
                          </a:stretch>
                        </pic:blipFill>
                        <pic:spPr>
                          <a:xfrm>
                            <a:off x="0" y="0"/>
                            <a:ext cx="2348230" cy="1683385"/>
                          </a:xfrm>
                          <a:prstGeom prst="rect">
                            <a:avLst/>
                          </a:prstGeom>
                        </pic:spPr>
                      </pic:pic>
                    </a:graphicData>
                  </a:graphic>
                </wp:inline>
              </w:drawing>
            </w:r>
          </w:p>
        </w:tc>
        <w:tc>
          <w:tcPr>
            <w:tcW w:w="2627" w:type="pct"/>
            <w:gridSpan w:val="2"/>
          </w:tcPr>
          <w:p w14:paraId="655D21B8">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2323465" cy="1647190"/>
                  <wp:effectExtent l="0" t="0" r="8255" b="13970"/>
                  <wp:docPr id="28" name="图片 28" descr="29fc9b595591821dbc4137fead5cb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9fc9b595591821dbc4137fead5cb1b"/>
                          <pic:cNvPicPr>
                            <a:picLocks noChangeAspect="1"/>
                          </pic:cNvPicPr>
                        </pic:nvPicPr>
                        <pic:blipFill>
                          <a:blip r:embed="rId37"/>
                          <a:stretch>
                            <a:fillRect/>
                          </a:stretch>
                        </pic:blipFill>
                        <pic:spPr>
                          <a:xfrm>
                            <a:off x="0" y="0"/>
                            <a:ext cx="2323465" cy="1647190"/>
                          </a:xfrm>
                          <a:prstGeom prst="rect">
                            <a:avLst/>
                          </a:prstGeom>
                        </pic:spPr>
                      </pic:pic>
                    </a:graphicData>
                  </a:graphic>
                </wp:inline>
              </w:drawing>
            </w:r>
          </w:p>
        </w:tc>
      </w:tr>
      <w:tr w14:paraId="0D777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tcPr>
          <w:p w14:paraId="30E8D51E">
            <w:pPr>
              <w:snapToGrid w:val="0"/>
              <w:rPr>
                <w:rFonts w:hint="default" w:ascii="Times New Roman" w:hAnsi="Times New Roman" w:eastAsia="宋体" w:cs="Times New Roman"/>
                <w:color w:val="auto"/>
                <w:sz w:val="21"/>
                <w:szCs w:val="21"/>
                <w:highlight w:val="none"/>
                <w:lang w:bidi="en-US"/>
              </w:rPr>
            </w:pPr>
            <w:r>
              <w:rPr>
                <w:rFonts w:hint="default" w:ascii="Times New Roman" w:hAnsi="Times New Roman" w:eastAsia="宋体" w:cs="Times New Roman"/>
                <w:color w:val="auto"/>
                <w:sz w:val="21"/>
                <w:szCs w:val="21"/>
                <w:highlight w:val="none"/>
                <w:lang w:bidi="en-US"/>
              </w:rPr>
              <w:t>区水利局访谈，了解水利局对项目相关建设的要求。</w:t>
            </w:r>
          </w:p>
        </w:tc>
        <w:tc>
          <w:tcPr>
            <w:tcW w:w="2627" w:type="pct"/>
            <w:gridSpan w:val="2"/>
          </w:tcPr>
          <w:p w14:paraId="691F278E">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张滩镇征迁办访谈，了解项目征地拆迁现状、补偿标准、安置方案等。</w:t>
            </w:r>
          </w:p>
        </w:tc>
      </w:tr>
      <w:tr w14:paraId="652BC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tcPr>
          <w:p w14:paraId="5FEB2663">
            <w:pPr>
              <w:snapToGrid w:val="0"/>
              <w:jc w:val="center"/>
              <w:rPr>
                <w:rFonts w:hint="default" w:ascii="Times New Roman" w:hAnsi="Times New Roman" w:eastAsia="宋体" w:cs="Times New Roman"/>
                <w:color w:val="auto"/>
                <w:sz w:val="21"/>
                <w:szCs w:val="21"/>
                <w:highlight w:val="none"/>
                <w:lang w:bidi="en-US"/>
              </w:rPr>
            </w:pPr>
            <w:r>
              <w:rPr>
                <w:rFonts w:hint="default" w:ascii="Times New Roman" w:hAnsi="Times New Roman" w:eastAsia="宋体" w:cs="Times New Roman"/>
                <w:color w:val="auto"/>
                <w:sz w:val="21"/>
                <w:szCs w:val="21"/>
                <w:highlight w:val="none"/>
              </w:rPr>
              <w:drawing>
                <wp:inline distT="0" distB="0" distL="114300" distR="114300">
                  <wp:extent cx="2376170" cy="1782445"/>
                  <wp:effectExtent l="0" t="0" r="1270" b="635"/>
                  <wp:docPr id="63" name="图片 63" descr="c2bd8a9f715bd73d70ed20d7b928c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2bd8a9f715bd73d70ed20d7b928c0f"/>
                          <pic:cNvPicPr>
                            <a:picLocks noChangeAspect="1"/>
                          </pic:cNvPicPr>
                        </pic:nvPicPr>
                        <pic:blipFill>
                          <a:blip r:embed="rId38"/>
                          <a:stretch>
                            <a:fillRect/>
                          </a:stretch>
                        </pic:blipFill>
                        <pic:spPr>
                          <a:xfrm>
                            <a:off x="0" y="0"/>
                            <a:ext cx="2376170" cy="1782445"/>
                          </a:xfrm>
                          <a:prstGeom prst="rect">
                            <a:avLst/>
                          </a:prstGeom>
                        </pic:spPr>
                      </pic:pic>
                    </a:graphicData>
                  </a:graphic>
                </wp:inline>
              </w:drawing>
            </w:r>
          </w:p>
        </w:tc>
        <w:tc>
          <w:tcPr>
            <w:tcW w:w="2627" w:type="pct"/>
            <w:gridSpan w:val="2"/>
          </w:tcPr>
          <w:p w14:paraId="00521D31">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2421890" cy="1816735"/>
                  <wp:effectExtent l="0" t="0" r="1270" b="12065"/>
                  <wp:docPr id="64" name="图片 64" descr="0cce5a543561616a9bf9fbb570c74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0cce5a543561616a9bf9fbb570c742e"/>
                          <pic:cNvPicPr>
                            <a:picLocks noChangeAspect="1"/>
                          </pic:cNvPicPr>
                        </pic:nvPicPr>
                        <pic:blipFill>
                          <a:blip r:embed="rId39"/>
                          <a:stretch>
                            <a:fillRect/>
                          </a:stretch>
                        </pic:blipFill>
                        <pic:spPr>
                          <a:xfrm>
                            <a:off x="0" y="0"/>
                            <a:ext cx="2421890" cy="1816735"/>
                          </a:xfrm>
                          <a:prstGeom prst="rect">
                            <a:avLst/>
                          </a:prstGeom>
                        </pic:spPr>
                      </pic:pic>
                    </a:graphicData>
                  </a:graphic>
                </wp:inline>
              </w:drawing>
            </w:r>
          </w:p>
        </w:tc>
      </w:tr>
      <w:tr w14:paraId="6CBB1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tcPr>
          <w:p w14:paraId="5D0C52CC">
            <w:pPr>
              <w:snapToGrid w:val="0"/>
              <w:rPr>
                <w:rFonts w:hint="default" w:ascii="Times New Roman" w:hAnsi="Times New Roman" w:eastAsia="宋体" w:cs="Times New Roman"/>
                <w:color w:val="auto"/>
                <w:sz w:val="21"/>
                <w:szCs w:val="21"/>
                <w:highlight w:val="none"/>
                <w:lang w:bidi="en-US"/>
              </w:rPr>
            </w:pPr>
            <w:r>
              <w:rPr>
                <w:rFonts w:hint="default" w:ascii="Times New Roman" w:hAnsi="Times New Roman" w:eastAsia="宋体" w:cs="Times New Roman"/>
                <w:color w:val="auto"/>
                <w:sz w:val="21"/>
                <w:szCs w:val="21"/>
                <w:highlight w:val="none"/>
                <w:lang w:bidi="en-US"/>
              </w:rPr>
              <w:t>区农经站访谈，了解基本农田管理、土地流转管理等相关规定和政策要求。</w:t>
            </w:r>
          </w:p>
        </w:tc>
        <w:tc>
          <w:tcPr>
            <w:tcW w:w="2627" w:type="pct"/>
            <w:gridSpan w:val="2"/>
          </w:tcPr>
          <w:p w14:paraId="65CC7390">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区自然资源局访谈，了解项目用地预审、土地报批等办理流程和要求。</w:t>
            </w:r>
          </w:p>
        </w:tc>
      </w:tr>
    </w:tbl>
    <w:p w14:paraId="59DCD859">
      <w:pPr>
        <w:snapToGrid w:val="0"/>
        <w:rPr>
          <w:rFonts w:hint="default" w:ascii="Times New Roman" w:hAnsi="Times New Roman" w:eastAsia="宋体" w:cs="Times New Roman"/>
          <w:color w:val="auto"/>
          <w:highlight w:val="none"/>
        </w:rPr>
      </w:pPr>
    </w:p>
    <w:p w14:paraId="4BBCB167">
      <w:pPr>
        <w:rPr>
          <w:rFonts w:hint="default" w:ascii="Times New Roman" w:hAnsi="Times New Roman" w:eastAsia="宋体" w:cs="Times New Roman"/>
          <w:color w:val="auto"/>
          <w:highlight w:val="none"/>
        </w:rPr>
      </w:pPr>
    </w:p>
    <w:tbl>
      <w:tblPr>
        <w:tblStyle w:val="44"/>
        <w:tblW w:w="48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4"/>
        <w:gridCol w:w="4311"/>
      </w:tblGrid>
      <w:tr w14:paraId="1F8D2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2"/>
          </w:tcPr>
          <w:p w14:paraId="449B3AF0">
            <w:pPr>
              <w:snapToGrid w:val="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Cs w:val="18"/>
                <w:highlight w:val="none"/>
              </w:rPr>
              <w:t>综合（可研、环评等等）</w:t>
            </w:r>
          </w:p>
        </w:tc>
      </w:tr>
      <w:tr w14:paraId="61D1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4" w:type="pct"/>
          </w:tcPr>
          <w:p w14:paraId="2FAEB238">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2387600" cy="1790700"/>
                  <wp:effectExtent l="0" t="0" r="5080" b="7620"/>
                  <wp:docPr id="7" name="图片 7" descr="950e3f9f0d2c2a05bd0f463548f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50e3f9f0d2c2a05bd0f463548f8201"/>
                          <pic:cNvPicPr>
                            <a:picLocks noChangeAspect="1"/>
                          </pic:cNvPicPr>
                        </pic:nvPicPr>
                        <pic:blipFill>
                          <a:blip r:embed="rId40"/>
                          <a:stretch>
                            <a:fillRect/>
                          </a:stretch>
                        </pic:blipFill>
                        <pic:spPr>
                          <a:xfrm>
                            <a:off x="0" y="0"/>
                            <a:ext cx="2387600" cy="1790700"/>
                          </a:xfrm>
                          <a:prstGeom prst="rect">
                            <a:avLst/>
                          </a:prstGeom>
                        </pic:spPr>
                      </pic:pic>
                    </a:graphicData>
                  </a:graphic>
                </wp:inline>
              </w:drawing>
            </w:r>
          </w:p>
        </w:tc>
        <w:tc>
          <w:tcPr>
            <w:tcW w:w="2585" w:type="pct"/>
          </w:tcPr>
          <w:p w14:paraId="6482D38A">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2381885" cy="1786255"/>
                  <wp:effectExtent l="0" t="0" r="10795" b="12065"/>
                  <wp:docPr id="6" name="图片 6" descr="38780f068c5b8d9dcae382e304610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8780f068c5b8d9dcae382e304610fc"/>
                          <pic:cNvPicPr>
                            <a:picLocks noChangeAspect="1"/>
                          </pic:cNvPicPr>
                        </pic:nvPicPr>
                        <pic:blipFill>
                          <a:blip r:embed="rId41"/>
                          <a:stretch>
                            <a:fillRect/>
                          </a:stretch>
                        </pic:blipFill>
                        <pic:spPr>
                          <a:xfrm>
                            <a:off x="0" y="0"/>
                            <a:ext cx="2381885" cy="1786255"/>
                          </a:xfrm>
                          <a:prstGeom prst="rect">
                            <a:avLst/>
                          </a:prstGeom>
                        </pic:spPr>
                      </pic:pic>
                    </a:graphicData>
                  </a:graphic>
                </wp:inline>
              </w:drawing>
            </w:r>
          </w:p>
        </w:tc>
      </w:tr>
      <w:tr w14:paraId="2F1CE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4" w:type="pct"/>
          </w:tcPr>
          <w:p w14:paraId="2A9003C7">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项目办、社评单位、可研单位、环评单位在项目现场进行考察</w:t>
            </w:r>
          </w:p>
        </w:tc>
        <w:tc>
          <w:tcPr>
            <w:tcW w:w="2585" w:type="pct"/>
          </w:tcPr>
          <w:p w14:paraId="7C723266">
            <w:pPr>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项目办、社评单位、可研单位、环评单位在项目现场进行考察。</w:t>
            </w:r>
          </w:p>
        </w:tc>
      </w:tr>
    </w:tbl>
    <w:p w14:paraId="5EDDF11A">
      <w:pPr>
        <w:rPr>
          <w:rFonts w:hint="default" w:ascii="Times New Roman" w:hAnsi="Times New Roman" w:eastAsia="宋体" w:cs="Times New Roman"/>
          <w:color w:val="auto"/>
          <w:highlight w:val="none"/>
        </w:rPr>
      </w:pPr>
    </w:p>
    <w:bookmarkEnd w:id="0"/>
    <w:p w14:paraId="74024BB4">
      <w:pPr>
        <w:rPr>
          <w:rFonts w:hint="default" w:ascii="Times New Roman" w:hAnsi="Times New Roman" w:eastAsia="宋体" w:cs="Times New Roman"/>
          <w:color w:val="auto"/>
          <w:highlight w:val="none"/>
        </w:rPr>
      </w:pPr>
    </w:p>
    <w:p w14:paraId="15DB4A76">
      <w:pPr>
        <w:rPr>
          <w:rFonts w:hint="default" w:ascii="Times New Roman" w:hAnsi="Times New Roman" w:eastAsia="宋体" w:cs="Times New Roman"/>
          <w:color w:val="auto"/>
          <w:highlight w:val="none"/>
        </w:rPr>
      </w:pPr>
    </w:p>
    <w:sectPr>
      <w:pgSz w:w="11906" w:h="16838"/>
      <w:pgMar w:top="1440" w:right="1800" w:bottom="1440" w:left="1800" w:header="851" w:footer="992"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Gotham-XLight">
    <w:altName w:val="Times New Roman"/>
    <w:panose1 w:val="00000000000000000000"/>
    <w:charset w:val="00"/>
    <w:family w:val="auto"/>
    <w:pitch w:val="default"/>
    <w:sig w:usb0="00000000" w:usb1="00000000" w:usb2="00000000" w:usb3="00000000" w:csb0="00000111" w:csb1="00000000"/>
  </w:font>
  <w:font w:name="Mangal">
    <w:altName w:val="AMGDT"/>
    <w:panose1 w:val="00000400000000000000"/>
    <w:charset w:val="00"/>
    <w:family w:val="roman"/>
    <w:pitch w:val="default"/>
    <w:sig w:usb0="00000000" w:usb1="00000000" w:usb2="00000000" w:usb3="00000000" w:csb0="00000001" w:csb1="00000000"/>
  </w:font>
  <w:font w:name="TimesNewRomanPSMT">
    <w:altName w:val="Times New Roman"/>
    <w:panose1 w:val="00000000000000000000"/>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23E20">
    <w:pPr>
      <w:pStyle w:val="15"/>
      <w:framePr w:wrap="auto" w:vAnchor="text" w:hAnchor="margin" w:xAlign="center" w:y="1"/>
      <w:rPr>
        <w:rStyle w:val="69"/>
      </w:rPr>
    </w:pPr>
    <w:r>
      <w:rPr>
        <w:rStyle w:val="69"/>
      </w:rPr>
      <w:fldChar w:fldCharType="begin"/>
    </w:r>
    <w:r>
      <w:rPr>
        <w:rStyle w:val="69"/>
      </w:rPr>
      <w:instrText xml:space="preserve"> PAGE </w:instrText>
    </w:r>
    <w:r>
      <w:rPr>
        <w:rStyle w:val="69"/>
      </w:rPr>
      <w:fldChar w:fldCharType="end"/>
    </w:r>
  </w:p>
  <w:p w14:paraId="74862686">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69"/>
        <w:rFonts w:ascii="Cambria" w:hAnsi="Cambria"/>
        <w:sz w:val="21"/>
        <w:szCs w:val="21"/>
      </w:rPr>
      <w:id w:val="211704247"/>
    </w:sdtPr>
    <w:sdtEndPr>
      <w:rPr>
        <w:rStyle w:val="69"/>
        <w:rFonts w:ascii="Cambria" w:hAnsi="Cambria"/>
        <w:sz w:val="21"/>
        <w:szCs w:val="21"/>
      </w:rPr>
    </w:sdtEndPr>
    <w:sdtContent>
      <w:p w14:paraId="15F67007">
        <w:pPr>
          <w:pStyle w:val="15"/>
          <w:framePr w:wrap="auto" w:vAnchor="text" w:hAnchor="margin" w:xAlign="center" w:y="1"/>
          <w:rPr>
            <w:rStyle w:val="69"/>
            <w:rFonts w:ascii="Cambria" w:hAnsi="Cambria"/>
            <w:sz w:val="21"/>
            <w:szCs w:val="21"/>
          </w:rPr>
        </w:pPr>
        <w:r>
          <w:rPr>
            <w:rStyle w:val="69"/>
            <w:rFonts w:ascii="Cambria" w:hAnsi="Cambria"/>
            <w:sz w:val="21"/>
            <w:szCs w:val="21"/>
          </w:rPr>
          <w:fldChar w:fldCharType="begin"/>
        </w:r>
        <w:r>
          <w:rPr>
            <w:rStyle w:val="69"/>
            <w:rFonts w:ascii="Cambria" w:hAnsi="Cambria"/>
            <w:sz w:val="21"/>
            <w:szCs w:val="21"/>
          </w:rPr>
          <w:instrText xml:space="preserve"> PAGE </w:instrText>
        </w:r>
        <w:r>
          <w:rPr>
            <w:rStyle w:val="69"/>
            <w:rFonts w:ascii="Cambria" w:hAnsi="Cambria"/>
            <w:sz w:val="21"/>
            <w:szCs w:val="21"/>
          </w:rPr>
          <w:fldChar w:fldCharType="separate"/>
        </w:r>
        <w:r>
          <w:rPr>
            <w:rStyle w:val="69"/>
            <w:rFonts w:ascii="Cambria" w:hAnsi="Cambria"/>
            <w:sz w:val="21"/>
            <w:szCs w:val="21"/>
          </w:rPr>
          <w:t>VIII</w:t>
        </w:r>
        <w:r>
          <w:rPr>
            <w:rStyle w:val="69"/>
            <w:rFonts w:ascii="Cambria" w:hAnsi="Cambria"/>
            <w:sz w:val="21"/>
            <w:szCs w:val="21"/>
          </w:rPr>
          <w:fldChar w:fldCharType="end"/>
        </w:r>
      </w:p>
    </w:sdtContent>
  </w:sdt>
  <w:p w14:paraId="7913F398">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69"/>
        <w:rFonts w:ascii="Cambria" w:hAnsi="Cambria"/>
        <w:sz w:val="21"/>
        <w:szCs w:val="21"/>
      </w:rPr>
      <w:id w:val="-1228068326"/>
    </w:sdtPr>
    <w:sdtEndPr>
      <w:rPr>
        <w:rStyle w:val="69"/>
        <w:rFonts w:ascii="Cambria" w:hAnsi="Cambria"/>
        <w:sz w:val="21"/>
        <w:szCs w:val="21"/>
      </w:rPr>
    </w:sdtEndPr>
    <w:sdtContent>
      <w:p w14:paraId="656B864F">
        <w:pPr>
          <w:pStyle w:val="15"/>
          <w:framePr w:wrap="auto" w:vAnchor="text" w:hAnchor="margin" w:xAlign="center" w:y="1"/>
          <w:rPr>
            <w:rStyle w:val="69"/>
            <w:rFonts w:ascii="Cambria" w:hAnsi="Cambria"/>
            <w:sz w:val="21"/>
            <w:szCs w:val="21"/>
          </w:rPr>
        </w:pPr>
        <w:r>
          <w:rPr>
            <w:rStyle w:val="69"/>
            <w:rFonts w:ascii="Cambria" w:hAnsi="Cambria"/>
            <w:sz w:val="21"/>
            <w:szCs w:val="21"/>
          </w:rPr>
          <w:fldChar w:fldCharType="begin"/>
        </w:r>
        <w:r>
          <w:rPr>
            <w:rStyle w:val="69"/>
            <w:rFonts w:ascii="Cambria" w:hAnsi="Cambria"/>
            <w:sz w:val="21"/>
            <w:szCs w:val="21"/>
          </w:rPr>
          <w:instrText xml:space="preserve"> PAGE </w:instrText>
        </w:r>
        <w:r>
          <w:rPr>
            <w:rStyle w:val="69"/>
            <w:rFonts w:ascii="Cambria" w:hAnsi="Cambria"/>
            <w:sz w:val="21"/>
            <w:szCs w:val="21"/>
          </w:rPr>
          <w:fldChar w:fldCharType="separate"/>
        </w:r>
        <w:r>
          <w:rPr>
            <w:rStyle w:val="69"/>
            <w:rFonts w:ascii="Cambria" w:hAnsi="Cambria"/>
            <w:sz w:val="21"/>
            <w:szCs w:val="21"/>
          </w:rPr>
          <w:t>22</w:t>
        </w:r>
        <w:r>
          <w:rPr>
            <w:rStyle w:val="69"/>
            <w:rFonts w:ascii="Cambria" w:hAnsi="Cambria"/>
            <w:sz w:val="21"/>
            <w:szCs w:val="21"/>
          </w:rPr>
          <w:fldChar w:fldCharType="end"/>
        </w:r>
      </w:p>
    </w:sdtContent>
  </w:sdt>
  <w:p w14:paraId="5B2B63EB">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554C955D">
      <w:pPr>
        <w:pStyle w:val="28"/>
        <w:spacing w:before="120" w:after="120" w:line="300" w:lineRule="auto"/>
        <w:jc w:val="both"/>
      </w:pPr>
      <w:r>
        <w:rPr>
          <w:rStyle w:val="50"/>
          <w:rFonts w:ascii="Times New Roman" w:hAnsi="Times New Roman"/>
        </w:rPr>
        <w:footnoteRef/>
      </w:r>
      <w:r>
        <w:rPr>
          <w:rFonts w:ascii="Times New Roman" w:hAnsi="Times New Roman" w:cs="Times New Roman"/>
        </w:rPr>
        <w:t xml:space="preserve"> </w:t>
      </w:r>
      <w:r>
        <w:rPr>
          <w:rFonts w:ascii="Times New Roman" w:hAnsi="Times New Roman" w:cs="Times New Roman"/>
          <w:u w:val="single"/>
        </w:rPr>
        <w:t>项目管理办公室（PMO）委托陕西科社商务信息</w:t>
      </w:r>
      <w:r>
        <w:rPr>
          <w:u w:val="single"/>
        </w:rPr>
        <w:t>咨询有限公司</w:t>
      </w:r>
      <w:r>
        <w:t>（以下简称“社评单位”或“陕西科社”）对本项目进行社会风险和影响调查评估。</w:t>
      </w:r>
    </w:p>
  </w:footnote>
  <w:footnote w:id="1">
    <w:p w14:paraId="54E9EAC4">
      <w:pPr>
        <w:pStyle w:val="33"/>
      </w:pPr>
      <w:r>
        <w:rPr>
          <w:rStyle w:val="50"/>
        </w:rPr>
        <w:footnoteRef/>
      </w:r>
      <w:r>
        <w:rPr>
          <w:rFonts w:hint="eastAsia"/>
        </w:rPr>
        <w:t>本项目弱势群体为受征地影响的16户村民</w:t>
      </w:r>
      <w:r>
        <w:rPr>
          <w:rFonts w:hint="eastAsia"/>
          <w:lang w:val="en-US" w:eastAsia="zh-CN"/>
        </w:rPr>
        <w:t>以及受影响村中其他低收入群体</w:t>
      </w:r>
      <w:r>
        <w:rPr>
          <w:rFonts w:hint="eastAsia"/>
        </w:rPr>
        <w:t>。</w:t>
      </w:r>
    </w:p>
  </w:footnote>
  <w:footnote w:id="2">
    <w:p w14:paraId="108950EB">
      <w:pPr>
        <w:pStyle w:val="28"/>
      </w:pPr>
      <w:r>
        <w:rPr>
          <w:rStyle w:val="50"/>
        </w:rPr>
        <w:footnoteRef/>
      </w:r>
      <w:r>
        <w:t xml:space="preserve"> </w:t>
      </w:r>
      <w:r>
        <w:rPr>
          <w:u w:val="single"/>
        </w:rPr>
        <w:t>项目管理办</w:t>
      </w:r>
      <w:r>
        <w:rPr>
          <w:rFonts w:ascii="Times New Roman" w:hAnsi="Times New Roman" w:cs="Times New Roman"/>
          <w:u w:val="single"/>
        </w:rPr>
        <w:t>公室（PMO）委托</w:t>
      </w:r>
      <w:r>
        <w:rPr>
          <w:u w:val="single"/>
        </w:rPr>
        <w:t>陕西科社商务信息咨询有限公司</w:t>
      </w:r>
      <w:r>
        <w:t>（以下简称“社评单位”或“陕西科社”）对本项目进行社会风险和影响调查评估。</w:t>
      </w:r>
    </w:p>
    <w:p w14:paraId="556956E7">
      <w:pPr>
        <w:pStyle w:val="33"/>
      </w:pPr>
    </w:p>
  </w:footnote>
  <w:footnote w:id="3">
    <w:p w14:paraId="49E051AD">
      <w:pPr>
        <w:rPr>
          <w:rFonts w:ascii="Times New Roman" w:hAnsi="Times New Roman" w:cs="Times New Roman"/>
          <w:sz w:val="21"/>
          <w:szCs w:val="21"/>
        </w:rPr>
      </w:pPr>
      <w:r>
        <w:rPr>
          <w:rFonts w:ascii="Times New Roman" w:hAnsi="Times New Roman" w:cs="Times New Roman"/>
          <w:sz w:val="21"/>
          <w:szCs w:val="21"/>
          <w:vertAlign w:val="superscript"/>
        </w:rPr>
        <w:footnoteRef/>
      </w:r>
      <w:r>
        <w:rPr>
          <w:rFonts w:hint="eastAsia" w:ascii="Cambria" w:hAnsi="Cambria"/>
          <w:sz w:val="21"/>
          <w:szCs w:val="21"/>
        </w:rPr>
        <w:t xml:space="preserve"> </w:t>
      </w:r>
      <w:r>
        <w:rPr>
          <w:rFonts w:ascii="Times New Roman" w:hAnsi="Times New Roman" w:cs="Times New Roman"/>
          <w:sz w:val="21"/>
          <w:szCs w:val="21"/>
        </w:rPr>
        <w:t>数据来源：《20</w:t>
      </w:r>
      <w:r>
        <w:rPr>
          <w:rFonts w:hint="eastAsia" w:ascii="Times New Roman" w:hAnsi="Times New Roman" w:cs="Times New Roman"/>
          <w:sz w:val="21"/>
          <w:szCs w:val="21"/>
        </w:rPr>
        <w:t>22</w:t>
      </w:r>
      <w:r>
        <w:rPr>
          <w:rFonts w:ascii="Times New Roman" w:hAnsi="Times New Roman" w:cs="Times New Roman"/>
          <w:sz w:val="21"/>
          <w:szCs w:val="21"/>
        </w:rPr>
        <w:t>年陕西省国民经济和社会发展统计公报》</w:t>
      </w:r>
      <w:r>
        <w:rPr>
          <w:rFonts w:hint="eastAsia" w:ascii="Times New Roman" w:hAnsi="Times New Roman" w:cs="Times New Roman"/>
          <w:sz w:val="21"/>
          <w:szCs w:val="21"/>
        </w:rPr>
        <w:t>。</w:t>
      </w:r>
    </w:p>
  </w:footnote>
  <w:footnote w:id="4">
    <w:p w14:paraId="3DEF9257">
      <w:pPr>
        <w:rPr>
          <w:rFonts w:hint="default" w:ascii="Times New Roman" w:hAnsi="Times New Roman" w:cs="Times New Roman"/>
          <w:sz w:val="20"/>
          <w:szCs w:val="20"/>
        </w:rPr>
      </w:pPr>
      <w:r>
        <w:rPr>
          <w:rStyle w:val="50"/>
          <w:rFonts w:hint="default" w:ascii="Times New Roman" w:hAnsi="Times New Roman" w:cs="Times New Roman"/>
          <w:sz w:val="20"/>
          <w:szCs w:val="20"/>
        </w:rPr>
        <w:footnoteRef/>
      </w:r>
      <w:r>
        <w:rPr>
          <w:rFonts w:hint="default" w:ascii="Times New Roman" w:hAnsi="Times New Roman" w:cs="Times New Roman"/>
          <w:sz w:val="20"/>
          <w:szCs w:val="20"/>
        </w:rPr>
        <w:t xml:space="preserve"> 2022年8月12日，中国政府批准了1930年《强迫劳动公约》（第29号）和1957年《废除强迫劳动公约》（第105号），这些公约将在签署一年后生效。</w:t>
      </w:r>
    </w:p>
  </w:footnote>
  <w:footnote w:id="5">
    <w:p w14:paraId="08EDA558">
      <w:pPr>
        <w:rPr>
          <w:rFonts w:ascii="Cambria" w:hAnsi="Cambria"/>
          <w:sz w:val="20"/>
          <w:szCs w:val="20"/>
        </w:rPr>
      </w:pPr>
      <w:r>
        <w:rPr>
          <w:rFonts w:ascii="Cambria" w:hAnsi="Cambria"/>
          <w:sz w:val="20"/>
          <w:szCs w:val="20"/>
          <w:vertAlign w:val="superscript"/>
        </w:rPr>
        <w:footnoteRef/>
      </w:r>
      <w:r>
        <w:rPr>
          <w:rFonts w:ascii="Cambria" w:hAnsi="Cambria"/>
          <w:sz w:val="20"/>
          <w:szCs w:val="20"/>
        </w:rPr>
        <w:t xml:space="preserve"> </w:t>
      </w:r>
      <w:r>
        <w:rPr>
          <w:rFonts w:ascii="Cambria" w:hAnsi="Cambria"/>
          <w:sz w:val="20"/>
          <w:szCs w:val="20"/>
          <w:shd w:val="clear" w:color="auto" w:fill="FFFFFF"/>
        </w:rPr>
        <w:t>生产经营单位新建、改建、扩建工程项目(统称建设项目)的职业卫生设施，必须与主体工程同时设计、同时施工、同时投入生产和使用。</w:t>
      </w:r>
    </w:p>
    <w:p w14:paraId="4E14C00A"/>
  </w:footnote>
  <w:footnote w:id="6">
    <w:p w14:paraId="0848C031">
      <w:pPr>
        <w:rPr>
          <w:sz w:val="20"/>
          <w:szCs w:val="20"/>
        </w:rPr>
      </w:pPr>
      <w:r>
        <w:rPr>
          <w:rFonts w:ascii="Cambria" w:hAnsi="Cambria"/>
          <w:sz w:val="20"/>
          <w:szCs w:val="20"/>
          <w:vertAlign w:val="superscript"/>
        </w:rPr>
        <w:footnoteRef/>
      </w:r>
      <w:r>
        <w:rPr>
          <w:rFonts w:ascii="Cambria" w:hAnsi="Cambria"/>
          <w:sz w:val="20"/>
          <w:szCs w:val="20"/>
          <w:vertAlign w:val="superscript"/>
        </w:rPr>
        <w:t xml:space="preserve"> </w:t>
      </w:r>
      <w:r>
        <w:rPr>
          <w:rFonts w:hint="eastAsia"/>
          <w:sz w:val="20"/>
          <w:szCs w:val="20"/>
        </w:rPr>
        <w:t>详见项目利益相关方参与计划。</w:t>
      </w:r>
    </w:p>
  </w:footnote>
  <w:footnote w:id="7">
    <w:p w14:paraId="38E60050">
      <w:pPr>
        <w:pStyle w:val="33"/>
      </w:pPr>
      <w:r>
        <w:rPr>
          <w:rStyle w:val="50"/>
        </w:rPr>
        <w:footnoteRef/>
      </w:r>
      <w:r>
        <w:t xml:space="preserve"> </w:t>
      </w:r>
      <w:r>
        <w:rPr>
          <w:rFonts w:hint="eastAsia"/>
        </w:rPr>
        <w:t>无证建筑指村民没有主管部门批准的用地及建房手续而新建、改扩建的建筑物。其认定方法、及材料费补助见移民安置计划中第4.6节“三、无证建筑”。</w:t>
      </w:r>
    </w:p>
  </w:footnote>
  <w:footnote w:id="8">
    <w:p w14:paraId="6A89E2A3">
      <w:r>
        <w:rPr>
          <w:rStyle w:val="50"/>
        </w:rPr>
        <w:footnoteRef/>
      </w:r>
      <w:r>
        <w:t xml:space="preserve"> </w:t>
      </w:r>
      <w:r>
        <w:rPr>
          <w:rFonts w:hint="eastAsia" w:cstheme="minorBidi"/>
          <w:sz w:val="20"/>
          <w:szCs w:val="20"/>
        </w:rPr>
        <w:t>2022年8月12日，中国政府批准了1930年《强迫劳动公约》（第29号）和1957年《废除强迫劳动公约》（第105号），</w:t>
      </w:r>
      <w:r>
        <w:rPr>
          <w:rFonts w:cstheme="minorBidi"/>
          <w:sz w:val="20"/>
          <w:szCs w:val="20"/>
        </w:rPr>
        <w:t>这些公约将在签署一年后生效。</w:t>
      </w:r>
    </w:p>
  </w:footnote>
  <w:footnote w:id="9">
    <w:p w14:paraId="305C321C">
      <w:pPr>
        <w:rPr>
          <w:color w:val="000000"/>
          <w:sz w:val="20"/>
          <w:szCs w:val="20"/>
        </w:rPr>
      </w:pPr>
      <w:r>
        <w:rPr>
          <w:rStyle w:val="50"/>
          <w:sz w:val="20"/>
          <w:szCs w:val="20"/>
        </w:rPr>
        <w:footnoteRef/>
      </w:r>
      <w:r>
        <w:rPr>
          <w:sz w:val="20"/>
          <w:szCs w:val="20"/>
        </w:rPr>
        <w:t xml:space="preserve"> </w:t>
      </w:r>
      <w:r>
        <w:rPr>
          <w:rFonts w:hint="eastAsia"/>
          <w:color w:val="000000"/>
          <w:sz w:val="20"/>
          <w:szCs w:val="20"/>
        </w:rPr>
        <w:t>根据</w:t>
      </w:r>
      <w:r>
        <w:rPr>
          <w:rFonts w:hint="eastAsia"/>
          <w:sz w:val="20"/>
          <w:szCs w:val="20"/>
        </w:rPr>
        <w:t>《</w:t>
      </w:r>
      <w:r>
        <w:rPr>
          <w:rFonts w:hint="eastAsia"/>
          <w:color w:val="000000"/>
          <w:sz w:val="20"/>
          <w:szCs w:val="20"/>
        </w:rPr>
        <w:t>建设项目职业病防护设施“三同时”监督管理办法》（</w:t>
      </w:r>
      <w:r>
        <w:rPr>
          <w:color w:val="000000"/>
          <w:sz w:val="20"/>
          <w:szCs w:val="20"/>
        </w:rPr>
        <w:t>2017</w:t>
      </w:r>
      <w:r>
        <w:rPr>
          <w:rFonts w:hint="eastAsia"/>
          <w:color w:val="000000"/>
          <w:sz w:val="20"/>
          <w:szCs w:val="20"/>
        </w:rPr>
        <w:t>年），可能产生职业病危害的新建、改建、扩建和技术改造、技术引进建设项目，职业病防护设施必须与主体工程同时设计、同时施工、同时投入生产和使用。</w:t>
      </w:r>
    </w:p>
    <w:p w14:paraId="4A28F8ED">
      <w:pPr>
        <w:pStyle w:val="33"/>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C42EFC"/>
    <w:multiLevelType w:val="singleLevel"/>
    <w:tmpl w:val="80C42EFC"/>
    <w:lvl w:ilvl="0" w:tentative="0">
      <w:start w:val="1"/>
      <w:numFmt w:val="bullet"/>
      <w:lvlText w:val=""/>
      <w:lvlJc w:val="left"/>
      <w:pPr>
        <w:ind w:left="420" w:hanging="420"/>
      </w:pPr>
      <w:rPr>
        <w:rFonts w:hint="default" w:ascii="Wingdings" w:hAnsi="Wingdings"/>
      </w:rPr>
    </w:lvl>
  </w:abstractNum>
  <w:abstractNum w:abstractNumId="1">
    <w:nsid w:val="844A71A2"/>
    <w:multiLevelType w:val="singleLevel"/>
    <w:tmpl w:val="844A71A2"/>
    <w:lvl w:ilvl="0" w:tentative="0">
      <w:start w:val="1"/>
      <w:numFmt w:val="decimal"/>
      <w:lvlText w:val="%1."/>
      <w:lvlJc w:val="left"/>
      <w:pPr>
        <w:tabs>
          <w:tab w:val="left" w:pos="312"/>
        </w:tabs>
      </w:pPr>
    </w:lvl>
  </w:abstractNum>
  <w:abstractNum w:abstractNumId="2">
    <w:nsid w:val="87039DD6"/>
    <w:multiLevelType w:val="multilevel"/>
    <w:tmpl w:val="87039DD6"/>
    <w:lvl w:ilvl="0" w:tentative="0">
      <w:start w:val="1"/>
      <w:numFmt w:val="decimal"/>
      <w:lvlText w:val="%1)"/>
      <w:lvlJc w:val="left"/>
      <w:pPr>
        <w:ind w:left="841" w:hanging="361"/>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8D86ABD9"/>
    <w:multiLevelType w:val="singleLevel"/>
    <w:tmpl w:val="8D86ABD9"/>
    <w:lvl w:ilvl="0" w:tentative="0">
      <w:start w:val="1"/>
      <w:numFmt w:val="bullet"/>
      <w:lvlText w:val=""/>
      <w:lvlJc w:val="left"/>
      <w:pPr>
        <w:ind w:left="420" w:hanging="420"/>
      </w:pPr>
      <w:rPr>
        <w:rFonts w:hint="default" w:ascii="Wingdings" w:hAnsi="Wingdings"/>
      </w:rPr>
    </w:lvl>
  </w:abstractNum>
  <w:abstractNum w:abstractNumId="4">
    <w:nsid w:val="A27C94BE"/>
    <w:multiLevelType w:val="singleLevel"/>
    <w:tmpl w:val="A27C94BE"/>
    <w:lvl w:ilvl="0" w:tentative="0">
      <w:start w:val="1"/>
      <w:numFmt w:val="bullet"/>
      <w:lvlText w:val="ￚ"/>
      <w:lvlJc w:val="left"/>
      <w:pPr>
        <w:ind w:left="420" w:hanging="420"/>
      </w:pPr>
      <w:rPr>
        <w:rFonts w:hint="default" w:ascii="微软雅黑" w:hAnsi="微软雅黑" w:eastAsia="微软雅黑" w:cs="微软雅黑"/>
      </w:rPr>
    </w:lvl>
  </w:abstractNum>
  <w:abstractNum w:abstractNumId="5">
    <w:nsid w:val="A27D5E05"/>
    <w:multiLevelType w:val="singleLevel"/>
    <w:tmpl w:val="A27D5E05"/>
    <w:lvl w:ilvl="0" w:tentative="0">
      <w:start w:val="1"/>
      <w:numFmt w:val="decimal"/>
      <w:lvlText w:val="%1."/>
      <w:lvlJc w:val="left"/>
      <w:pPr>
        <w:tabs>
          <w:tab w:val="left" w:pos="312"/>
        </w:tabs>
      </w:pPr>
    </w:lvl>
  </w:abstractNum>
  <w:abstractNum w:abstractNumId="6">
    <w:nsid w:val="A569C20B"/>
    <w:multiLevelType w:val="multilevel"/>
    <w:tmpl w:val="A569C20B"/>
    <w:lvl w:ilvl="0" w:tentative="0">
      <w:start w:val="1"/>
      <w:numFmt w:val="decimal"/>
      <w:lvlText w:val="%1)"/>
      <w:lvlJc w:val="left"/>
      <w:pPr>
        <w:ind w:left="965" w:hanging="485"/>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C1D63452"/>
    <w:multiLevelType w:val="singleLevel"/>
    <w:tmpl w:val="C1D63452"/>
    <w:lvl w:ilvl="0" w:tentative="0">
      <w:start w:val="1"/>
      <w:numFmt w:val="bullet"/>
      <w:lvlText w:val="ￚ"/>
      <w:lvlJc w:val="left"/>
      <w:pPr>
        <w:ind w:left="420" w:hanging="420"/>
      </w:pPr>
      <w:rPr>
        <w:rFonts w:hint="default" w:ascii="微软雅黑" w:hAnsi="微软雅黑" w:eastAsia="微软雅黑" w:cs="微软雅黑"/>
      </w:rPr>
    </w:lvl>
  </w:abstractNum>
  <w:abstractNum w:abstractNumId="8">
    <w:nsid w:val="CA3F2327"/>
    <w:multiLevelType w:val="singleLevel"/>
    <w:tmpl w:val="CA3F2327"/>
    <w:lvl w:ilvl="0" w:tentative="0">
      <w:start w:val="3"/>
      <w:numFmt w:val="decimal"/>
      <w:suff w:val="nothing"/>
      <w:lvlText w:val="（%1）"/>
      <w:lvlJc w:val="left"/>
    </w:lvl>
  </w:abstractNum>
  <w:abstractNum w:abstractNumId="9">
    <w:nsid w:val="EB784B43"/>
    <w:multiLevelType w:val="singleLevel"/>
    <w:tmpl w:val="EB784B43"/>
    <w:lvl w:ilvl="0" w:tentative="0">
      <w:start w:val="1"/>
      <w:numFmt w:val="decimal"/>
      <w:suff w:val="nothing"/>
      <w:lvlText w:val="%1）"/>
      <w:lvlJc w:val="left"/>
    </w:lvl>
  </w:abstractNum>
  <w:abstractNum w:abstractNumId="10">
    <w:nsid w:val="0000001E"/>
    <w:multiLevelType w:val="multilevel"/>
    <w:tmpl w:val="0000001E"/>
    <w:lvl w:ilvl="0" w:tentative="0">
      <w:start w:val="1"/>
      <w:numFmt w:val="bullet"/>
      <w:lvlText w:val=""/>
      <w:lvlJc w:val="left"/>
      <w:pPr>
        <w:ind w:left="900" w:hanging="420"/>
      </w:pPr>
      <w:rPr>
        <w:rFonts w:hint="default" w:ascii="Symbol" w:hAnsi="Symbol"/>
      </w:rPr>
    </w:lvl>
    <w:lvl w:ilvl="1" w:tentative="0">
      <w:start w:val="1"/>
      <w:numFmt w:val="bullet"/>
      <w:lvlText w:val="o"/>
      <w:lvlJc w:val="left"/>
      <w:pPr>
        <w:ind w:left="1260" w:hanging="360"/>
      </w:pPr>
      <w:rPr>
        <w:rFonts w:hint="default" w:ascii="Courier New" w:hAnsi="Courier New" w:cs="Courier New"/>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1">
    <w:nsid w:val="004895BC"/>
    <w:multiLevelType w:val="singleLevel"/>
    <w:tmpl w:val="004895BC"/>
    <w:lvl w:ilvl="0" w:tentative="0">
      <w:start w:val="1"/>
      <w:numFmt w:val="decimal"/>
      <w:suff w:val="nothing"/>
      <w:lvlText w:val="%1）"/>
      <w:lvlJc w:val="left"/>
    </w:lvl>
  </w:abstractNum>
  <w:abstractNum w:abstractNumId="12">
    <w:nsid w:val="01553E89"/>
    <w:multiLevelType w:val="multilevel"/>
    <w:tmpl w:val="01553E89"/>
    <w:lvl w:ilvl="0" w:tentative="0">
      <w:start w:val="0"/>
      <w:numFmt w:val="bullet"/>
      <w:lvlText w:val=""/>
      <w:lvlJc w:val="left"/>
      <w:pPr>
        <w:ind w:left="902" w:hanging="420"/>
      </w:pPr>
      <w:rPr>
        <w:rFonts w:hint="default" w:ascii="Symbol" w:hAnsi="Symbol" w:eastAsia="宋体" w:cs="Symbol"/>
        <w:b w:val="0"/>
        <w:bCs w:val="0"/>
        <w:i w:val="0"/>
        <w:iCs w:val="0"/>
        <w:color w:val="5B554D"/>
        <w:w w:val="99"/>
        <w:sz w:val="20"/>
        <w:szCs w:val="20"/>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13">
    <w:nsid w:val="0A93697A"/>
    <w:multiLevelType w:val="multilevel"/>
    <w:tmpl w:val="0A93697A"/>
    <w:lvl w:ilvl="0" w:tentative="0">
      <w:start w:val="0"/>
      <w:numFmt w:val="bullet"/>
      <w:lvlText w:val="•"/>
      <w:lvlJc w:val="left"/>
      <w:pPr>
        <w:ind w:left="900" w:hanging="420"/>
      </w:pPr>
      <w:rPr>
        <w:rFonts w:hint="eastAsia" w:ascii="等线" w:hAnsi="等线" w:eastAsia="等线" w:cstheme="minorBidi"/>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4">
    <w:nsid w:val="0C8D7A1A"/>
    <w:multiLevelType w:val="singleLevel"/>
    <w:tmpl w:val="0C8D7A1A"/>
    <w:lvl w:ilvl="0" w:tentative="0">
      <w:start w:val="1"/>
      <w:numFmt w:val="decimal"/>
      <w:suff w:val="nothing"/>
      <w:lvlText w:val="%1）"/>
      <w:lvlJc w:val="left"/>
    </w:lvl>
  </w:abstractNum>
  <w:abstractNum w:abstractNumId="15">
    <w:nsid w:val="105C4D68"/>
    <w:multiLevelType w:val="multilevel"/>
    <w:tmpl w:val="105C4D68"/>
    <w:lvl w:ilvl="0" w:tentative="0">
      <w:start w:val="1"/>
      <w:numFmt w:val="decimal"/>
      <w:lvlText w:val="%1)"/>
      <w:lvlJc w:val="left"/>
      <w:pPr>
        <w:ind w:left="900" w:hanging="420"/>
      </w:pPr>
    </w:lvl>
    <w:lvl w:ilvl="1" w:tentative="0">
      <w:start w:val="1"/>
      <w:numFmt w:val="decimal"/>
      <w:lvlText w:val="%2)"/>
      <w:lvlJc w:val="left"/>
      <w:pPr>
        <w:ind w:left="1620" w:hanging="420"/>
      </w:pPr>
    </w:lvl>
    <w:lvl w:ilvl="2" w:tentative="0">
      <w:start w:val="1"/>
      <w:numFmt w:val="lowerRoman"/>
      <w:lvlText w:val="%3."/>
      <w:lvlJc w:val="right"/>
      <w:pPr>
        <w:ind w:left="2280" w:hanging="180"/>
      </w:pPr>
    </w:lvl>
    <w:lvl w:ilvl="3" w:tentative="0">
      <w:start w:val="1"/>
      <w:numFmt w:val="decimal"/>
      <w:lvlText w:val="%4."/>
      <w:lvlJc w:val="left"/>
      <w:pPr>
        <w:ind w:left="3000" w:hanging="360"/>
      </w:pPr>
    </w:lvl>
    <w:lvl w:ilvl="4" w:tentative="0">
      <w:start w:val="1"/>
      <w:numFmt w:val="lowerLetter"/>
      <w:lvlText w:val="%5."/>
      <w:lvlJc w:val="left"/>
      <w:pPr>
        <w:ind w:left="3720" w:hanging="360"/>
      </w:pPr>
    </w:lvl>
    <w:lvl w:ilvl="5" w:tentative="0">
      <w:start w:val="1"/>
      <w:numFmt w:val="lowerRoman"/>
      <w:lvlText w:val="%6."/>
      <w:lvlJc w:val="right"/>
      <w:pPr>
        <w:ind w:left="4440" w:hanging="180"/>
      </w:pPr>
    </w:lvl>
    <w:lvl w:ilvl="6" w:tentative="0">
      <w:start w:val="1"/>
      <w:numFmt w:val="decimal"/>
      <w:lvlText w:val="%7."/>
      <w:lvlJc w:val="left"/>
      <w:pPr>
        <w:ind w:left="5160" w:hanging="360"/>
      </w:pPr>
    </w:lvl>
    <w:lvl w:ilvl="7" w:tentative="0">
      <w:start w:val="1"/>
      <w:numFmt w:val="lowerLetter"/>
      <w:lvlText w:val="%8."/>
      <w:lvlJc w:val="left"/>
      <w:pPr>
        <w:ind w:left="5880" w:hanging="360"/>
      </w:pPr>
    </w:lvl>
    <w:lvl w:ilvl="8" w:tentative="0">
      <w:start w:val="1"/>
      <w:numFmt w:val="lowerRoman"/>
      <w:lvlText w:val="%9."/>
      <w:lvlJc w:val="right"/>
      <w:pPr>
        <w:ind w:left="6600" w:hanging="180"/>
      </w:pPr>
    </w:lvl>
  </w:abstractNum>
  <w:abstractNum w:abstractNumId="16">
    <w:nsid w:val="11580EFE"/>
    <w:multiLevelType w:val="multilevel"/>
    <w:tmpl w:val="11580EF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7">
    <w:nsid w:val="13BF43F2"/>
    <w:multiLevelType w:val="multilevel"/>
    <w:tmpl w:val="13BF43F2"/>
    <w:lvl w:ilvl="0" w:tentative="0">
      <w:start w:val="1"/>
      <w:numFmt w:val="bullet"/>
      <w:lvlText w:val=""/>
      <w:lvlJc w:val="left"/>
      <w:pPr>
        <w:ind w:left="1160" w:hanging="360"/>
      </w:pPr>
      <w:rPr>
        <w:rFonts w:hint="default" w:ascii="Symbol" w:hAnsi="Symbol"/>
      </w:rPr>
    </w:lvl>
    <w:lvl w:ilvl="1" w:tentative="0">
      <w:start w:val="1"/>
      <w:numFmt w:val="bullet"/>
      <w:lvlText w:val="o"/>
      <w:lvlJc w:val="left"/>
      <w:pPr>
        <w:ind w:left="1880" w:hanging="360"/>
      </w:pPr>
      <w:rPr>
        <w:rFonts w:hint="default" w:ascii="Courier New" w:hAnsi="Courier New" w:cs="Courier New"/>
      </w:rPr>
    </w:lvl>
    <w:lvl w:ilvl="2" w:tentative="0">
      <w:start w:val="1"/>
      <w:numFmt w:val="bullet"/>
      <w:lvlText w:val=""/>
      <w:lvlJc w:val="left"/>
      <w:pPr>
        <w:ind w:left="2600" w:hanging="360"/>
      </w:pPr>
      <w:rPr>
        <w:rFonts w:hint="default" w:ascii="Wingdings" w:hAnsi="Wingdings"/>
      </w:rPr>
    </w:lvl>
    <w:lvl w:ilvl="3" w:tentative="0">
      <w:start w:val="1"/>
      <w:numFmt w:val="bullet"/>
      <w:lvlText w:val=""/>
      <w:lvlJc w:val="left"/>
      <w:pPr>
        <w:ind w:left="3320" w:hanging="360"/>
      </w:pPr>
      <w:rPr>
        <w:rFonts w:hint="default" w:ascii="Symbol" w:hAnsi="Symbol"/>
      </w:rPr>
    </w:lvl>
    <w:lvl w:ilvl="4" w:tentative="0">
      <w:start w:val="1"/>
      <w:numFmt w:val="bullet"/>
      <w:lvlText w:val="o"/>
      <w:lvlJc w:val="left"/>
      <w:pPr>
        <w:ind w:left="4040" w:hanging="360"/>
      </w:pPr>
      <w:rPr>
        <w:rFonts w:hint="default" w:ascii="Courier New" w:hAnsi="Courier New" w:cs="Courier New"/>
      </w:rPr>
    </w:lvl>
    <w:lvl w:ilvl="5" w:tentative="0">
      <w:start w:val="1"/>
      <w:numFmt w:val="bullet"/>
      <w:lvlText w:val=""/>
      <w:lvlJc w:val="left"/>
      <w:pPr>
        <w:ind w:left="4760" w:hanging="360"/>
      </w:pPr>
      <w:rPr>
        <w:rFonts w:hint="default" w:ascii="Wingdings" w:hAnsi="Wingdings"/>
      </w:rPr>
    </w:lvl>
    <w:lvl w:ilvl="6" w:tentative="0">
      <w:start w:val="1"/>
      <w:numFmt w:val="bullet"/>
      <w:lvlText w:val=""/>
      <w:lvlJc w:val="left"/>
      <w:pPr>
        <w:ind w:left="5480" w:hanging="360"/>
      </w:pPr>
      <w:rPr>
        <w:rFonts w:hint="default" w:ascii="Symbol" w:hAnsi="Symbol"/>
      </w:rPr>
    </w:lvl>
    <w:lvl w:ilvl="7" w:tentative="0">
      <w:start w:val="1"/>
      <w:numFmt w:val="bullet"/>
      <w:lvlText w:val="o"/>
      <w:lvlJc w:val="left"/>
      <w:pPr>
        <w:ind w:left="6200" w:hanging="360"/>
      </w:pPr>
      <w:rPr>
        <w:rFonts w:hint="default" w:ascii="Courier New" w:hAnsi="Courier New" w:cs="Courier New"/>
      </w:rPr>
    </w:lvl>
    <w:lvl w:ilvl="8" w:tentative="0">
      <w:start w:val="1"/>
      <w:numFmt w:val="bullet"/>
      <w:lvlText w:val=""/>
      <w:lvlJc w:val="left"/>
      <w:pPr>
        <w:ind w:left="6920" w:hanging="360"/>
      </w:pPr>
      <w:rPr>
        <w:rFonts w:hint="default" w:ascii="Wingdings" w:hAnsi="Wingdings"/>
      </w:rPr>
    </w:lvl>
  </w:abstractNum>
  <w:abstractNum w:abstractNumId="18">
    <w:nsid w:val="14720CFC"/>
    <w:multiLevelType w:val="multilevel"/>
    <w:tmpl w:val="14720CFC"/>
    <w:lvl w:ilvl="0" w:tentative="0">
      <w:start w:val="0"/>
      <w:numFmt w:val="bullet"/>
      <w:lvlText w:val="•"/>
      <w:lvlJc w:val="left"/>
      <w:pPr>
        <w:ind w:left="420" w:hanging="420"/>
      </w:pPr>
      <w:rPr>
        <w:rFonts w:hint="eastAsia" w:ascii="等线" w:hAnsi="等线" w:eastAsia="等线" w:cstheme="minorBidi"/>
      </w:rPr>
    </w:lvl>
    <w:lvl w:ilvl="1" w:tentative="0">
      <w:start w:val="1"/>
      <w:numFmt w:val="bullet"/>
      <w:lvlText w:val=""/>
      <w:lvlJc w:val="left"/>
      <w:pPr>
        <w:ind w:left="840" w:hanging="420"/>
      </w:pPr>
      <w:rPr>
        <w:rFonts w:hint="default" w:ascii="Wingdings" w:hAnsi="Wingdings"/>
      </w:rPr>
    </w:lvl>
    <w:lvl w:ilvl="2" w:tentative="0">
      <w:start w:val="0"/>
      <w:numFmt w:val="bullet"/>
      <w:lvlText w:val="•"/>
      <w:lvlJc w:val="left"/>
      <w:pPr>
        <w:ind w:left="900" w:hanging="420"/>
      </w:pPr>
      <w:rPr>
        <w:rFonts w:hint="eastAsia" w:ascii="等线" w:hAnsi="等线" w:eastAsia="等线" w:cstheme="minorBidi"/>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19243C2B"/>
    <w:multiLevelType w:val="multilevel"/>
    <w:tmpl w:val="19243C2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0">
    <w:nsid w:val="2111322D"/>
    <w:multiLevelType w:val="multilevel"/>
    <w:tmpl w:val="2111322D"/>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24CC69FC"/>
    <w:multiLevelType w:val="multilevel"/>
    <w:tmpl w:val="24CC69FC"/>
    <w:lvl w:ilvl="0" w:tentative="0">
      <w:start w:val="0"/>
      <w:numFmt w:val="bullet"/>
      <w:lvlText w:val=""/>
      <w:lvlJc w:val="left"/>
      <w:pPr>
        <w:ind w:left="902" w:hanging="420"/>
      </w:pPr>
      <w:rPr>
        <w:rFonts w:hint="default" w:ascii="Symbol" w:hAnsi="Symbol" w:eastAsia="宋体" w:cs="Symbol"/>
        <w:b w:val="0"/>
        <w:bCs w:val="0"/>
        <w:i w:val="0"/>
        <w:iCs w:val="0"/>
        <w:color w:val="5B554D"/>
        <w:w w:val="99"/>
        <w:sz w:val="20"/>
        <w:szCs w:val="20"/>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22">
    <w:nsid w:val="25B010A7"/>
    <w:multiLevelType w:val="multilevel"/>
    <w:tmpl w:val="25B010A7"/>
    <w:lvl w:ilvl="0" w:tentative="0">
      <w:start w:val="1"/>
      <w:numFmt w:val="bullet"/>
      <w:lvlText w:val="–"/>
      <w:lvlJc w:val="left"/>
      <w:pPr>
        <w:ind w:left="900" w:hanging="420"/>
      </w:pPr>
      <w:rPr>
        <w:rFonts w:hint="default" w:ascii="Wingdings 2" w:hAnsi="Wingdings 2"/>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3">
    <w:nsid w:val="28807850"/>
    <w:multiLevelType w:val="multilevel"/>
    <w:tmpl w:val="28807850"/>
    <w:lvl w:ilvl="0" w:tentative="0">
      <w:start w:val="1"/>
      <w:numFmt w:val="decimalEnclosedCircle"/>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2A9969D8"/>
    <w:multiLevelType w:val="multilevel"/>
    <w:tmpl w:val="2A9969D8"/>
    <w:lvl w:ilvl="0" w:tentative="0">
      <w:start w:val="0"/>
      <w:numFmt w:val="bullet"/>
      <w:lvlText w:val="•"/>
      <w:lvlJc w:val="left"/>
      <w:rPr>
        <w:rFonts w:hint="eastAsia" w:ascii="等线" w:hAnsi="等线" w:eastAsia="等线" w:cs="Times New Roman"/>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5">
    <w:nsid w:val="2EC73EAC"/>
    <w:multiLevelType w:val="multilevel"/>
    <w:tmpl w:val="2EC73EAC"/>
    <w:lvl w:ilvl="0" w:tentative="0">
      <w:start w:val="1"/>
      <w:numFmt w:val="decimal"/>
      <w:pStyle w:val="3"/>
      <w:lvlText w:val="%1"/>
      <w:lvlJc w:val="left"/>
      <w:pPr>
        <w:ind w:left="432" w:hanging="432"/>
      </w:pPr>
      <w:rPr>
        <w:rFonts w:hint="default" w:ascii="Cambria" w:hAnsi="Cambria"/>
      </w:rPr>
    </w:lvl>
    <w:lvl w:ilvl="1" w:tentative="0">
      <w:start w:val="1"/>
      <w:numFmt w:val="decimal"/>
      <w:pStyle w:val="4"/>
      <w:lvlText w:val="%1.%2"/>
      <w:lvlJc w:val="left"/>
      <w:pPr>
        <w:ind w:left="576" w:hanging="576"/>
      </w:pPr>
      <w:rPr>
        <w:rFonts w:hint="default" w:ascii="Cambria" w:hAnsi="Cambria"/>
        <w:sz w:val="24"/>
        <w:szCs w:val="24"/>
      </w:rPr>
    </w:lvl>
    <w:lvl w:ilvl="2" w:tentative="0">
      <w:start w:val="1"/>
      <w:numFmt w:val="decimal"/>
      <w:pStyle w:val="5"/>
      <w:lvlText w:val="%1.%2.%3"/>
      <w:lvlJc w:val="left"/>
      <w:pPr>
        <w:ind w:left="720" w:hanging="720"/>
      </w:pPr>
      <w:rPr>
        <w:rFonts w:hint="default" w:ascii="Cambria" w:hAnsi="Cambria"/>
        <w:b/>
        <w:bCs/>
      </w:rPr>
    </w:lvl>
    <w:lvl w:ilvl="3" w:tentative="0">
      <w:start w:val="1"/>
      <w:numFmt w:val="decimal"/>
      <w:pStyle w:val="6"/>
      <w:lvlText w:val="%1.%2.%3.%4"/>
      <w:lvlJc w:val="left"/>
      <w:pPr>
        <w:ind w:left="864" w:hanging="864"/>
      </w:pPr>
    </w:lvl>
    <w:lvl w:ilvl="4" w:tentative="0">
      <w:start w:val="1"/>
      <w:numFmt w:val="decimal"/>
      <w:pStyle w:val="7"/>
      <w:lvlText w:val="%1.%2.%3.%4.%5"/>
      <w:lvlJc w:val="left"/>
      <w:pPr>
        <w:ind w:left="1008" w:hanging="1008"/>
      </w:pPr>
    </w:lvl>
    <w:lvl w:ilvl="5" w:tentative="0">
      <w:start w:val="1"/>
      <w:numFmt w:val="decimal"/>
      <w:pStyle w:val="8"/>
      <w:lvlText w:val="%1.%2.%3.%4.%5.%6"/>
      <w:lvlJc w:val="left"/>
      <w:pPr>
        <w:ind w:left="1152" w:hanging="1152"/>
      </w:pPr>
    </w:lvl>
    <w:lvl w:ilvl="6" w:tentative="0">
      <w:start w:val="1"/>
      <w:numFmt w:val="decimal"/>
      <w:pStyle w:val="9"/>
      <w:lvlText w:val="%1.%2.%3.%4.%5.%6.%7"/>
      <w:lvlJc w:val="left"/>
      <w:pPr>
        <w:ind w:left="1296" w:hanging="1296"/>
      </w:pPr>
    </w:lvl>
    <w:lvl w:ilvl="7" w:tentative="0">
      <w:start w:val="1"/>
      <w:numFmt w:val="decimal"/>
      <w:pStyle w:val="10"/>
      <w:lvlText w:val="%1.%2.%3.%4.%5.%6.%7.%8"/>
      <w:lvlJc w:val="left"/>
      <w:pPr>
        <w:ind w:left="1440" w:hanging="1440"/>
      </w:pPr>
    </w:lvl>
    <w:lvl w:ilvl="8" w:tentative="0">
      <w:start w:val="1"/>
      <w:numFmt w:val="decimal"/>
      <w:pStyle w:val="11"/>
      <w:lvlText w:val="%1.%2.%3.%4.%5.%6.%7.%8.%9"/>
      <w:lvlJc w:val="left"/>
      <w:pPr>
        <w:ind w:left="1584" w:hanging="1584"/>
      </w:pPr>
    </w:lvl>
  </w:abstractNum>
  <w:abstractNum w:abstractNumId="26">
    <w:nsid w:val="2EE71640"/>
    <w:multiLevelType w:val="multilevel"/>
    <w:tmpl w:val="2EE71640"/>
    <w:lvl w:ilvl="0" w:tentative="0">
      <w:start w:val="1"/>
      <w:numFmt w:val="bullet"/>
      <w:lvlText w:val="–"/>
      <w:lvlJc w:val="left"/>
      <w:pPr>
        <w:ind w:left="1020" w:hanging="420"/>
      </w:pPr>
      <w:rPr>
        <w:rFonts w:hint="default" w:ascii="Wingdings 2" w:hAnsi="Wingdings 2"/>
      </w:rPr>
    </w:lvl>
    <w:lvl w:ilvl="1" w:tentative="0">
      <w:start w:val="1"/>
      <w:numFmt w:val="bullet"/>
      <w:lvlText w:val=""/>
      <w:lvlJc w:val="left"/>
      <w:pPr>
        <w:ind w:left="1440" w:hanging="420"/>
      </w:pPr>
      <w:rPr>
        <w:rFonts w:hint="default" w:ascii="Wingdings" w:hAnsi="Wingdings"/>
      </w:rPr>
    </w:lvl>
    <w:lvl w:ilvl="2" w:tentative="0">
      <w:start w:val="1"/>
      <w:numFmt w:val="bullet"/>
      <w:lvlText w:val=""/>
      <w:lvlJc w:val="left"/>
      <w:pPr>
        <w:ind w:left="1860" w:hanging="420"/>
      </w:pPr>
      <w:rPr>
        <w:rFonts w:hint="default" w:ascii="Wingdings" w:hAnsi="Wingdings"/>
      </w:rPr>
    </w:lvl>
    <w:lvl w:ilvl="3" w:tentative="0">
      <w:start w:val="1"/>
      <w:numFmt w:val="bullet"/>
      <w:lvlText w:val=""/>
      <w:lvlJc w:val="left"/>
      <w:pPr>
        <w:ind w:left="2280" w:hanging="420"/>
      </w:pPr>
      <w:rPr>
        <w:rFonts w:hint="default" w:ascii="Wingdings" w:hAnsi="Wingdings"/>
      </w:rPr>
    </w:lvl>
    <w:lvl w:ilvl="4" w:tentative="0">
      <w:start w:val="1"/>
      <w:numFmt w:val="bullet"/>
      <w:lvlText w:val=""/>
      <w:lvlJc w:val="left"/>
      <w:pPr>
        <w:ind w:left="2700" w:hanging="420"/>
      </w:pPr>
      <w:rPr>
        <w:rFonts w:hint="default" w:ascii="Wingdings" w:hAnsi="Wingdings"/>
      </w:rPr>
    </w:lvl>
    <w:lvl w:ilvl="5" w:tentative="0">
      <w:start w:val="1"/>
      <w:numFmt w:val="bullet"/>
      <w:lvlText w:val=""/>
      <w:lvlJc w:val="left"/>
      <w:pPr>
        <w:ind w:left="3120" w:hanging="420"/>
      </w:pPr>
      <w:rPr>
        <w:rFonts w:hint="default" w:ascii="Wingdings" w:hAnsi="Wingdings"/>
      </w:rPr>
    </w:lvl>
    <w:lvl w:ilvl="6" w:tentative="0">
      <w:start w:val="1"/>
      <w:numFmt w:val="bullet"/>
      <w:lvlText w:val=""/>
      <w:lvlJc w:val="left"/>
      <w:pPr>
        <w:ind w:left="3540" w:hanging="420"/>
      </w:pPr>
      <w:rPr>
        <w:rFonts w:hint="default" w:ascii="Wingdings" w:hAnsi="Wingdings"/>
      </w:rPr>
    </w:lvl>
    <w:lvl w:ilvl="7" w:tentative="0">
      <w:start w:val="1"/>
      <w:numFmt w:val="bullet"/>
      <w:lvlText w:val=""/>
      <w:lvlJc w:val="left"/>
      <w:pPr>
        <w:ind w:left="3960" w:hanging="420"/>
      </w:pPr>
      <w:rPr>
        <w:rFonts w:hint="default" w:ascii="Wingdings" w:hAnsi="Wingdings"/>
      </w:rPr>
    </w:lvl>
    <w:lvl w:ilvl="8" w:tentative="0">
      <w:start w:val="1"/>
      <w:numFmt w:val="bullet"/>
      <w:lvlText w:val=""/>
      <w:lvlJc w:val="left"/>
      <w:pPr>
        <w:ind w:left="4380" w:hanging="420"/>
      </w:pPr>
      <w:rPr>
        <w:rFonts w:hint="default" w:ascii="Wingdings" w:hAnsi="Wingdings"/>
      </w:rPr>
    </w:lvl>
  </w:abstractNum>
  <w:abstractNum w:abstractNumId="27">
    <w:nsid w:val="3265FB95"/>
    <w:multiLevelType w:val="singleLevel"/>
    <w:tmpl w:val="3265FB95"/>
    <w:lvl w:ilvl="0" w:tentative="0">
      <w:start w:val="1"/>
      <w:numFmt w:val="bullet"/>
      <w:lvlText w:val="ￚ"/>
      <w:lvlJc w:val="left"/>
      <w:pPr>
        <w:ind w:left="420" w:hanging="420"/>
      </w:pPr>
      <w:rPr>
        <w:rFonts w:hint="default" w:ascii="微软雅黑" w:hAnsi="微软雅黑" w:eastAsia="微软雅黑" w:cs="微软雅黑"/>
      </w:rPr>
    </w:lvl>
  </w:abstractNum>
  <w:abstractNum w:abstractNumId="28">
    <w:nsid w:val="348D38C1"/>
    <w:multiLevelType w:val="multilevel"/>
    <w:tmpl w:val="348D38C1"/>
    <w:lvl w:ilvl="0" w:tentative="0">
      <w:start w:val="0"/>
      <w:numFmt w:val="bullet"/>
      <w:lvlText w:val="•"/>
      <w:lvlJc w:val="left"/>
      <w:rPr>
        <w:rFonts w:hint="eastAsia" w:ascii="等线" w:hAnsi="等线" w:eastAsia="等线" w:cs="Times New Roman"/>
      </w:rPr>
    </w:lvl>
    <w:lvl w:ilvl="1" w:tentative="0">
      <w:start w:val="1"/>
      <w:numFmt w:val="bullet"/>
      <w:lvlText w:val=""/>
      <w:lvlJc w:val="left"/>
      <w:pPr>
        <w:ind w:left="20" w:hanging="420"/>
      </w:pPr>
      <w:rPr>
        <w:rFonts w:hint="default" w:ascii="Wingdings" w:hAnsi="Wingdings"/>
      </w:rPr>
    </w:lvl>
    <w:lvl w:ilvl="2" w:tentative="0">
      <w:start w:val="1"/>
      <w:numFmt w:val="bullet"/>
      <w:lvlText w:val=""/>
      <w:lvlJc w:val="left"/>
      <w:pPr>
        <w:ind w:left="440" w:hanging="420"/>
      </w:pPr>
      <w:rPr>
        <w:rFonts w:hint="default" w:ascii="Wingdings" w:hAnsi="Wingdings"/>
      </w:rPr>
    </w:lvl>
    <w:lvl w:ilvl="3" w:tentative="0">
      <w:start w:val="1"/>
      <w:numFmt w:val="bullet"/>
      <w:lvlText w:val=""/>
      <w:lvlJc w:val="left"/>
      <w:pPr>
        <w:ind w:left="860" w:hanging="420"/>
      </w:pPr>
      <w:rPr>
        <w:rFonts w:hint="default" w:ascii="Wingdings" w:hAnsi="Wingdings"/>
      </w:rPr>
    </w:lvl>
    <w:lvl w:ilvl="4" w:tentative="0">
      <w:start w:val="1"/>
      <w:numFmt w:val="bullet"/>
      <w:lvlText w:val=""/>
      <w:lvlJc w:val="left"/>
      <w:pPr>
        <w:ind w:left="1280" w:hanging="420"/>
      </w:pPr>
      <w:rPr>
        <w:rFonts w:hint="default" w:ascii="Wingdings" w:hAnsi="Wingdings"/>
      </w:rPr>
    </w:lvl>
    <w:lvl w:ilvl="5" w:tentative="0">
      <w:start w:val="1"/>
      <w:numFmt w:val="bullet"/>
      <w:lvlText w:val=""/>
      <w:lvlJc w:val="left"/>
      <w:pPr>
        <w:ind w:left="1700" w:hanging="420"/>
      </w:pPr>
      <w:rPr>
        <w:rFonts w:hint="default" w:ascii="Wingdings" w:hAnsi="Wingdings"/>
      </w:rPr>
    </w:lvl>
    <w:lvl w:ilvl="6" w:tentative="0">
      <w:start w:val="1"/>
      <w:numFmt w:val="bullet"/>
      <w:lvlText w:val=""/>
      <w:lvlJc w:val="left"/>
      <w:pPr>
        <w:ind w:left="2120" w:hanging="420"/>
      </w:pPr>
      <w:rPr>
        <w:rFonts w:hint="default" w:ascii="Wingdings" w:hAnsi="Wingdings"/>
      </w:rPr>
    </w:lvl>
    <w:lvl w:ilvl="7" w:tentative="0">
      <w:start w:val="1"/>
      <w:numFmt w:val="bullet"/>
      <w:lvlText w:val=""/>
      <w:lvlJc w:val="left"/>
      <w:pPr>
        <w:ind w:left="2540" w:hanging="420"/>
      </w:pPr>
      <w:rPr>
        <w:rFonts w:hint="default" w:ascii="Wingdings" w:hAnsi="Wingdings"/>
      </w:rPr>
    </w:lvl>
    <w:lvl w:ilvl="8" w:tentative="0">
      <w:start w:val="1"/>
      <w:numFmt w:val="bullet"/>
      <w:lvlText w:val=""/>
      <w:lvlJc w:val="left"/>
      <w:pPr>
        <w:ind w:left="2960" w:hanging="420"/>
      </w:pPr>
      <w:rPr>
        <w:rFonts w:hint="default" w:ascii="Wingdings" w:hAnsi="Wingdings"/>
      </w:rPr>
    </w:lvl>
  </w:abstractNum>
  <w:abstractNum w:abstractNumId="29">
    <w:nsid w:val="3662794E"/>
    <w:multiLevelType w:val="multilevel"/>
    <w:tmpl w:val="3662794E"/>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30">
    <w:nsid w:val="3A5B049D"/>
    <w:multiLevelType w:val="multilevel"/>
    <w:tmpl w:val="3A5B049D"/>
    <w:lvl w:ilvl="0" w:tentative="0">
      <w:start w:val="1"/>
      <w:numFmt w:val="lowerLetter"/>
      <w:lvlText w:val="%1)"/>
      <w:lvlJc w:val="left"/>
      <w:pPr>
        <w:ind w:left="840" w:hanging="420"/>
      </w:pPr>
      <w:rPr>
        <w:rFonts w:hint="default" w:ascii="Times New Roman" w:hAnsi="Times New Roman" w:cs="Times New Roman"/>
      </w:rPr>
    </w:lvl>
    <w:lvl w:ilvl="1" w:tentative="0">
      <w:start w:val="1"/>
      <w:numFmt w:val="lowerLetter"/>
      <w:lvlText w:val="%2)"/>
      <w:lvlJc w:val="left"/>
      <w:pPr>
        <w:ind w:left="1260" w:hanging="420"/>
      </w:pPr>
      <w:rPr>
        <w:rFonts w:hint="default" w:ascii="Times New Roman" w:hAnsi="Times New Roman" w:cs="Times New Roman"/>
      </w:rPr>
    </w:lvl>
    <w:lvl w:ilvl="2" w:tentative="0">
      <w:start w:val="1"/>
      <w:numFmt w:val="lowerRoman"/>
      <w:lvlText w:val="%3."/>
      <w:lvlJc w:val="right"/>
      <w:pPr>
        <w:ind w:left="1680" w:hanging="420"/>
      </w:pPr>
      <w:rPr>
        <w:rFonts w:hint="default" w:ascii="Times New Roman" w:hAnsi="Times New Roman" w:cs="Times New Roman"/>
      </w:rPr>
    </w:lvl>
    <w:lvl w:ilvl="3" w:tentative="0">
      <w:start w:val="1"/>
      <w:numFmt w:val="decimal"/>
      <w:lvlText w:val="%4."/>
      <w:lvlJc w:val="left"/>
      <w:pPr>
        <w:ind w:left="2100" w:hanging="420"/>
      </w:pPr>
      <w:rPr>
        <w:rFonts w:hint="default" w:ascii="Times New Roman" w:hAnsi="Times New Roman" w:cs="Times New Roman"/>
      </w:rPr>
    </w:lvl>
    <w:lvl w:ilvl="4" w:tentative="0">
      <w:start w:val="1"/>
      <w:numFmt w:val="lowerLetter"/>
      <w:lvlText w:val="%5)"/>
      <w:lvlJc w:val="left"/>
      <w:pPr>
        <w:ind w:left="2520" w:hanging="420"/>
      </w:pPr>
      <w:rPr>
        <w:rFonts w:hint="default" w:ascii="Times New Roman" w:hAnsi="Times New Roman" w:cs="Times New Roman"/>
      </w:rPr>
    </w:lvl>
    <w:lvl w:ilvl="5" w:tentative="0">
      <w:start w:val="1"/>
      <w:numFmt w:val="lowerRoman"/>
      <w:lvlText w:val="%6."/>
      <w:lvlJc w:val="right"/>
      <w:pPr>
        <w:ind w:left="2940" w:hanging="420"/>
      </w:pPr>
      <w:rPr>
        <w:rFonts w:hint="default" w:ascii="Times New Roman" w:hAnsi="Times New Roman" w:cs="Times New Roman"/>
      </w:rPr>
    </w:lvl>
    <w:lvl w:ilvl="6" w:tentative="0">
      <w:start w:val="1"/>
      <w:numFmt w:val="decimal"/>
      <w:lvlText w:val="%7."/>
      <w:lvlJc w:val="left"/>
      <w:pPr>
        <w:ind w:left="3360" w:hanging="420"/>
      </w:pPr>
      <w:rPr>
        <w:rFonts w:hint="default" w:ascii="Times New Roman" w:hAnsi="Times New Roman" w:cs="Times New Roman"/>
      </w:rPr>
    </w:lvl>
    <w:lvl w:ilvl="7" w:tentative="0">
      <w:start w:val="1"/>
      <w:numFmt w:val="lowerLetter"/>
      <w:lvlText w:val="%8)"/>
      <w:lvlJc w:val="left"/>
      <w:pPr>
        <w:ind w:left="3780" w:hanging="420"/>
      </w:pPr>
      <w:rPr>
        <w:rFonts w:hint="default" w:ascii="Times New Roman" w:hAnsi="Times New Roman" w:cs="Times New Roman"/>
      </w:rPr>
    </w:lvl>
    <w:lvl w:ilvl="8" w:tentative="0">
      <w:start w:val="1"/>
      <w:numFmt w:val="lowerRoman"/>
      <w:lvlText w:val="%9."/>
      <w:lvlJc w:val="right"/>
      <w:pPr>
        <w:ind w:left="4200" w:hanging="420"/>
      </w:pPr>
      <w:rPr>
        <w:rFonts w:hint="default" w:ascii="Times New Roman" w:hAnsi="Times New Roman" w:cs="Times New Roman"/>
      </w:rPr>
    </w:lvl>
  </w:abstractNum>
  <w:abstractNum w:abstractNumId="31">
    <w:nsid w:val="3DB623F6"/>
    <w:multiLevelType w:val="multilevel"/>
    <w:tmpl w:val="3DB623F6"/>
    <w:lvl w:ilvl="0" w:tentative="0">
      <w:start w:val="1"/>
      <w:numFmt w:val="decimal"/>
      <w:lvlText w:val="（%1）"/>
      <w:lvlJc w:val="left"/>
      <w:pPr>
        <w:ind w:left="1287" w:hanging="72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32">
    <w:nsid w:val="430A1B75"/>
    <w:multiLevelType w:val="multilevel"/>
    <w:tmpl w:val="430A1B75"/>
    <w:lvl w:ilvl="0" w:tentative="0">
      <w:start w:val="1"/>
      <w:numFmt w:val="bullet"/>
      <w:lvlText w:val="–"/>
      <w:lvlJc w:val="left"/>
      <w:pPr>
        <w:ind w:left="840" w:hanging="420"/>
      </w:pPr>
      <w:rPr>
        <w:rFonts w:hint="default" w:ascii="Wingdings 2" w:hAnsi="Wingdings 2"/>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3">
    <w:nsid w:val="4462B98F"/>
    <w:multiLevelType w:val="singleLevel"/>
    <w:tmpl w:val="4462B98F"/>
    <w:lvl w:ilvl="0" w:tentative="0">
      <w:start w:val="1"/>
      <w:numFmt w:val="decimal"/>
      <w:suff w:val="nothing"/>
      <w:lvlText w:val="（%1）"/>
      <w:lvlJc w:val="left"/>
    </w:lvl>
  </w:abstractNum>
  <w:abstractNum w:abstractNumId="34">
    <w:nsid w:val="46AA2EDD"/>
    <w:multiLevelType w:val="multilevel"/>
    <w:tmpl w:val="46AA2EDD"/>
    <w:lvl w:ilvl="0" w:tentative="0">
      <w:start w:val="1"/>
      <w:numFmt w:val="bullet"/>
      <w:lvlText w:val=""/>
      <w:lvlJc w:val="left"/>
      <w:pPr>
        <w:ind w:left="980" w:hanging="420"/>
      </w:pPr>
      <w:rPr>
        <w:rFonts w:hint="default" w:ascii="Symbol" w:hAnsi="Symbol"/>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35">
    <w:nsid w:val="47181E39"/>
    <w:multiLevelType w:val="multilevel"/>
    <w:tmpl w:val="47181E39"/>
    <w:lvl w:ilvl="0" w:tentative="0">
      <w:start w:val="1"/>
      <w:numFmt w:val="bullet"/>
      <w:lvlText w:val="o"/>
      <w:lvlJc w:val="left"/>
      <w:pPr>
        <w:ind w:left="1260" w:hanging="420"/>
      </w:pPr>
      <w:rPr>
        <w:rFonts w:hint="default" w:ascii="Courier New" w:hAnsi="Courier New"/>
      </w:rPr>
    </w:lvl>
    <w:lvl w:ilvl="1" w:tentative="0">
      <w:start w:val="1"/>
      <w:numFmt w:val="bullet"/>
      <w:lvlText w:val=""/>
      <w:lvlJc w:val="left"/>
      <w:pPr>
        <w:ind w:left="2160" w:hanging="420"/>
      </w:pPr>
      <w:rPr>
        <w:rFonts w:hint="default" w:ascii="Wingdings" w:hAnsi="Wingdings"/>
      </w:rPr>
    </w:lvl>
    <w:lvl w:ilvl="2" w:tentative="0">
      <w:start w:val="1"/>
      <w:numFmt w:val="bullet"/>
      <w:lvlText w:val=""/>
      <w:lvlJc w:val="left"/>
      <w:pPr>
        <w:ind w:left="2580" w:hanging="420"/>
      </w:pPr>
      <w:rPr>
        <w:rFonts w:hint="default" w:ascii="Wingdings" w:hAnsi="Wingdings"/>
      </w:rPr>
    </w:lvl>
    <w:lvl w:ilvl="3" w:tentative="0">
      <w:start w:val="1"/>
      <w:numFmt w:val="bullet"/>
      <w:lvlText w:val=""/>
      <w:lvlJc w:val="left"/>
      <w:pPr>
        <w:ind w:left="3000" w:hanging="420"/>
      </w:pPr>
      <w:rPr>
        <w:rFonts w:hint="default" w:ascii="Wingdings" w:hAnsi="Wingdings"/>
      </w:rPr>
    </w:lvl>
    <w:lvl w:ilvl="4" w:tentative="0">
      <w:start w:val="1"/>
      <w:numFmt w:val="bullet"/>
      <w:lvlText w:val=""/>
      <w:lvlJc w:val="left"/>
      <w:pPr>
        <w:ind w:left="3420" w:hanging="420"/>
      </w:pPr>
      <w:rPr>
        <w:rFonts w:hint="default" w:ascii="Wingdings" w:hAnsi="Wingdings"/>
      </w:rPr>
    </w:lvl>
    <w:lvl w:ilvl="5" w:tentative="0">
      <w:start w:val="1"/>
      <w:numFmt w:val="bullet"/>
      <w:lvlText w:val=""/>
      <w:lvlJc w:val="left"/>
      <w:pPr>
        <w:ind w:left="3840" w:hanging="420"/>
      </w:pPr>
      <w:rPr>
        <w:rFonts w:hint="default" w:ascii="Wingdings" w:hAnsi="Wingdings"/>
      </w:rPr>
    </w:lvl>
    <w:lvl w:ilvl="6" w:tentative="0">
      <w:start w:val="1"/>
      <w:numFmt w:val="bullet"/>
      <w:lvlText w:val=""/>
      <w:lvlJc w:val="left"/>
      <w:pPr>
        <w:ind w:left="4260" w:hanging="420"/>
      </w:pPr>
      <w:rPr>
        <w:rFonts w:hint="default" w:ascii="Wingdings" w:hAnsi="Wingdings"/>
      </w:rPr>
    </w:lvl>
    <w:lvl w:ilvl="7" w:tentative="0">
      <w:start w:val="1"/>
      <w:numFmt w:val="bullet"/>
      <w:lvlText w:val=""/>
      <w:lvlJc w:val="left"/>
      <w:pPr>
        <w:ind w:left="4680" w:hanging="420"/>
      </w:pPr>
      <w:rPr>
        <w:rFonts w:hint="default" w:ascii="Wingdings" w:hAnsi="Wingdings"/>
      </w:rPr>
    </w:lvl>
    <w:lvl w:ilvl="8" w:tentative="0">
      <w:start w:val="1"/>
      <w:numFmt w:val="bullet"/>
      <w:lvlText w:val=""/>
      <w:lvlJc w:val="left"/>
      <w:pPr>
        <w:ind w:left="5100" w:hanging="420"/>
      </w:pPr>
      <w:rPr>
        <w:rFonts w:hint="default" w:ascii="Wingdings" w:hAnsi="Wingdings"/>
      </w:rPr>
    </w:lvl>
  </w:abstractNum>
  <w:abstractNum w:abstractNumId="36">
    <w:nsid w:val="474205BB"/>
    <w:multiLevelType w:val="singleLevel"/>
    <w:tmpl w:val="474205BB"/>
    <w:lvl w:ilvl="0" w:tentative="0">
      <w:start w:val="1"/>
      <w:numFmt w:val="bullet"/>
      <w:lvlText w:val="ￚ"/>
      <w:lvlJc w:val="left"/>
      <w:pPr>
        <w:ind w:left="420" w:hanging="420"/>
      </w:pPr>
      <w:rPr>
        <w:rFonts w:hint="default" w:ascii="微软雅黑" w:hAnsi="微软雅黑" w:eastAsia="微软雅黑" w:cs="微软雅黑"/>
      </w:rPr>
    </w:lvl>
  </w:abstractNum>
  <w:abstractNum w:abstractNumId="37">
    <w:nsid w:val="4A5154DD"/>
    <w:multiLevelType w:val="multilevel"/>
    <w:tmpl w:val="4A5154DD"/>
    <w:lvl w:ilvl="0" w:tentative="0">
      <w:start w:val="0"/>
      <w:numFmt w:val="bullet"/>
      <w:lvlText w:val="•"/>
      <w:lvlJc w:val="left"/>
      <w:pPr>
        <w:ind w:left="840" w:hanging="420"/>
      </w:pPr>
      <w:rPr>
        <w:rFonts w:hint="eastAsia" w:ascii="等线" w:hAnsi="等线" w:eastAsia="等线" w:cstheme="minorBidi"/>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8">
    <w:nsid w:val="4AE164EF"/>
    <w:multiLevelType w:val="multilevel"/>
    <w:tmpl w:val="4AE164E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4B28717D"/>
    <w:multiLevelType w:val="multilevel"/>
    <w:tmpl w:val="4B28717D"/>
    <w:lvl w:ilvl="0" w:tentative="0">
      <w:start w:val="1"/>
      <w:numFmt w:val="decimal"/>
      <w:lvlText w:val="%1)"/>
      <w:lvlJc w:val="left"/>
      <w:pPr>
        <w:ind w:left="840" w:hanging="360"/>
      </w:pPr>
      <w:rPr>
        <w:rFonts w:hint="default"/>
      </w:rPr>
    </w:lvl>
    <w:lvl w:ilvl="1" w:tentative="0">
      <w:start w:val="1"/>
      <w:numFmt w:val="lowerLetter"/>
      <w:lvlText w:val="%2."/>
      <w:lvlJc w:val="left"/>
      <w:pPr>
        <w:ind w:left="1560" w:hanging="360"/>
      </w:pPr>
    </w:lvl>
    <w:lvl w:ilvl="2" w:tentative="0">
      <w:start w:val="1"/>
      <w:numFmt w:val="lowerRoman"/>
      <w:lvlText w:val="%3."/>
      <w:lvlJc w:val="right"/>
      <w:pPr>
        <w:ind w:left="2280" w:hanging="180"/>
      </w:pPr>
    </w:lvl>
    <w:lvl w:ilvl="3" w:tentative="0">
      <w:start w:val="1"/>
      <w:numFmt w:val="decimal"/>
      <w:lvlText w:val="%4."/>
      <w:lvlJc w:val="left"/>
      <w:pPr>
        <w:ind w:left="3000" w:hanging="360"/>
      </w:pPr>
    </w:lvl>
    <w:lvl w:ilvl="4" w:tentative="0">
      <w:start w:val="1"/>
      <w:numFmt w:val="lowerLetter"/>
      <w:lvlText w:val="%5."/>
      <w:lvlJc w:val="left"/>
      <w:pPr>
        <w:ind w:left="3720" w:hanging="360"/>
      </w:pPr>
    </w:lvl>
    <w:lvl w:ilvl="5" w:tentative="0">
      <w:start w:val="1"/>
      <w:numFmt w:val="lowerRoman"/>
      <w:lvlText w:val="%6."/>
      <w:lvlJc w:val="right"/>
      <w:pPr>
        <w:ind w:left="4440" w:hanging="180"/>
      </w:pPr>
    </w:lvl>
    <w:lvl w:ilvl="6" w:tentative="0">
      <w:start w:val="1"/>
      <w:numFmt w:val="decimal"/>
      <w:lvlText w:val="%7."/>
      <w:lvlJc w:val="left"/>
      <w:pPr>
        <w:ind w:left="5160" w:hanging="360"/>
      </w:pPr>
    </w:lvl>
    <w:lvl w:ilvl="7" w:tentative="0">
      <w:start w:val="1"/>
      <w:numFmt w:val="lowerLetter"/>
      <w:lvlText w:val="%8."/>
      <w:lvlJc w:val="left"/>
      <w:pPr>
        <w:ind w:left="5880" w:hanging="360"/>
      </w:pPr>
    </w:lvl>
    <w:lvl w:ilvl="8" w:tentative="0">
      <w:start w:val="1"/>
      <w:numFmt w:val="lowerRoman"/>
      <w:lvlText w:val="%9."/>
      <w:lvlJc w:val="right"/>
      <w:pPr>
        <w:ind w:left="6600" w:hanging="180"/>
      </w:pPr>
    </w:lvl>
  </w:abstractNum>
  <w:abstractNum w:abstractNumId="40">
    <w:nsid w:val="533F5EF8"/>
    <w:multiLevelType w:val="multilevel"/>
    <w:tmpl w:val="533F5EF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1">
    <w:nsid w:val="587718A2"/>
    <w:multiLevelType w:val="multilevel"/>
    <w:tmpl w:val="587718A2"/>
    <w:lvl w:ilvl="0" w:tentative="0">
      <w:start w:val="1"/>
      <w:numFmt w:val="decimalEnclosedCircle"/>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5B48E45D"/>
    <w:multiLevelType w:val="singleLevel"/>
    <w:tmpl w:val="5B48E45D"/>
    <w:lvl w:ilvl="0" w:tentative="0">
      <w:start w:val="1"/>
      <w:numFmt w:val="bullet"/>
      <w:lvlText w:val=""/>
      <w:lvlJc w:val="left"/>
      <w:pPr>
        <w:ind w:left="420" w:hanging="420"/>
      </w:pPr>
      <w:rPr>
        <w:rFonts w:hint="default" w:ascii="Wingdings" w:hAnsi="Wingdings"/>
      </w:rPr>
    </w:lvl>
  </w:abstractNum>
  <w:abstractNum w:abstractNumId="43">
    <w:nsid w:val="612106DE"/>
    <w:multiLevelType w:val="multilevel"/>
    <w:tmpl w:val="612106DE"/>
    <w:lvl w:ilvl="0" w:tentative="0">
      <w:start w:val="1"/>
      <w:numFmt w:val="decimalEnclosedCircle"/>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616BAEF5"/>
    <w:multiLevelType w:val="multilevel"/>
    <w:tmpl w:val="616BAEF5"/>
    <w:lvl w:ilvl="0" w:tentative="0">
      <w:start w:val="1"/>
      <w:numFmt w:val="decimal"/>
      <w:lvlText w:val="%1)"/>
      <w:lvlJc w:val="left"/>
      <w:pPr>
        <w:ind w:left="841" w:hanging="361"/>
      </w:p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5">
    <w:nsid w:val="61B056AB"/>
    <w:multiLevelType w:val="multilevel"/>
    <w:tmpl w:val="61B056AB"/>
    <w:lvl w:ilvl="0" w:tentative="0">
      <w:start w:val="1"/>
      <w:numFmt w:val="decimalEnclosedCircle"/>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67B54AE6"/>
    <w:multiLevelType w:val="multilevel"/>
    <w:tmpl w:val="67B54AE6"/>
    <w:lvl w:ilvl="0" w:tentative="0">
      <w:start w:val="0"/>
      <w:numFmt w:val="bullet"/>
      <w:lvlText w:val="•"/>
      <w:lvlJc w:val="left"/>
      <w:pPr>
        <w:ind w:left="420" w:hanging="420"/>
      </w:pPr>
      <w:rPr>
        <w:rFonts w:hint="eastAsia" w:ascii="等线" w:hAnsi="等线" w:eastAsia="等线" w:cstheme="minorBidi"/>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7">
    <w:nsid w:val="6EB9111C"/>
    <w:multiLevelType w:val="multilevel"/>
    <w:tmpl w:val="6EB9111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8">
    <w:nsid w:val="6F2CB8EA"/>
    <w:multiLevelType w:val="singleLevel"/>
    <w:tmpl w:val="6F2CB8EA"/>
    <w:lvl w:ilvl="0" w:tentative="0">
      <w:start w:val="1"/>
      <w:numFmt w:val="bullet"/>
      <w:lvlText w:val=""/>
      <w:lvlJc w:val="left"/>
      <w:pPr>
        <w:ind w:left="420" w:hanging="420"/>
      </w:pPr>
      <w:rPr>
        <w:rFonts w:hint="default" w:ascii="Wingdings" w:hAnsi="Wingdings"/>
      </w:rPr>
    </w:lvl>
  </w:abstractNum>
  <w:abstractNum w:abstractNumId="49">
    <w:nsid w:val="72EB63CB"/>
    <w:multiLevelType w:val="multilevel"/>
    <w:tmpl w:val="72EB63CB"/>
    <w:lvl w:ilvl="0" w:tentative="0">
      <w:start w:val="1"/>
      <w:numFmt w:val="decimal"/>
      <w:lvlText w:val="%1"/>
      <w:lvlJc w:val="left"/>
      <w:pPr>
        <w:ind w:left="425" w:hanging="425"/>
      </w:pPr>
      <w:rPr>
        <w:rFonts w:hint="eastAsia"/>
      </w:rPr>
    </w:lvl>
    <w:lvl w:ilvl="1" w:tentative="0">
      <w:start w:val="1"/>
      <w:numFmt w:val="decimal"/>
      <w:lvlText w:val="4.%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0">
    <w:nsid w:val="79712753"/>
    <w:multiLevelType w:val="multilevel"/>
    <w:tmpl w:val="79712753"/>
    <w:lvl w:ilvl="0" w:tentative="0">
      <w:start w:val="1"/>
      <w:numFmt w:val="decimalEnclosedCircle"/>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7BB17D38"/>
    <w:multiLevelType w:val="multilevel"/>
    <w:tmpl w:val="7BB17D38"/>
    <w:lvl w:ilvl="0" w:tentative="0">
      <w:start w:val="1"/>
      <w:numFmt w:val="bullet"/>
      <w:lvlText w:val="o"/>
      <w:lvlJc w:val="left"/>
      <w:pPr>
        <w:ind w:left="902" w:hanging="420"/>
      </w:pPr>
      <w:rPr>
        <w:rFonts w:hint="default" w:ascii="Courier New" w:hAnsi="Courier New"/>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num w:numId="1">
    <w:abstractNumId w:val="25"/>
  </w:num>
  <w:num w:numId="2">
    <w:abstractNumId w:val="11"/>
  </w:num>
  <w:num w:numId="3">
    <w:abstractNumId w:val="48"/>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2"/>
  </w:num>
  <w:num w:numId="6">
    <w:abstractNumId w:val="17"/>
  </w:num>
  <w:num w:numId="7">
    <w:abstractNumId w:val="15"/>
  </w:num>
  <w:num w:numId="8">
    <w:abstractNumId w:val="39"/>
  </w:num>
  <w:num w:numId="9">
    <w:abstractNumId w:val="8"/>
  </w:num>
  <w:num w:numId="10">
    <w:abstractNumId w:val="33"/>
  </w:num>
  <w:num w:numId="11">
    <w:abstractNumId w:val="1"/>
  </w:num>
  <w:num w:numId="12">
    <w:abstractNumId w:val="24"/>
  </w:num>
  <w:num w:numId="13">
    <w:abstractNumId w:val="35"/>
  </w:num>
  <w:num w:numId="14">
    <w:abstractNumId w:val="18"/>
  </w:num>
  <w:num w:numId="15">
    <w:abstractNumId w:val="0"/>
  </w:num>
  <w:num w:numId="16">
    <w:abstractNumId w:val="28"/>
  </w:num>
  <w:num w:numId="17">
    <w:abstractNumId w:val="31"/>
  </w:num>
  <w:num w:numId="18">
    <w:abstractNumId w:val="5"/>
  </w:num>
  <w:num w:numId="19">
    <w:abstractNumId w:val="3"/>
  </w:num>
  <w:num w:numId="20">
    <w:abstractNumId w:val="12"/>
  </w:num>
  <w:num w:numId="21">
    <w:abstractNumId w:val="21"/>
  </w:num>
  <w:num w:numId="22">
    <w:abstractNumId w:val="51"/>
  </w:num>
  <w:num w:numId="23">
    <w:abstractNumId w:val="9"/>
  </w:num>
  <w:num w:numId="24">
    <w:abstractNumId w:val="14"/>
  </w:num>
  <w:num w:numId="25">
    <w:abstractNumId w:val="36"/>
  </w:num>
  <w:num w:numId="26">
    <w:abstractNumId w:val="10"/>
  </w:num>
  <w:num w:numId="27">
    <w:abstractNumId w:val="46"/>
  </w:num>
  <w:num w:numId="28">
    <w:abstractNumId w:val="13"/>
  </w:num>
  <w:num w:numId="29">
    <w:abstractNumId w:val="6"/>
  </w:num>
  <w:num w:numId="30">
    <w:abstractNumId w:val="2"/>
  </w:num>
  <w:num w:numId="31">
    <w:abstractNumId w:val="44"/>
  </w:num>
  <w:num w:numId="32">
    <w:abstractNumId w:val="37"/>
  </w:num>
  <w:num w:numId="33">
    <w:abstractNumId w:val="43"/>
  </w:num>
  <w:num w:numId="34">
    <w:abstractNumId w:val="41"/>
  </w:num>
  <w:num w:numId="35">
    <w:abstractNumId w:val="45"/>
  </w:num>
  <w:num w:numId="36">
    <w:abstractNumId w:val="50"/>
  </w:num>
  <w:num w:numId="37">
    <w:abstractNumId w:val="23"/>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29"/>
  </w:num>
  <w:num w:numId="41">
    <w:abstractNumId w:val="32"/>
  </w:num>
  <w:num w:numId="42">
    <w:abstractNumId w:val="7"/>
  </w:num>
  <w:num w:numId="43">
    <w:abstractNumId w:val="4"/>
  </w:num>
  <w:num w:numId="44">
    <w:abstractNumId w:val="27"/>
  </w:num>
  <w:num w:numId="45">
    <w:abstractNumId w:val="34"/>
  </w:num>
  <w:num w:numId="46">
    <w:abstractNumId w:val="49"/>
  </w:num>
  <w:num w:numId="47">
    <w:abstractNumId w:val="16"/>
  </w:num>
  <w:num w:numId="48">
    <w:abstractNumId w:val="40"/>
  </w:num>
  <w:num w:numId="49">
    <w:abstractNumId w:val="19"/>
  </w:num>
  <w:num w:numId="50">
    <w:abstractNumId w:val="47"/>
  </w:num>
  <w:num w:numId="51">
    <w:abstractNumId w:val="38"/>
  </w:num>
  <w:num w:numId="52">
    <w:abstractNumId w:val="22"/>
  </w:num>
  <w:num w:numId="5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20"/>
    <w:footnote w:id="2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LM0MTQwMzSytDQ0NTJS0lEKTi0uzszPAykwNKkFAER5DU4tAAAA"/>
    <w:docVar w:name="commondata" w:val="eyJoZGlkIjoiN2YzYTkwZDE4MGQ0ZDFjM2RjZTc3NmFiM2QwYjNmODQifQ=="/>
  </w:docVars>
  <w:rsids>
    <w:rsidRoot w:val="67446A26"/>
    <w:rsid w:val="00000CC2"/>
    <w:rsid w:val="00001104"/>
    <w:rsid w:val="0000176B"/>
    <w:rsid w:val="000034F0"/>
    <w:rsid w:val="000035F9"/>
    <w:rsid w:val="00003F29"/>
    <w:rsid w:val="0000443B"/>
    <w:rsid w:val="00005085"/>
    <w:rsid w:val="000050A3"/>
    <w:rsid w:val="00005CB9"/>
    <w:rsid w:val="00005F04"/>
    <w:rsid w:val="00006278"/>
    <w:rsid w:val="00006613"/>
    <w:rsid w:val="00007488"/>
    <w:rsid w:val="0000754B"/>
    <w:rsid w:val="00010F89"/>
    <w:rsid w:val="0001289E"/>
    <w:rsid w:val="000147F3"/>
    <w:rsid w:val="0001485E"/>
    <w:rsid w:val="00014D08"/>
    <w:rsid w:val="000150A7"/>
    <w:rsid w:val="00015380"/>
    <w:rsid w:val="000163B2"/>
    <w:rsid w:val="00016487"/>
    <w:rsid w:val="000171F6"/>
    <w:rsid w:val="00017779"/>
    <w:rsid w:val="0002069B"/>
    <w:rsid w:val="000207B9"/>
    <w:rsid w:val="000213E7"/>
    <w:rsid w:val="0002140D"/>
    <w:rsid w:val="00021F73"/>
    <w:rsid w:val="0002208D"/>
    <w:rsid w:val="000247AA"/>
    <w:rsid w:val="00024BCF"/>
    <w:rsid w:val="00025AB8"/>
    <w:rsid w:val="000266AE"/>
    <w:rsid w:val="00030104"/>
    <w:rsid w:val="00030626"/>
    <w:rsid w:val="00030716"/>
    <w:rsid w:val="000314C4"/>
    <w:rsid w:val="00031912"/>
    <w:rsid w:val="00031DD3"/>
    <w:rsid w:val="00033061"/>
    <w:rsid w:val="00033260"/>
    <w:rsid w:val="00033FF6"/>
    <w:rsid w:val="000355E0"/>
    <w:rsid w:val="00035A49"/>
    <w:rsid w:val="00035AF3"/>
    <w:rsid w:val="000363C0"/>
    <w:rsid w:val="00037604"/>
    <w:rsid w:val="000377D4"/>
    <w:rsid w:val="00037DDA"/>
    <w:rsid w:val="0004009B"/>
    <w:rsid w:val="00040149"/>
    <w:rsid w:val="00041A6A"/>
    <w:rsid w:val="000421A6"/>
    <w:rsid w:val="00042490"/>
    <w:rsid w:val="00043EE2"/>
    <w:rsid w:val="00043F64"/>
    <w:rsid w:val="00044166"/>
    <w:rsid w:val="00044179"/>
    <w:rsid w:val="00044383"/>
    <w:rsid w:val="00044D2B"/>
    <w:rsid w:val="00046796"/>
    <w:rsid w:val="000468EB"/>
    <w:rsid w:val="000469C0"/>
    <w:rsid w:val="00046D6E"/>
    <w:rsid w:val="000474CE"/>
    <w:rsid w:val="00047917"/>
    <w:rsid w:val="00050A6D"/>
    <w:rsid w:val="00050C5A"/>
    <w:rsid w:val="00050F35"/>
    <w:rsid w:val="0005197A"/>
    <w:rsid w:val="00056C92"/>
    <w:rsid w:val="00057EE2"/>
    <w:rsid w:val="000608DD"/>
    <w:rsid w:val="00061841"/>
    <w:rsid w:val="0006187D"/>
    <w:rsid w:val="00062067"/>
    <w:rsid w:val="00062169"/>
    <w:rsid w:val="00062312"/>
    <w:rsid w:val="000623C1"/>
    <w:rsid w:val="000637B1"/>
    <w:rsid w:val="0006392C"/>
    <w:rsid w:val="00063A94"/>
    <w:rsid w:val="000640F0"/>
    <w:rsid w:val="0006449D"/>
    <w:rsid w:val="000645F8"/>
    <w:rsid w:val="00065B4A"/>
    <w:rsid w:val="00065DBA"/>
    <w:rsid w:val="00066BD0"/>
    <w:rsid w:val="00066ED4"/>
    <w:rsid w:val="00066F6B"/>
    <w:rsid w:val="000670EA"/>
    <w:rsid w:val="00067319"/>
    <w:rsid w:val="000674EA"/>
    <w:rsid w:val="00070460"/>
    <w:rsid w:val="00071319"/>
    <w:rsid w:val="0007142D"/>
    <w:rsid w:val="00071A41"/>
    <w:rsid w:val="00071BCE"/>
    <w:rsid w:val="00072CBB"/>
    <w:rsid w:val="000730A9"/>
    <w:rsid w:val="00074A36"/>
    <w:rsid w:val="00074A5F"/>
    <w:rsid w:val="00074A8E"/>
    <w:rsid w:val="00076182"/>
    <w:rsid w:val="00076D4D"/>
    <w:rsid w:val="00077022"/>
    <w:rsid w:val="00077173"/>
    <w:rsid w:val="000773A4"/>
    <w:rsid w:val="00080167"/>
    <w:rsid w:val="00080DB9"/>
    <w:rsid w:val="0008145A"/>
    <w:rsid w:val="00081B2E"/>
    <w:rsid w:val="00081BEC"/>
    <w:rsid w:val="00081E2E"/>
    <w:rsid w:val="0008275F"/>
    <w:rsid w:val="00082879"/>
    <w:rsid w:val="000828BC"/>
    <w:rsid w:val="00082A16"/>
    <w:rsid w:val="000832CF"/>
    <w:rsid w:val="00083674"/>
    <w:rsid w:val="0008391E"/>
    <w:rsid w:val="00083E30"/>
    <w:rsid w:val="0008475C"/>
    <w:rsid w:val="000850C6"/>
    <w:rsid w:val="000857E1"/>
    <w:rsid w:val="0008702E"/>
    <w:rsid w:val="000872FF"/>
    <w:rsid w:val="00087B79"/>
    <w:rsid w:val="00090387"/>
    <w:rsid w:val="000905FE"/>
    <w:rsid w:val="0009060D"/>
    <w:rsid w:val="00090AFF"/>
    <w:rsid w:val="000913CC"/>
    <w:rsid w:val="00091AE4"/>
    <w:rsid w:val="00091AE8"/>
    <w:rsid w:val="0009235A"/>
    <w:rsid w:val="0009348D"/>
    <w:rsid w:val="0009379B"/>
    <w:rsid w:val="00093825"/>
    <w:rsid w:val="00094B1E"/>
    <w:rsid w:val="00095295"/>
    <w:rsid w:val="00095B76"/>
    <w:rsid w:val="00096C6A"/>
    <w:rsid w:val="00096F71"/>
    <w:rsid w:val="00097D3B"/>
    <w:rsid w:val="00097D47"/>
    <w:rsid w:val="000A0245"/>
    <w:rsid w:val="000A0CA7"/>
    <w:rsid w:val="000A1062"/>
    <w:rsid w:val="000A1B96"/>
    <w:rsid w:val="000A1CDF"/>
    <w:rsid w:val="000A1FC7"/>
    <w:rsid w:val="000A26BD"/>
    <w:rsid w:val="000A3206"/>
    <w:rsid w:val="000A4294"/>
    <w:rsid w:val="000A4AF5"/>
    <w:rsid w:val="000A4B2C"/>
    <w:rsid w:val="000A543D"/>
    <w:rsid w:val="000A57A3"/>
    <w:rsid w:val="000A61F0"/>
    <w:rsid w:val="000A6CE3"/>
    <w:rsid w:val="000B1689"/>
    <w:rsid w:val="000B191A"/>
    <w:rsid w:val="000B2C7F"/>
    <w:rsid w:val="000B2EF7"/>
    <w:rsid w:val="000B2F5D"/>
    <w:rsid w:val="000B3022"/>
    <w:rsid w:val="000B307A"/>
    <w:rsid w:val="000B4131"/>
    <w:rsid w:val="000B4BE7"/>
    <w:rsid w:val="000B5213"/>
    <w:rsid w:val="000B5BFE"/>
    <w:rsid w:val="000B5DFA"/>
    <w:rsid w:val="000B5FA5"/>
    <w:rsid w:val="000B604C"/>
    <w:rsid w:val="000B67E4"/>
    <w:rsid w:val="000B7638"/>
    <w:rsid w:val="000B7C45"/>
    <w:rsid w:val="000C0065"/>
    <w:rsid w:val="000C0748"/>
    <w:rsid w:val="000C0CB2"/>
    <w:rsid w:val="000C1565"/>
    <w:rsid w:val="000C1E52"/>
    <w:rsid w:val="000C24B8"/>
    <w:rsid w:val="000C2BB9"/>
    <w:rsid w:val="000C3210"/>
    <w:rsid w:val="000C33A6"/>
    <w:rsid w:val="000C3C0A"/>
    <w:rsid w:val="000C4AF4"/>
    <w:rsid w:val="000C4D93"/>
    <w:rsid w:val="000C5500"/>
    <w:rsid w:val="000C5E97"/>
    <w:rsid w:val="000C6AA8"/>
    <w:rsid w:val="000C6B74"/>
    <w:rsid w:val="000C6B77"/>
    <w:rsid w:val="000C7C18"/>
    <w:rsid w:val="000C7D63"/>
    <w:rsid w:val="000D006E"/>
    <w:rsid w:val="000D029B"/>
    <w:rsid w:val="000D0499"/>
    <w:rsid w:val="000D10A5"/>
    <w:rsid w:val="000D18C2"/>
    <w:rsid w:val="000D1D88"/>
    <w:rsid w:val="000D22F0"/>
    <w:rsid w:val="000D5359"/>
    <w:rsid w:val="000D5AA2"/>
    <w:rsid w:val="000D5F35"/>
    <w:rsid w:val="000D5F7D"/>
    <w:rsid w:val="000D6CE8"/>
    <w:rsid w:val="000D6D1E"/>
    <w:rsid w:val="000D742A"/>
    <w:rsid w:val="000D79D3"/>
    <w:rsid w:val="000E1CCE"/>
    <w:rsid w:val="000E2103"/>
    <w:rsid w:val="000E2346"/>
    <w:rsid w:val="000E2362"/>
    <w:rsid w:val="000E24B7"/>
    <w:rsid w:val="000E344D"/>
    <w:rsid w:val="000E35A4"/>
    <w:rsid w:val="000E41A6"/>
    <w:rsid w:val="000E4AF2"/>
    <w:rsid w:val="000E4F4E"/>
    <w:rsid w:val="000E6074"/>
    <w:rsid w:val="000E6F1C"/>
    <w:rsid w:val="000E716A"/>
    <w:rsid w:val="000E769A"/>
    <w:rsid w:val="000E7C6E"/>
    <w:rsid w:val="000E7D8C"/>
    <w:rsid w:val="000F0701"/>
    <w:rsid w:val="000F14A2"/>
    <w:rsid w:val="000F1EA1"/>
    <w:rsid w:val="000F1EE9"/>
    <w:rsid w:val="000F3719"/>
    <w:rsid w:val="000F396D"/>
    <w:rsid w:val="000F4416"/>
    <w:rsid w:val="000F4CF7"/>
    <w:rsid w:val="000F5BEA"/>
    <w:rsid w:val="000F5F96"/>
    <w:rsid w:val="000F6567"/>
    <w:rsid w:val="000F6CE6"/>
    <w:rsid w:val="000F719A"/>
    <w:rsid w:val="000F74EA"/>
    <w:rsid w:val="000F7635"/>
    <w:rsid w:val="000F7EF7"/>
    <w:rsid w:val="00101CE9"/>
    <w:rsid w:val="0010283D"/>
    <w:rsid w:val="00102AB3"/>
    <w:rsid w:val="00102B8F"/>
    <w:rsid w:val="00103C3A"/>
    <w:rsid w:val="0010405F"/>
    <w:rsid w:val="00104DB0"/>
    <w:rsid w:val="001052FE"/>
    <w:rsid w:val="001055B0"/>
    <w:rsid w:val="001055B9"/>
    <w:rsid w:val="001059FD"/>
    <w:rsid w:val="00107A03"/>
    <w:rsid w:val="001103DC"/>
    <w:rsid w:val="001107D2"/>
    <w:rsid w:val="00110B11"/>
    <w:rsid w:val="00110C2D"/>
    <w:rsid w:val="001120B7"/>
    <w:rsid w:val="001121B5"/>
    <w:rsid w:val="00113501"/>
    <w:rsid w:val="0011355D"/>
    <w:rsid w:val="00115304"/>
    <w:rsid w:val="0011541D"/>
    <w:rsid w:val="001155A2"/>
    <w:rsid w:val="00116242"/>
    <w:rsid w:val="001165CC"/>
    <w:rsid w:val="00116A46"/>
    <w:rsid w:val="00116CFF"/>
    <w:rsid w:val="001170AE"/>
    <w:rsid w:val="00117EE2"/>
    <w:rsid w:val="0012059E"/>
    <w:rsid w:val="00121DDA"/>
    <w:rsid w:val="00121E07"/>
    <w:rsid w:val="00123900"/>
    <w:rsid w:val="00123E45"/>
    <w:rsid w:val="00124D91"/>
    <w:rsid w:val="001254E8"/>
    <w:rsid w:val="0012561E"/>
    <w:rsid w:val="001257E4"/>
    <w:rsid w:val="00126ECE"/>
    <w:rsid w:val="00127465"/>
    <w:rsid w:val="0012781F"/>
    <w:rsid w:val="00130DDF"/>
    <w:rsid w:val="001314DB"/>
    <w:rsid w:val="00131F35"/>
    <w:rsid w:val="0013371A"/>
    <w:rsid w:val="00133AB6"/>
    <w:rsid w:val="00133E63"/>
    <w:rsid w:val="00134319"/>
    <w:rsid w:val="00134F7E"/>
    <w:rsid w:val="00135406"/>
    <w:rsid w:val="00135BB7"/>
    <w:rsid w:val="00135FF4"/>
    <w:rsid w:val="0013657C"/>
    <w:rsid w:val="001366F2"/>
    <w:rsid w:val="00136FAC"/>
    <w:rsid w:val="00140440"/>
    <w:rsid w:val="00140EF9"/>
    <w:rsid w:val="001416E8"/>
    <w:rsid w:val="00141793"/>
    <w:rsid w:val="00142007"/>
    <w:rsid w:val="001424F9"/>
    <w:rsid w:val="001435B6"/>
    <w:rsid w:val="001441DE"/>
    <w:rsid w:val="001448D4"/>
    <w:rsid w:val="00144B31"/>
    <w:rsid w:val="00144C41"/>
    <w:rsid w:val="0014515B"/>
    <w:rsid w:val="00146339"/>
    <w:rsid w:val="00146784"/>
    <w:rsid w:val="00147470"/>
    <w:rsid w:val="00147E4F"/>
    <w:rsid w:val="001501B7"/>
    <w:rsid w:val="001506BC"/>
    <w:rsid w:val="001511FD"/>
    <w:rsid w:val="00151AB1"/>
    <w:rsid w:val="00152CA1"/>
    <w:rsid w:val="0015365A"/>
    <w:rsid w:val="00153A0D"/>
    <w:rsid w:val="00153E02"/>
    <w:rsid w:val="001545F0"/>
    <w:rsid w:val="00155573"/>
    <w:rsid w:val="00155CD9"/>
    <w:rsid w:val="00156882"/>
    <w:rsid w:val="00156D20"/>
    <w:rsid w:val="0015760D"/>
    <w:rsid w:val="00160576"/>
    <w:rsid w:val="00160BF0"/>
    <w:rsid w:val="00160CD8"/>
    <w:rsid w:val="00160CEC"/>
    <w:rsid w:val="00160E88"/>
    <w:rsid w:val="00161A45"/>
    <w:rsid w:val="00161AD5"/>
    <w:rsid w:val="0016216F"/>
    <w:rsid w:val="00162BA8"/>
    <w:rsid w:val="0016340A"/>
    <w:rsid w:val="00163B4C"/>
    <w:rsid w:val="00163EAA"/>
    <w:rsid w:val="00163EE1"/>
    <w:rsid w:val="00163F48"/>
    <w:rsid w:val="001647B4"/>
    <w:rsid w:val="00164F84"/>
    <w:rsid w:val="001654D6"/>
    <w:rsid w:val="00165CF2"/>
    <w:rsid w:val="00166653"/>
    <w:rsid w:val="0016676B"/>
    <w:rsid w:val="00167990"/>
    <w:rsid w:val="0017036A"/>
    <w:rsid w:val="0017147F"/>
    <w:rsid w:val="00172D8A"/>
    <w:rsid w:val="00173511"/>
    <w:rsid w:val="001737AA"/>
    <w:rsid w:val="0017544A"/>
    <w:rsid w:val="00177071"/>
    <w:rsid w:val="001773DC"/>
    <w:rsid w:val="001777D7"/>
    <w:rsid w:val="00177D67"/>
    <w:rsid w:val="00181425"/>
    <w:rsid w:val="00182B74"/>
    <w:rsid w:val="00182FF3"/>
    <w:rsid w:val="00183237"/>
    <w:rsid w:val="00183494"/>
    <w:rsid w:val="001839FC"/>
    <w:rsid w:val="0018413A"/>
    <w:rsid w:val="00184819"/>
    <w:rsid w:val="001849A1"/>
    <w:rsid w:val="00185268"/>
    <w:rsid w:val="00186798"/>
    <w:rsid w:val="00187076"/>
    <w:rsid w:val="00187970"/>
    <w:rsid w:val="00187A7C"/>
    <w:rsid w:val="00190993"/>
    <w:rsid w:val="00191F20"/>
    <w:rsid w:val="001927D4"/>
    <w:rsid w:val="00193137"/>
    <w:rsid w:val="00193234"/>
    <w:rsid w:val="001937A3"/>
    <w:rsid w:val="00193E7A"/>
    <w:rsid w:val="00194DA2"/>
    <w:rsid w:val="00195308"/>
    <w:rsid w:val="001954D4"/>
    <w:rsid w:val="00195E39"/>
    <w:rsid w:val="00196BDA"/>
    <w:rsid w:val="00197323"/>
    <w:rsid w:val="001979A6"/>
    <w:rsid w:val="00197A18"/>
    <w:rsid w:val="001A07ED"/>
    <w:rsid w:val="001A0C57"/>
    <w:rsid w:val="001A0D41"/>
    <w:rsid w:val="001A1877"/>
    <w:rsid w:val="001A1B23"/>
    <w:rsid w:val="001A2D3C"/>
    <w:rsid w:val="001A2EBE"/>
    <w:rsid w:val="001A3CAB"/>
    <w:rsid w:val="001A3F59"/>
    <w:rsid w:val="001A46CC"/>
    <w:rsid w:val="001A47AA"/>
    <w:rsid w:val="001A4911"/>
    <w:rsid w:val="001A58C4"/>
    <w:rsid w:val="001A5A2E"/>
    <w:rsid w:val="001A6002"/>
    <w:rsid w:val="001A6314"/>
    <w:rsid w:val="001A6741"/>
    <w:rsid w:val="001A7E64"/>
    <w:rsid w:val="001B004E"/>
    <w:rsid w:val="001B0D03"/>
    <w:rsid w:val="001B1D67"/>
    <w:rsid w:val="001B353F"/>
    <w:rsid w:val="001B36BA"/>
    <w:rsid w:val="001B3B3E"/>
    <w:rsid w:val="001B4071"/>
    <w:rsid w:val="001B4818"/>
    <w:rsid w:val="001B4A2A"/>
    <w:rsid w:val="001B5DCE"/>
    <w:rsid w:val="001B605D"/>
    <w:rsid w:val="001B63D9"/>
    <w:rsid w:val="001B66FF"/>
    <w:rsid w:val="001B6FF2"/>
    <w:rsid w:val="001B7552"/>
    <w:rsid w:val="001B7971"/>
    <w:rsid w:val="001C0038"/>
    <w:rsid w:val="001C0040"/>
    <w:rsid w:val="001C0FD7"/>
    <w:rsid w:val="001C1B52"/>
    <w:rsid w:val="001C1D6E"/>
    <w:rsid w:val="001C1F1A"/>
    <w:rsid w:val="001C223B"/>
    <w:rsid w:val="001C25BE"/>
    <w:rsid w:val="001C2672"/>
    <w:rsid w:val="001C2FD9"/>
    <w:rsid w:val="001C3C1A"/>
    <w:rsid w:val="001C4050"/>
    <w:rsid w:val="001C452B"/>
    <w:rsid w:val="001C4F95"/>
    <w:rsid w:val="001C5E0F"/>
    <w:rsid w:val="001C64E4"/>
    <w:rsid w:val="001C660F"/>
    <w:rsid w:val="001C66C3"/>
    <w:rsid w:val="001C6734"/>
    <w:rsid w:val="001C7107"/>
    <w:rsid w:val="001D011B"/>
    <w:rsid w:val="001D0662"/>
    <w:rsid w:val="001D11BB"/>
    <w:rsid w:val="001D193D"/>
    <w:rsid w:val="001D1F3B"/>
    <w:rsid w:val="001D25AA"/>
    <w:rsid w:val="001D25D7"/>
    <w:rsid w:val="001D2D7D"/>
    <w:rsid w:val="001D2E6C"/>
    <w:rsid w:val="001D3B05"/>
    <w:rsid w:val="001D3D58"/>
    <w:rsid w:val="001D4331"/>
    <w:rsid w:val="001D4A00"/>
    <w:rsid w:val="001D4C6B"/>
    <w:rsid w:val="001D4F2A"/>
    <w:rsid w:val="001D5604"/>
    <w:rsid w:val="001D594A"/>
    <w:rsid w:val="001D6469"/>
    <w:rsid w:val="001D6A7E"/>
    <w:rsid w:val="001E00D7"/>
    <w:rsid w:val="001E01E0"/>
    <w:rsid w:val="001E05E6"/>
    <w:rsid w:val="001E1E96"/>
    <w:rsid w:val="001E3FD0"/>
    <w:rsid w:val="001E4325"/>
    <w:rsid w:val="001E433A"/>
    <w:rsid w:val="001E4905"/>
    <w:rsid w:val="001E4DFA"/>
    <w:rsid w:val="001E4FEA"/>
    <w:rsid w:val="001E5165"/>
    <w:rsid w:val="001E541D"/>
    <w:rsid w:val="001E7534"/>
    <w:rsid w:val="001E7E8A"/>
    <w:rsid w:val="001F011A"/>
    <w:rsid w:val="001F07DD"/>
    <w:rsid w:val="001F1077"/>
    <w:rsid w:val="001F1D11"/>
    <w:rsid w:val="001F2239"/>
    <w:rsid w:val="001F2B27"/>
    <w:rsid w:val="001F2C31"/>
    <w:rsid w:val="001F2FDC"/>
    <w:rsid w:val="001F2FDE"/>
    <w:rsid w:val="001F3348"/>
    <w:rsid w:val="001F3C9E"/>
    <w:rsid w:val="001F400F"/>
    <w:rsid w:val="001F43F9"/>
    <w:rsid w:val="001F4705"/>
    <w:rsid w:val="001F5010"/>
    <w:rsid w:val="001F5C49"/>
    <w:rsid w:val="001F5E22"/>
    <w:rsid w:val="001F5EEC"/>
    <w:rsid w:val="001F5F0D"/>
    <w:rsid w:val="001F6FC1"/>
    <w:rsid w:val="001F77CF"/>
    <w:rsid w:val="001F7829"/>
    <w:rsid w:val="001F7AC7"/>
    <w:rsid w:val="00200C13"/>
    <w:rsid w:val="00200CF5"/>
    <w:rsid w:val="00201351"/>
    <w:rsid w:val="0020232B"/>
    <w:rsid w:val="002023A3"/>
    <w:rsid w:val="00203971"/>
    <w:rsid w:val="002045E9"/>
    <w:rsid w:val="0020514B"/>
    <w:rsid w:val="002052B7"/>
    <w:rsid w:val="00205409"/>
    <w:rsid w:val="00205C45"/>
    <w:rsid w:val="00205D90"/>
    <w:rsid w:val="00205F05"/>
    <w:rsid w:val="00205FC3"/>
    <w:rsid w:val="0020617D"/>
    <w:rsid w:val="002063EF"/>
    <w:rsid w:val="00206674"/>
    <w:rsid w:val="0020699C"/>
    <w:rsid w:val="00210494"/>
    <w:rsid w:val="002107B0"/>
    <w:rsid w:val="0021194F"/>
    <w:rsid w:val="00211CAE"/>
    <w:rsid w:val="00211CE3"/>
    <w:rsid w:val="00211DD7"/>
    <w:rsid w:val="002125FC"/>
    <w:rsid w:val="00213090"/>
    <w:rsid w:val="00213377"/>
    <w:rsid w:val="00213446"/>
    <w:rsid w:val="00213DD1"/>
    <w:rsid w:val="00214545"/>
    <w:rsid w:val="002151D3"/>
    <w:rsid w:val="00216274"/>
    <w:rsid w:val="002163BA"/>
    <w:rsid w:val="00216EE7"/>
    <w:rsid w:val="00217916"/>
    <w:rsid w:val="00217FB5"/>
    <w:rsid w:val="002200A1"/>
    <w:rsid w:val="0022022A"/>
    <w:rsid w:val="002216B3"/>
    <w:rsid w:val="00221C71"/>
    <w:rsid w:val="00222D43"/>
    <w:rsid w:val="002235E4"/>
    <w:rsid w:val="002237F7"/>
    <w:rsid w:val="00223817"/>
    <w:rsid w:val="00224436"/>
    <w:rsid w:val="0022513C"/>
    <w:rsid w:val="002255B1"/>
    <w:rsid w:val="00225A04"/>
    <w:rsid w:val="00225F77"/>
    <w:rsid w:val="00226F94"/>
    <w:rsid w:val="00227BBE"/>
    <w:rsid w:val="00230057"/>
    <w:rsid w:val="0023054D"/>
    <w:rsid w:val="002312EB"/>
    <w:rsid w:val="002314AA"/>
    <w:rsid w:val="00232008"/>
    <w:rsid w:val="00232C01"/>
    <w:rsid w:val="00232D0E"/>
    <w:rsid w:val="00233045"/>
    <w:rsid w:val="00233364"/>
    <w:rsid w:val="00235945"/>
    <w:rsid w:val="00236839"/>
    <w:rsid w:val="00236A71"/>
    <w:rsid w:val="0023718C"/>
    <w:rsid w:val="00237A33"/>
    <w:rsid w:val="00237D76"/>
    <w:rsid w:val="0024070F"/>
    <w:rsid w:val="00240EBB"/>
    <w:rsid w:val="0024122C"/>
    <w:rsid w:val="002414D9"/>
    <w:rsid w:val="00241BE5"/>
    <w:rsid w:val="0024285F"/>
    <w:rsid w:val="00244162"/>
    <w:rsid w:val="002447D1"/>
    <w:rsid w:val="00244A93"/>
    <w:rsid w:val="002451B2"/>
    <w:rsid w:val="002456E6"/>
    <w:rsid w:val="002457CF"/>
    <w:rsid w:val="00245A22"/>
    <w:rsid w:val="00246C88"/>
    <w:rsid w:val="00246DF5"/>
    <w:rsid w:val="00247815"/>
    <w:rsid w:val="00247F85"/>
    <w:rsid w:val="0025067B"/>
    <w:rsid w:val="00250EF1"/>
    <w:rsid w:val="0025103D"/>
    <w:rsid w:val="002520DB"/>
    <w:rsid w:val="0025263F"/>
    <w:rsid w:val="002527E3"/>
    <w:rsid w:val="002531B7"/>
    <w:rsid w:val="00253276"/>
    <w:rsid w:val="002539D9"/>
    <w:rsid w:val="00254231"/>
    <w:rsid w:val="0025490D"/>
    <w:rsid w:val="00254CDF"/>
    <w:rsid w:val="00255058"/>
    <w:rsid w:val="0025581A"/>
    <w:rsid w:val="002558E6"/>
    <w:rsid w:val="00255CFB"/>
    <w:rsid w:val="00255DEC"/>
    <w:rsid w:val="00256A4A"/>
    <w:rsid w:val="00256E10"/>
    <w:rsid w:val="002573F7"/>
    <w:rsid w:val="002602CB"/>
    <w:rsid w:val="00260BD0"/>
    <w:rsid w:val="00263380"/>
    <w:rsid w:val="002644CF"/>
    <w:rsid w:val="00264B63"/>
    <w:rsid w:val="0026529B"/>
    <w:rsid w:val="002671EE"/>
    <w:rsid w:val="00267A00"/>
    <w:rsid w:val="00267E8C"/>
    <w:rsid w:val="0027032C"/>
    <w:rsid w:val="002705E7"/>
    <w:rsid w:val="00270B7D"/>
    <w:rsid w:val="00271D90"/>
    <w:rsid w:val="00272412"/>
    <w:rsid w:val="0027249A"/>
    <w:rsid w:val="002724F5"/>
    <w:rsid w:val="00272640"/>
    <w:rsid w:val="002755BD"/>
    <w:rsid w:val="002755CF"/>
    <w:rsid w:val="002759BE"/>
    <w:rsid w:val="00276561"/>
    <w:rsid w:val="00276780"/>
    <w:rsid w:val="00276C39"/>
    <w:rsid w:val="0027739F"/>
    <w:rsid w:val="00277452"/>
    <w:rsid w:val="0027788F"/>
    <w:rsid w:val="00280767"/>
    <w:rsid w:val="002817CA"/>
    <w:rsid w:val="00281AEC"/>
    <w:rsid w:val="00282838"/>
    <w:rsid w:val="00283040"/>
    <w:rsid w:val="00283901"/>
    <w:rsid w:val="00283B15"/>
    <w:rsid w:val="00284788"/>
    <w:rsid w:val="00284AF0"/>
    <w:rsid w:val="00284CBF"/>
    <w:rsid w:val="00284F80"/>
    <w:rsid w:val="00285B3E"/>
    <w:rsid w:val="0028663E"/>
    <w:rsid w:val="002866BF"/>
    <w:rsid w:val="00286CF7"/>
    <w:rsid w:val="002874E9"/>
    <w:rsid w:val="00287648"/>
    <w:rsid w:val="002879B3"/>
    <w:rsid w:val="00287F5A"/>
    <w:rsid w:val="0029038D"/>
    <w:rsid w:val="002909E9"/>
    <w:rsid w:val="00290AE9"/>
    <w:rsid w:val="00290E5B"/>
    <w:rsid w:val="00291481"/>
    <w:rsid w:val="00291709"/>
    <w:rsid w:val="00291781"/>
    <w:rsid w:val="00291D80"/>
    <w:rsid w:val="0029218A"/>
    <w:rsid w:val="00292AD1"/>
    <w:rsid w:val="00292FB0"/>
    <w:rsid w:val="00293F4B"/>
    <w:rsid w:val="00294154"/>
    <w:rsid w:val="002943D9"/>
    <w:rsid w:val="0029458F"/>
    <w:rsid w:val="0029470C"/>
    <w:rsid w:val="00294E31"/>
    <w:rsid w:val="002958B8"/>
    <w:rsid w:val="00295D8C"/>
    <w:rsid w:val="002961CB"/>
    <w:rsid w:val="002964F8"/>
    <w:rsid w:val="00296B03"/>
    <w:rsid w:val="00296B8D"/>
    <w:rsid w:val="002979F7"/>
    <w:rsid w:val="00297AF8"/>
    <w:rsid w:val="002A00EB"/>
    <w:rsid w:val="002A0773"/>
    <w:rsid w:val="002A0C5D"/>
    <w:rsid w:val="002A18AF"/>
    <w:rsid w:val="002A1C9A"/>
    <w:rsid w:val="002A1D96"/>
    <w:rsid w:val="002A2105"/>
    <w:rsid w:val="002A23D9"/>
    <w:rsid w:val="002A24D0"/>
    <w:rsid w:val="002A2A30"/>
    <w:rsid w:val="002A3352"/>
    <w:rsid w:val="002A394D"/>
    <w:rsid w:val="002A3C4C"/>
    <w:rsid w:val="002A4D4B"/>
    <w:rsid w:val="002A6139"/>
    <w:rsid w:val="002A69A4"/>
    <w:rsid w:val="002A6F55"/>
    <w:rsid w:val="002A7E65"/>
    <w:rsid w:val="002B0317"/>
    <w:rsid w:val="002B057D"/>
    <w:rsid w:val="002B0DA5"/>
    <w:rsid w:val="002B1C5B"/>
    <w:rsid w:val="002B1DDA"/>
    <w:rsid w:val="002B219A"/>
    <w:rsid w:val="002B33A8"/>
    <w:rsid w:val="002B39DC"/>
    <w:rsid w:val="002B39FA"/>
    <w:rsid w:val="002B44A6"/>
    <w:rsid w:val="002B5A77"/>
    <w:rsid w:val="002B6713"/>
    <w:rsid w:val="002B6983"/>
    <w:rsid w:val="002B6CB3"/>
    <w:rsid w:val="002B6F52"/>
    <w:rsid w:val="002B7AE6"/>
    <w:rsid w:val="002C1DC8"/>
    <w:rsid w:val="002C211C"/>
    <w:rsid w:val="002C2261"/>
    <w:rsid w:val="002C24A7"/>
    <w:rsid w:val="002C280A"/>
    <w:rsid w:val="002C36C6"/>
    <w:rsid w:val="002C389B"/>
    <w:rsid w:val="002C39D0"/>
    <w:rsid w:val="002C4011"/>
    <w:rsid w:val="002C4A4A"/>
    <w:rsid w:val="002C50ED"/>
    <w:rsid w:val="002C513B"/>
    <w:rsid w:val="002C55A5"/>
    <w:rsid w:val="002C63CB"/>
    <w:rsid w:val="002C67FB"/>
    <w:rsid w:val="002C75DC"/>
    <w:rsid w:val="002D064F"/>
    <w:rsid w:val="002D0AA6"/>
    <w:rsid w:val="002D16FE"/>
    <w:rsid w:val="002D1E13"/>
    <w:rsid w:val="002D281C"/>
    <w:rsid w:val="002D519E"/>
    <w:rsid w:val="002D5A12"/>
    <w:rsid w:val="002D70BE"/>
    <w:rsid w:val="002E036D"/>
    <w:rsid w:val="002E1DEC"/>
    <w:rsid w:val="002E32A7"/>
    <w:rsid w:val="002E3C6F"/>
    <w:rsid w:val="002E4127"/>
    <w:rsid w:val="002E41AC"/>
    <w:rsid w:val="002E543B"/>
    <w:rsid w:val="002E68C4"/>
    <w:rsid w:val="002E79A1"/>
    <w:rsid w:val="002E7EAB"/>
    <w:rsid w:val="002F0BBD"/>
    <w:rsid w:val="002F1028"/>
    <w:rsid w:val="002F1529"/>
    <w:rsid w:val="002F15CE"/>
    <w:rsid w:val="002F1DC8"/>
    <w:rsid w:val="002F49D4"/>
    <w:rsid w:val="002F4C80"/>
    <w:rsid w:val="002F55E9"/>
    <w:rsid w:val="002F6122"/>
    <w:rsid w:val="002F6375"/>
    <w:rsid w:val="002F7A54"/>
    <w:rsid w:val="003004BC"/>
    <w:rsid w:val="00300D02"/>
    <w:rsid w:val="00301608"/>
    <w:rsid w:val="003016F8"/>
    <w:rsid w:val="0030231C"/>
    <w:rsid w:val="003026DB"/>
    <w:rsid w:val="00303E77"/>
    <w:rsid w:val="00304AB1"/>
    <w:rsid w:val="00304C68"/>
    <w:rsid w:val="003050E5"/>
    <w:rsid w:val="00305BB7"/>
    <w:rsid w:val="00305BEA"/>
    <w:rsid w:val="003060F3"/>
    <w:rsid w:val="0030659A"/>
    <w:rsid w:val="003070E1"/>
    <w:rsid w:val="003072F6"/>
    <w:rsid w:val="003078E3"/>
    <w:rsid w:val="00307D42"/>
    <w:rsid w:val="003107E3"/>
    <w:rsid w:val="00312C91"/>
    <w:rsid w:val="00312E10"/>
    <w:rsid w:val="0031370B"/>
    <w:rsid w:val="0031374D"/>
    <w:rsid w:val="00313C38"/>
    <w:rsid w:val="00313F63"/>
    <w:rsid w:val="003140DB"/>
    <w:rsid w:val="00314E18"/>
    <w:rsid w:val="00315196"/>
    <w:rsid w:val="00315CB1"/>
    <w:rsid w:val="00315D5F"/>
    <w:rsid w:val="00315EA4"/>
    <w:rsid w:val="00316A83"/>
    <w:rsid w:val="00316BAE"/>
    <w:rsid w:val="00316BE1"/>
    <w:rsid w:val="00317B08"/>
    <w:rsid w:val="003209A6"/>
    <w:rsid w:val="00321684"/>
    <w:rsid w:val="00321F93"/>
    <w:rsid w:val="0032296F"/>
    <w:rsid w:val="00322AF4"/>
    <w:rsid w:val="00322DEA"/>
    <w:rsid w:val="00323130"/>
    <w:rsid w:val="0032359B"/>
    <w:rsid w:val="00323B8C"/>
    <w:rsid w:val="00324397"/>
    <w:rsid w:val="00324B24"/>
    <w:rsid w:val="0032530B"/>
    <w:rsid w:val="00325CD7"/>
    <w:rsid w:val="003263DC"/>
    <w:rsid w:val="0032654B"/>
    <w:rsid w:val="00326FD9"/>
    <w:rsid w:val="00331125"/>
    <w:rsid w:val="00331CE1"/>
    <w:rsid w:val="00331D06"/>
    <w:rsid w:val="0033209E"/>
    <w:rsid w:val="00332C67"/>
    <w:rsid w:val="003337B9"/>
    <w:rsid w:val="003338B8"/>
    <w:rsid w:val="00333ACE"/>
    <w:rsid w:val="00333F20"/>
    <w:rsid w:val="003347D1"/>
    <w:rsid w:val="00334F1E"/>
    <w:rsid w:val="00336402"/>
    <w:rsid w:val="00336649"/>
    <w:rsid w:val="00336B9D"/>
    <w:rsid w:val="00337374"/>
    <w:rsid w:val="003378DA"/>
    <w:rsid w:val="00340863"/>
    <w:rsid w:val="00340914"/>
    <w:rsid w:val="0034161A"/>
    <w:rsid w:val="0034198D"/>
    <w:rsid w:val="00342377"/>
    <w:rsid w:val="00342EB3"/>
    <w:rsid w:val="003435F1"/>
    <w:rsid w:val="00343AA9"/>
    <w:rsid w:val="00343BA3"/>
    <w:rsid w:val="00344A54"/>
    <w:rsid w:val="00344C45"/>
    <w:rsid w:val="00344E05"/>
    <w:rsid w:val="00345624"/>
    <w:rsid w:val="00345A4F"/>
    <w:rsid w:val="00346DB8"/>
    <w:rsid w:val="00346E8E"/>
    <w:rsid w:val="003473AD"/>
    <w:rsid w:val="0034790F"/>
    <w:rsid w:val="00347C9B"/>
    <w:rsid w:val="003502A0"/>
    <w:rsid w:val="00350B3A"/>
    <w:rsid w:val="00350DB2"/>
    <w:rsid w:val="00351090"/>
    <w:rsid w:val="003510B4"/>
    <w:rsid w:val="00351FBE"/>
    <w:rsid w:val="0035255D"/>
    <w:rsid w:val="00352DE9"/>
    <w:rsid w:val="00353A5E"/>
    <w:rsid w:val="00353EC0"/>
    <w:rsid w:val="00353EE4"/>
    <w:rsid w:val="00354532"/>
    <w:rsid w:val="003545AC"/>
    <w:rsid w:val="003556CD"/>
    <w:rsid w:val="00355A01"/>
    <w:rsid w:val="00356354"/>
    <w:rsid w:val="00356716"/>
    <w:rsid w:val="00356AFA"/>
    <w:rsid w:val="00356BA7"/>
    <w:rsid w:val="00357020"/>
    <w:rsid w:val="0035711B"/>
    <w:rsid w:val="00357C82"/>
    <w:rsid w:val="00360B3E"/>
    <w:rsid w:val="00361BC2"/>
    <w:rsid w:val="00361BD9"/>
    <w:rsid w:val="00361EDF"/>
    <w:rsid w:val="00363E5F"/>
    <w:rsid w:val="00364326"/>
    <w:rsid w:val="00364C79"/>
    <w:rsid w:val="003656E9"/>
    <w:rsid w:val="003662A1"/>
    <w:rsid w:val="0036695A"/>
    <w:rsid w:val="003707DE"/>
    <w:rsid w:val="00370835"/>
    <w:rsid w:val="00370B1A"/>
    <w:rsid w:val="003711E1"/>
    <w:rsid w:val="003717C7"/>
    <w:rsid w:val="00371FE4"/>
    <w:rsid w:val="00373D83"/>
    <w:rsid w:val="0037427B"/>
    <w:rsid w:val="0037438D"/>
    <w:rsid w:val="00374D35"/>
    <w:rsid w:val="003753E2"/>
    <w:rsid w:val="0037564C"/>
    <w:rsid w:val="003758BA"/>
    <w:rsid w:val="0037596D"/>
    <w:rsid w:val="00375A6A"/>
    <w:rsid w:val="00376D80"/>
    <w:rsid w:val="00376E81"/>
    <w:rsid w:val="003771D6"/>
    <w:rsid w:val="00377D63"/>
    <w:rsid w:val="0038001C"/>
    <w:rsid w:val="00380098"/>
    <w:rsid w:val="00380303"/>
    <w:rsid w:val="00380543"/>
    <w:rsid w:val="00380875"/>
    <w:rsid w:val="00380AA8"/>
    <w:rsid w:val="00380EBC"/>
    <w:rsid w:val="003810E3"/>
    <w:rsid w:val="00381498"/>
    <w:rsid w:val="0038164C"/>
    <w:rsid w:val="0038238C"/>
    <w:rsid w:val="003823FC"/>
    <w:rsid w:val="00382F15"/>
    <w:rsid w:val="0038302E"/>
    <w:rsid w:val="003830D7"/>
    <w:rsid w:val="00383745"/>
    <w:rsid w:val="00383BD4"/>
    <w:rsid w:val="00383F2E"/>
    <w:rsid w:val="0038448A"/>
    <w:rsid w:val="0038458D"/>
    <w:rsid w:val="00385A2D"/>
    <w:rsid w:val="00385E4F"/>
    <w:rsid w:val="00386C9B"/>
    <w:rsid w:val="00386CC8"/>
    <w:rsid w:val="00387A32"/>
    <w:rsid w:val="00387D36"/>
    <w:rsid w:val="0039014D"/>
    <w:rsid w:val="003907CA"/>
    <w:rsid w:val="00390D3C"/>
    <w:rsid w:val="00390F5E"/>
    <w:rsid w:val="00391126"/>
    <w:rsid w:val="00391140"/>
    <w:rsid w:val="0039117F"/>
    <w:rsid w:val="003914A8"/>
    <w:rsid w:val="00391575"/>
    <w:rsid w:val="0039223D"/>
    <w:rsid w:val="00392567"/>
    <w:rsid w:val="00392D4A"/>
    <w:rsid w:val="003935B2"/>
    <w:rsid w:val="00394BB3"/>
    <w:rsid w:val="00396BF6"/>
    <w:rsid w:val="00397447"/>
    <w:rsid w:val="00397B0B"/>
    <w:rsid w:val="003A083D"/>
    <w:rsid w:val="003A0C76"/>
    <w:rsid w:val="003A343E"/>
    <w:rsid w:val="003A3C87"/>
    <w:rsid w:val="003A3D08"/>
    <w:rsid w:val="003A5030"/>
    <w:rsid w:val="003A5EAE"/>
    <w:rsid w:val="003A73E3"/>
    <w:rsid w:val="003B0087"/>
    <w:rsid w:val="003B04A7"/>
    <w:rsid w:val="003B09B7"/>
    <w:rsid w:val="003B0A3D"/>
    <w:rsid w:val="003B0CCD"/>
    <w:rsid w:val="003B0E9D"/>
    <w:rsid w:val="003B199A"/>
    <w:rsid w:val="003B1EB3"/>
    <w:rsid w:val="003B2A09"/>
    <w:rsid w:val="003B3D35"/>
    <w:rsid w:val="003B3DEF"/>
    <w:rsid w:val="003B41C5"/>
    <w:rsid w:val="003B4E84"/>
    <w:rsid w:val="003B5CDD"/>
    <w:rsid w:val="003C05B5"/>
    <w:rsid w:val="003C0E67"/>
    <w:rsid w:val="003C0EF4"/>
    <w:rsid w:val="003C100D"/>
    <w:rsid w:val="003C12E3"/>
    <w:rsid w:val="003C15D3"/>
    <w:rsid w:val="003C1889"/>
    <w:rsid w:val="003C1C96"/>
    <w:rsid w:val="003C2121"/>
    <w:rsid w:val="003C27E4"/>
    <w:rsid w:val="003C2F0B"/>
    <w:rsid w:val="003C3631"/>
    <w:rsid w:val="003C43EB"/>
    <w:rsid w:val="003C5E30"/>
    <w:rsid w:val="003C61EE"/>
    <w:rsid w:val="003C6DD4"/>
    <w:rsid w:val="003C783E"/>
    <w:rsid w:val="003D020F"/>
    <w:rsid w:val="003D2992"/>
    <w:rsid w:val="003D36D1"/>
    <w:rsid w:val="003D452D"/>
    <w:rsid w:val="003D4819"/>
    <w:rsid w:val="003D4CB3"/>
    <w:rsid w:val="003D513B"/>
    <w:rsid w:val="003D5349"/>
    <w:rsid w:val="003D59FD"/>
    <w:rsid w:val="003D6B03"/>
    <w:rsid w:val="003D70F3"/>
    <w:rsid w:val="003E0025"/>
    <w:rsid w:val="003E0A5A"/>
    <w:rsid w:val="003E0A84"/>
    <w:rsid w:val="003E0FF2"/>
    <w:rsid w:val="003E1378"/>
    <w:rsid w:val="003E1F9E"/>
    <w:rsid w:val="003E23C5"/>
    <w:rsid w:val="003E2855"/>
    <w:rsid w:val="003E3362"/>
    <w:rsid w:val="003E3393"/>
    <w:rsid w:val="003E3FA3"/>
    <w:rsid w:val="003E434B"/>
    <w:rsid w:val="003E44BE"/>
    <w:rsid w:val="003E5160"/>
    <w:rsid w:val="003E57A5"/>
    <w:rsid w:val="003E5807"/>
    <w:rsid w:val="003E58A6"/>
    <w:rsid w:val="003E65A3"/>
    <w:rsid w:val="003E765C"/>
    <w:rsid w:val="003E7AFC"/>
    <w:rsid w:val="003E7BC3"/>
    <w:rsid w:val="003E7CFD"/>
    <w:rsid w:val="003E7F9E"/>
    <w:rsid w:val="003F0263"/>
    <w:rsid w:val="003F02D4"/>
    <w:rsid w:val="003F0684"/>
    <w:rsid w:val="003F0748"/>
    <w:rsid w:val="003F1012"/>
    <w:rsid w:val="003F199D"/>
    <w:rsid w:val="003F22BE"/>
    <w:rsid w:val="003F2533"/>
    <w:rsid w:val="003F2A89"/>
    <w:rsid w:val="003F39F7"/>
    <w:rsid w:val="003F3DC2"/>
    <w:rsid w:val="003F3F30"/>
    <w:rsid w:val="003F4481"/>
    <w:rsid w:val="003F44CA"/>
    <w:rsid w:val="003F4C16"/>
    <w:rsid w:val="003F4E70"/>
    <w:rsid w:val="003F5A87"/>
    <w:rsid w:val="003F60D5"/>
    <w:rsid w:val="003F61AF"/>
    <w:rsid w:val="003F625D"/>
    <w:rsid w:val="003F7647"/>
    <w:rsid w:val="003F7D2F"/>
    <w:rsid w:val="003F7D6A"/>
    <w:rsid w:val="004000E8"/>
    <w:rsid w:val="00400160"/>
    <w:rsid w:val="00400626"/>
    <w:rsid w:val="00400B5C"/>
    <w:rsid w:val="004017DE"/>
    <w:rsid w:val="00401DD3"/>
    <w:rsid w:val="00402634"/>
    <w:rsid w:val="00403CA3"/>
    <w:rsid w:val="00404AA1"/>
    <w:rsid w:val="004062A1"/>
    <w:rsid w:val="00406B3E"/>
    <w:rsid w:val="00406BCC"/>
    <w:rsid w:val="00406D66"/>
    <w:rsid w:val="00407174"/>
    <w:rsid w:val="00410B5C"/>
    <w:rsid w:val="00410F68"/>
    <w:rsid w:val="004117EE"/>
    <w:rsid w:val="00411BD2"/>
    <w:rsid w:val="00411D22"/>
    <w:rsid w:val="00413288"/>
    <w:rsid w:val="004139D2"/>
    <w:rsid w:val="00413DC5"/>
    <w:rsid w:val="00415DAD"/>
    <w:rsid w:val="00416629"/>
    <w:rsid w:val="00416773"/>
    <w:rsid w:val="00420E28"/>
    <w:rsid w:val="00421878"/>
    <w:rsid w:val="00421E18"/>
    <w:rsid w:val="00423492"/>
    <w:rsid w:val="0042393D"/>
    <w:rsid w:val="00423DF7"/>
    <w:rsid w:val="00424E30"/>
    <w:rsid w:val="004252A0"/>
    <w:rsid w:val="00425303"/>
    <w:rsid w:val="0042541D"/>
    <w:rsid w:val="0042552C"/>
    <w:rsid w:val="0042793A"/>
    <w:rsid w:val="00427DE8"/>
    <w:rsid w:val="004305D5"/>
    <w:rsid w:val="00430AF0"/>
    <w:rsid w:val="00431246"/>
    <w:rsid w:val="0043151F"/>
    <w:rsid w:val="00432433"/>
    <w:rsid w:val="00432C86"/>
    <w:rsid w:val="00433229"/>
    <w:rsid w:val="004334AF"/>
    <w:rsid w:val="00433F62"/>
    <w:rsid w:val="00433FEA"/>
    <w:rsid w:val="004340B0"/>
    <w:rsid w:val="00435148"/>
    <w:rsid w:val="00435944"/>
    <w:rsid w:val="00435B25"/>
    <w:rsid w:val="00435CD7"/>
    <w:rsid w:val="0043768A"/>
    <w:rsid w:val="00437B35"/>
    <w:rsid w:val="00437D5F"/>
    <w:rsid w:val="00437E5E"/>
    <w:rsid w:val="00437FA8"/>
    <w:rsid w:val="0044029F"/>
    <w:rsid w:val="004406CF"/>
    <w:rsid w:val="00440778"/>
    <w:rsid w:val="00440780"/>
    <w:rsid w:val="0044083C"/>
    <w:rsid w:val="00442580"/>
    <w:rsid w:val="00442C18"/>
    <w:rsid w:val="00442DF0"/>
    <w:rsid w:val="00442FE2"/>
    <w:rsid w:val="00443AAE"/>
    <w:rsid w:val="00443FA2"/>
    <w:rsid w:val="00443FEB"/>
    <w:rsid w:val="00444139"/>
    <w:rsid w:val="004443B5"/>
    <w:rsid w:val="00445894"/>
    <w:rsid w:val="00445C91"/>
    <w:rsid w:val="00445D92"/>
    <w:rsid w:val="00445F4F"/>
    <w:rsid w:val="00446071"/>
    <w:rsid w:val="00446AEE"/>
    <w:rsid w:val="00446E03"/>
    <w:rsid w:val="00447143"/>
    <w:rsid w:val="0044767F"/>
    <w:rsid w:val="00447B49"/>
    <w:rsid w:val="004508F7"/>
    <w:rsid w:val="004517CC"/>
    <w:rsid w:val="00451A64"/>
    <w:rsid w:val="00452459"/>
    <w:rsid w:val="00452519"/>
    <w:rsid w:val="0045347C"/>
    <w:rsid w:val="004547BC"/>
    <w:rsid w:val="00454A8B"/>
    <w:rsid w:val="00455924"/>
    <w:rsid w:val="004570E9"/>
    <w:rsid w:val="0045719C"/>
    <w:rsid w:val="00457E08"/>
    <w:rsid w:val="0046151B"/>
    <w:rsid w:val="00461588"/>
    <w:rsid w:val="0046167F"/>
    <w:rsid w:val="00462096"/>
    <w:rsid w:val="00462799"/>
    <w:rsid w:val="00463755"/>
    <w:rsid w:val="0046396E"/>
    <w:rsid w:val="00463B84"/>
    <w:rsid w:val="00463C62"/>
    <w:rsid w:val="004640BE"/>
    <w:rsid w:val="00465890"/>
    <w:rsid w:val="004659B5"/>
    <w:rsid w:val="00466645"/>
    <w:rsid w:val="00466852"/>
    <w:rsid w:val="004672FC"/>
    <w:rsid w:val="00467B59"/>
    <w:rsid w:val="004708FF"/>
    <w:rsid w:val="00470B85"/>
    <w:rsid w:val="004712CB"/>
    <w:rsid w:val="00471462"/>
    <w:rsid w:val="00471F5A"/>
    <w:rsid w:val="0047218C"/>
    <w:rsid w:val="00472273"/>
    <w:rsid w:val="00472646"/>
    <w:rsid w:val="00472AA7"/>
    <w:rsid w:val="004730FA"/>
    <w:rsid w:val="00473DCF"/>
    <w:rsid w:val="00474833"/>
    <w:rsid w:val="004749A8"/>
    <w:rsid w:val="00475159"/>
    <w:rsid w:val="004751FC"/>
    <w:rsid w:val="00475F22"/>
    <w:rsid w:val="00476C06"/>
    <w:rsid w:val="00477F68"/>
    <w:rsid w:val="00480303"/>
    <w:rsid w:val="00480447"/>
    <w:rsid w:val="00480856"/>
    <w:rsid w:val="0048200F"/>
    <w:rsid w:val="00482154"/>
    <w:rsid w:val="0048261F"/>
    <w:rsid w:val="00482BB3"/>
    <w:rsid w:val="00482CFB"/>
    <w:rsid w:val="004832BD"/>
    <w:rsid w:val="00484A11"/>
    <w:rsid w:val="0048518A"/>
    <w:rsid w:val="00485F5A"/>
    <w:rsid w:val="00486276"/>
    <w:rsid w:val="00486FDA"/>
    <w:rsid w:val="00490112"/>
    <w:rsid w:val="0049065E"/>
    <w:rsid w:val="00490FE8"/>
    <w:rsid w:val="004910B6"/>
    <w:rsid w:val="00491172"/>
    <w:rsid w:val="004911AA"/>
    <w:rsid w:val="00493336"/>
    <w:rsid w:val="00494C2F"/>
    <w:rsid w:val="00494FD6"/>
    <w:rsid w:val="004953FE"/>
    <w:rsid w:val="00495C13"/>
    <w:rsid w:val="004963BD"/>
    <w:rsid w:val="00496E1A"/>
    <w:rsid w:val="004A04E3"/>
    <w:rsid w:val="004A0923"/>
    <w:rsid w:val="004A0E67"/>
    <w:rsid w:val="004A0F26"/>
    <w:rsid w:val="004A101C"/>
    <w:rsid w:val="004A12B4"/>
    <w:rsid w:val="004A1895"/>
    <w:rsid w:val="004A1A2B"/>
    <w:rsid w:val="004A1E86"/>
    <w:rsid w:val="004A3835"/>
    <w:rsid w:val="004A52E3"/>
    <w:rsid w:val="004A5385"/>
    <w:rsid w:val="004A54C1"/>
    <w:rsid w:val="004A5F33"/>
    <w:rsid w:val="004A661B"/>
    <w:rsid w:val="004A67D7"/>
    <w:rsid w:val="004A6DCE"/>
    <w:rsid w:val="004A7035"/>
    <w:rsid w:val="004B056E"/>
    <w:rsid w:val="004B0897"/>
    <w:rsid w:val="004B0E43"/>
    <w:rsid w:val="004B20C0"/>
    <w:rsid w:val="004B34B8"/>
    <w:rsid w:val="004B35E7"/>
    <w:rsid w:val="004B3E90"/>
    <w:rsid w:val="004B4927"/>
    <w:rsid w:val="004B4F72"/>
    <w:rsid w:val="004B5007"/>
    <w:rsid w:val="004B5163"/>
    <w:rsid w:val="004B5885"/>
    <w:rsid w:val="004B69A8"/>
    <w:rsid w:val="004C097E"/>
    <w:rsid w:val="004C25CD"/>
    <w:rsid w:val="004C4EEB"/>
    <w:rsid w:val="004C543D"/>
    <w:rsid w:val="004C54FE"/>
    <w:rsid w:val="004C5629"/>
    <w:rsid w:val="004C56AE"/>
    <w:rsid w:val="004C5D60"/>
    <w:rsid w:val="004C6322"/>
    <w:rsid w:val="004C7319"/>
    <w:rsid w:val="004C7F02"/>
    <w:rsid w:val="004D0099"/>
    <w:rsid w:val="004D1AD6"/>
    <w:rsid w:val="004D1EBE"/>
    <w:rsid w:val="004D2D45"/>
    <w:rsid w:val="004D3094"/>
    <w:rsid w:val="004D382F"/>
    <w:rsid w:val="004D4AB4"/>
    <w:rsid w:val="004D632B"/>
    <w:rsid w:val="004D6D2C"/>
    <w:rsid w:val="004D7145"/>
    <w:rsid w:val="004D726B"/>
    <w:rsid w:val="004D758D"/>
    <w:rsid w:val="004D77F4"/>
    <w:rsid w:val="004D7C2F"/>
    <w:rsid w:val="004E0738"/>
    <w:rsid w:val="004E0828"/>
    <w:rsid w:val="004E0DAE"/>
    <w:rsid w:val="004E14B9"/>
    <w:rsid w:val="004E1915"/>
    <w:rsid w:val="004E1C33"/>
    <w:rsid w:val="004E1E6E"/>
    <w:rsid w:val="004E27AF"/>
    <w:rsid w:val="004E2B4A"/>
    <w:rsid w:val="004E335E"/>
    <w:rsid w:val="004E33BB"/>
    <w:rsid w:val="004E45EF"/>
    <w:rsid w:val="004E4C52"/>
    <w:rsid w:val="004E50A4"/>
    <w:rsid w:val="004E6718"/>
    <w:rsid w:val="004E7046"/>
    <w:rsid w:val="004F0594"/>
    <w:rsid w:val="004F1155"/>
    <w:rsid w:val="004F138A"/>
    <w:rsid w:val="004F3152"/>
    <w:rsid w:val="004F47C6"/>
    <w:rsid w:val="004F4A2F"/>
    <w:rsid w:val="004F4EC1"/>
    <w:rsid w:val="004F5531"/>
    <w:rsid w:val="004F5C19"/>
    <w:rsid w:val="004F6639"/>
    <w:rsid w:val="004F66F8"/>
    <w:rsid w:val="004F7A3E"/>
    <w:rsid w:val="0050043D"/>
    <w:rsid w:val="00500749"/>
    <w:rsid w:val="005008B3"/>
    <w:rsid w:val="00500CEA"/>
    <w:rsid w:val="005010B2"/>
    <w:rsid w:val="00501873"/>
    <w:rsid w:val="00501C91"/>
    <w:rsid w:val="00501F36"/>
    <w:rsid w:val="005023AA"/>
    <w:rsid w:val="00502F6C"/>
    <w:rsid w:val="005035D6"/>
    <w:rsid w:val="005038A0"/>
    <w:rsid w:val="00503FFE"/>
    <w:rsid w:val="005043E0"/>
    <w:rsid w:val="00504665"/>
    <w:rsid w:val="00505351"/>
    <w:rsid w:val="0050548C"/>
    <w:rsid w:val="005059B8"/>
    <w:rsid w:val="0050668C"/>
    <w:rsid w:val="005069DB"/>
    <w:rsid w:val="00506BD6"/>
    <w:rsid w:val="00506E08"/>
    <w:rsid w:val="00510885"/>
    <w:rsid w:val="00510D0C"/>
    <w:rsid w:val="00510DCD"/>
    <w:rsid w:val="00512087"/>
    <w:rsid w:val="00512783"/>
    <w:rsid w:val="0051373C"/>
    <w:rsid w:val="00513D08"/>
    <w:rsid w:val="005157B2"/>
    <w:rsid w:val="00516026"/>
    <w:rsid w:val="00516746"/>
    <w:rsid w:val="0051676B"/>
    <w:rsid w:val="00517D13"/>
    <w:rsid w:val="00520200"/>
    <w:rsid w:val="00520570"/>
    <w:rsid w:val="00520680"/>
    <w:rsid w:val="005207C0"/>
    <w:rsid w:val="00521F7A"/>
    <w:rsid w:val="00523BE5"/>
    <w:rsid w:val="00523D3E"/>
    <w:rsid w:val="00524193"/>
    <w:rsid w:val="00524820"/>
    <w:rsid w:val="00524EC3"/>
    <w:rsid w:val="005254A6"/>
    <w:rsid w:val="00525E50"/>
    <w:rsid w:val="00525F39"/>
    <w:rsid w:val="005271D2"/>
    <w:rsid w:val="005277CC"/>
    <w:rsid w:val="00527A40"/>
    <w:rsid w:val="00527D34"/>
    <w:rsid w:val="005304CE"/>
    <w:rsid w:val="005305D0"/>
    <w:rsid w:val="0053181D"/>
    <w:rsid w:val="00532F38"/>
    <w:rsid w:val="00533A60"/>
    <w:rsid w:val="00534D25"/>
    <w:rsid w:val="00535B86"/>
    <w:rsid w:val="00536100"/>
    <w:rsid w:val="00536533"/>
    <w:rsid w:val="00536E04"/>
    <w:rsid w:val="00537060"/>
    <w:rsid w:val="0053734B"/>
    <w:rsid w:val="00540948"/>
    <w:rsid w:val="00540F02"/>
    <w:rsid w:val="005414C8"/>
    <w:rsid w:val="00541769"/>
    <w:rsid w:val="005417DC"/>
    <w:rsid w:val="00541924"/>
    <w:rsid w:val="005419E0"/>
    <w:rsid w:val="0054216B"/>
    <w:rsid w:val="00542442"/>
    <w:rsid w:val="00542DF4"/>
    <w:rsid w:val="0054308E"/>
    <w:rsid w:val="005437AF"/>
    <w:rsid w:val="00544F22"/>
    <w:rsid w:val="0054513A"/>
    <w:rsid w:val="00545991"/>
    <w:rsid w:val="00545A29"/>
    <w:rsid w:val="00545CCA"/>
    <w:rsid w:val="00545D3C"/>
    <w:rsid w:val="005469D8"/>
    <w:rsid w:val="00547320"/>
    <w:rsid w:val="00547327"/>
    <w:rsid w:val="005479F7"/>
    <w:rsid w:val="00547C6E"/>
    <w:rsid w:val="005514A7"/>
    <w:rsid w:val="00551EA8"/>
    <w:rsid w:val="00552A3B"/>
    <w:rsid w:val="00552A75"/>
    <w:rsid w:val="0055360B"/>
    <w:rsid w:val="005565C1"/>
    <w:rsid w:val="005565F8"/>
    <w:rsid w:val="005567D5"/>
    <w:rsid w:val="0055686E"/>
    <w:rsid w:val="00556B33"/>
    <w:rsid w:val="00557173"/>
    <w:rsid w:val="00560BA2"/>
    <w:rsid w:val="00560E7D"/>
    <w:rsid w:val="0056264E"/>
    <w:rsid w:val="00562843"/>
    <w:rsid w:val="005631FB"/>
    <w:rsid w:val="00563B9D"/>
    <w:rsid w:val="005648F6"/>
    <w:rsid w:val="00564CDF"/>
    <w:rsid w:val="00565155"/>
    <w:rsid w:val="005658BC"/>
    <w:rsid w:val="00566C97"/>
    <w:rsid w:val="005670EF"/>
    <w:rsid w:val="00567D88"/>
    <w:rsid w:val="00567EA4"/>
    <w:rsid w:val="005736C1"/>
    <w:rsid w:val="00573918"/>
    <w:rsid w:val="00573B0A"/>
    <w:rsid w:val="005746E2"/>
    <w:rsid w:val="005748E9"/>
    <w:rsid w:val="00574FF8"/>
    <w:rsid w:val="0057541A"/>
    <w:rsid w:val="00580CAE"/>
    <w:rsid w:val="0058198F"/>
    <w:rsid w:val="00581E7C"/>
    <w:rsid w:val="00581ECE"/>
    <w:rsid w:val="005820A2"/>
    <w:rsid w:val="005836C7"/>
    <w:rsid w:val="00583F25"/>
    <w:rsid w:val="005844EB"/>
    <w:rsid w:val="005846FC"/>
    <w:rsid w:val="00584A9E"/>
    <w:rsid w:val="00584E39"/>
    <w:rsid w:val="0058532F"/>
    <w:rsid w:val="00585486"/>
    <w:rsid w:val="005867A3"/>
    <w:rsid w:val="00587F4E"/>
    <w:rsid w:val="005911C1"/>
    <w:rsid w:val="00592018"/>
    <w:rsid w:val="00592FCD"/>
    <w:rsid w:val="00594879"/>
    <w:rsid w:val="00595719"/>
    <w:rsid w:val="00595E63"/>
    <w:rsid w:val="00596BDE"/>
    <w:rsid w:val="005974BF"/>
    <w:rsid w:val="00597CC7"/>
    <w:rsid w:val="00597F79"/>
    <w:rsid w:val="005A1DE2"/>
    <w:rsid w:val="005A1F8A"/>
    <w:rsid w:val="005A2499"/>
    <w:rsid w:val="005A24F3"/>
    <w:rsid w:val="005A26E2"/>
    <w:rsid w:val="005A292C"/>
    <w:rsid w:val="005A2957"/>
    <w:rsid w:val="005A30DD"/>
    <w:rsid w:val="005A3889"/>
    <w:rsid w:val="005A3D5C"/>
    <w:rsid w:val="005A3FFE"/>
    <w:rsid w:val="005A436B"/>
    <w:rsid w:val="005A44A3"/>
    <w:rsid w:val="005A4EB2"/>
    <w:rsid w:val="005A5E44"/>
    <w:rsid w:val="005A70DF"/>
    <w:rsid w:val="005A7C72"/>
    <w:rsid w:val="005B0837"/>
    <w:rsid w:val="005B090B"/>
    <w:rsid w:val="005B171E"/>
    <w:rsid w:val="005B1B9D"/>
    <w:rsid w:val="005B2BB6"/>
    <w:rsid w:val="005B35E0"/>
    <w:rsid w:val="005B3E7F"/>
    <w:rsid w:val="005B4634"/>
    <w:rsid w:val="005B4AA8"/>
    <w:rsid w:val="005B5257"/>
    <w:rsid w:val="005B5ACC"/>
    <w:rsid w:val="005B5CD9"/>
    <w:rsid w:val="005B6202"/>
    <w:rsid w:val="005B6263"/>
    <w:rsid w:val="005B6C08"/>
    <w:rsid w:val="005C038E"/>
    <w:rsid w:val="005C0714"/>
    <w:rsid w:val="005C1218"/>
    <w:rsid w:val="005C1263"/>
    <w:rsid w:val="005C15BB"/>
    <w:rsid w:val="005C1F30"/>
    <w:rsid w:val="005C1F9C"/>
    <w:rsid w:val="005C2C2C"/>
    <w:rsid w:val="005C3883"/>
    <w:rsid w:val="005C42EE"/>
    <w:rsid w:val="005C7057"/>
    <w:rsid w:val="005C7627"/>
    <w:rsid w:val="005C7B01"/>
    <w:rsid w:val="005C7E16"/>
    <w:rsid w:val="005D0224"/>
    <w:rsid w:val="005D02AE"/>
    <w:rsid w:val="005D0C98"/>
    <w:rsid w:val="005D1D3C"/>
    <w:rsid w:val="005D1DD0"/>
    <w:rsid w:val="005D1DFD"/>
    <w:rsid w:val="005D2C23"/>
    <w:rsid w:val="005D2ED6"/>
    <w:rsid w:val="005D4616"/>
    <w:rsid w:val="005D4D6A"/>
    <w:rsid w:val="005D592D"/>
    <w:rsid w:val="005D70BE"/>
    <w:rsid w:val="005E1410"/>
    <w:rsid w:val="005E1C1F"/>
    <w:rsid w:val="005E217D"/>
    <w:rsid w:val="005E23B5"/>
    <w:rsid w:val="005E2889"/>
    <w:rsid w:val="005E2ABC"/>
    <w:rsid w:val="005E3335"/>
    <w:rsid w:val="005E3C1A"/>
    <w:rsid w:val="005E4B82"/>
    <w:rsid w:val="005E5684"/>
    <w:rsid w:val="005E6A4F"/>
    <w:rsid w:val="005E6B98"/>
    <w:rsid w:val="005E7181"/>
    <w:rsid w:val="005E7353"/>
    <w:rsid w:val="005F027D"/>
    <w:rsid w:val="005F05D8"/>
    <w:rsid w:val="005F063F"/>
    <w:rsid w:val="005F094F"/>
    <w:rsid w:val="005F0D98"/>
    <w:rsid w:val="005F0FE0"/>
    <w:rsid w:val="005F1281"/>
    <w:rsid w:val="005F15E1"/>
    <w:rsid w:val="005F28B3"/>
    <w:rsid w:val="005F2E87"/>
    <w:rsid w:val="005F2F6D"/>
    <w:rsid w:val="005F3652"/>
    <w:rsid w:val="005F367A"/>
    <w:rsid w:val="005F3A8C"/>
    <w:rsid w:val="005F3EC2"/>
    <w:rsid w:val="005F5003"/>
    <w:rsid w:val="005F613A"/>
    <w:rsid w:val="005F62A8"/>
    <w:rsid w:val="005F654D"/>
    <w:rsid w:val="005F69AC"/>
    <w:rsid w:val="005F6B37"/>
    <w:rsid w:val="0060126B"/>
    <w:rsid w:val="0060191B"/>
    <w:rsid w:val="00601979"/>
    <w:rsid w:val="006020AD"/>
    <w:rsid w:val="006032DF"/>
    <w:rsid w:val="0060428D"/>
    <w:rsid w:val="006042B8"/>
    <w:rsid w:val="0060454C"/>
    <w:rsid w:val="00605340"/>
    <w:rsid w:val="0060555D"/>
    <w:rsid w:val="00605B71"/>
    <w:rsid w:val="00606298"/>
    <w:rsid w:val="00606547"/>
    <w:rsid w:val="00606566"/>
    <w:rsid w:val="00606EAF"/>
    <w:rsid w:val="0060779F"/>
    <w:rsid w:val="00607AED"/>
    <w:rsid w:val="00607BC9"/>
    <w:rsid w:val="006101A4"/>
    <w:rsid w:val="00610F7D"/>
    <w:rsid w:val="006123FC"/>
    <w:rsid w:val="00612590"/>
    <w:rsid w:val="00612A47"/>
    <w:rsid w:val="00612B6A"/>
    <w:rsid w:val="00612FCD"/>
    <w:rsid w:val="006133CD"/>
    <w:rsid w:val="00613D6E"/>
    <w:rsid w:val="00615226"/>
    <w:rsid w:val="0061551E"/>
    <w:rsid w:val="006157D2"/>
    <w:rsid w:val="00615891"/>
    <w:rsid w:val="006179F5"/>
    <w:rsid w:val="006200B8"/>
    <w:rsid w:val="006207C3"/>
    <w:rsid w:val="006207F2"/>
    <w:rsid w:val="00620C15"/>
    <w:rsid w:val="006210DE"/>
    <w:rsid w:val="0062123D"/>
    <w:rsid w:val="00621539"/>
    <w:rsid w:val="00622540"/>
    <w:rsid w:val="0062258A"/>
    <w:rsid w:val="006226E5"/>
    <w:rsid w:val="006235BF"/>
    <w:rsid w:val="00626962"/>
    <w:rsid w:val="0062785C"/>
    <w:rsid w:val="00630A10"/>
    <w:rsid w:val="0063175E"/>
    <w:rsid w:val="00631FEF"/>
    <w:rsid w:val="006323BC"/>
    <w:rsid w:val="00632A1A"/>
    <w:rsid w:val="00633630"/>
    <w:rsid w:val="0063436B"/>
    <w:rsid w:val="006353B1"/>
    <w:rsid w:val="0063677C"/>
    <w:rsid w:val="00636B7D"/>
    <w:rsid w:val="00637704"/>
    <w:rsid w:val="00637920"/>
    <w:rsid w:val="00637EC2"/>
    <w:rsid w:val="00637FE4"/>
    <w:rsid w:val="006408CF"/>
    <w:rsid w:val="00641197"/>
    <w:rsid w:val="00643591"/>
    <w:rsid w:val="00643CD9"/>
    <w:rsid w:val="0064453E"/>
    <w:rsid w:val="00644A22"/>
    <w:rsid w:val="0064531A"/>
    <w:rsid w:val="00646BE1"/>
    <w:rsid w:val="0064757C"/>
    <w:rsid w:val="00647EAA"/>
    <w:rsid w:val="0065006C"/>
    <w:rsid w:val="0065046E"/>
    <w:rsid w:val="0065083A"/>
    <w:rsid w:val="00651029"/>
    <w:rsid w:val="00651880"/>
    <w:rsid w:val="00654401"/>
    <w:rsid w:val="00654E49"/>
    <w:rsid w:val="006562CD"/>
    <w:rsid w:val="0065632A"/>
    <w:rsid w:val="006566CB"/>
    <w:rsid w:val="00656A36"/>
    <w:rsid w:val="00657117"/>
    <w:rsid w:val="00657C43"/>
    <w:rsid w:val="00660D26"/>
    <w:rsid w:val="00661DE5"/>
    <w:rsid w:val="00661EB8"/>
    <w:rsid w:val="006626BA"/>
    <w:rsid w:val="0066345B"/>
    <w:rsid w:val="00663ED5"/>
    <w:rsid w:val="00664359"/>
    <w:rsid w:val="0066442F"/>
    <w:rsid w:val="00664733"/>
    <w:rsid w:val="006648D0"/>
    <w:rsid w:val="00664977"/>
    <w:rsid w:val="00664AF5"/>
    <w:rsid w:val="006652F0"/>
    <w:rsid w:val="00666093"/>
    <w:rsid w:val="00666F1E"/>
    <w:rsid w:val="006678EC"/>
    <w:rsid w:val="00667CB7"/>
    <w:rsid w:val="006705A3"/>
    <w:rsid w:val="006707E0"/>
    <w:rsid w:val="00671AE2"/>
    <w:rsid w:val="00672078"/>
    <w:rsid w:val="00672426"/>
    <w:rsid w:val="006729C2"/>
    <w:rsid w:val="006730EB"/>
    <w:rsid w:val="0067377B"/>
    <w:rsid w:val="00673DDA"/>
    <w:rsid w:val="00674520"/>
    <w:rsid w:val="006748BD"/>
    <w:rsid w:val="00674A6D"/>
    <w:rsid w:val="00675C0E"/>
    <w:rsid w:val="00675F36"/>
    <w:rsid w:val="00676331"/>
    <w:rsid w:val="0067794D"/>
    <w:rsid w:val="00680AE9"/>
    <w:rsid w:val="006814BE"/>
    <w:rsid w:val="00681BB3"/>
    <w:rsid w:val="00681DC6"/>
    <w:rsid w:val="00682A3E"/>
    <w:rsid w:val="006839F8"/>
    <w:rsid w:val="0068437B"/>
    <w:rsid w:val="00684F25"/>
    <w:rsid w:val="00686493"/>
    <w:rsid w:val="006864E3"/>
    <w:rsid w:val="00687222"/>
    <w:rsid w:val="00687313"/>
    <w:rsid w:val="00687513"/>
    <w:rsid w:val="00690D3B"/>
    <w:rsid w:val="00690FA9"/>
    <w:rsid w:val="00690FC4"/>
    <w:rsid w:val="00691A24"/>
    <w:rsid w:val="00691FCC"/>
    <w:rsid w:val="00692208"/>
    <w:rsid w:val="006924BE"/>
    <w:rsid w:val="00692B47"/>
    <w:rsid w:val="00692C1D"/>
    <w:rsid w:val="00692E8F"/>
    <w:rsid w:val="00693813"/>
    <w:rsid w:val="00693914"/>
    <w:rsid w:val="00693A0A"/>
    <w:rsid w:val="00693A78"/>
    <w:rsid w:val="006942DF"/>
    <w:rsid w:val="006943B6"/>
    <w:rsid w:val="006959C9"/>
    <w:rsid w:val="00695A45"/>
    <w:rsid w:val="00696191"/>
    <w:rsid w:val="00696960"/>
    <w:rsid w:val="00696E47"/>
    <w:rsid w:val="006971BA"/>
    <w:rsid w:val="00697B42"/>
    <w:rsid w:val="00697D68"/>
    <w:rsid w:val="006A066D"/>
    <w:rsid w:val="006A1055"/>
    <w:rsid w:val="006A130B"/>
    <w:rsid w:val="006A17A7"/>
    <w:rsid w:val="006A265D"/>
    <w:rsid w:val="006A2D72"/>
    <w:rsid w:val="006A32EB"/>
    <w:rsid w:val="006A3309"/>
    <w:rsid w:val="006A3775"/>
    <w:rsid w:val="006A3E66"/>
    <w:rsid w:val="006A61AE"/>
    <w:rsid w:val="006A6C69"/>
    <w:rsid w:val="006A7404"/>
    <w:rsid w:val="006A7497"/>
    <w:rsid w:val="006A7642"/>
    <w:rsid w:val="006A7FB2"/>
    <w:rsid w:val="006B10FA"/>
    <w:rsid w:val="006B1BAB"/>
    <w:rsid w:val="006B1E44"/>
    <w:rsid w:val="006B3BEB"/>
    <w:rsid w:val="006B4406"/>
    <w:rsid w:val="006B4C51"/>
    <w:rsid w:val="006B5501"/>
    <w:rsid w:val="006B6DF6"/>
    <w:rsid w:val="006B742A"/>
    <w:rsid w:val="006C03A8"/>
    <w:rsid w:val="006C15FC"/>
    <w:rsid w:val="006C20A7"/>
    <w:rsid w:val="006C2102"/>
    <w:rsid w:val="006C2A85"/>
    <w:rsid w:val="006C2E0C"/>
    <w:rsid w:val="006C557D"/>
    <w:rsid w:val="006C59E6"/>
    <w:rsid w:val="006C63CA"/>
    <w:rsid w:val="006C6860"/>
    <w:rsid w:val="006C740A"/>
    <w:rsid w:val="006D00E0"/>
    <w:rsid w:val="006D112C"/>
    <w:rsid w:val="006D1A11"/>
    <w:rsid w:val="006D1E4B"/>
    <w:rsid w:val="006D215B"/>
    <w:rsid w:val="006D22D0"/>
    <w:rsid w:val="006D296D"/>
    <w:rsid w:val="006D2B49"/>
    <w:rsid w:val="006D448D"/>
    <w:rsid w:val="006D4944"/>
    <w:rsid w:val="006D494E"/>
    <w:rsid w:val="006D4FBB"/>
    <w:rsid w:val="006D5653"/>
    <w:rsid w:val="006D6491"/>
    <w:rsid w:val="006D6A26"/>
    <w:rsid w:val="006D7006"/>
    <w:rsid w:val="006E06E5"/>
    <w:rsid w:val="006E17C2"/>
    <w:rsid w:val="006E233F"/>
    <w:rsid w:val="006E327E"/>
    <w:rsid w:val="006E3647"/>
    <w:rsid w:val="006E37FC"/>
    <w:rsid w:val="006E3C17"/>
    <w:rsid w:val="006E3F42"/>
    <w:rsid w:val="006E4BBB"/>
    <w:rsid w:val="006E5148"/>
    <w:rsid w:val="006E570C"/>
    <w:rsid w:val="006E5CFF"/>
    <w:rsid w:val="006E6EF3"/>
    <w:rsid w:val="006F033D"/>
    <w:rsid w:val="006F200B"/>
    <w:rsid w:val="006F2226"/>
    <w:rsid w:val="006F226B"/>
    <w:rsid w:val="006F2730"/>
    <w:rsid w:val="006F293E"/>
    <w:rsid w:val="006F39AF"/>
    <w:rsid w:val="006F43DF"/>
    <w:rsid w:val="006F4608"/>
    <w:rsid w:val="006F470D"/>
    <w:rsid w:val="006F4736"/>
    <w:rsid w:val="006F4D30"/>
    <w:rsid w:val="006F5529"/>
    <w:rsid w:val="006F6836"/>
    <w:rsid w:val="006F6AA9"/>
    <w:rsid w:val="006F6DCD"/>
    <w:rsid w:val="006F7470"/>
    <w:rsid w:val="00700267"/>
    <w:rsid w:val="00700475"/>
    <w:rsid w:val="007017B0"/>
    <w:rsid w:val="0070197C"/>
    <w:rsid w:val="00701D2A"/>
    <w:rsid w:val="00702075"/>
    <w:rsid w:val="007035A2"/>
    <w:rsid w:val="00704420"/>
    <w:rsid w:val="00704738"/>
    <w:rsid w:val="00704AAE"/>
    <w:rsid w:val="00705673"/>
    <w:rsid w:val="00706487"/>
    <w:rsid w:val="00706F92"/>
    <w:rsid w:val="0070767D"/>
    <w:rsid w:val="00707A1A"/>
    <w:rsid w:val="00707A8E"/>
    <w:rsid w:val="00707D2A"/>
    <w:rsid w:val="00710AAB"/>
    <w:rsid w:val="0071174E"/>
    <w:rsid w:val="00711E72"/>
    <w:rsid w:val="00712E0C"/>
    <w:rsid w:val="0071324A"/>
    <w:rsid w:val="00714F75"/>
    <w:rsid w:val="00715047"/>
    <w:rsid w:val="007156D0"/>
    <w:rsid w:val="0071596B"/>
    <w:rsid w:val="00716737"/>
    <w:rsid w:val="00716932"/>
    <w:rsid w:val="00716E08"/>
    <w:rsid w:val="007176D5"/>
    <w:rsid w:val="00721A3F"/>
    <w:rsid w:val="00721A6B"/>
    <w:rsid w:val="00721B9D"/>
    <w:rsid w:val="00721C67"/>
    <w:rsid w:val="00722040"/>
    <w:rsid w:val="00722D22"/>
    <w:rsid w:val="00722FF2"/>
    <w:rsid w:val="0072338F"/>
    <w:rsid w:val="00723DAB"/>
    <w:rsid w:val="00723FC7"/>
    <w:rsid w:val="00724684"/>
    <w:rsid w:val="00724C15"/>
    <w:rsid w:val="007251F6"/>
    <w:rsid w:val="00725438"/>
    <w:rsid w:val="007259E4"/>
    <w:rsid w:val="00726090"/>
    <w:rsid w:val="007261D2"/>
    <w:rsid w:val="00726463"/>
    <w:rsid w:val="00726B4E"/>
    <w:rsid w:val="00726CA0"/>
    <w:rsid w:val="00727AC8"/>
    <w:rsid w:val="00727E76"/>
    <w:rsid w:val="00730256"/>
    <w:rsid w:val="00731627"/>
    <w:rsid w:val="007327A4"/>
    <w:rsid w:val="00733A0F"/>
    <w:rsid w:val="00733DF0"/>
    <w:rsid w:val="00733E75"/>
    <w:rsid w:val="00734324"/>
    <w:rsid w:val="0073459A"/>
    <w:rsid w:val="007346D0"/>
    <w:rsid w:val="0073475B"/>
    <w:rsid w:val="00734C58"/>
    <w:rsid w:val="00734E21"/>
    <w:rsid w:val="00734EDC"/>
    <w:rsid w:val="00735DD1"/>
    <w:rsid w:val="00736B5B"/>
    <w:rsid w:val="007371CE"/>
    <w:rsid w:val="00741903"/>
    <w:rsid w:val="00742989"/>
    <w:rsid w:val="00742AA2"/>
    <w:rsid w:val="00743043"/>
    <w:rsid w:val="00743543"/>
    <w:rsid w:val="00743AB1"/>
    <w:rsid w:val="0074565D"/>
    <w:rsid w:val="007457F6"/>
    <w:rsid w:val="00746EB9"/>
    <w:rsid w:val="0074742E"/>
    <w:rsid w:val="007475A1"/>
    <w:rsid w:val="00747828"/>
    <w:rsid w:val="00750262"/>
    <w:rsid w:val="00750B9A"/>
    <w:rsid w:val="00751754"/>
    <w:rsid w:val="007520E0"/>
    <w:rsid w:val="0075250E"/>
    <w:rsid w:val="007525F6"/>
    <w:rsid w:val="00752CEF"/>
    <w:rsid w:val="00752CF2"/>
    <w:rsid w:val="0075358F"/>
    <w:rsid w:val="00753980"/>
    <w:rsid w:val="00753C98"/>
    <w:rsid w:val="00754743"/>
    <w:rsid w:val="00754797"/>
    <w:rsid w:val="00754851"/>
    <w:rsid w:val="00755B05"/>
    <w:rsid w:val="00755BEF"/>
    <w:rsid w:val="00756048"/>
    <w:rsid w:val="00756F0B"/>
    <w:rsid w:val="00757A3F"/>
    <w:rsid w:val="00760DFF"/>
    <w:rsid w:val="00761651"/>
    <w:rsid w:val="00761860"/>
    <w:rsid w:val="007618F0"/>
    <w:rsid w:val="00761C64"/>
    <w:rsid w:val="007620B0"/>
    <w:rsid w:val="0076292E"/>
    <w:rsid w:val="00762988"/>
    <w:rsid w:val="0076367B"/>
    <w:rsid w:val="007639D4"/>
    <w:rsid w:val="007639EE"/>
    <w:rsid w:val="0076466E"/>
    <w:rsid w:val="007647FE"/>
    <w:rsid w:val="00765042"/>
    <w:rsid w:val="00766723"/>
    <w:rsid w:val="00766AC6"/>
    <w:rsid w:val="00766AD9"/>
    <w:rsid w:val="0076736F"/>
    <w:rsid w:val="00767793"/>
    <w:rsid w:val="00767C96"/>
    <w:rsid w:val="00770D0E"/>
    <w:rsid w:val="00771F98"/>
    <w:rsid w:val="00772043"/>
    <w:rsid w:val="0077233A"/>
    <w:rsid w:val="007727BA"/>
    <w:rsid w:val="00772816"/>
    <w:rsid w:val="00772E7A"/>
    <w:rsid w:val="007735EF"/>
    <w:rsid w:val="0077450C"/>
    <w:rsid w:val="00774B59"/>
    <w:rsid w:val="00774E39"/>
    <w:rsid w:val="007758BE"/>
    <w:rsid w:val="00775DA1"/>
    <w:rsid w:val="007764F4"/>
    <w:rsid w:val="00777065"/>
    <w:rsid w:val="007771EF"/>
    <w:rsid w:val="007772C2"/>
    <w:rsid w:val="00777B68"/>
    <w:rsid w:val="007801F2"/>
    <w:rsid w:val="0078083F"/>
    <w:rsid w:val="00781B78"/>
    <w:rsid w:val="00782EC6"/>
    <w:rsid w:val="00783EAE"/>
    <w:rsid w:val="007846B9"/>
    <w:rsid w:val="007846D6"/>
    <w:rsid w:val="00784D50"/>
    <w:rsid w:val="00785D88"/>
    <w:rsid w:val="007865E1"/>
    <w:rsid w:val="0078682F"/>
    <w:rsid w:val="00786B42"/>
    <w:rsid w:val="00786C8F"/>
    <w:rsid w:val="007873FE"/>
    <w:rsid w:val="00787636"/>
    <w:rsid w:val="0078783F"/>
    <w:rsid w:val="00787D94"/>
    <w:rsid w:val="00787EFE"/>
    <w:rsid w:val="0079029D"/>
    <w:rsid w:val="007908E8"/>
    <w:rsid w:val="00790AA1"/>
    <w:rsid w:val="00792061"/>
    <w:rsid w:val="007927CC"/>
    <w:rsid w:val="00792EAB"/>
    <w:rsid w:val="0079372C"/>
    <w:rsid w:val="00793EEB"/>
    <w:rsid w:val="00794474"/>
    <w:rsid w:val="00794A3D"/>
    <w:rsid w:val="00794FCD"/>
    <w:rsid w:val="00795853"/>
    <w:rsid w:val="0079695D"/>
    <w:rsid w:val="007977B5"/>
    <w:rsid w:val="00797AC5"/>
    <w:rsid w:val="007A0E24"/>
    <w:rsid w:val="007A1FF4"/>
    <w:rsid w:val="007A247A"/>
    <w:rsid w:val="007A2904"/>
    <w:rsid w:val="007A2C7C"/>
    <w:rsid w:val="007A2E13"/>
    <w:rsid w:val="007A41DC"/>
    <w:rsid w:val="007A53DD"/>
    <w:rsid w:val="007A5B68"/>
    <w:rsid w:val="007A6076"/>
    <w:rsid w:val="007A6334"/>
    <w:rsid w:val="007A688D"/>
    <w:rsid w:val="007A6C76"/>
    <w:rsid w:val="007A6DB9"/>
    <w:rsid w:val="007A714A"/>
    <w:rsid w:val="007A72FA"/>
    <w:rsid w:val="007A7570"/>
    <w:rsid w:val="007A7839"/>
    <w:rsid w:val="007A7E45"/>
    <w:rsid w:val="007A7E7B"/>
    <w:rsid w:val="007B0165"/>
    <w:rsid w:val="007B0F5B"/>
    <w:rsid w:val="007B161C"/>
    <w:rsid w:val="007B1E1D"/>
    <w:rsid w:val="007B20FA"/>
    <w:rsid w:val="007B2DB6"/>
    <w:rsid w:val="007B498F"/>
    <w:rsid w:val="007B4E4F"/>
    <w:rsid w:val="007B5093"/>
    <w:rsid w:val="007B5DDD"/>
    <w:rsid w:val="007B5E3F"/>
    <w:rsid w:val="007B6076"/>
    <w:rsid w:val="007B6744"/>
    <w:rsid w:val="007B6AE6"/>
    <w:rsid w:val="007B7923"/>
    <w:rsid w:val="007B7D15"/>
    <w:rsid w:val="007C01D3"/>
    <w:rsid w:val="007C27E9"/>
    <w:rsid w:val="007C2D4C"/>
    <w:rsid w:val="007C2F0E"/>
    <w:rsid w:val="007C31C3"/>
    <w:rsid w:val="007C3764"/>
    <w:rsid w:val="007C3B8C"/>
    <w:rsid w:val="007C49FF"/>
    <w:rsid w:val="007C6CA4"/>
    <w:rsid w:val="007C78C2"/>
    <w:rsid w:val="007D0597"/>
    <w:rsid w:val="007D2E0C"/>
    <w:rsid w:val="007D3BC3"/>
    <w:rsid w:val="007D4493"/>
    <w:rsid w:val="007D6A29"/>
    <w:rsid w:val="007D6AA1"/>
    <w:rsid w:val="007D77BC"/>
    <w:rsid w:val="007D7900"/>
    <w:rsid w:val="007D7C52"/>
    <w:rsid w:val="007E0D39"/>
    <w:rsid w:val="007E0ED2"/>
    <w:rsid w:val="007E1916"/>
    <w:rsid w:val="007E1CD3"/>
    <w:rsid w:val="007E1CF6"/>
    <w:rsid w:val="007E227D"/>
    <w:rsid w:val="007E2527"/>
    <w:rsid w:val="007E256E"/>
    <w:rsid w:val="007E376F"/>
    <w:rsid w:val="007E3F1C"/>
    <w:rsid w:val="007E54FA"/>
    <w:rsid w:val="007E59EA"/>
    <w:rsid w:val="007E5DAC"/>
    <w:rsid w:val="007E5EB6"/>
    <w:rsid w:val="007E5F74"/>
    <w:rsid w:val="007E5FE5"/>
    <w:rsid w:val="007E6129"/>
    <w:rsid w:val="007E6B1E"/>
    <w:rsid w:val="007E7757"/>
    <w:rsid w:val="007F03C2"/>
    <w:rsid w:val="007F0B2A"/>
    <w:rsid w:val="007F16DF"/>
    <w:rsid w:val="007F1A52"/>
    <w:rsid w:val="007F2F99"/>
    <w:rsid w:val="007F31A5"/>
    <w:rsid w:val="007F3402"/>
    <w:rsid w:val="007F37D2"/>
    <w:rsid w:val="007F3929"/>
    <w:rsid w:val="007F3C68"/>
    <w:rsid w:val="007F430F"/>
    <w:rsid w:val="007F46CE"/>
    <w:rsid w:val="007F6357"/>
    <w:rsid w:val="007F6A0A"/>
    <w:rsid w:val="007F72CC"/>
    <w:rsid w:val="007F731A"/>
    <w:rsid w:val="00800079"/>
    <w:rsid w:val="00800425"/>
    <w:rsid w:val="00800820"/>
    <w:rsid w:val="0080088E"/>
    <w:rsid w:val="008036B9"/>
    <w:rsid w:val="00803A54"/>
    <w:rsid w:val="0080504C"/>
    <w:rsid w:val="008059A2"/>
    <w:rsid w:val="008062D5"/>
    <w:rsid w:val="008067D6"/>
    <w:rsid w:val="0080698E"/>
    <w:rsid w:val="008071C3"/>
    <w:rsid w:val="00810067"/>
    <w:rsid w:val="008105FF"/>
    <w:rsid w:val="00810A20"/>
    <w:rsid w:val="00810AC1"/>
    <w:rsid w:val="008119BD"/>
    <w:rsid w:val="008124CD"/>
    <w:rsid w:val="008130FC"/>
    <w:rsid w:val="00813841"/>
    <w:rsid w:val="00813DD2"/>
    <w:rsid w:val="00813F46"/>
    <w:rsid w:val="00814B36"/>
    <w:rsid w:val="00814CF6"/>
    <w:rsid w:val="00815BB9"/>
    <w:rsid w:val="00815F28"/>
    <w:rsid w:val="00815F29"/>
    <w:rsid w:val="0081609A"/>
    <w:rsid w:val="00816251"/>
    <w:rsid w:val="00816591"/>
    <w:rsid w:val="0081713C"/>
    <w:rsid w:val="0081718F"/>
    <w:rsid w:val="00817535"/>
    <w:rsid w:val="00821957"/>
    <w:rsid w:val="00821FD6"/>
    <w:rsid w:val="0082237A"/>
    <w:rsid w:val="00823285"/>
    <w:rsid w:val="008236B6"/>
    <w:rsid w:val="00823E7A"/>
    <w:rsid w:val="00824821"/>
    <w:rsid w:val="008257A1"/>
    <w:rsid w:val="00825F35"/>
    <w:rsid w:val="008266B0"/>
    <w:rsid w:val="00826AEC"/>
    <w:rsid w:val="00827688"/>
    <w:rsid w:val="00827AFB"/>
    <w:rsid w:val="00827E42"/>
    <w:rsid w:val="0083057A"/>
    <w:rsid w:val="0083126E"/>
    <w:rsid w:val="0083204F"/>
    <w:rsid w:val="00833643"/>
    <w:rsid w:val="008338B8"/>
    <w:rsid w:val="008356A2"/>
    <w:rsid w:val="0083583F"/>
    <w:rsid w:val="00835A95"/>
    <w:rsid w:val="008364A0"/>
    <w:rsid w:val="008379FD"/>
    <w:rsid w:val="00837C57"/>
    <w:rsid w:val="00840528"/>
    <w:rsid w:val="00840743"/>
    <w:rsid w:val="00840A5B"/>
    <w:rsid w:val="00840E09"/>
    <w:rsid w:val="00840F6F"/>
    <w:rsid w:val="00841319"/>
    <w:rsid w:val="00841430"/>
    <w:rsid w:val="008418D2"/>
    <w:rsid w:val="00842DA3"/>
    <w:rsid w:val="0084349D"/>
    <w:rsid w:val="00843829"/>
    <w:rsid w:val="0084547D"/>
    <w:rsid w:val="00845DB6"/>
    <w:rsid w:val="00845EB5"/>
    <w:rsid w:val="0084689D"/>
    <w:rsid w:val="00850051"/>
    <w:rsid w:val="008500AD"/>
    <w:rsid w:val="008501B3"/>
    <w:rsid w:val="00850393"/>
    <w:rsid w:val="00850BB6"/>
    <w:rsid w:val="00850C02"/>
    <w:rsid w:val="00853999"/>
    <w:rsid w:val="00853D66"/>
    <w:rsid w:val="00854190"/>
    <w:rsid w:val="0085444D"/>
    <w:rsid w:val="00854F84"/>
    <w:rsid w:val="008555BF"/>
    <w:rsid w:val="00855ABA"/>
    <w:rsid w:val="00857373"/>
    <w:rsid w:val="00860D21"/>
    <w:rsid w:val="00860E9B"/>
    <w:rsid w:val="008613E7"/>
    <w:rsid w:val="0086258E"/>
    <w:rsid w:val="00863348"/>
    <w:rsid w:val="008642FB"/>
    <w:rsid w:val="008647F7"/>
    <w:rsid w:val="00864C1A"/>
    <w:rsid w:val="00864C1E"/>
    <w:rsid w:val="00864D6E"/>
    <w:rsid w:val="0086505B"/>
    <w:rsid w:val="00865C92"/>
    <w:rsid w:val="00865DB9"/>
    <w:rsid w:val="0086627C"/>
    <w:rsid w:val="008663A0"/>
    <w:rsid w:val="00867F84"/>
    <w:rsid w:val="00870660"/>
    <w:rsid w:val="00870FF7"/>
    <w:rsid w:val="00871191"/>
    <w:rsid w:val="00871AAB"/>
    <w:rsid w:val="00871DE5"/>
    <w:rsid w:val="008720D2"/>
    <w:rsid w:val="00872BC1"/>
    <w:rsid w:val="00873178"/>
    <w:rsid w:val="00874CB7"/>
    <w:rsid w:val="00875153"/>
    <w:rsid w:val="00875759"/>
    <w:rsid w:val="00876B01"/>
    <w:rsid w:val="00877DCA"/>
    <w:rsid w:val="00880CE4"/>
    <w:rsid w:val="008816DC"/>
    <w:rsid w:val="00881875"/>
    <w:rsid w:val="00881F36"/>
    <w:rsid w:val="00882909"/>
    <w:rsid w:val="00882D56"/>
    <w:rsid w:val="00883746"/>
    <w:rsid w:val="00883D60"/>
    <w:rsid w:val="008845CA"/>
    <w:rsid w:val="008845FE"/>
    <w:rsid w:val="0088550E"/>
    <w:rsid w:val="008859DD"/>
    <w:rsid w:val="0088655E"/>
    <w:rsid w:val="00886A73"/>
    <w:rsid w:val="00886B76"/>
    <w:rsid w:val="00891927"/>
    <w:rsid w:val="008923FD"/>
    <w:rsid w:val="00893579"/>
    <w:rsid w:val="00893B4B"/>
    <w:rsid w:val="00894446"/>
    <w:rsid w:val="00894C9A"/>
    <w:rsid w:val="008952CE"/>
    <w:rsid w:val="0089613C"/>
    <w:rsid w:val="00896329"/>
    <w:rsid w:val="00897346"/>
    <w:rsid w:val="008975BA"/>
    <w:rsid w:val="00897B6C"/>
    <w:rsid w:val="00897F1D"/>
    <w:rsid w:val="008A116E"/>
    <w:rsid w:val="008A1E23"/>
    <w:rsid w:val="008A24D6"/>
    <w:rsid w:val="008A453C"/>
    <w:rsid w:val="008A52D2"/>
    <w:rsid w:val="008A6210"/>
    <w:rsid w:val="008A62EE"/>
    <w:rsid w:val="008A6F13"/>
    <w:rsid w:val="008A71C2"/>
    <w:rsid w:val="008A7CB7"/>
    <w:rsid w:val="008B00AD"/>
    <w:rsid w:val="008B0332"/>
    <w:rsid w:val="008B0DC7"/>
    <w:rsid w:val="008B1643"/>
    <w:rsid w:val="008B1B20"/>
    <w:rsid w:val="008B1F0A"/>
    <w:rsid w:val="008B291A"/>
    <w:rsid w:val="008B2931"/>
    <w:rsid w:val="008B2AF0"/>
    <w:rsid w:val="008B42CB"/>
    <w:rsid w:val="008B4325"/>
    <w:rsid w:val="008B46F9"/>
    <w:rsid w:val="008B5371"/>
    <w:rsid w:val="008B58A7"/>
    <w:rsid w:val="008B60DF"/>
    <w:rsid w:val="008C02FA"/>
    <w:rsid w:val="008C0CE5"/>
    <w:rsid w:val="008C1258"/>
    <w:rsid w:val="008C1296"/>
    <w:rsid w:val="008C1F08"/>
    <w:rsid w:val="008C3D2A"/>
    <w:rsid w:val="008C3DE5"/>
    <w:rsid w:val="008C40F2"/>
    <w:rsid w:val="008C4158"/>
    <w:rsid w:val="008C4740"/>
    <w:rsid w:val="008C4801"/>
    <w:rsid w:val="008C4E0C"/>
    <w:rsid w:val="008C53E4"/>
    <w:rsid w:val="008C5775"/>
    <w:rsid w:val="008C6190"/>
    <w:rsid w:val="008C6D66"/>
    <w:rsid w:val="008C7174"/>
    <w:rsid w:val="008D085D"/>
    <w:rsid w:val="008D0B31"/>
    <w:rsid w:val="008D0BDB"/>
    <w:rsid w:val="008D10EA"/>
    <w:rsid w:val="008D1551"/>
    <w:rsid w:val="008D1D12"/>
    <w:rsid w:val="008D3618"/>
    <w:rsid w:val="008D3949"/>
    <w:rsid w:val="008D4927"/>
    <w:rsid w:val="008D4EA9"/>
    <w:rsid w:val="008D4EBB"/>
    <w:rsid w:val="008D4F35"/>
    <w:rsid w:val="008D660E"/>
    <w:rsid w:val="008D6E15"/>
    <w:rsid w:val="008D75BE"/>
    <w:rsid w:val="008D766C"/>
    <w:rsid w:val="008D7D0B"/>
    <w:rsid w:val="008E0C51"/>
    <w:rsid w:val="008E0C66"/>
    <w:rsid w:val="008E1484"/>
    <w:rsid w:val="008E19CA"/>
    <w:rsid w:val="008E3AE1"/>
    <w:rsid w:val="008E3C3A"/>
    <w:rsid w:val="008E3EA7"/>
    <w:rsid w:val="008E45BA"/>
    <w:rsid w:val="008E4934"/>
    <w:rsid w:val="008E4A0F"/>
    <w:rsid w:val="008E6088"/>
    <w:rsid w:val="008E72E4"/>
    <w:rsid w:val="008E76EC"/>
    <w:rsid w:val="008F03CD"/>
    <w:rsid w:val="008F1651"/>
    <w:rsid w:val="008F1A12"/>
    <w:rsid w:val="008F2A97"/>
    <w:rsid w:val="008F39C2"/>
    <w:rsid w:val="008F4291"/>
    <w:rsid w:val="008F5231"/>
    <w:rsid w:val="008F568B"/>
    <w:rsid w:val="008F6048"/>
    <w:rsid w:val="008F6A82"/>
    <w:rsid w:val="008F6D08"/>
    <w:rsid w:val="008F75F7"/>
    <w:rsid w:val="009006A8"/>
    <w:rsid w:val="00900734"/>
    <w:rsid w:val="00900E90"/>
    <w:rsid w:val="00901475"/>
    <w:rsid w:val="00901573"/>
    <w:rsid w:val="0090180B"/>
    <w:rsid w:val="00901A84"/>
    <w:rsid w:val="00901C57"/>
    <w:rsid w:val="00903D6B"/>
    <w:rsid w:val="00903D92"/>
    <w:rsid w:val="009052CB"/>
    <w:rsid w:val="009057FD"/>
    <w:rsid w:val="00905B1F"/>
    <w:rsid w:val="00905BD1"/>
    <w:rsid w:val="00905FB8"/>
    <w:rsid w:val="00906073"/>
    <w:rsid w:val="009066C6"/>
    <w:rsid w:val="00907D8D"/>
    <w:rsid w:val="00910724"/>
    <w:rsid w:val="0091407A"/>
    <w:rsid w:val="00914375"/>
    <w:rsid w:val="009146A7"/>
    <w:rsid w:val="00914C12"/>
    <w:rsid w:val="00914E57"/>
    <w:rsid w:val="00915177"/>
    <w:rsid w:val="009154F5"/>
    <w:rsid w:val="009157F6"/>
    <w:rsid w:val="00915E9C"/>
    <w:rsid w:val="00916232"/>
    <w:rsid w:val="00917C5C"/>
    <w:rsid w:val="00920DB9"/>
    <w:rsid w:val="00921682"/>
    <w:rsid w:val="00921CB5"/>
    <w:rsid w:val="00921E52"/>
    <w:rsid w:val="00922D0C"/>
    <w:rsid w:val="00922FBD"/>
    <w:rsid w:val="0092311A"/>
    <w:rsid w:val="00923FBF"/>
    <w:rsid w:val="0092530A"/>
    <w:rsid w:val="009263F0"/>
    <w:rsid w:val="0092659D"/>
    <w:rsid w:val="009265DD"/>
    <w:rsid w:val="0092771F"/>
    <w:rsid w:val="00927758"/>
    <w:rsid w:val="009303F8"/>
    <w:rsid w:val="009309F5"/>
    <w:rsid w:val="00931465"/>
    <w:rsid w:val="00931AC4"/>
    <w:rsid w:val="00931BA6"/>
    <w:rsid w:val="009330A3"/>
    <w:rsid w:val="00934738"/>
    <w:rsid w:val="009349E4"/>
    <w:rsid w:val="00934AC5"/>
    <w:rsid w:val="00934EBB"/>
    <w:rsid w:val="00935668"/>
    <w:rsid w:val="00936337"/>
    <w:rsid w:val="009373E0"/>
    <w:rsid w:val="00937426"/>
    <w:rsid w:val="00937579"/>
    <w:rsid w:val="0093764D"/>
    <w:rsid w:val="00937A93"/>
    <w:rsid w:val="00937B7F"/>
    <w:rsid w:val="00937E9E"/>
    <w:rsid w:val="00941015"/>
    <w:rsid w:val="009419FA"/>
    <w:rsid w:val="009423A5"/>
    <w:rsid w:val="009427E8"/>
    <w:rsid w:val="009434CE"/>
    <w:rsid w:val="00943FDB"/>
    <w:rsid w:val="00944ABD"/>
    <w:rsid w:val="009453B1"/>
    <w:rsid w:val="00945B41"/>
    <w:rsid w:val="00945EC7"/>
    <w:rsid w:val="00946B84"/>
    <w:rsid w:val="00947D9A"/>
    <w:rsid w:val="009513A0"/>
    <w:rsid w:val="0095140A"/>
    <w:rsid w:val="00951BAC"/>
    <w:rsid w:val="009524EF"/>
    <w:rsid w:val="00952522"/>
    <w:rsid w:val="00953100"/>
    <w:rsid w:val="0095334C"/>
    <w:rsid w:val="00953A9A"/>
    <w:rsid w:val="0095467F"/>
    <w:rsid w:val="0095599D"/>
    <w:rsid w:val="00955A8E"/>
    <w:rsid w:val="00955AF9"/>
    <w:rsid w:val="00955FFF"/>
    <w:rsid w:val="009564B6"/>
    <w:rsid w:val="00956A46"/>
    <w:rsid w:val="0095739F"/>
    <w:rsid w:val="00957BDD"/>
    <w:rsid w:val="00957C90"/>
    <w:rsid w:val="00961024"/>
    <w:rsid w:val="009615E5"/>
    <w:rsid w:val="00961D82"/>
    <w:rsid w:val="009622B9"/>
    <w:rsid w:val="00962F57"/>
    <w:rsid w:val="0096371F"/>
    <w:rsid w:val="00963906"/>
    <w:rsid w:val="00964004"/>
    <w:rsid w:val="00964348"/>
    <w:rsid w:val="00964446"/>
    <w:rsid w:val="009647B0"/>
    <w:rsid w:val="009649D1"/>
    <w:rsid w:val="00964B86"/>
    <w:rsid w:val="009652EB"/>
    <w:rsid w:val="0096540F"/>
    <w:rsid w:val="009660A7"/>
    <w:rsid w:val="00966D44"/>
    <w:rsid w:val="00966F2E"/>
    <w:rsid w:val="0096736A"/>
    <w:rsid w:val="00967D41"/>
    <w:rsid w:val="0097036D"/>
    <w:rsid w:val="00970808"/>
    <w:rsid w:val="00971313"/>
    <w:rsid w:val="009717A3"/>
    <w:rsid w:val="00971A10"/>
    <w:rsid w:val="00971DD9"/>
    <w:rsid w:val="00972B6F"/>
    <w:rsid w:val="00973433"/>
    <w:rsid w:val="0097369C"/>
    <w:rsid w:val="009752A3"/>
    <w:rsid w:val="009757F6"/>
    <w:rsid w:val="0097584E"/>
    <w:rsid w:val="00976075"/>
    <w:rsid w:val="00976306"/>
    <w:rsid w:val="00976946"/>
    <w:rsid w:val="00976BE4"/>
    <w:rsid w:val="00977ADF"/>
    <w:rsid w:val="00980D39"/>
    <w:rsid w:val="00981650"/>
    <w:rsid w:val="0098266B"/>
    <w:rsid w:val="00983A3B"/>
    <w:rsid w:val="00984175"/>
    <w:rsid w:val="00984965"/>
    <w:rsid w:val="00985365"/>
    <w:rsid w:val="009855C6"/>
    <w:rsid w:val="009858C4"/>
    <w:rsid w:val="00986409"/>
    <w:rsid w:val="009864DF"/>
    <w:rsid w:val="009865D0"/>
    <w:rsid w:val="009867AE"/>
    <w:rsid w:val="0099150C"/>
    <w:rsid w:val="00992014"/>
    <w:rsid w:val="00993802"/>
    <w:rsid w:val="00993B22"/>
    <w:rsid w:val="009940AB"/>
    <w:rsid w:val="0099460D"/>
    <w:rsid w:val="00994C5D"/>
    <w:rsid w:val="00994E51"/>
    <w:rsid w:val="00996373"/>
    <w:rsid w:val="009964EE"/>
    <w:rsid w:val="00997144"/>
    <w:rsid w:val="00997397"/>
    <w:rsid w:val="0099768C"/>
    <w:rsid w:val="00997E4E"/>
    <w:rsid w:val="009A0325"/>
    <w:rsid w:val="009A0665"/>
    <w:rsid w:val="009A067B"/>
    <w:rsid w:val="009A0C42"/>
    <w:rsid w:val="009A223A"/>
    <w:rsid w:val="009A2B2C"/>
    <w:rsid w:val="009A325E"/>
    <w:rsid w:val="009A4D8A"/>
    <w:rsid w:val="009A4F64"/>
    <w:rsid w:val="009A56D9"/>
    <w:rsid w:val="009A7326"/>
    <w:rsid w:val="009A7990"/>
    <w:rsid w:val="009A7A3A"/>
    <w:rsid w:val="009A7BDD"/>
    <w:rsid w:val="009A7ED4"/>
    <w:rsid w:val="009B09A0"/>
    <w:rsid w:val="009B0B81"/>
    <w:rsid w:val="009B0D66"/>
    <w:rsid w:val="009B1159"/>
    <w:rsid w:val="009B12ED"/>
    <w:rsid w:val="009B17AE"/>
    <w:rsid w:val="009B187C"/>
    <w:rsid w:val="009B1D43"/>
    <w:rsid w:val="009B313C"/>
    <w:rsid w:val="009B31CC"/>
    <w:rsid w:val="009B325E"/>
    <w:rsid w:val="009B348F"/>
    <w:rsid w:val="009B36F8"/>
    <w:rsid w:val="009B3F64"/>
    <w:rsid w:val="009B42E1"/>
    <w:rsid w:val="009B4CF9"/>
    <w:rsid w:val="009B602C"/>
    <w:rsid w:val="009B6DA0"/>
    <w:rsid w:val="009B6DC9"/>
    <w:rsid w:val="009B6EDF"/>
    <w:rsid w:val="009B6F23"/>
    <w:rsid w:val="009C01CF"/>
    <w:rsid w:val="009C0247"/>
    <w:rsid w:val="009C0C3F"/>
    <w:rsid w:val="009C1311"/>
    <w:rsid w:val="009C1D94"/>
    <w:rsid w:val="009C21A6"/>
    <w:rsid w:val="009C2597"/>
    <w:rsid w:val="009C2723"/>
    <w:rsid w:val="009C30BB"/>
    <w:rsid w:val="009C33A7"/>
    <w:rsid w:val="009C3871"/>
    <w:rsid w:val="009C56D7"/>
    <w:rsid w:val="009C6463"/>
    <w:rsid w:val="009C6F55"/>
    <w:rsid w:val="009C77C0"/>
    <w:rsid w:val="009C7DC7"/>
    <w:rsid w:val="009D0901"/>
    <w:rsid w:val="009D14BD"/>
    <w:rsid w:val="009D1546"/>
    <w:rsid w:val="009D1616"/>
    <w:rsid w:val="009D18AE"/>
    <w:rsid w:val="009D18E6"/>
    <w:rsid w:val="009D25B7"/>
    <w:rsid w:val="009D28E0"/>
    <w:rsid w:val="009D2C52"/>
    <w:rsid w:val="009D33FC"/>
    <w:rsid w:val="009D45DC"/>
    <w:rsid w:val="009D4896"/>
    <w:rsid w:val="009D49F2"/>
    <w:rsid w:val="009D4A5E"/>
    <w:rsid w:val="009D4B1E"/>
    <w:rsid w:val="009D4C94"/>
    <w:rsid w:val="009D5FA5"/>
    <w:rsid w:val="009D5FF6"/>
    <w:rsid w:val="009D71F2"/>
    <w:rsid w:val="009D7BFB"/>
    <w:rsid w:val="009E035B"/>
    <w:rsid w:val="009E1030"/>
    <w:rsid w:val="009E12ED"/>
    <w:rsid w:val="009E13A1"/>
    <w:rsid w:val="009E253F"/>
    <w:rsid w:val="009E2BDC"/>
    <w:rsid w:val="009E2FCD"/>
    <w:rsid w:val="009E3688"/>
    <w:rsid w:val="009E36A2"/>
    <w:rsid w:val="009E39AE"/>
    <w:rsid w:val="009E3F9C"/>
    <w:rsid w:val="009E4B46"/>
    <w:rsid w:val="009E4BC7"/>
    <w:rsid w:val="009E559A"/>
    <w:rsid w:val="009E5B3E"/>
    <w:rsid w:val="009E694F"/>
    <w:rsid w:val="009E6AE3"/>
    <w:rsid w:val="009E7656"/>
    <w:rsid w:val="009F0307"/>
    <w:rsid w:val="009F117E"/>
    <w:rsid w:val="009F2151"/>
    <w:rsid w:val="009F344E"/>
    <w:rsid w:val="009F380E"/>
    <w:rsid w:val="009F45BA"/>
    <w:rsid w:val="009F4694"/>
    <w:rsid w:val="009F49DB"/>
    <w:rsid w:val="009F4B7F"/>
    <w:rsid w:val="009F4DF0"/>
    <w:rsid w:val="009F5337"/>
    <w:rsid w:val="009F55DC"/>
    <w:rsid w:val="009F5C18"/>
    <w:rsid w:val="009F5F89"/>
    <w:rsid w:val="009F64EC"/>
    <w:rsid w:val="009F6FBB"/>
    <w:rsid w:val="009F72E6"/>
    <w:rsid w:val="009F7AD4"/>
    <w:rsid w:val="009F7D79"/>
    <w:rsid w:val="009F7F8C"/>
    <w:rsid w:val="00A01499"/>
    <w:rsid w:val="00A01D58"/>
    <w:rsid w:val="00A01ECC"/>
    <w:rsid w:val="00A02845"/>
    <w:rsid w:val="00A02A01"/>
    <w:rsid w:val="00A038E5"/>
    <w:rsid w:val="00A03C90"/>
    <w:rsid w:val="00A04668"/>
    <w:rsid w:val="00A1019B"/>
    <w:rsid w:val="00A107F4"/>
    <w:rsid w:val="00A1098A"/>
    <w:rsid w:val="00A10F3E"/>
    <w:rsid w:val="00A11034"/>
    <w:rsid w:val="00A1235D"/>
    <w:rsid w:val="00A129D9"/>
    <w:rsid w:val="00A12ECB"/>
    <w:rsid w:val="00A1392B"/>
    <w:rsid w:val="00A141B8"/>
    <w:rsid w:val="00A142DE"/>
    <w:rsid w:val="00A153DF"/>
    <w:rsid w:val="00A16170"/>
    <w:rsid w:val="00A1694B"/>
    <w:rsid w:val="00A209C1"/>
    <w:rsid w:val="00A20EA3"/>
    <w:rsid w:val="00A2139A"/>
    <w:rsid w:val="00A21ADA"/>
    <w:rsid w:val="00A21D4E"/>
    <w:rsid w:val="00A21E55"/>
    <w:rsid w:val="00A22314"/>
    <w:rsid w:val="00A225B5"/>
    <w:rsid w:val="00A2293C"/>
    <w:rsid w:val="00A23A16"/>
    <w:rsid w:val="00A23D0E"/>
    <w:rsid w:val="00A248B4"/>
    <w:rsid w:val="00A25B6B"/>
    <w:rsid w:val="00A25C0D"/>
    <w:rsid w:val="00A25F40"/>
    <w:rsid w:val="00A3048C"/>
    <w:rsid w:val="00A305D6"/>
    <w:rsid w:val="00A319F3"/>
    <w:rsid w:val="00A3393D"/>
    <w:rsid w:val="00A347A2"/>
    <w:rsid w:val="00A356CA"/>
    <w:rsid w:val="00A37205"/>
    <w:rsid w:val="00A4014F"/>
    <w:rsid w:val="00A402D2"/>
    <w:rsid w:val="00A4040F"/>
    <w:rsid w:val="00A40728"/>
    <w:rsid w:val="00A411EE"/>
    <w:rsid w:val="00A41B9D"/>
    <w:rsid w:val="00A420B1"/>
    <w:rsid w:val="00A43398"/>
    <w:rsid w:val="00A43571"/>
    <w:rsid w:val="00A43C15"/>
    <w:rsid w:val="00A446AD"/>
    <w:rsid w:val="00A44840"/>
    <w:rsid w:val="00A44B03"/>
    <w:rsid w:val="00A45780"/>
    <w:rsid w:val="00A467E2"/>
    <w:rsid w:val="00A474AD"/>
    <w:rsid w:val="00A47536"/>
    <w:rsid w:val="00A503F9"/>
    <w:rsid w:val="00A50F66"/>
    <w:rsid w:val="00A51520"/>
    <w:rsid w:val="00A528EE"/>
    <w:rsid w:val="00A5459A"/>
    <w:rsid w:val="00A5499A"/>
    <w:rsid w:val="00A54B2C"/>
    <w:rsid w:val="00A55566"/>
    <w:rsid w:val="00A55A68"/>
    <w:rsid w:val="00A55B0B"/>
    <w:rsid w:val="00A56351"/>
    <w:rsid w:val="00A57247"/>
    <w:rsid w:val="00A6011C"/>
    <w:rsid w:val="00A60D40"/>
    <w:rsid w:val="00A61585"/>
    <w:rsid w:val="00A61933"/>
    <w:rsid w:val="00A61C3D"/>
    <w:rsid w:val="00A61FCD"/>
    <w:rsid w:val="00A62553"/>
    <w:rsid w:val="00A633EE"/>
    <w:rsid w:val="00A6438B"/>
    <w:rsid w:val="00A65DF0"/>
    <w:rsid w:val="00A6606F"/>
    <w:rsid w:val="00A7002B"/>
    <w:rsid w:val="00A70FCB"/>
    <w:rsid w:val="00A70FEF"/>
    <w:rsid w:val="00A7259D"/>
    <w:rsid w:val="00A7300A"/>
    <w:rsid w:val="00A73577"/>
    <w:rsid w:val="00A73B5D"/>
    <w:rsid w:val="00A741DF"/>
    <w:rsid w:val="00A749FD"/>
    <w:rsid w:val="00A75DF4"/>
    <w:rsid w:val="00A76061"/>
    <w:rsid w:val="00A7648D"/>
    <w:rsid w:val="00A76B3D"/>
    <w:rsid w:val="00A77185"/>
    <w:rsid w:val="00A775DC"/>
    <w:rsid w:val="00A77869"/>
    <w:rsid w:val="00A813F0"/>
    <w:rsid w:val="00A81D25"/>
    <w:rsid w:val="00A81D27"/>
    <w:rsid w:val="00A8275E"/>
    <w:rsid w:val="00A82FC7"/>
    <w:rsid w:val="00A8300E"/>
    <w:rsid w:val="00A835AF"/>
    <w:rsid w:val="00A84241"/>
    <w:rsid w:val="00A85362"/>
    <w:rsid w:val="00A8623F"/>
    <w:rsid w:val="00A86564"/>
    <w:rsid w:val="00A87B2D"/>
    <w:rsid w:val="00A9061E"/>
    <w:rsid w:val="00A90743"/>
    <w:rsid w:val="00A910D4"/>
    <w:rsid w:val="00A91362"/>
    <w:rsid w:val="00A91C77"/>
    <w:rsid w:val="00A91FA5"/>
    <w:rsid w:val="00A92CAA"/>
    <w:rsid w:val="00A92E20"/>
    <w:rsid w:val="00A939C3"/>
    <w:rsid w:val="00A93B74"/>
    <w:rsid w:val="00A93BA9"/>
    <w:rsid w:val="00A943C9"/>
    <w:rsid w:val="00A9472F"/>
    <w:rsid w:val="00A95412"/>
    <w:rsid w:val="00A96A0B"/>
    <w:rsid w:val="00A973B8"/>
    <w:rsid w:val="00A97DD1"/>
    <w:rsid w:val="00AA103E"/>
    <w:rsid w:val="00AA111B"/>
    <w:rsid w:val="00AA1259"/>
    <w:rsid w:val="00AA1C1C"/>
    <w:rsid w:val="00AA22D7"/>
    <w:rsid w:val="00AA2B00"/>
    <w:rsid w:val="00AA2EEB"/>
    <w:rsid w:val="00AA337F"/>
    <w:rsid w:val="00AA5B2A"/>
    <w:rsid w:val="00AA6CD2"/>
    <w:rsid w:val="00AA6D8E"/>
    <w:rsid w:val="00AA742B"/>
    <w:rsid w:val="00AA75A4"/>
    <w:rsid w:val="00AA7DF5"/>
    <w:rsid w:val="00AB0E1C"/>
    <w:rsid w:val="00AB130B"/>
    <w:rsid w:val="00AB1987"/>
    <w:rsid w:val="00AB2777"/>
    <w:rsid w:val="00AB319B"/>
    <w:rsid w:val="00AB35B0"/>
    <w:rsid w:val="00AB436F"/>
    <w:rsid w:val="00AB43BA"/>
    <w:rsid w:val="00AB51F6"/>
    <w:rsid w:val="00AB55F5"/>
    <w:rsid w:val="00AB5A76"/>
    <w:rsid w:val="00AB6002"/>
    <w:rsid w:val="00AB7EA7"/>
    <w:rsid w:val="00AC023B"/>
    <w:rsid w:val="00AC1449"/>
    <w:rsid w:val="00AC2064"/>
    <w:rsid w:val="00AC3590"/>
    <w:rsid w:val="00AC3AB5"/>
    <w:rsid w:val="00AC3C57"/>
    <w:rsid w:val="00AC4086"/>
    <w:rsid w:val="00AC423A"/>
    <w:rsid w:val="00AC4250"/>
    <w:rsid w:val="00AC5B66"/>
    <w:rsid w:val="00AC5E55"/>
    <w:rsid w:val="00AC67B8"/>
    <w:rsid w:val="00AC6C4F"/>
    <w:rsid w:val="00AC7998"/>
    <w:rsid w:val="00AC7B1E"/>
    <w:rsid w:val="00AD140C"/>
    <w:rsid w:val="00AD1CCD"/>
    <w:rsid w:val="00AD2832"/>
    <w:rsid w:val="00AD28F1"/>
    <w:rsid w:val="00AD2C2F"/>
    <w:rsid w:val="00AD3C8E"/>
    <w:rsid w:val="00AD4BCE"/>
    <w:rsid w:val="00AD5C9A"/>
    <w:rsid w:val="00AD64A3"/>
    <w:rsid w:val="00AD6E41"/>
    <w:rsid w:val="00AD7F0E"/>
    <w:rsid w:val="00AE0998"/>
    <w:rsid w:val="00AE099C"/>
    <w:rsid w:val="00AE0A38"/>
    <w:rsid w:val="00AE183F"/>
    <w:rsid w:val="00AE1EFC"/>
    <w:rsid w:val="00AE29E6"/>
    <w:rsid w:val="00AE3039"/>
    <w:rsid w:val="00AE351E"/>
    <w:rsid w:val="00AE367D"/>
    <w:rsid w:val="00AE39B7"/>
    <w:rsid w:val="00AE3B2D"/>
    <w:rsid w:val="00AE3DE3"/>
    <w:rsid w:val="00AE4EDB"/>
    <w:rsid w:val="00AE61D0"/>
    <w:rsid w:val="00AE6B1D"/>
    <w:rsid w:val="00AE6E0A"/>
    <w:rsid w:val="00AF05BF"/>
    <w:rsid w:val="00AF0B40"/>
    <w:rsid w:val="00AF0DD4"/>
    <w:rsid w:val="00AF1E02"/>
    <w:rsid w:val="00AF214E"/>
    <w:rsid w:val="00AF2508"/>
    <w:rsid w:val="00AF4B10"/>
    <w:rsid w:val="00B005B7"/>
    <w:rsid w:val="00B0110C"/>
    <w:rsid w:val="00B0170A"/>
    <w:rsid w:val="00B02123"/>
    <w:rsid w:val="00B03612"/>
    <w:rsid w:val="00B04856"/>
    <w:rsid w:val="00B04A51"/>
    <w:rsid w:val="00B04BD0"/>
    <w:rsid w:val="00B05D6E"/>
    <w:rsid w:val="00B07CD7"/>
    <w:rsid w:val="00B07E70"/>
    <w:rsid w:val="00B10431"/>
    <w:rsid w:val="00B11297"/>
    <w:rsid w:val="00B11E7D"/>
    <w:rsid w:val="00B1281F"/>
    <w:rsid w:val="00B1296A"/>
    <w:rsid w:val="00B14611"/>
    <w:rsid w:val="00B1537B"/>
    <w:rsid w:val="00B15F4F"/>
    <w:rsid w:val="00B1625E"/>
    <w:rsid w:val="00B16B9B"/>
    <w:rsid w:val="00B17802"/>
    <w:rsid w:val="00B17F18"/>
    <w:rsid w:val="00B17FFB"/>
    <w:rsid w:val="00B200D9"/>
    <w:rsid w:val="00B203A5"/>
    <w:rsid w:val="00B20A6F"/>
    <w:rsid w:val="00B213A0"/>
    <w:rsid w:val="00B21880"/>
    <w:rsid w:val="00B219A4"/>
    <w:rsid w:val="00B21A2A"/>
    <w:rsid w:val="00B220D2"/>
    <w:rsid w:val="00B2210C"/>
    <w:rsid w:val="00B226D7"/>
    <w:rsid w:val="00B228B1"/>
    <w:rsid w:val="00B23FE4"/>
    <w:rsid w:val="00B24331"/>
    <w:rsid w:val="00B247A2"/>
    <w:rsid w:val="00B24929"/>
    <w:rsid w:val="00B253E1"/>
    <w:rsid w:val="00B26915"/>
    <w:rsid w:val="00B31151"/>
    <w:rsid w:val="00B315E0"/>
    <w:rsid w:val="00B3391B"/>
    <w:rsid w:val="00B33998"/>
    <w:rsid w:val="00B3726D"/>
    <w:rsid w:val="00B37497"/>
    <w:rsid w:val="00B3757A"/>
    <w:rsid w:val="00B37916"/>
    <w:rsid w:val="00B37AB1"/>
    <w:rsid w:val="00B40B28"/>
    <w:rsid w:val="00B4193C"/>
    <w:rsid w:val="00B43206"/>
    <w:rsid w:val="00B433FC"/>
    <w:rsid w:val="00B434D1"/>
    <w:rsid w:val="00B43FB7"/>
    <w:rsid w:val="00B440C2"/>
    <w:rsid w:val="00B44721"/>
    <w:rsid w:val="00B44AB2"/>
    <w:rsid w:val="00B44DD4"/>
    <w:rsid w:val="00B4562B"/>
    <w:rsid w:val="00B45720"/>
    <w:rsid w:val="00B4576B"/>
    <w:rsid w:val="00B461DB"/>
    <w:rsid w:val="00B46889"/>
    <w:rsid w:val="00B46A05"/>
    <w:rsid w:val="00B46A62"/>
    <w:rsid w:val="00B475E7"/>
    <w:rsid w:val="00B47DB4"/>
    <w:rsid w:val="00B5017A"/>
    <w:rsid w:val="00B50CF4"/>
    <w:rsid w:val="00B50F48"/>
    <w:rsid w:val="00B50FB3"/>
    <w:rsid w:val="00B51B19"/>
    <w:rsid w:val="00B51DF9"/>
    <w:rsid w:val="00B5246D"/>
    <w:rsid w:val="00B526DC"/>
    <w:rsid w:val="00B52914"/>
    <w:rsid w:val="00B52A7F"/>
    <w:rsid w:val="00B53CC6"/>
    <w:rsid w:val="00B54A42"/>
    <w:rsid w:val="00B54CDC"/>
    <w:rsid w:val="00B556FD"/>
    <w:rsid w:val="00B558E1"/>
    <w:rsid w:val="00B574B5"/>
    <w:rsid w:val="00B6058A"/>
    <w:rsid w:val="00B60C0E"/>
    <w:rsid w:val="00B6144E"/>
    <w:rsid w:val="00B61570"/>
    <w:rsid w:val="00B6179A"/>
    <w:rsid w:val="00B61835"/>
    <w:rsid w:val="00B61876"/>
    <w:rsid w:val="00B61D7D"/>
    <w:rsid w:val="00B62ABF"/>
    <w:rsid w:val="00B63BAB"/>
    <w:rsid w:val="00B63F97"/>
    <w:rsid w:val="00B64411"/>
    <w:rsid w:val="00B644DB"/>
    <w:rsid w:val="00B64544"/>
    <w:rsid w:val="00B64B49"/>
    <w:rsid w:val="00B6510D"/>
    <w:rsid w:val="00B65769"/>
    <w:rsid w:val="00B669DA"/>
    <w:rsid w:val="00B66E1F"/>
    <w:rsid w:val="00B66EAF"/>
    <w:rsid w:val="00B677CE"/>
    <w:rsid w:val="00B67867"/>
    <w:rsid w:val="00B700F4"/>
    <w:rsid w:val="00B71320"/>
    <w:rsid w:val="00B73184"/>
    <w:rsid w:val="00B737EC"/>
    <w:rsid w:val="00B74921"/>
    <w:rsid w:val="00B75DC8"/>
    <w:rsid w:val="00B771EA"/>
    <w:rsid w:val="00B77266"/>
    <w:rsid w:val="00B7744C"/>
    <w:rsid w:val="00B77498"/>
    <w:rsid w:val="00B775B8"/>
    <w:rsid w:val="00B77CB5"/>
    <w:rsid w:val="00B80F68"/>
    <w:rsid w:val="00B8132A"/>
    <w:rsid w:val="00B81483"/>
    <w:rsid w:val="00B81823"/>
    <w:rsid w:val="00B821D1"/>
    <w:rsid w:val="00B82CB1"/>
    <w:rsid w:val="00B83DD1"/>
    <w:rsid w:val="00B84075"/>
    <w:rsid w:val="00B85354"/>
    <w:rsid w:val="00B8540B"/>
    <w:rsid w:val="00B85B38"/>
    <w:rsid w:val="00B867A0"/>
    <w:rsid w:val="00B86DBC"/>
    <w:rsid w:val="00B877A2"/>
    <w:rsid w:val="00B87EC5"/>
    <w:rsid w:val="00B909BD"/>
    <w:rsid w:val="00B91076"/>
    <w:rsid w:val="00B91BCB"/>
    <w:rsid w:val="00B92738"/>
    <w:rsid w:val="00B92D6C"/>
    <w:rsid w:val="00B92F0A"/>
    <w:rsid w:val="00B92FA1"/>
    <w:rsid w:val="00B93157"/>
    <w:rsid w:val="00B9596C"/>
    <w:rsid w:val="00B959D7"/>
    <w:rsid w:val="00B961E9"/>
    <w:rsid w:val="00B967E7"/>
    <w:rsid w:val="00B97EB5"/>
    <w:rsid w:val="00BA1022"/>
    <w:rsid w:val="00BA1E81"/>
    <w:rsid w:val="00BA2454"/>
    <w:rsid w:val="00BA2853"/>
    <w:rsid w:val="00BA2BE7"/>
    <w:rsid w:val="00BA36E3"/>
    <w:rsid w:val="00BA3820"/>
    <w:rsid w:val="00BA3F40"/>
    <w:rsid w:val="00BA42CD"/>
    <w:rsid w:val="00BA4B74"/>
    <w:rsid w:val="00BA4BF4"/>
    <w:rsid w:val="00BA5E9E"/>
    <w:rsid w:val="00BA5ED1"/>
    <w:rsid w:val="00BA6223"/>
    <w:rsid w:val="00BA6B65"/>
    <w:rsid w:val="00BA715B"/>
    <w:rsid w:val="00BA78DA"/>
    <w:rsid w:val="00BB1668"/>
    <w:rsid w:val="00BB1A0A"/>
    <w:rsid w:val="00BB1B72"/>
    <w:rsid w:val="00BB26CA"/>
    <w:rsid w:val="00BB2BBB"/>
    <w:rsid w:val="00BB2F9F"/>
    <w:rsid w:val="00BB32D4"/>
    <w:rsid w:val="00BB3357"/>
    <w:rsid w:val="00BB3573"/>
    <w:rsid w:val="00BB3EBD"/>
    <w:rsid w:val="00BB431C"/>
    <w:rsid w:val="00BB4EF2"/>
    <w:rsid w:val="00BB57FE"/>
    <w:rsid w:val="00BB63E3"/>
    <w:rsid w:val="00BB6878"/>
    <w:rsid w:val="00BB71DD"/>
    <w:rsid w:val="00BB7D94"/>
    <w:rsid w:val="00BC0498"/>
    <w:rsid w:val="00BC11EC"/>
    <w:rsid w:val="00BC1D88"/>
    <w:rsid w:val="00BC2078"/>
    <w:rsid w:val="00BC216B"/>
    <w:rsid w:val="00BC2B79"/>
    <w:rsid w:val="00BC2B8F"/>
    <w:rsid w:val="00BC3542"/>
    <w:rsid w:val="00BC4306"/>
    <w:rsid w:val="00BC4889"/>
    <w:rsid w:val="00BC631C"/>
    <w:rsid w:val="00BC7A77"/>
    <w:rsid w:val="00BC7B75"/>
    <w:rsid w:val="00BC7EEF"/>
    <w:rsid w:val="00BD099C"/>
    <w:rsid w:val="00BD0AA7"/>
    <w:rsid w:val="00BD2322"/>
    <w:rsid w:val="00BD25E3"/>
    <w:rsid w:val="00BD2883"/>
    <w:rsid w:val="00BD3467"/>
    <w:rsid w:val="00BD4BDA"/>
    <w:rsid w:val="00BD5356"/>
    <w:rsid w:val="00BD5888"/>
    <w:rsid w:val="00BD5903"/>
    <w:rsid w:val="00BD5BBC"/>
    <w:rsid w:val="00BD5CCE"/>
    <w:rsid w:val="00BD5DB6"/>
    <w:rsid w:val="00BD5DFF"/>
    <w:rsid w:val="00BD68EF"/>
    <w:rsid w:val="00BD6B04"/>
    <w:rsid w:val="00BD6D76"/>
    <w:rsid w:val="00BD7D29"/>
    <w:rsid w:val="00BD7D90"/>
    <w:rsid w:val="00BE0563"/>
    <w:rsid w:val="00BE0E2F"/>
    <w:rsid w:val="00BE1778"/>
    <w:rsid w:val="00BE17DA"/>
    <w:rsid w:val="00BE36A1"/>
    <w:rsid w:val="00BE4AB6"/>
    <w:rsid w:val="00BE54C4"/>
    <w:rsid w:val="00BE5552"/>
    <w:rsid w:val="00BE5850"/>
    <w:rsid w:val="00BE59F7"/>
    <w:rsid w:val="00BE768D"/>
    <w:rsid w:val="00BE778B"/>
    <w:rsid w:val="00BE786B"/>
    <w:rsid w:val="00BE7AC1"/>
    <w:rsid w:val="00BF08FF"/>
    <w:rsid w:val="00BF0FD5"/>
    <w:rsid w:val="00BF1B67"/>
    <w:rsid w:val="00BF1DC7"/>
    <w:rsid w:val="00BF3268"/>
    <w:rsid w:val="00BF3E6B"/>
    <w:rsid w:val="00BF4AEC"/>
    <w:rsid w:val="00BF4C7D"/>
    <w:rsid w:val="00BF5068"/>
    <w:rsid w:val="00BF5848"/>
    <w:rsid w:val="00BF675E"/>
    <w:rsid w:val="00BF6C4F"/>
    <w:rsid w:val="00BF743F"/>
    <w:rsid w:val="00BF78B1"/>
    <w:rsid w:val="00BF7AF3"/>
    <w:rsid w:val="00C0216F"/>
    <w:rsid w:val="00C03577"/>
    <w:rsid w:val="00C03FDD"/>
    <w:rsid w:val="00C060AF"/>
    <w:rsid w:val="00C064BF"/>
    <w:rsid w:val="00C10301"/>
    <w:rsid w:val="00C10B41"/>
    <w:rsid w:val="00C113CC"/>
    <w:rsid w:val="00C11BBF"/>
    <w:rsid w:val="00C11DE0"/>
    <w:rsid w:val="00C133F0"/>
    <w:rsid w:val="00C134C6"/>
    <w:rsid w:val="00C14562"/>
    <w:rsid w:val="00C15347"/>
    <w:rsid w:val="00C15C82"/>
    <w:rsid w:val="00C1613A"/>
    <w:rsid w:val="00C167F6"/>
    <w:rsid w:val="00C16A50"/>
    <w:rsid w:val="00C16D48"/>
    <w:rsid w:val="00C16EF1"/>
    <w:rsid w:val="00C172CC"/>
    <w:rsid w:val="00C17315"/>
    <w:rsid w:val="00C17988"/>
    <w:rsid w:val="00C20A84"/>
    <w:rsid w:val="00C22270"/>
    <w:rsid w:val="00C22C3F"/>
    <w:rsid w:val="00C247FB"/>
    <w:rsid w:val="00C26521"/>
    <w:rsid w:val="00C267A8"/>
    <w:rsid w:val="00C27145"/>
    <w:rsid w:val="00C273B2"/>
    <w:rsid w:val="00C3001D"/>
    <w:rsid w:val="00C30A76"/>
    <w:rsid w:val="00C3161B"/>
    <w:rsid w:val="00C3189B"/>
    <w:rsid w:val="00C31E7D"/>
    <w:rsid w:val="00C32103"/>
    <w:rsid w:val="00C322EE"/>
    <w:rsid w:val="00C32CC2"/>
    <w:rsid w:val="00C33197"/>
    <w:rsid w:val="00C331B0"/>
    <w:rsid w:val="00C345B7"/>
    <w:rsid w:val="00C348F7"/>
    <w:rsid w:val="00C34B0A"/>
    <w:rsid w:val="00C34BD8"/>
    <w:rsid w:val="00C36928"/>
    <w:rsid w:val="00C36A31"/>
    <w:rsid w:val="00C36CA7"/>
    <w:rsid w:val="00C3731D"/>
    <w:rsid w:val="00C37691"/>
    <w:rsid w:val="00C37E83"/>
    <w:rsid w:val="00C40A71"/>
    <w:rsid w:val="00C40F5A"/>
    <w:rsid w:val="00C41722"/>
    <w:rsid w:val="00C41901"/>
    <w:rsid w:val="00C41A09"/>
    <w:rsid w:val="00C41C42"/>
    <w:rsid w:val="00C42E7E"/>
    <w:rsid w:val="00C447F5"/>
    <w:rsid w:val="00C450C7"/>
    <w:rsid w:val="00C450DE"/>
    <w:rsid w:val="00C4552E"/>
    <w:rsid w:val="00C470FD"/>
    <w:rsid w:val="00C50AFF"/>
    <w:rsid w:val="00C50CAC"/>
    <w:rsid w:val="00C517FC"/>
    <w:rsid w:val="00C521EF"/>
    <w:rsid w:val="00C5267A"/>
    <w:rsid w:val="00C542F5"/>
    <w:rsid w:val="00C54714"/>
    <w:rsid w:val="00C562EF"/>
    <w:rsid w:val="00C57112"/>
    <w:rsid w:val="00C6009F"/>
    <w:rsid w:val="00C604AF"/>
    <w:rsid w:val="00C61081"/>
    <w:rsid w:val="00C61EFF"/>
    <w:rsid w:val="00C62A86"/>
    <w:rsid w:val="00C62C6C"/>
    <w:rsid w:val="00C63106"/>
    <w:rsid w:val="00C6312C"/>
    <w:rsid w:val="00C63E1C"/>
    <w:rsid w:val="00C65510"/>
    <w:rsid w:val="00C65F85"/>
    <w:rsid w:val="00C6613D"/>
    <w:rsid w:val="00C6792A"/>
    <w:rsid w:val="00C709A2"/>
    <w:rsid w:val="00C71AB8"/>
    <w:rsid w:val="00C71E09"/>
    <w:rsid w:val="00C72370"/>
    <w:rsid w:val="00C7301C"/>
    <w:rsid w:val="00C73411"/>
    <w:rsid w:val="00C734A9"/>
    <w:rsid w:val="00C73AD9"/>
    <w:rsid w:val="00C74D3B"/>
    <w:rsid w:val="00C7542E"/>
    <w:rsid w:val="00C767C5"/>
    <w:rsid w:val="00C77A83"/>
    <w:rsid w:val="00C77C3F"/>
    <w:rsid w:val="00C80504"/>
    <w:rsid w:val="00C80929"/>
    <w:rsid w:val="00C81590"/>
    <w:rsid w:val="00C81606"/>
    <w:rsid w:val="00C81F68"/>
    <w:rsid w:val="00C81FAC"/>
    <w:rsid w:val="00C8220F"/>
    <w:rsid w:val="00C82647"/>
    <w:rsid w:val="00C827EF"/>
    <w:rsid w:val="00C82A5E"/>
    <w:rsid w:val="00C83393"/>
    <w:rsid w:val="00C83CDE"/>
    <w:rsid w:val="00C84E43"/>
    <w:rsid w:val="00C84E55"/>
    <w:rsid w:val="00C857DA"/>
    <w:rsid w:val="00C8698E"/>
    <w:rsid w:val="00C86BAB"/>
    <w:rsid w:val="00C870A3"/>
    <w:rsid w:val="00C876F0"/>
    <w:rsid w:val="00C878C5"/>
    <w:rsid w:val="00C879DF"/>
    <w:rsid w:val="00C9120C"/>
    <w:rsid w:val="00C91908"/>
    <w:rsid w:val="00C925C1"/>
    <w:rsid w:val="00C926BE"/>
    <w:rsid w:val="00C926C8"/>
    <w:rsid w:val="00C93473"/>
    <w:rsid w:val="00C94262"/>
    <w:rsid w:val="00C946B8"/>
    <w:rsid w:val="00C95382"/>
    <w:rsid w:val="00C95455"/>
    <w:rsid w:val="00C9663B"/>
    <w:rsid w:val="00C96741"/>
    <w:rsid w:val="00C96B1E"/>
    <w:rsid w:val="00C970A6"/>
    <w:rsid w:val="00C97323"/>
    <w:rsid w:val="00C9745A"/>
    <w:rsid w:val="00C97460"/>
    <w:rsid w:val="00C976F9"/>
    <w:rsid w:val="00CA0674"/>
    <w:rsid w:val="00CA0AAB"/>
    <w:rsid w:val="00CA1177"/>
    <w:rsid w:val="00CA249E"/>
    <w:rsid w:val="00CA27C3"/>
    <w:rsid w:val="00CA2939"/>
    <w:rsid w:val="00CA3923"/>
    <w:rsid w:val="00CA460C"/>
    <w:rsid w:val="00CA46F9"/>
    <w:rsid w:val="00CA6439"/>
    <w:rsid w:val="00CA695C"/>
    <w:rsid w:val="00CA6A8F"/>
    <w:rsid w:val="00CA76A0"/>
    <w:rsid w:val="00CB07EC"/>
    <w:rsid w:val="00CB1A2F"/>
    <w:rsid w:val="00CB1B89"/>
    <w:rsid w:val="00CB1F46"/>
    <w:rsid w:val="00CB32B7"/>
    <w:rsid w:val="00CB3B05"/>
    <w:rsid w:val="00CB48AE"/>
    <w:rsid w:val="00CB4E3C"/>
    <w:rsid w:val="00CB5269"/>
    <w:rsid w:val="00CB5333"/>
    <w:rsid w:val="00CB6B6D"/>
    <w:rsid w:val="00CB7169"/>
    <w:rsid w:val="00CB74C2"/>
    <w:rsid w:val="00CB77FE"/>
    <w:rsid w:val="00CC05D1"/>
    <w:rsid w:val="00CC0940"/>
    <w:rsid w:val="00CC1055"/>
    <w:rsid w:val="00CC274E"/>
    <w:rsid w:val="00CC29FA"/>
    <w:rsid w:val="00CC363D"/>
    <w:rsid w:val="00CC4F95"/>
    <w:rsid w:val="00CC5814"/>
    <w:rsid w:val="00CC5BC2"/>
    <w:rsid w:val="00CC6A53"/>
    <w:rsid w:val="00CC6B67"/>
    <w:rsid w:val="00CC6CFA"/>
    <w:rsid w:val="00CC6D4E"/>
    <w:rsid w:val="00CC7E13"/>
    <w:rsid w:val="00CD0142"/>
    <w:rsid w:val="00CD015C"/>
    <w:rsid w:val="00CD0351"/>
    <w:rsid w:val="00CD1969"/>
    <w:rsid w:val="00CD1A1F"/>
    <w:rsid w:val="00CD23AC"/>
    <w:rsid w:val="00CD2E62"/>
    <w:rsid w:val="00CD3BE9"/>
    <w:rsid w:val="00CD5F2D"/>
    <w:rsid w:val="00CD5F69"/>
    <w:rsid w:val="00CD6404"/>
    <w:rsid w:val="00CD6BE6"/>
    <w:rsid w:val="00CD6BEC"/>
    <w:rsid w:val="00CD75F1"/>
    <w:rsid w:val="00CE02F5"/>
    <w:rsid w:val="00CE0E39"/>
    <w:rsid w:val="00CE16BC"/>
    <w:rsid w:val="00CE1E83"/>
    <w:rsid w:val="00CE1FFD"/>
    <w:rsid w:val="00CE2043"/>
    <w:rsid w:val="00CE21DE"/>
    <w:rsid w:val="00CE2FA3"/>
    <w:rsid w:val="00CE3269"/>
    <w:rsid w:val="00CE3777"/>
    <w:rsid w:val="00CE3DE3"/>
    <w:rsid w:val="00CE3E52"/>
    <w:rsid w:val="00CE421A"/>
    <w:rsid w:val="00CE4302"/>
    <w:rsid w:val="00CE455E"/>
    <w:rsid w:val="00CE4690"/>
    <w:rsid w:val="00CE4F5A"/>
    <w:rsid w:val="00CE540D"/>
    <w:rsid w:val="00CE5C15"/>
    <w:rsid w:val="00CE5F4E"/>
    <w:rsid w:val="00CE6171"/>
    <w:rsid w:val="00CE62F8"/>
    <w:rsid w:val="00CE64F2"/>
    <w:rsid w:val="00CE7B53"/>
    <w:rsid w:val="00CE7C30"/>
    <w:rsid w:val="00CF0293"/>
    <w:rsid w:val="00CF0EF0"/>
    <w:rsid w:val="00CF0FB3"/>
    <w:rsid w:val="00CF0FBC"/>
    <w:rsid w:val="00CF1685"/>
    <w:rsid w:val="00CF171A"/>
    <w:rsid w:val="00CF1FC0"/>
    <w:rsid w:val="00CF2014"/>
    <w:rsid w:val="00CF2F88"/>
    <w:rsid w:val="00CF46B9"/>
    <w:rsid w:val="00CF52B9"/>
    <w:rsid w:val="00CF5F16"/>
    <w:rsid w:val="00CF5F61"/>
    <w:rsid w:val="00CF768A"/>
    <w:rsid w:val="00CF7B4F"/>
    <w:rsid w:val="00CF7E3A"/>
    <w:rsid w:val="00D01B22"/>
    <w:rsid w:val="00D01D78"/>
    <w:rsid w:val="00D01EC8"/>
    <w:rsid w:val="00D01F88"/>
    <w:rsid w:val="00D0244E"/>
    <w:rsid w:val="00D03866"/>
    <w:rsid w:val="00D04C08"/>
    <w:rsid w:val="00D04E22"/>
    <w:rsid w:val="00D05E70"/>
    <w:rsid w:val="00D06070"/>
    <w:rsid w:val="00D06BA3"/>
    <w:rsid w:val="00D06BE5"/>
    <w:rsid w:val="00D07201"/>
    <w:rsid w:val="00D07272"/>
    <w:rsid w:val="00D07477"/>
    <w:rsid w:val="00D075C8"/>
    <w:rsid w:val="00D1002E"/>
    <w:rsid w:val="00D1152F"/>
    <w:rsid w:val="00D1191C"/>
    <w:rsid w:val="00D11CAB"/>
    <w:rsid w:val="00D13E16"/>
    <w:rsid w:val="00D144EA"/>
    <w:rsid w:val="00D14FD9"/>
    <w:rsid w:val="00D151A1"/>
    <w:rsid w:val="00D163AB"/>
    <w:rsid w:val="00D163F5"/>
    <w:rsid w:val="00D16656"/>
    <w:rsid w:val="00D16869"/>
    <w:rsid w:val="00D16A2F"/>
    <w:rsid w:val="00D20E58"/>
    <w:rsid w:val="00D2178C"/>
    <w:rsid w:val="00D21C06"/>
    <w:rsid w:val="00D22470"/>
    <w:rsid w:val="00D2259F"/>
    <w:rsid w:val="00D22712"/>
    <w:rsid w:val="00D22CDF"/>
    <w:rsid w:val="00D2406C"/>
    <w:rsid w:val="00D248B4"/>
    <w:rsid w:val="00D248C6"/>
    <w:rsid w:val="00D24B16"/>
    <w:rsid w:val="00D258FF"/>
    <w:rsid w:val="00D25A35"/>
    <w:rsid w:val="00D264B6"/>
    <w:rsid w:val="00D274B8"/>
    <w:rsid w:val="00D27BB4"/>
    <w:rsid w:val="00D30137"/>
    <w:rsid w:val="00D3077A"/>
    <w:rsid w:val="00D307D2"/>
    <w:rsid w:val="00D30DC4"/>
    <w:rsid w:val="00D312A3"/>
    <w:rsid w:val="00D31654"/>
    <w:rsid w:val="00D31D51"/>
    <w:rsid w:val="00D32BDD"/>
    <w:rsid w:val="00D3336A"/>
    <w:rsid w:val="00D3396C"/>
    <w:rsid w:val="00D340C6"/>
    <w:rsid w:val="00D346D7"/>
    <w:rsid w:val="00D35436"/>
    <w:rsid w:val="00D40030"/>
    <w:rsid w:val="00D409BF"/>
    <w:rsid w:val="00D41206"/>
    <w:rsid w:val="00D416B7"/>
    <w:rsid w:val="00D41C51"/>
    <w:rsid w:val="00D4243D"/>
    <w:rsid w:val="00D4299C"/>
    <w:rsid w:val="00D42D2C"/>
    <w:rsid w:val="00D4307F"/>
    <w:rsid w:val="00D438A7"/>
    <w:rsid w:val="00D438EF"/>
    <w:rsid w:val="00D44279"/>
    <w:rsid w:val="00D444E8"/>
    <w:rsid w:val="00D44516"/>
    <w:rsid w:val="00D44D70"/>
    <w:rsid w:val="00D44F0E"/>
    <w:rsid w:val="00D4572F"/>
    <w:rsid w:val="00D45B2D"/>
    <w:rsid w:val="00D45D7F"/>
    <w:rsid w:val="00D45E04"/>
    <w:rsid w:val="00D469A6"/>
    <w:rsid w:val="00D46EB9"/>
    <w:rsid w:val="00D4707C"/>
    <w:rsid w:val="00D47414"/>
    <w:rsid w:val="00D475A5"/>
    <w:rsid w:val="00D476A2"/>
    <w:rsid w:val="00D4788B"/>
    <w:rsid w:val="00D51ADB"/>
    <w:rsid w:val="00D520C7"/>
    <w:rsid w:val="00D525AF"/>
    <w:rsid w:val="00D52CE3"/>
    <w:rsid w:val="00D5334A"/>
    <w:rsid w:val="00D53567"/>
    <w:rsid w:val="00D543C2"/>
    <w:rsid w:val="00D55155"/>
    <w:rsid w:val="00D55522"/>
    <w:rsid w:val="00D56AC0"/>
    <w:rsid w:val="00D56E15"/>
    <w:rsid w:val="00D5752F"/>
    <w:rsid w:val="00D576FA"/>
    <w:rsid w:val="00D579B5"/>
    <w:rsid w:val="00D60CC2"/>
    <w:rsid w:val="00D60CDB"/>
    <w:rsid w:val="00D60DB2"/>
    <w:rsid w:val="00D61E6B"/>
    <w:rsid w:val="00D6247A"/>
    <w:rsid w:val="00D63A58"/>
    <w:rsid w:val="00D63BB8"/>
    <w:rsid w:val="00D6400C"/>
    <w:rsid w:val="00D642A9"/>
    <w:rsid w:val="00D64589"/>
    <w:rsid w:val="00D65BA3"/>
    <w:rsid w:val="00D65C3E"/>
    <w:rsid w:val="00D67B30"/>
    <w:rsid w:val="00D70746"/>
    <w:rsid w:val="00D707B4"/>
    <w:rsid w:val="00D71288"/>
    <w:rsid w:val="00D71569"/>
    <w:rsid w:val="00D715BF"/>
    <w:rsid w:val="00D715F9"/>
    <w:rsid w:val="00D7165E"/>
    <w:rsid w:val="00D71B2C"/>
    <w:rsid w:val="00D71D98"/>
    <w:rsid w:val="00D71E1A"/>
    <w:rsid w:val="00D7221A"/>
    <w:rsid w:val="00D72543"/>
    <w:rsid w:val="00D7265C"/>
    <w:rsid w:val="00D72B6E"/>
    <w:rsid w:val="00D7377F"/>
    <w:rsid w:val="00D73A9E"/>
    <w:rsid w:val="00D74081"/>
    <w:rsid w:val="00D74F16"/>
    <w:rsid w:val="00D75B4E"/>
    <w:rsid w:val="00D75C96"/>
    <w:rsid w:val="00D7606F"/>
    <w:rsid w:val="00D76104"/>
    <w:rsid w:val="00D761A1"/>
    <w:rsid w:val="00D767ED"/>
    <w:rsid w:val="00D767FF"/>
    <w:rsid w:val="00D7768A"/>
    <w:rsid w:val="00D80A62"/>
    <w:rsid w:val="00D81174"/>
    <w:rsid w:val="00D81FFF"/>
    <w:rsid w:val="00D82213"/>
    <w:rsid w:val="00D82749"/>
    <w:rsid w:val="00D83719"/>
    <w:rsid w:val="00D8554F"/>
    <w:rsid w:val="00D8597D"/>
    <w:rsid w:val="00D860A6"/>
    <w:rsid w:val="00D8788D"/>
    <w:rsid w:val="00D87A40"/>
    <w:rsid w:val="00D908D8"/>
    <w:rsid w:val="00D90976"/>
    <w:rsid w:val="00D91E79"/>
    <w:rsid w:val="00D933AA"/>
    <w:rsid w:val="00D93AAB"/>
    <w:rsid w:val="00D94DDE"/>
    <w:rsid w:val="00D9609F"/>
    <w:rsid w:val="00D963AF"/>
    <w:rsid w:val="00D9654D"/>
    <w:rsid w:val="00D96E7B"/>
    <w:rsid w:val="00D9724B"/>
    <w:rsid w:val="00D978CC"/>
    <w:rsid w:val="00D979F5"/>
    <w:rsid w:val="00D97A82"/>
    <w:rsid w:val="00DA3144"/>
    <w:rsid w:val="00DA3225"/>
    <w:rsid w:val="00DA38D9"/>
    <w:rsid w:val="00DA3D07"/>
    <w:rsid w:val="00DA525E"/>
    <w:rsid w:val="00DA567C"/>
    <w:rsid w:val="00DA5D79"/>
    <w:rsid w:val="00DA6946"/>
    <w:rsid w:val="00DA755C"/>
    <w:rsid w:val="00DB1085"/>
    <w:rsid w:val="00DB1A00"/>
    <w:rsid w:val="00DB2560"/>
    <w:rsid w:val="00DB390F"/>
    <w:rsid w:val="00DB42F2"/>
    <w:rsid w:val="00DB470A"/>
    <w:rsid w:val="00DB477A"/>
    <w:rsid w:val="00DB47DF"/>
    <w:rsid w:val="00DB4E3C"/>
    <w:rsid w:val="00DB4F3F"/>
    <w:rsid w:val="00DB4F85"/>
    <w:rsid w:val="00DB60F7"/>
    <w:rsid w:val="00DB682C"/>
    <w:rsid w:val="00DB6EC9"/>
    <w:rsid w:val="00DB7D8F"/>
    <w:rsid w:val="00DC05B2"/>
    <w:rsid w:val="00DC0CE9"/>
    <w:rsid w:val="00DC0D6B"/>
    <w:rsid w:val="00DC13B2"/>
    <w:rsid w:val="00DC275F"/>
    <w:rsid w:val="00DC4951"/>
    <w:rsid w:val="00DC62A0"/>
    <w:rsid w:val="00DC7132"/>
    <w:rsid w:val="00DC7830"/>
    <w:rsid w:val="00DD0E19"/>
    <w:rsid w:val="00DD1C0A"/>
    <w:rsid w:val="00DD305B"/>
    <w:rsid w:val="00DD30BD"/>
    <w:rsid w:val="00DD3329"/>
    <w:rsid w:val="00DD3438"/>
    <w:rsid w:val="00DD4F54"/>
    <w:rsid w:val="00DD5497"/>
    <w:rsid w:val="00DD5734"/>
    <w:rsid w:val="00DD5B65"/>
    <w:rsid w:val="00DD60EF"/>
    <w:rsid w:val="00DD6404"/>
    <w:rsid w:val="00DD689C"/>
    <w:rsid w:val="00DD6983"/>
    <w:rsid w:val="00DD758C"/>
    <w:rsid w:val="00DD7693"/>
    <w:rsid w:val="00DE02E7"/>
    <w:rsid w:val="00DE03E6"/>
    <w:rsid w:val="00DE06E0"/>
    <w:rsid w:val="00DE0C29"/>
    <w:rsid w:val="00DE3E6F"/>
    <w:rsid w:val="00DE3F1A"/>
    <w:rsid w:val="00DE4A67"/>
    <w:rsid w:val="00DE4BAE"/>
    <w:rsid w:val="00DE539A"/>
    <w:rsid w:val="00DE5E84"/>
    <w:rsid w:val="00DF19ED"/>
    <w:rsid w:val="00DF1B0B"/>
    <w:rsid w:val="00DF1EBC"/>
    <w:rsid w:val="00DF2668"/>
    <w:rsid w:val="00DF30B8"/>
    <w:rsid w:val="00DF355B"/>
    <w:rsid w:val="00DF3923"/>
    <w:rsid w:val="00DF493F"/>
    <w:rsid w:val="00DF4C27"/>
    <w:rsid w:val="00DF4FFB"/>
    <w:rsid w:val="00DF54B1"/>
    <w:rsid w:val="00DF58ED"/>
    <w:rsid w:val="00DF5BB9"/>
    <w:rsid w:val="00DF66D3"/>
    <w:rsid w:val="00DF6837"/>
    <w:rsid w:val="00E007AC"/>
    <w:rsid w:val="00E0082F"/>
    <w:rsid w:val="00E0091A"/>
    <w:rsid w:val="00E00EA6"/>
    <w:rsid w:val="00E01079"/>
    <w:rsid w:val="00E014B9"/>
    <w:rsid w:val="00E017DA"/>
    <w:rsid w:val="00E0203D"/>
    <w:rsid w:val="00E02AB1"/>
    <w:rsid w:val="00E034A7"/>
    <w:rsid w:val="00E040C1"/>
    <w:rsid w:val="00E0416F"/>
    <w:rsid w:val="00E0446A"/>
    <w:rsid w:val="00E052B1"/>
    <w:rsid w:val="00E060F8"/>
    <w:rsid w:val="00E0650E"/>
    <w:rsid w:val="00E068ED"/>
    <w:rsid w:val="00E07A31"/>
    <w:rsid w:val="00E1077E"/>
    <w:rsid w:val="00E11176"/>
    <w:rsid w:val="00E11E47"/>
    <w:rsid w:val="00E11EC6"/>
    <w:rsid w:val="00E12CE2"/>
    <w:rsid w:val="00E13564"/>
    <w:rsid w:val="00E14741"/>
    <w:rsid w:val="00E14FEC"/>
    <w:rsid w:val="00E15EBE"/>
    <w:rsid w:val="00E16536"/>
    <w:rsid w:val="00E1696F"/>
    <w:rsid w:val="00E17446"/>
    <w:rsid w:val="00E2038E"/>
    <w:rsid w:val="00E20E6B"/>
    <w:rsid w:val="00E20F1C"/>
    <w:rsid w:val="00E21954"/>
    <w:rsid w:val="00E228C5"/>
    <w:rsid w:val="00E2305C"/>
    <w:rsid w:val="00E2468D"/>
    <w:rsid w:val="00E24EFC"/>
    <w:rsid w:val="00E253D4"/>
    <w:rsid w:val="00E25B15"/>
    <w:rsid w:val="00E268E3"/>
    <w:rsid w:val="00E27150"/>
    <w:rsid w:val="00E2785E"/>
    <w:rsid w:val="00E30315"/>
    <w:rsid w:val="00E316E8"/>
    <w:rsid w:val="00E31CD4"/>
    <w:rsid w:val="00E324E5"/>
    <w:rsid w:val="00E326DC"/>
    <w:rsid w:val="00E32CB8"/>
    <w:rsid w:val="00E33406"/>
    <w:rsid w:val="00E342B0"/>
    <w:rsid w:val="00E34881"/>
    <w:rsid w:val="00E34D85"/>
    <w:rsid w:val="00E3530F"/>
    <w:rsid w:val="00E353B1"/>
    <w:rsid w:val="00E355A8"/>
    <w:rsid w:val="00E355FA"/>
    <w:rsid w:val="00E35BB2"/>
    <w:rsid w:val="00E35D4F"/>
    <w:rsid w:val="00E35F6B"/>
    <w:rsid w:val="00E3663C"/>
    <w:rsid w:val="00E36E1F"/>
    <w:rsid w:val="00E37212"/>
    <w:rsid w:val="00E372DE"/>
    <w:rsid w:val="00E37F95"/>
    <w:rsid w:val="00E4001C"/>
    <w:rsid w:val="00E40ADD"/>
    <w:rsid w:val="00E40C14"/>
    <w:rsid w:val="00E40D43"/>
    <w:rsid w:val="00E4168D"/>
    <w:rsid w:val="00E41BA3"/>
    <w:rsid w:val="00E41EFF"/>
    <w:rsid w:val="00E41F61"/>
    <w:rsid w:val="00E422B6"/>
    <w:rsid w:val="00E429B7"/>
    <w:rsid w:val="00E42C41"/>
    <w:rsid w:val="00E43133"/>
    <w:rsid w:val="00E4324B"/>
    <w:rsid w:val="00E4355B"/>
    <w:rsid w:val="00E44271"/>
    <w:rsid w:val="00E44EBA"/>
    <w:rsid w:val="00E45729"/>
    <w:rsid w:val="00E45D37"/>
    <w:rsid w:val="00E45D38"/>
    <w:rsid w:val="00E4611C"/>
    <w:rsid w:val="00E46244"/>
    <w:rsid w:val="00E4663B"/>
    <w:rsid w:val="00E473A0"/>
    <w:rsid w:val="00E501B8"/>
    <w:rsid w:val="00E50C89"/>
    <w:rsid w:val="00E5201D"/>
    <w:rsid w:val="00E528B4"/>
    <w:rsid w:val="00E52B2E"/>
    <w:rsid w:val="00E5320E"/>
    <w:rsid w:val="00E533D2"/>
    <w:rsid w:val="00E53644"/>
    <w:rsid w:val="00E53C3A"/>
    <w:rsid w:val="00E54DFF"/>
    <w:rsid w:val="00E55F38"/>
    <w:rsid w:val="00E565ED"/>
    <w:rsid w:val="00E569D5"/>
    <w:rsid w:val="00E56A3A"/>
    <w:rsid w:val="00E5720E"/>
    <w:rsid w:val="00E575D1"/>
    <w:rsid w:val="00E57B0A"/>
    <w:rsid w:val="00E57EA8"/>
    <w:rsid w:val="00E60334"/>
    <w:rsid w:val="00E6047C"/>
    <w:rsid w:val="00E60650"/>
    <w:rsid w:val="00E61A05"/>
    <w:rsid w:val="00E61A7B"/>
    <w:rsid w:val="00E62720"/>
    <w:rsid w:val="00E636A3"/>
    <w:rsid w:val="00E6405B"/>
    <w:rsid w:val="00E64203"/>
    <w:rsid w:val="00E6433C"/>
    <w:rsid w:val="00E6452D"/>
    <w:rsid w:val="00E64630"/>
    <w:rsid w:val="00E64CAC"/>
    <w:rsid w:val="00E65E7A"/>
    <w:rsid w:val="00E6605F"/>
    <w:rsid w:val="00E670B9"/>
    <w:rsid w:val="00E6766D"/>
    <w:rsid w:val="00E67CC6"/>
    <w:rsid w:val="00E7041D"/>
    <w:rsid w:val="00E70932"/>
    <w:rsid w:val="00E70BD4"/>
    <w:rsid w:val="00E70DE2"/>
    <w:rsid w:val="00E7175A"/>
    <w:rsid w:val="00E721AC"/>
    <w:rsid w:val="00E721D9"/>
    <w:rsid w:val="00E72323"/>
    <w:rsid w:val="00E72830"/>
    <w:rsid w:val="00E73A7E"/>
    <w:rsid w:val="00E73D90"/>
    <w:rsid w:val="00E746FA"/>
    <w:rsid w:val="00E74B14"/>
    <w:rsid w:val="00E74F3D"/>
    <w:rsid w:val="00E75134"/>
    <w:rsid w:val="00E7521D"/>
    <w:rsid w:val="00E75233"/>
    <w:rsid w:val="00E75A52"/>
    <w:rsid w:val="00E76981"/>
    <w:rsid w:val="00E76D36"/>
    <w:rsid w:val="00E76FB9"/>
    <w:rsid w:val="00E771FD"/>
    <w:rsid w:val="00E77271"/>
    <w:rsid w:val="00E77405"/>
    <w:rsid w:val="00E77BEA"/>
    <w:rsid w:val="00E77FEE"/>
    <w:rsid w:val="00E80594"/>
    <w:rsid w:val="00E81F11"/>
    <w:rsid w:val="00E82391"/>
    <w:rsid w:val="00E826A8"/>
    <w:rsid w:val="00E836A2"/>
    <w:rsid w:val="00E83A8F"/>
    <w:rsid w:val="00E83C00"/>
    <w:rsid w:val="00E83E8F"/>
    <w:rsid w:val="00E8417D"/>
    <w:rsid w:val="00E84439"/>
    <w:rsid w:val="00E84F0C"/>
    <w:rsid w:val="00E85D1F"/>
    <w:rsid w:val="00E86DB0"/>
    <w:rsid w:val="00E87645"/>
    <w:rsid w:val="00E90F2C"/>
    <w:rsid w:val="00E9193D"/>
    <w:rsid w:val="00E91A8F"/>
    <w:rsid w:val="00E91BB1"/>
    <w:rsid w:val="00E93DEE"/>
    <w:rsid w:val="00E9428A"/>
    <w:rsid w:val="00E94CE3"/>
    <w:rsid w:val="00E951DD"/>
    <w:rsid w:val="00E95B4B"/>
    <w:rsid w:val="00E96056"/>
    <w:rsid w:val="00E96058"/>
    <w:rsid w:val="00E962B0"/>
    <w:rsid w:val="00E96761"/>
    <w:rsid w:val="00E96A89"/>
    <w:rsid w:val="00E96FDD"/>
    <w:rsid w:val="00E9728C"/>
    <w:rsid w:val="00E97E89"/>
    <w:rsid w:val="00EA045E"/>
    <w:rsid w:val="00EA09C3"/>
    <w:rsid w:val="00EA185F"/>
    <w:rsid w:val="00EA1E91"/>
    <w:rsid w:val="00EA1EF1"/>
    <w:rsid w:val="00EA3167"/>
    <w:rsid w:val="00EA3548"/>
    <w:rsid w:val="00EA35C5"/>
    <w:rsid w:val="00EA36EA"/>
    <w:rsid w:val="00EA3750"/>
    <w:rsid w:val="00EA3989"/>
    <w:rsid w:val="00EA43C7"/>
    <w:rsid w:val="00EA4F3F"/>
    <w:rsid w:val="00EA57DF"/>
    <w:rsid w:val="00EA62BF"/>
    <w:rsid w:val="00EA6864"/>
    <w:rsid w:val="00EA6D85"/>
    <w:rsid w:val="00EA78BB"/>
    <w:rsid w:val="00EB0247"/>
    <w:rsid w:val="00EB0862"/>
    <w:rsid w:val="00EB08D9"/>
    <w:rsid w:val="00EB16FD"/>
    <w:rsid w:val="00EB1E40"/>
    <w:rsid w:val="00EB1F77"/>
    <w:rsid w:val="00EB21CA"/>
    <w:rsid w:val="00EB221B"/>
    <w:rsid w:val="00EB3E89"/>
    <w:rsid w:val="00EB41AC"/>
    <w:rsid w:val="00EB4DA9"/>
    <w:rsid w:val="00EB5051"/>
    <w:rsid w:val="00EB668E"/>
    <w:rsid w:val="00EB6E6E"/>
    <w:rsid w:val="00EB74EF"/>
    <w:rsid w:val="00EC0029"/>
    <w:rsid w:val="00EC09CA"/>
    <w:rsid w:val="00EC0C82"/>
    <w:rsid w:val="00EC1F3A"/>
    <w:rsid w:val="00EC2912"/>
    <w:rsid w:val="00EC2C09"/>
    <w:rsid w:val="00EC30E2"/>
    <w:rsid w:val="00EC451D"/>
    <w:rsid w:val="00EC4D4C"/>
    <w:rsid w:val="00EC52D4"/>
    <w:rsid w:val="00EC5326"/>
    <w:rsid w:val="00EC54F9"/>
    <w:rsid w:val="00EC5C01"/>
    <w:rsid w:val="00EC6F6B"/>
    <w:rsid w:val="00EC711E"/>
    <w:rsid w:val="00EC7DA5"/>
    <w:rsid w:val="00ED05E6"/>
    <w:rsid w:val="00ED0ABC"/>
    <w:rsid w:val="00ED0AD3"/>
    <w:rsid w:val="00ED153A"/>
    <w:rsid w:val="00ED17FE"/>
    <w:rsid w:val="00ED26FD"/>
    <w:rsid w:val="00ED2BF5"/>
    <w:rsid w:val="00ED390A"/>
    <w:rsid w:val="00ED3BA3"/>
    <w:rsid w:val="00ED4478"/>
    <w:rsid w:val="00ED44FC"/>
    <w:rsid w:val="00ED46FC"/>
    <w:rsid w:val="00ED47A2"/>
    <w:rsid w:val="00ED4E8C"/>
    <w:rsid w:val="00ED506E"/>
    <w:rsid w:val="00ED519F"/>
    <w:rsid w:val="00ED617E"/>
    <w:rsid w:val="00ED64B7"/>
    <w:rsid w:val="00ED678B"/>
    <w:rsid w:val="00ED68DE"/>
    <w:rsid w:val="00ED69CF"/>
    <w:rsid w:val="00ED719D"/>
    <w:rsid w:val="00ED789C"/>
    <w:rsid w:val="00ED7FB2"/>
    <w:rsid w:val="00EE02AD"/>
    <w:rsid w:val="00EE0AF5"/>
    <w:rsid w:val="00EE1A86"/>
    <w:rsid w:val="00EE1B9C"/>
    <w:rsid w:val="00EE1E90"/>
    <w:rsid w:val="00EE338C"/>
    <w:rsid w:val="00EE357C"/>
    <w:rsid w:val="00EE3A7E"/>
    <w:rsid w:val="00EE3C98"/>
    <w:rsid w:val="00EE4006"/>
    <w:rsid w:val="00EE6510"/>
    <w:rsid w:val="00EE6573"/>
    <w:rsid w:val="00EE681A"/>
    <w:rsid w:val="00EE7029"/>
    <w:rsid w:val="00EE7696"/>
    <w:rsid w:val="00EF05C1"/>
    <w:rsid w:val="00EF10C3"/>
    <w:rsid w:val="00EF23DB"/>
    <w:rsid w:val="00EF2566"/>
    <w:rsid w:val="00EF2C80"/>
    <w:rsid w:val="00EF3B03"/>
    <w:rsid w:val="00EF48E3"/>
    <w:rsid w:val="00EF542E"/>
    <w:rsid w:val="00EF5C9C"/>
    <w:rsid w:val="00EF5CA5"/>
    <w:rsid w:val="00EF6963"/>
    <w:rsid w:val="00EF6AF2"/>
    <w:rsid w:val="00F00765"/>
    <w:rsid w:val="00F00F10"/>
    <w:rsid w:val="00F01ACB"/>
    <w:rsid w:val="00F0214F"/>
    <w:rsid w:val="00F026C0"/>
    <w:rsid w:val="00F02EC3"/>
    <w:rsid w:val="00F03D50"/>
    <w:rsid w:val="00F04793"/>
    <w:rsid w:val="00F056EF"/>
    <w:rsid w:val="00F0673E"/>
    <w:rsid w:val="00F067E1"/>
    <w:rsid w:val="00F069ED"/>
    <w:rsid w:val="00F07111"/>
    <w:rsid w:val="00F07193"/>
    <w:rsid w:val="00F072EF"/>
    <w:rsid w:val="00F11115"/>
    <w:rsid w:val="00F116CB"/>
    <w:rsid w:val="00F1275D"/>
    <w:rsid w:val="00F12781"/>
    <w:rsid w:val="00F12944"/>
    <w:rsid w:val="00F12AA7"/>
    <w:rsid w:val="00F146D9"/>
    <w:rsid w:val="00F15445"/>
    <w:rsid w:val="00F15691"/>
    <w:rsid w:val="00F1572A"/>
    <w:rsid w:val="00F15E02"/>
    <w:rsid w:val="00F167EE"/>
    <w:rsid w:val="00F16A0B"/>
    <w:rsid w:val="00F17AB7"/>
    <w:rsid w:val="00F204B6"/>
    <w:rsid w:val="00F216C8"/>
    <w:rsid w:val="00F2236B"/>
    <w:rsid w:val="00F22F61"/>
    <w:rsid w:val="00F23238"/>
    <w:rsid w:val="00F23948"/>
    <w:rsid w:val="00F2408D"/>
    <w:rsid w:val="00F255FC"/>
    <w:rsid w:val="00F25630"/>
    <w:rsid w:val="00F259CB"/>
    <w:rsid w:val="00F269D2"/>
    <w:rsid w:val="00F26EC0"/>
    <w:rsid w:val="00F27401"/>
    <w:rsid w:val="00F27C01"/>
    <w:rsid w:val="00F27F9A"/>
    <w:rsid w:val="00F30968"/>
    <w:rsid w:val="00F30B25"/>
    <w:rsid w:val="00F30C86"/>
    <w:rsid w:val="00F30E57"/>
    <w:rsid w:val="00F343B9"/>
    <w:rsid w:val="00F347E6"/>
    <w:rsid w:val="00F34BE2"/>
    <w:rsid w:val="00F355DA"/>
    <w:rsid w:val="00F35A31"/>
    <w:rsid w:val="00F35E29"/>
    <w:rsid w:val="00F35F31"/>
    <w:rsid w:val="00F36534"/>
    <w:rsid w:val="00F374CE"/>
    <w:rsid w:val="00F400F3"/>
    <w:rsid w:val="00F40600"/>
    <w:rsid w:val="00F4075B"/>
    <w:rsid w:val="00F40761"/>
    <w:rsid w:val="00F41527"/>
    <w:rsid w:val="00F421A8"/>
    <w:rsid w:val="00F425EE"/>
    <w:rsid w:val="00F42678"/>
    <w:rsid w:val="00F4280B"/>
    <w:rsid w:val="00F432DE"/>
    <w:rsid w:val="00F44237"/>
    <w:rsid w:val="00F448B4"/>
    <w:rsid w:val="00F45367"/>
    <w:rsid w:val="00F45A5F"/>
    <w:rsid w:val="00F4680F"/>
    <w:rsid w:val="00F46C2B"/>
    <w:rsid w:val="00F46DB1"/>
    <w:rsid w:val="00F46E93"/>
    <w:rsid w:val="00F508F2"/>
    <w:rsid w:val="00F50A2D"/>
    <w:rsid w:val="00F50B26"/>
    <w:rsid w:val="00F50E06"/>
    <w:rsid w:val="00F51F95"/>
    <w:rsid w:val="00F52C7A"/>
    <w:rsid w:val="00F531BA"/>
    <w:rsid w:val="00F53CA2"/>
    <w:rsid w:val="00F5413F"/>
    <w:rsid w:val="00F54C86"/>
    <w:rsid w:val="00F56A37"/>
    <w:rsid w:val="00F56F4F"/>
    <w:rsid w:val="00F57AA3"/>
    <w:rsid w:val="00F57CF9"/>
    <w:rsid w:val="00F57D45"/>
    <w:rsid w:val="00F57F10"/>
    <w:rsid w:val="00F60559"/>
    <w:rsid w:val="00F60C18"/>
    <w:rsid w:val="00F60D6B"/>
    <w:rsid w:val="00F612D9"/>
    <w:rsid w:val="00F6171E"/>
    <w:rsid w:val="00F6214D"/>
    <w:rsid w:val="00F6215B"/>
    <w:rsid w:val="00F6237B"/>
    <w:rsid w:val="00F62596"/>
    <w:rsid w:val="00F625D1"/>
    <w:rsid w:val="00F62707"/>
    <w:rsid w:val="00F62BAD"/>
    <w:rsid w:val="00F62F2F"/>
    <w:rsid w:val="00F64E0B"/>
    <w:rsid w:val="00F662C5"/>
    <w:rsid w:val="00F664E2"/>
    <w:rsid w:val="00F66B07"/>
    <w:rsid w:val="00F66D21"/>
    <w:rsid w:val="00F66EC6"/>
    <w:rsid w:val="00F677A5"/>
    <w:rsid w:val="00F67B0B"/>
    <w:rsid w:val="00F67B7A"/>
    <w:rsid w:val="00F67F99"/>
    <w:rsid w:val="00F706D5"/>
    <w:rsid w:val="00F7102C"/>
    <w:rsid w:val="00F71A73"/>
    <w:rsid w:val="00F720B1"/>
    <w:rsid w:val="00F7219D"/>
    <w:rsid w:val="00F7268C"/>
    <w:rsid w:val="00F72EC9"/>
    <w:rsid w:val="00F74342"/>
    <w:rsid w:val="00F74A24"/>
    <w:rsid w:val="00F75176"/>
    <w:rsid w:val="00F753D8"/>
    <w:rsid w:val="00F75E2E"/>
    <w:rsid w:val="00F76466"/>
    <w:rsid w:val="00F766B8"/>
    <w:rsid w:val="00F7707B"/>
    <w:rsid w:val="00F775BE"/>
    <w:rsid w:val="00F7779E"/>
    <w:rsid w:val="00F779C3"/>
    <w:rsid w:val="00F77AA7"/>
    <w:rsid w:val="00F77DFB"/>
    <w:rsid w:val="00F8113A"/>
    <w:rsid w:val="00F82ADD"/>
    <w:rsid w:val="00F83AF7"/>
    <w:rsid w:val="00F83D1E"/>
    <w:rsid w:val="00F8422E"/>
    <w:rsid w:val="00F84564"/>
    <w:rsid w:val="00F84617"/>
    <w:rsid w:val="00F85951"/>
    <w:rsid w:val="00F85D75"/>
    <w:rsid w:val="00F87485"/>
    <w:rsid w:val="00F87BAD"/>
    <w:rsid w:val="00F90E20"/>
    <w:rsid w:val="00F9101A"/>
    <w:rsid w:val="00F91A4A"/>
    <w:rsid w:val="00F91FEC"/>
    <w:rsid w:val="00F9212F"/>
    <w:rsid w:val="00F92534"/>
    <w:rsid w:val="00F9285D"/>
    <w:rsid w:val="00F92B9F"/>
    <w:rsid w:val="00F92BFD"/>
    <w:rsid w:val="00F9349D"/>
    <w:rsid w:val="00F93F04"/>
    <w:rsid w:val="00F9409A"/>
    <w:rsid w:val="00F949DB"/>
    <w:rsid w:val="00F966C3"/>
    <w:rsid w:val="00F96A3E"/>
    <w:rsid w:val="00F96BFE"/>
    <w:rsid w:val="00F96E2C"/>
    <w:rsid w:val="00F97F7F"/>
    <w:rsid w:val="00FA00CC"/>
    <w:rsid w:val="00FA0419"/>
    <w:rsid w:val="00FA0949"/>
    <w:rsid w:val="00FA0D76"/>
    <w:rsid w:val="00FA1035"/>
    <w:rsid w:val="00FA14D5"/>
    <w:rsid w:val="00FA1A85"/>
    <w:rsid w:val="00FA2858"/>
    <w:rsid w:val="00FA2DA5"/>
    <w:rsid w:val="00FA31DE"/>
    <w:rsid w:val="00FA3230"/>
    <w:rsid w:val="00FA387A"/>
    <w:rsid w:val="00FA42AB"/>
    <w:rsid w:val="00FA51E3"/>
    <w:rsid w:val="00FA5FB5"/>
    <w:rsid w:val="00FA5FB7"/>
    <w:rsid w:val="00FA6764"/>
    <w:rsid w:val="00FA68D2"/>
    <w:rsid w:val="00FA7684"/>
    <w:rsid w:val="00FA7963"/>
    <w:rsid w:val="00FB16D2"/>
    <w:rsid w:val="00FB1865"/>
    <w:rsid w:val="00FB191F"/>
    <w:rsid w:val="00FB2827"/>
    <w:rsid w:val="00FB33F7"/>
    <w:rsid w:val="00FB3623"/>
    <w:rsid w:val="00FB3C84"/>
    <w:rsid w:val="00FB3EC1"/>
    <w:rsid w:val="00FB4876"/>
    <w:rsid w:val="00FB52D7"/>
    <w:rsid w:val="00FB62E0"/>
    <w:rsid w:val="00FB724B"/>
    <w:rsid w:val="00FC019D"/>
    <w:rsid w:val="00FC0356"/>
    <w:rsid w:val="00FC0CE3"/>
    <w:rsid w:val="00FC0CF3"/>
    <w:rsid w:val="00FC0E7B"/>
    <w:rsid w:val="00FC2458"/>
    <w:rsid w:val="00FC27C9"/>
    <w:rsid w:val="00FC3856"/>
    <w:rsid w:val="00FC3EDF"/>
    <w:rsid w:val="00FC503A"/>
    <w:rsid w:val="00FC561F"/>
    <w:rsid w:val="00FD006B"/>
    <w:rsid w:val="00FD0370"/>
    <w:rsid w:val="00FD089F"/>
    <w:rsid w:val="00FD0D2A"/>
    <w:rsid w:val="00FD0EE8"/>
    <w:rsid w:val="00FD103C"/>
    <w:rsid w:val="00FD1405"/>
    <w:rsid w:val="00FD1642"/>
    <w:rsid w:val="00FD1E86"/>
    <w:rsid w:val="00FD2068"/>
    <w:rsid w:val="00FD2298"/>
    <w:rsid w:val="00FD2371"/>
    <w:rsid w:val="00FD2C8A"/>
    <w:rsid w:val="00FD2D9A"/>
    <w:rsid w:val="00FD305D"/>
    <w:rsid w:val="00FD3261"/>
    <w:rsid w:val="00FD4159"/>
    <w:rsid w:val="00FD6A22"/>
    <w:rsid w:val="00FD72D2"/>
    <w:rsid w:val="00FD75A6"/>
    <w:rsid w:val="00FD785F"/>
    <w:rsid w:val="00FE0ABF"/>
    <w:rsid w:val="00FE0C37"/>
    <w:rsid w:val="00FE19EF"/>
    <w:rsid w:val="00FE1B4E"/>
    <w:rsid w:val="00FE1FD6"/>
    <w:rsid w:val="00FE2AEF"/>
    <w:rsid w:val="00FE30C6"/>
    <w:rsid w:val="00FE314F"/>
    <w:rsid w:val="00FE32FF"/>
    <w:rsid w:val="00FE3AFD"/>
    <w:rsid w:val="00FE43D8"/>
    <w:rsid w:val="00FE44F2"/>
    <w:rsid w:val="00FE4F6A"/>
    <w:rsid w:val="00FE509A"/>
    <w:rsid w:val="00FE50E1"/>
    <w:rsid w:val="00FE6AC2"/>
    <w:rsid w:val="00FE7292"/>
    <w:rsid w:val="00FE7491"/>
    <w:rsid w:val="00FF018B"/>
    <w:rsid w:val="00FF0392"/>
    <w:rsid w:val="00FF0AC7"/>
    <w:rsid w:val="00FF0CB0"/>
    <w:rsid w:val="00FF1F25"/>
    <w:rsid w:val="00FF3234"/>
    <w:rsid w:val="00FF3C53"/>
    <w:rsid w:val="00FF74FF"/>
    <w:rsid w:val="00FF75D6"/>
    <w:rsid w:val="0195110F"/>
    <w:rsid w:val="01D268C6"/>
    <w:rsid w:val="02074EDF"/>
    <w:rsid w:val="021D04ED"/>
    <w:rsid w:val="028676FA"/>
    <w:rsid w:val="03083D20"/>
    <w:rsid w:val="031B486C"/>
    <w:rsid w:val="03883E81"/>
    <w:rsid w:val="039D51A8"/>
    <w:rsid w:val="040E3C55"/>
    <w:rsid w:val="0435572F"/>
    <w:rsid w:val="043D1C38"/>
    <w:rsid w:val="047E5A6D"/>
    <w:rsid w:val="04C95150"/>
    <w:rsid w:val="05605A58"/>
    <w:rsid w:val="056326BB"/>
    <w:rsid w:val="05CB7DA3"/>
    <w:rsid w:val="06336531"/>
    <w:rsid w:val="070B5792"/>
    <w:rsid w:val="07C8256B"/>
    <w:rsid w:val="07D829B3"/>
    <w:rsid w:val="08491B3F"/>
    <w:rsid w:val="091B4673"/>
    <w:rsid w:val="09B34FA4"/>
    <w:rsid w:val="09FF6D7F"/>
    <w:rsid w:val="0A266239"/>
    <w:rsid w:val="0A8671FF"/>
    <w:rsid w:val="0B257BFE"/>
    <w:rsid w:val="0B5605CC"/>
    <w:rsid w:val="0CBC5648"/>
    <w:rsid w:val="0D197B03"/>
    <w:rsid w:val="0D440D0A"/>
    <w:rsid w:val="0D75593A"/>
    <w:rsid w:val="0EA0672E"/>
    <w:rsid w:val="0F155107"/>
    <w:rsid w:val="0F1961AE"/>
    <w:rsid w:val="0F663613"/>
    <w:rsid w:val="10561449"/>
    <w:rsid w:val="109D62AF"/>
    <w:rsid w:val="112A0531"/>
    <w:rsid w:val="11BE62AA"/>
    <w:rsid w:val="11EE2E6E"/>
    <w:rsid w:val="11F53B2A"/>
    <w:rsid w:val="1222745A"/>
    <w:rsid w:val="12BC165D"/>
    <w:rsid w:val="14EB3F9C"/>
    <w:rsid w:val="157D1375"/>
    <w:rsid w:val="15802E15"/>
    <w:rsid w:val="16527E8A"/>
    <w:rsid w:val="16777D74"/>
    <w:rsid w:val="16A24D21"/>
    <w:rsid w:val="170078E3"/>
    <w:rsid w:val="17546308"/>
    <w:rsid w:val="17651067"/>
    <w:rsid w:val="181A6FC2"/>
    <w:rsid w:val="189755BC"/>
    <w:rsid w:val="18CB4F16"/>
    <w:rsid w:val="18F02682"/>
    <w:rsid w:val="19081FC8"/>
    <w:rsid w:val="19C12D40"/>
    <w:rsid w:val="1B4B0B7B"/>
    <w:rsid w:val="1B952FB0"/>
    <w:rsid w:val="1BFA0945"/>
    <w:rsid w:val="1C200E8D"/>
    <w:rsid w:val="1C746B04"/>
    <w:rsid w:val="1C8E25D1"/>
    <w:rsid w:val="1D296D57"/>
    <w:rsid w:val="1D7740D2"/>
    <w:rsid w:val="1D850ABB"/>
    <w:rsid w:val="1DD91315"/>
    <w:rsid w:val="1DDB693A"/>
    <w:rsid w:val="1F3D3B25"/>
    <w:rsid w:val="1F4B6242"/>
    <w:rsid w:val="201229C2"/>
    <w:rsid w:val="20F63F8C"/>
    <w:rsid w:val="21640093"/>
    <w:rsid w:val="221565D3"/>
    <w:rsid w:val="224F6049"/>
    <w:rsid w:val="226A3232"/>
    <w:rsid w:val="230D245F"/>
    <w:rsid w:val="23781427"/>
    <w:rsid w:val="23A20B9F"/>
    <w:rsid w:val="23F92542"/>
    <w:rsid w:val="240F0695"/>
    <w:rsid w:val="24546830"/>
    <w:rsid w:val="24910FBD"/>
    <w:rsid w:val="24B32236"/>
    <w:rsid w:val="24F3574B"/>
    <w:rsid w:val="25137802"/>
    <w:rsid w:val="25227A45"/>
    <w:rsid w:val="25602FBE"/>
    <w:rsid w:val="25893620"/>
    <w:rsid w:val="258E7C7F"/>
    <w:rsid w:val="25E83022"/>
    <w:rsid w:val="25EE7927"/>
    <w:rsid w:val="2703602E"/>
    <w:rsid w:val="28956780"/>
    <w:rsid w:val="28A643B9"/>
    <w:rsid w:val="2927412C"/>
    <w:rsid w:val="29673520"/>
    <w:rsid w:val="2A2F090D"/>
    <w:rsid w:val="2AEA43CE"/>
    <w:rsid w:val="2B4F12B0"/>
    <w:rsid w:val="2BF13CCD"/>
    <w:rsid w:val="2BF46911"/>
    <w:rsid w:val="2C8E3631"/>
    <w:rsid w:val="2CE21EEC"/>
    <w:rsid w:val="2D2C4A78"/>
    <w:rsid w:val="2D2C53DE"/>
    <w:rsid w:val="2D941E14"/>
    <w:rsid w:val="2E110657"/>
    <w:rsid w:val="2E246BAA"/>
    <w:rsid w:val="2E567682"/>
    <w:rsid w:val="2EC874D2"/>
    <w:rsid w:val="2EEB534C"/>
    <w:rsid w:val="2F107489"/>
    <w:rsid w:val="2F8D29E4"/>
    <w:rsid w:val="30004E27"/>
    <w:rsid w:val="300B4ACB"/>
    <w:rsid w:val="305274B3"/>
    <w:rsid w:val="30CE033A"/>
    <w:rsid w:val="30ED1BE6"/>
    <w:rsid w:val="31A97CEC"/>
    <w:rsid w:val="31B47C77"/>
    <w:rsid w:val="31F07DD1"/>
    <w:rsid w:val="31FD33BF"/>
    <w:rsid w:val="32B0C3C3"/>
    <w:rsid w:val="3401631D"/>
    <w:rsid w:val="347061AA"/>
    <w:rsid w:val="349249CF"/>
    <w:rsid w:val="352D78A8"/>
    <w:rsid w:val="36816E62"/>
    <w:rsid w:val="36921972"/>
    <w:rsid w:val="381F7BCF"/>
    <w:rsid w:val="397659DA"/>
    <w:rsid w:val="39AF5157"/>
    <w:rsid w:val="3AD0085E"/>
    <w:rsid w:val="3B3E5CC9"/>
    <w:rsid w:val="3BC27434"/>
    <w:rsid w:val="3C0B0DDB"/>
    <w:rsid w:val="3C4E77A2"/>
    <w:rsid w:val="3CB44B16"/>
    <w:rsid w:val="3CBB635D"/>
    <w:rsid w:val="3CD208BE"/>
    <w:rsid w:val="3CEA4F51"/>
    <w:rsid w:val="3D281DC5"/>
    <w:rsid w:val="3D573026"/>
    <w:rsid w:val="3D7D2E2F"/>
    <w:rsid w:val="3DBA03C3"/>
    <w:rsid w:val="3E1D5848"/>
    <w:rsid w:val="3E2E3386"/>
    <w:rsid w:val="3F454F11"/>
    <w:rsid w:val="3F6C393F"/>
    <w:rsid w:val="3F740A54"/>
    <w:rsid w:val="3FFD563A"/>
    <w:rsid w:val="40477869"/>
    <w:rsid w:val="40702534"/>
    <w:rsid w:val="409018AF"/>
    <w:rsid w:val="41271EC7"/>
    <w:rsid w:val="414F7BFC"/>
    <w:rsid w:val="4278075F"/>
    <w:rsid w:val="42917DE7"/>
    <w:rsid w:val="42BF46CD"/>
    <w:rsid w:val="42D53EF1"/>
    <w:rsid w:val="438546A0"/>
    <w:rsid w:val="448E2756"/>
    <w:rsid w:val="455F2AA4"/>
    <w:rsid w:val="45780676"/>
    <w:rsid w:val="459C2AA4"/>
    <w:rsid w:val="465505FA"/>
    <w:rsid w:val="46ED7D87"/>
    <w:rsid w:val="48B84099"/>
    <w:rsid w:val="494E1DAA"/>
    <w:rsid w:val="496B2ADC"/>
    <w:rsid w:val="49D942C7"/>
    <w:rsid w:val="4A7C03A8"/>
    <w:rsid w:val="4B397E99"/>
    <w:rsid w:val="4C2061DD"/>
    <w:rsid w:val="4C561BFF"/>
    <w:rsid w:val="4C7B56B4"/>
    <w:rsid w:val="4D05121C"/>
    <w:rsid w:val="4D275349"/>
    <w:rsid w:val="4ED47918"/>
    <w:rsid w:val="4F165DA0"/>
    <w:rsid w:val="4F49609A"/>
    <w:rsid w:val="4F5F526E"/>
    <w:rsid w:val="4F6F2CD2"/>
    <w:rsid w:val="5111150E"/>
    <w:rsid w:val="52A21A67"/>
    <w:rsid w:val="534B21CC"/>
    <w:rsid w:val="54BC7595"/>
    <w:rsid w:val="554D7A0C"/>
    <w:rsid w:val="56427575"/>
    <w:rsid w:val="567F546F"/>
    <w:rsid w:val="56865BBE"/>
    <w:rsid w:val="571F431D"/>
    <w:rsid w:val="57417AFF"/>
    <w:rsid w:val="57872D61"/>
    <w:rsid w:val="57DD5E9B"/>
    <w:rsid w:val="584232D7"/>
    <w:rsid w:val="58553685"/>
    <w:rsid w:val="587A107C"/>
    <w:rsid w:val="591833BF"/>
    <w:rsid w:val="592D105D"/>
    <w:rsid w:val="59FA0E60"/>
    <w:rsid w:val="5AB42A27"/>
    <w:rsid w:val="5AF30F60"/>
    <w:rsid w:val="5B2A1CB2"/>
    <w:rsid w:val="5B7200D7"/>
    <w:rsid w:val="5B9E6052"/>
    <w:rsid w:val="5C0A57C8"/>
    <w:rsid w:val="5CC72710"/>
    <w:rsid w:val="5E0314BA"/>
    <w:rsid w:val="5E742FA4"/>
    <w:rsid w:val="60782ABF"/>
    <w:rsid w:val="608A5EC3"/>
    <w:rsid w:val="612C73E4"/>
    <w:rsid w:val="61A56EA1"/>
    <w:rsid w:val="6203567B"/>
    <w:rsid w:val="622A3CEF"/>
    <w:rsid w:val="62E418BB"/>
    <w:rsid w:val="630C4769"/>
    <w:rsid w:val="63172F7C"/>
    <w:rsid w:val="6319413C"/>
    <w:rsid w:val="638A0419"/>
    <w:rsid w:val="640F6E0B"/>
    <w:rsid w:val="64252AB3"/>
    <w:rsid w:val="64457A91"/>
    <w:rsid w:val="67446A26"/>
    <w:rsid w:val="683D676C"/>
    <w:rsid w:val="695D5E24"/>
    <w:rsid w:val="697A091B"/>
    <w:rsid w:val="699F3B93"/>
    <w:rsid w:val="6C36441E"/>
    <w:rsid w:val="6C7E3994"/>
    <w:rsid w:val="6D536165"/>
    <w:rsid w:val="6D655251"/>
    <w:rsid w:val="6DE97555"/>
    <w:rsid w:val="6DF869E1"/>
    <w:rsid w:val="6E374CE3"/>
    <w:rsid w:val="6ED637EF"/>
    <w:rsid w:val="6F6A0833"/>
    <w:rsid w:val="6FC933A5"/>
    <w:rsid w:val="701053D4"/>
    <w:rsid w:val="70534A7A"/>
    <w:rsid w:val="707B692B"/>
    <w:rsid w:val="717607CD"/>
    <w:rsid w:val="72C80694"/>
    <w:rsid w:val="72EF5447"/>
    <w:rsid w:val="733B46EA"/>
    <w:rsid w:val="734F7CF2"/>
    <w:rsid w:val="739B1752"/>
    <w:rsid w:val="73CB617F"/>
    <w:rsid w:val="74575929"/>
    <w:rsid w:val="74BA0640"/>
    <w:rsid w:val="74C55D26"/>
    <w:rsid w:val="74EE5E00"/>
    <w:rsid w:val="75BD2E5D"/>
    <w:rsid w:val="76173F79"/>
    <w:rsid w:val="763246CC"/>
    <w:rsid w:val="76325C2F"/>
    <w:rsid w:val="7729481C"/>
    <w:rsid w:val="77B076E2"/>
    <w:rsid w:val="77B94EFE"/>
    <w:rsid w:val="77CD4BBB"/>
    <w:rsid w:val="77F7108E"/>
    <w:rsid w:val="79023435"/>
    <w:rsid w:val="79B01465"/>
    <w:rsid w:val="7A087799"/>
    <w:rsid w:val="7A1177B6"/>
    <w:rsid w:val="7A3E767F"/>
    <w:rsid w:val="7A795A5A"/>
    <w:rsid w:val="7B3E4351"/>
    <w:rsid w:val="7B5573A2"/>
    <w:rsid w:val="7B671A29"/>
    <w:rsid w:val="7B7555D8"/>
    <w:rsid w:val="7BA305F1"/>
    <w:rsid w:val="7BB73BB8"/>
    <w:rsid w:val="7BD76C9C"/>
    <w:rsid w:val="7BF52304"/>
    <w:rsid w:val="7C226BC9"/>
    <w:rsid w:val="7C5C2661"/>
    <w:rsid w:val="7CA26617"/>
    <w:rsid w:val="7D4F019E"/>
    <w:rsid w:val="7DB44802"/>
    <w:rsid w:val="7DC03FD9"/>
    <w:rsid w:val="7E1F47CF"/>
    <w:rsid w:val="7EDC52E7"/>
    <w:rsid w:val="7EE41054"/>
    <w:rsid w:val="7F056057"/>
    <w:rsid w:val="7F1456E3"/>
    <w:rsid w:val="7F2451AF"/>
    <w:rsid w:val="7F511834"/>
    <w:rsid w:val="7FBD59D9"/>
    <w:rsid w:val="7FDA3C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qFormat="1" w:uiPriority="99" w:semiHidden="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nhideWhenUsed="0" w:uiPriority="35" w:semiHidden="0" w:name="caption"/>
    <w:lsdException w:qFormat="1" w:unhideWhenUsed="0" w:uiPriority="99" w:semiHidden="0" w:name="table of figures"/>
    <w:lsdException w:uiPriority="0" w:name="envelope address"/>
    <w:lsdException w:uiPriority="0" w:name="envelope return"/>
    <w:lsdException w:qFormat="1" w:uiPriority="99" w:semiHidden="0" w:name="footnote reference"/>
    <w:lsdException w:qFormat="1" w:uiPriority="99" w:semiHidden="0" w:name="annotation reference"/>
    <w:lsdException w:uiPriority="0" w:name="line number"/>
    <w:lsdException w:qFormat="1" w:uiPriority="99"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0" w:name="Note Heading"/>
    <w:lsdException w:uiPriority="0" w:name="Body Text 2"/>
    <w:lsdException w:qFormat="1" w:uiPriority="0" w:semiHidden="0" w:name="Body Text 3"/>
    <w:lsdException w:qFormat="1" w:unhideWhenUsed="0" w:uiPriority="0" w:semiHidden="0" w:name="Body Text Indent 2"/>
    <w:lsdException w:qFormat="1" w:uiPriority="0" w:semiHidden="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3">
    <w:name w:val="heading 1"/>
    <w:basedOn w:val="1"/>
    <w:next w:val="1"/>
    <w:link w:val="54"/>
    <w:autoRedefine/>
    <w:qFormat/>
    <w:uiPriority w:val="9"/>
    <w:pPr>
      <w:keepNext/>
      <w:keepLines/>
      <w:numPr>
        <w:ilvl w:val="0"/>
        <w:numId w:val="1"/>
      </w:numPr>
      <w:spacing w:before="120" w:after="120" w:line="360" w:lineRule="auto"/>
      <w:ind w:left="431" w:hanging="431"/>
      <w:outlineLvl w:val="0"/>
    </w:pPr>
    <w:rPr>
      <w:b/>
      <w:bCs/>
      <w:kern w:val="44"/>
      <w:sz w:val="44"/>
      <w:szCs w:val="44"/>
    </w:rPr>
  </w:style>
  <w:style w:type="paragraph" w:styleId="4">
    <w:name w:val="heading 2"/>
    <w:basedOn w:val="1"/>
    <w:next w:val="1"/>
    <w:link w:val="56"/>
    <w:qFormat/>
    <w:uiPriority w:val="9"/>
    <w:pPr>
      <w:keepNext/>
      <w:keepLines/>
      <w:numPr>
        <w:ilvl w:val="1"/>
        <w:numId w:val="1"/>
      </w:numPr>
      <w:spacing w:before="50" w:beforeLines="50" w:line="360" w:lineRule="auto"/>
      <w:ind w:left="578" w:hanging="578"/>
      <w:outlineLvl w:val="1"/>
    </w:pPr>
    <w:rPr>
      <w:rFonts w:ascii="Times New Roman" w:hAnsi="Times New Roman" w:cs="Times New Roman"/>
      <w:b/>
      <w:bCs/>
      <w:szCs w:val="32"/>
    </w:rPr>
  </w:style>
  <w:style w:type="paragraph" w:styleId="5">
    <w:name w:val="heading 3"/>
    <w:basedOn w:val="1"/>
    <w:next w:val="1"/>
    <w:link w:val="57"/>
    <w:autoRedefine/>
    <w:qFormat/>
    <w:uiPriority w:val="9"/>
    <w:pPr>
      <w:widowControl w:val="0"/>
      <w:numPr>
        <w:ilvl w:val="2"/>
        <w:numId w:val="1"/>
      </w:numPr>
      <w:spacing w:beforeLines="50" w:line="360" w:lineRule="auto"/>
      <w:jc w:val="both"/>
      <w:outlineLvl w:val="2"/>
    </w:pPr>
    <w:rPr>
      <w:rFonts w:ascii="Cambria" w:hAnsi="Cambria"/>
      <w:b/>
      <w:bCs/>
      <w:kern w:val="2"/>
      <w:szCs w:val="32"/>
    </w:rPr>
  </w:style>
  <w:style w:type="paragraph" w:styleId="6">
    <w:name w:val="heading 4"/>
    <w:basedOn w:val="1"/>
    <w:next w:val="1"/>
    <w:link w:val="58"/>
    <w:autoRedefine/>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autoRedefine/>
    <w:qFormat/>
    <w:uiPriority w:val="9"/>
    <w:pPr>
      <w:keepNext/>
      <w:keepLines/>
      <w:numPr>
        <w:ilvl w:val="4"/>
        <w:numId w:val="1"/>
      </w:numPr>
      <w:spacing w:before="280" w:after="290" w:line="376" w:lineRule="auto"/>
      <w:outlineLvl w:val="4"/>
    </w:pPr>
    <w:rPr>
      <w:b/>
      <w:bCs/>
      <w:sz w:val="28"/>
      <w:szCs w:val="28"/>
    </w:rPr>
  </w:style>
  <w:style w:type="paragraph" w:styleId="8">
    <w:name w:val="heading 6"/>
    <w:basedOn w:val="1"/>
    <w:next w:val="1"/>
    <w:link w:val="59"/>
    <w:autoRedefine/>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rPr>
  </w:style>
  <w:style w:type="paragraph" w:styleId="9">
    <w:name w:val="heading 7"/>
    <w:basedOn w:val="1"/>
    <w:next w:val="1"/>
    <w:link w:val="60"/>
    <w:autoRedefine/>
    <w:semiHidden/>
    <w:unhideWhenUsed/>
    <w:qFormat/>
    <w:uiPriority w:val="9"/>
    <w:pPr>
      <w:keepNext/>
      <w:keepLines/>
      <w:numPr>
        <w:ilvl w:val="6"/>
        <w:numId w:val="1"/>
      </w:numPr>
      <w:spacing w:before="240" w:after="64" w:line="320" w:lineRule="auto"/>
      <w:outlineLvl w:val="6"/>
    </w:pPr>
    <w:rPr>
      <w:b/>
      <w:bCs/>
    </w:rPr>
  </w:style>
  <w:style w:type="paragraph" w:styleId="10">
    <w:name w:val="heading 8"/>
    <w:basedOn w:val="1"/>
    <w:next w:val="1"/>
    <w:link w:val="61"/>
    <w:autoRedefine/>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rPr>
  </w:style>
  <w:style w:type="paragraph" w:styleId="11">
    <w:name w:val="heading 9"/>
    <w:basedOn w:val="1"/>
    <w:next w:val="1"/>
    <w:link w:val="62"/>
    <w:autoRedefine/>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45">
    <w:name w:val="Default Paragraph Font"/>
    <w:autoRedefine/>
    <w:unhideWhenUsed/>
    <w:qFormat/>
    <w:uiPriority w:val="1"/>
  </w:style>
  <w:style w:type="table" w:default="1" w:styleId="43">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link w:val="55"/>
    <w:autoRedefine/>
    <w:qFormat/>
    <w:uiPriority w:val="0"/>
    <w:pPr>
      <w:spacing w:after="120" w:line="360" w:lineRule="auto"/>
    </w:pPr>
    <w:rPr>
      <w:rFonts w:ascii="Times New Roman" w:hAnsi="Times New Roman" w:cs="Times New Roman"/>
      <w:szCs w:val="22"/>
    </w:rPr>
  </w:style>
  <w:style w:type="paragraph" w:styleId="12">
    <w:name w:val="toc 7"/>
    <w:basedOn w:val="1"/>
    <w:next w:val="1"/>
    <w:autoRedefine/>
    <w:unhideWhenUsed/>
    <w:qFormat/>
    <w:uiPriority w:val="39"/>
    <w:pPr>
      <w:ind w:left="1440"/>
    </w:pPr>
    <w:rPr>
      <w:rFonts w:asciiTheme="minorHAnsi" w:eastAsiaTheme="minorHAnsi"/>
      <w:sz w:val="18"/>
      <w:szCs w:val="18"/>
    </w:rPr>
  </w:style>
  <w:style w:type="paragraph" w:styleId="13">
    <w:name w:val="caption"/>
    <w:basedOn w:val="1"/>
    <w:next w:val="1"/>
    <w:link w:val="63"/>
    <w:autoRedefine/>
    <w:qFormat/>
    <w:uiPriority w:val="35"/>
    <w:pPr>
      <w:spacing w:after="50" w:afterLines="50" w:line="300" w:lineRule="auto"/>
      <w:jc w:val="center"/>
    </w:pPr>
    <w:rPr>
      <w:rFonts w:ascii="Calibri Light" w:hAnsi="Calibri Light" w:cs="Times New Roman"/>
      <w:b/>
      <w:szCs w:val="20"/>
    </w:rPr>
  </w:style>
  <w:style w:type="paragraph" w:styleId="14">
    <w:name w:val="index 5"/>
    <w:basedOn w:val="1"/>
    <w:next w:val="1"/>
    <w:autoRedefine/>
    <w:unhideWhenUsed/>
    <w:qFormat/>
    <w:uiPriority w:val="99"/>
    <w:pPr>
      <w:spacing w:line="360" w:lineRule="auto"/>
      <w:ind w:left="1680"/>
    </w:pPr>
    <w:rPr>
      <w:rFonts w:ascii="Calibri" w:hAnsi="Calibri" w:cs="Times New Roman"/>
      <w:szCs w:val="22"/>
    </w:rPr>
  </w:style>
  <w:style w:type="paragraph" w:styleId="15">
    <w:name w:val="annotation text"/>
    <w:basedOn w:val="1"/>
    <w:link w:val="64"/>
    <w:autoRedefine/>
    <w:unhideWhenUsed/>
    <w:qFormat/>
    <w:uiPriority w:val="99"/>
    <w:rPr>
      <w:sz w:val="20"/>
      <w:szCs w:val="20"/>
    </w:rPr>
  </w:style>
  <w:style w:type="paragraph" w:styleId="16">
    <w:name w:val="Body Text 3"/>
    <w:basedOn w:val="1"/>
    <w:autoRedefine/>
    <w:unhideWhenUsed/>
    <w:qFormat/>
    <w:uiPriority w:val="0"/>
    <w:pPr>
      <w:spacing w:after="120"/>
    </w:pPr>
    <w:rPr>
      <w:sz w:val="16"/>
      <w:szCs w:val="16"/>
    </w:rPr>
  </w:style>
  <w:style w:type="paragraph" w:styleId="17">
    <w:name w:val="Body Text Indent"/>
    <w:basedOn w:val="1"/>
    <w:next w:val="18"/>
    <w:link w:val="66"/>
    <w:autoRedefine/>
    <w:unhideWhenUsed/>
    <w:qFormat/>
    <w:uiPriority w:val="99"/>
    <w:pPr>
      <w:spacing w:after="120"/>
      <w:ind w:left="420" w:leftChars="200"/>
    </w:pPr>
    <w:rPr>
      <w:rFonts w:ascii="Calibri" w:hAnsi="Calibri" w:cs="Times New Roman"/>
      <w:kern w:val="2"/>
      <w:szCs w:val="22"/>
    </w:rPr>
  </w:style>
  <w:style w:type="paragraph" w:styleId="18">
    <w:name w:val="header"/>
    <w:basedOn w:val="1"/>
    <w:next w:val="19"/>
    <w:link w:val="65"/>
    <w:autoRedefine/>
    <w:unhideWhenUsed/>
    <w:qFormat/>
    <w:uiPriority w:val="99"/>
    <w:pPr>
      <w:tabs>
        <w:tab w:val="center" w:pos="4320"/>
        <w:tab w:val="right" w:pos="8640"/>
      </w:tabs>
    </w:pPr>
  </w:style>
  <w:style w:type="paragraph" w:customStyle="1" w:styleId="19">
    <w:name w:val="样式5"/>
    <w:basedOn w:val="20"/>
    <w:autoRedefine/>
    <w:qFormat/>
    <w:uiPriority w:val="0"/>
    <w:pPr>
      <w:spacing w:line="500" w:lineRule="exact"/>
      <w:ind w:firstLine="200" w:firstLineChars="200"/>
    </w:pPr>
  </w:style>
  <w:style w:type="paragraph" w:customStyle="1" w:styleId="20">
    <w:name w:val="样式2"/>
    <w:basedOn w:val="21"/>
    <w:next w:val="21"/>
    <w:autoRedefine/>
    <w:qFormat/>
    <w:uiPriority w:val="0"/>
    <w:pPr>
      <w:spacing w:before="120" w:after="120" w:line="460" w:lineRule="exact"/>
    </w:pPr>
    <w:rPr>
      <w:rFonts w:ascii="Cambria" w:hAnsi="Cambria"/>
      <w:sz w:val="24"/>
    </w:rPr>
  </w:style>
  <w:style w:type="paragraph" w:customStyle="1" w:styleId="21">
    <w:name w:val="标题 41"/>
    <w:basedOn w:val="1"/>
    <w:next w:val="1"/>
    <w:autoRedefine/>
    <w:qFormat/>
    <w:uiPriority w:val="1"/>
    <w:pPr>
      <w:keepNext/>
      <w:keepLines/>
      <w:spacing w:before="280" w:after="290" w:line="372" w:lineRule="auto"/>
      <w:outlineLvl w:val="3"/>
    </w:pPr>
    <w:rPr>
      <w:rFonts w:ascii="Arial" w:hAnsi="Arial" w:eastAsia="黑体"/>
      <w:sz w:val="28"/>
      <w:szCs w:val="20"/>
    </w:rPr>
  </w:style>
  <w:style w:type="paragraph" w:styleId="22">
    <w:name w:val="toc 5"/>
    <w:basedOn w:val="1"/>
    <w:next w:val="1"/>
    <w:autoRedefine/>
    <w:unhideWhenUsed/>
    <w:qFormat/>
    <w:uiPriority w:val="39"/>
    <w:pPr>
      <w:ind w:left="960"/>
    </w:pPr>
    <w:rPr>
      <w:rFonts w:asciiTheme="minorHAnsi" w:eastAsiaTheme="minorHAnsi"/>
      <w:sz w:val="18"/>
      <w:szCs w:val="18"/>
    </w:rPr>
  </w:style>
  <w:style w:type="paragraph" w:styleId="23">
    <w:name w:val="toc 3"/>
    <w:basedOn w:val="1"/>
    <w:next w:val="1"/>
    <w:autoRedefine/>
    <w:unhideWhenUsed/>
    <w:qFormat/>
    <w:uiPriority w:val="39"/>
    <w:pPr>
      <w:ind w:left="480"/>
    </w:pPr>
    <w:rPr>
      <w:rFonts w:asciiTheme="minorHAnsi" w:eastAsiaTheme="minorHAnsi"/>
      <w:i/>
      <w:iCs/>
      <w:sz w:val="20"/>
      <w:szCs w:val="20"/>
    </w:rPr>
  </w:style>
  <w:style w:type="paragraph" w:styleId="24">
    <w:name w:val="Plain Text"/>
    <w:basedOn w:val="1"/>
    <w:link w:val="67"/>
    <w:autoRedefine/>
    <w:qFormat/>
    <w:uiPriority w:val="0"/>
    <w:pPr>
      <w:spacing w:after="160" w:line="259" w:lineRule="auto"/>
    </w:pPr>
    <w:rPr>
      <w:rFonts w:hAnsi="Courier New" w:cs="Times New Roman"/>
      <w:sz w:val="22"/>
      <w:szCs w:val="20"/>
    </w:rPr>
  </w:style>
  <w:style w:type="paragraph" w:styleId="25">
    <w:name w:val="toc 8"/>
    <w:basedOn w:val="1"/>
    <w:next w:val="1"/>
    <w:autoRedefine/>
    <w:unhideWhenUsed/>
    <w:qFormat/>
    <w:uiPriority w:val="39"/>
    <w:pPr>
      <w:ind w:left="1680"/>
    </w:pPr>
    <w:rPr>
      <w:rFonts w:asciiTheme="minorHAnsi" w:eastAsiaTheme="minorHAnsi"/>
      <w:sz w:val="18"/>
      <w:szCs w:val="18"/>
    </w:rPr>
  </w:style>
  <w:style w:type="paragraph" w:styleId="26">
    <w:name w:val="Date"/>
    <w:basedOn w:val="1"/>
    <w:next w:val="1"/>
    <w:link w:val="68"/>
    <w:autoRedefine/>
    <w:qFormat/>
    <w:uiPriority w:val="0"/>
    <w:pPr>
      <w:ind w:left="100" w:leftChars="2500"/>
    </w:pPr>
  </w:style>
  <w:style w:type="paragraph" w:styleId="27">
    <w:name w:val="Body Text Indent 2"/>
    <w:basedOn w:val="1"/>
    <w:link w:val="69"/>
    <w:autoRedefine/>
    <w:qFormat/>
    <w:uiPriority w:val="0"/>
    <w:pPr>
      <w:widowControl w:val="0"/>
      <w:spacing w:after="120" w:line="480" w:lineRule="auto"/>
      <w:ind w:left="420" w:leftChars="200" w:firstLine="200" w:firstLineChars="200"/>
      <w:jc w:val="both"/>
    </w:pPr>
    <w:rPr>
      <w:rFonts w:ascii="Times New Roman" w:hAnsi="Times New Roman" w:cs="Times New Roman"/>
      <w:kern w:val="2"/>
      <w:sz w:val="26"/>
    </w:rPr>
  </w:style>
  <w:style w:type="paragraph" w:styleId="28">
    <w:name w:val="Balloon Text"/>
    <w:basedOn w:val="1"/>
    <w:link w:val="70"/>
    <w:autoRedefine/>
    <w:qFormat/>
    <w:uiPriority w:val="0"/>
    <w:rPr>
      <w:sz w:val="18"/>
      <w:szCs w:val="18"/>
    </w:rPr>
  </w:style>
  <w:style w:type="paragraph" w:styleId="29">
    <w:name w:val="footer"/>
    <w:basedOn w:val="1"/>
    <w:link w:val="71"/>
    <w:autoRedefine/>
    <w:unhideWhenUsed/>
    <w:qFormat/>
    <w:uiPriority w:val="99"/>
    <w:pPr>
      <w:tabs>
        <w:tab w:val="center" w:pos="4320"/>
        <w:tab w:val="right" w:pos="8640"/>
      </w:tabs>
    </w:pPr>
  </w:style>
  <w:style w:type="paragraph" w:styleId="30">
    <w:name w:val="toc 1"/>
    <w:basedOn w:val="1"/>
    <w:next w:val="1"/>
    <w:autoRedefine/>
    <w:unhideWhenUsed/>
    <w:qFormat/>
    <w:uiPriority w:val="39"/>
    <w:pPr>
      <w:spacing w:before="120" w:after="120"/>
    </w:pPr>
    <w:rPr>
      <w:rFonts w:asciiTheme="minorHAnsi" w:eastAsiaTheme="minorHAnsi"/>
      <w:b/>
      <w:bCs/>
      <w:caps/>
      <w:sz w:val="20"/>
      <w:szCs w:val="20"/>
    </w:rPr>
  </w:style>
  <w:style w:type="paragraph" w:styleId="31">
    <w:name w:val="toc 4"/>
    <w:basedOn w:val="1"/>
    <w:next w:val="1"/>
    <w:autoRedefine/>
    <w:unhideWhenUsed/>
    <w:qFormat/>
    <w:uiPriority w:val="39"/>
    <w:pPr>
      <w:ind w:left="720"/>
    </w:pPr>
    <w:rPr>
      <w:rFonts w:asciiTheme="minorHAnsi" w:eastAsiaTheme="minorHAnsi"/>
      <w:sz w:val="18"/>
      <w:szCs w:val="18"/>
    </w:rPr>
  </w:style>
  <w:style w:type="paragraph" w:styleId="32">
    <w:name w:val="Subtitle"/>
    <w:basedOn w:val="1"/>
    <w:next w:val="1"/>
    <w:link w:val="72"/>
    <w:autoRedefine/>
    <w:qFormat/>
    <w:uiPriority w:val="0"/>
    <w:pPr>
      <w:spacing w:before="240" w:after="60" w:line="312" w:lineRule="auto"/>
      <w:jc w:val="center"/>
      <w:outlineLvl w:val="1"/>
    </w:pPr>
    <w:rPr>
      <w:rFonts w:ascii="Calibri Light" w:hAnsi="Calibri Light" w:cs="Times New Roman"/>
      <w:b/>
      <w:bCs/>
      <w:kern w:val="28"/>
      <w:sz w:val="32"/>
      <w:szCs w:val="32"/>
    </w:rPr>
  </w:style>
  <w:style w:type="paragraph" w:styleId="33">
    <w:name w:val="footnote text"/>
    <w:basedOn w:val="1"/>
    <w:link w:val="73"/>
    <w:autoRedefine/>
    <w:unhideWhenUsed/>
    <w:qFormat/>
    <w:uiPriority w:val="99"/>
    <w:pPr>
      <w:snapToGrid w:val="0"/>
    </w:pPr>
    <w:rPr>
      <w:rFonts w:ascii="Times New Roman" w:hAnsi="Times New Roman"/>
      <w:sz w:val="18"/>
      <w:szCs w:val="18"/>
    </w:rPr>
  </w:style>
  <w:style w:type="paragraph" w:styleId="34">
    <w:name w:val="toc 6"/>
    <w:basedOn w:val="1"/>
    <w:next w:val="1"/>
    <w:autoRedefine/>
    <w:unhideWhenUsed/>
    <w:qFormat/>
    <w:uiPriority w:val="39"/>
    <w:pPr>
      <w:ind w:left="1200"/>
    </w:pPr>
    <w:rPr>
      <w:rFonts w:asciiTheme="minorHAnsi" w:eastAsiaTheme="minorHAnsi"/>
      <w:sz w:val="18"/>
      <w:szCs w:val="18"/>
    </w:rPr>
  </w:style>
  <w:style w:type="paragraph" w:styleId="35">
    <w:name w:val="Body Text Indent 3"/>
    <w:basedOn w:val="1"/>
    <w:link w:val="74"/>
    <w:autoRedefine/>
    <w:unhideWhenUsed/>
    <w:qFormat/>
    <w:uiPriority w:val="0"/>
    <w:pPr>
      <w:spacing w:after="120"/>
      <w:ind w:left="420" w:leftChars="200"/>
    </w:pPr>
    <w:rPr>
      <w:sz w:val="16"/>
      <w:szCs w:val="16"/>
    </w:rPr>
  </w:style>
  <w:style w:type="paragraph" w:styleId="36">
    <w:name w:val="table of figures"/>
    <w:basedOn w:val="1"/>
    <w:next w:val="1"/>
    <w:autoRedefine/>
    <w:qFormat/>
    <w:uiPriority w:val="99"/>
    <w:pPr>
      <w:ind w:left="480" w:hanging="480"/>
    </w:pPr>
    <w:rPr>
      <w:rFonts w:asciiTheme="minorHAnsi" w:eastAsiaTheme="minorHAnsi"/>
      <w:smallCaps/>
      <w:sz w:val="20"/>
      <w:szCs w:val="20"/>
    </w:rPr>
  </w:style>
  <w:style w:type="paragraph" w:styleId="37">
    <w:name w:val="toc 2"/>
    <w:basedOn w:val="1"/>
    <w:next w:val="1"/>
    <w:autoRedefine/>
    <w:unhideWhenUsed/>
    <w:qFormat/>
    <w:uiPriority w:val="39"/>
    <w:pPr>
      <w:ind w:left="240"/>
    </w:pPr>
    <w:rPr>
      <w:rFonts w:asciiTheme="minorHAnsi" w:eastAsiaTheme="minorHAnsi"/>
      <w:smallCaps/>
      <w:sz w:val="20"/>
      <w:szCs w:val="20"/>
    </w:rPr>
  </w:style>
  <w:style w:type="paragraph" w:styleId="38">
    <w:name w:val="toc 9"/>
    <w:basedOn w:val="1"/>
    <w:next w:val="1"/>
    <w:autoRedefine/>
    <w:unhideWhenUsed/>
    <w:qFormat/>
    <w:uiPriority w:val="39"/>
    <w:pPr>
      <w:ind w:left="1920"/>
    </w:pPr>
    <w:rPr>
      <w:rFonts w:asciiTheme="minorHAnsi" w:eastAsiaTheme="minorHAnsi"/>
      <w:sz w:val="18"/>
      <w:szCs w:val="18"/>
    </w:rPr>
  </w:style>
  <w:style w:type="paragraph" w:styleId="39">
    <w:name w:val="Normal (Web)"/>
    <w:basedOn w:val="1"/>
    <w:autoRedefine/>
    <w:unhideWhenUsed/>
    <w:qFormat/>
    <w:uiPriority w:val="99"/>
    <w:rPr>
      <w:rFonts w:ascii="Times New Roman" w:hAnsi="Times New Roman" w:cs="Times New Roman"/>
    </w:rPr>
  </w:style>
  <w:style w:type="paragraph" w:styleId="40">
    <w:name w:val="annotation subject"/>
    <w:basedOn w:val="15"/>
    <w:next w:val="15"/>
    <w:link w:val="75"/>
    <w:autoRedefine/>
    <w:qFormat/>
    <w:uiPriority w:val="99"/>
    <w:rPr>
      <w:b/>
      <w:bCs/>
      <w:sz w:val="24"/>
      <w:szCs w:val="24"/>
    </w:rPr>
  </w:style>
  <w:style w:type="paragraph" w:styleId="41">
    <w:name w:val="Body Text First Indent"/>
    <w:basedOn w:val="2"/>
    <w:next w:val="1"/>
    <w:autoRedefine/>
    <w:qFormat/>
    <w:uiPriority w:val="0"/>
    <w:pPr>
      <w:ind w:firstLine="420" w:firstLineChars="100"/>
    </w:pPr>
  </w:style>
  <w:style w:type="paragraph" w:styleId="42">
    <w:name w:val="Body Text First Indent 2"/>
    <w:basedOn w:val="17"/>
    <w:next w:val="41"/>
    <w:autoRedefine/>
    <w:unhideWhenUsed/>
    <w:qFormat/>
    <w:uiPriority w:val="99"/>
    <w:pPr>
      <w:ind w:firstLine="420" w:firstLineChars="200"/>
    </w:pPr>
  </w:style>
  <w:style w:type="table" w:styleId="44">
    <w:name w:val="Table Grid"/>
    <w:basedOn w:val="43"/>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autoRedefine/>
    <w:qFormat/>
    <w:uiPriority w:val="22"/>
    <w:rPr>
      <w:b/>
      <w:bCs/>
    </w:rPr>
  </w:style>
  <w:style w:type="character" w:styleId="47">
    <w:name w:val="page number"/>
    <w:autoRedefine/>
    <w:unhideWhenUsed/>
    <w:qFormat/>
    <w:uiPriority w:val="99"/>
  </w:style>
  <w:style w:type="character" w:styleId="48">
    <w:name w:val="Hyperlink"/>
    <w:autoRedefine/>
    <w:unhideWhenUsed/>
    <w:qFormat/>
    <w:uiPriority w:val="99"/>
    <w:rPr>
      <w:color w:val="0563C1"/>
      <w:u w:val="single"/>
    </w:rPr>
  </w:style>
  <w:style w:type="character" w:styleId="49">
    <w:name w:val="annotation reference"/>
    <w:autoRedefine/>
    <w:unhideWhenUsed/>
    <w:qFormat/>
    <w:uiPriority w:val="99"/>
    <w:rPr>
      <w:sz w:val="16"/>
      <w:szCs w:val="16"/>
    </w:rPr>
  </w:style>
  <w:style w:type="character" w:styleId="50">
    <w:name w:val="footnote reference"/>
    <w:basedOn w:val="45"/>
    <w:link w:val="51"/>
    <w:autoRedefine/>
    <w:unhideWhenUsed/>
    <w:qFormat/>
    <w:uiPriority w:val="99"/>
    <w:rPr>
      <w:rFonts w:ascii="Calibri" w:hAnsi="Calibri" w:eastAsia="宋体" w:cs="Times New Roman"/>
      <w:kern w:val="2"/>
      <w:sz w:val="21"/>
      <w:szCs w:val="22"/>
      <w:vertAlign w:val="superscript"/>
    </w:rPr>
  </w:style>
  <w:style w:type="paragraph" w:customStyle="1" w:styleId="51">
    <w:name w:val="FNRefe Char Char"/>
    <w:basedOn w:val="1"/>
    <w:link w:val="50"/>
    <w:autoRedefine/>
    <w:qFormat/>
    <w:uiPriority w:val="0"/>
    <w:pPr>
      <w:spacing w:line="240" w:lineRule="exact"/>
    </w:pPr>
    <w:rPr>
      <w:rFonts w:ascii="Calibri" w:hAnsi="Calibri" w:cs="Times New Roman"/>
      <w:kern w:val="2"/>
      <w:sz w:val="21"/>
      <w:szCs w:val="22"/>
      <w:vertAlign w:val="superscript"/>
    </w:rPr>
  </w:style>
  <w:style w:type="paragraph" w:customStyle="1" w:styleId="52">
    <w:name w:val="Normal (Web)1"/>
    <w:next w:val="53"/>
    <w:autoRedefine/>
    <w:qFormat/>
    <w:uiPriority w:val="0"/>
    <w:pPr>
      <w:spacing w:line="360" w:lineRule="auto"/>
      <w:ind w:firstLine="200" w:firstLineChars="200"/>
      <w:jc w:val="both"/>
    </w:pPr>
    <w:rPr>
      <w:rFonts w:ascii="宋体" w:hAnsi="Times New Roman" w:eastAsia="宋体" w:cs="Times New Roman"/>
      <w:kern w:val="2"/>
      <w:sz w:val="24"/>
      <w:szCs w:val="21"/>
      <w:lang w:val="en-US" w:eastAsia="zh-CN" w:bidi="ar-SA"/>
    </w:rPr>
  </w:style>
  <w:style w:type="paragraph" w:customStyle="1" w:styleId="53">
    <w:name w:val="Date1"/>
    <w:basedOn w:val="1"/>
    <w:next w:val="1"/>
    <w:autoRedefine/>
    <w:qFormat/>
    <w:uiPriority w:val="0"/>
    <w:pPr>
      <w:adjustRightInd w:val="0"/>
      <w:textAlignment w:val="baseline"/>
    </w:pPr>
    <w:rPr>
      <w:szCs w:val="20"/>
    </w:rPr>
  </w:style>
  <w:style w:type="character" w:customStyle="1" w:styleId="54">
    <w:name w:val="Heading 1 Char"/>
    <w:link w:val="3"/>
    <w:autoRedefine/>
    <w:qFormat/>
    <w:uiPriority w:val="9"/>
    <w:rPr>
      <w:rFonts w:ascii="宋体" w:hAnsi="宋体" w:cs="宋体"/>
      <w:b/>
      <w:bCs/>
      <w:kern w:val="44"/>
      <w:sz w:val="44"/>
      <w:szCs w:val="44"/>
    </w:rPr>
  </w:style>
  <w:style w:type="character" w:customStyle="1" w:styleId="55">
    <w:name w:val="Body Text Char"/>
    <w:basedOn w:val="45"/>
    <w:link w:val="2"/>
    <w:autoRedefine/>
    <w:qFormat/>
    <w:uiPriority w:val="0"/>
    <w:rPr>
      <w:rFonts w:ascii="Times New Roman" w:hAnsi="Times New Roman"/>
      <w:sz w:val="24"/>
      <w:szCs w:val="22"/>
    </w:rPr>
  </w:style>
  <w:style w:type="character" w:customStyle="1" w:styleId="56">
    <w:name w:val="Heading 2 Char"/>
    <w:link w:val="4"/>
    <w:autoRedefine/>
    <w:qFormat/>
    <w:uiPriority w:val="9"/>
    <w:rPr>
      <w:b/>
      <w:bCs/>
      <w:sz w:val="24"/>
      <w:szCs w:val="32"/>
    </w:rPr>
  </w:style>
  <w:style w:type="character" w:customStyle="1" w:styleId="57">
    <w:name w:val="Heading 3 Char"/>
    <w:link w:val="5"/>
    <w:autoRedefine/>
    <w:qFormat/>
    <w:uiPriority w:val="9"/>
    <w:rPr>
      <w:rFonts w:ascii="Cambria" w:hAnsi="Cambria" w:cs="宋体"/>
      <w:b/>
      <w:bCs/>
      <w:kern w:val="2"/>
      <w:sz w:val="24"/>
      <w:szCs w:val="32"/>
    </w:rPr>
  </w:style>
  <w:style w:type="character" w:customStyle="1" w:styleId="58">
    <w:name w:val="Heading 4 Char"/>
    <w:basedOn w:val="45"/>
    <w:link w:val="6"/>
    <w:autoRedefine/>
    <w:qFormat/>
    <w:uiPriority w:val="9"/>
    <w:rPr>
      <w:rFonts w:asciiTheme="majorHAnsi" w:hAnsiTheme="majorHAnsi" w:eastAsiaTheme="majorEastAsia" w:cstheme="majorBidi"/>
      <w:b/>
      <w:bCs/>
      <w:sz w:val="28"/>
      <w:szCs w:val="28"/>
    </w:rPr>
  </w:style>
  <w:style w:type="character" w:customStyle="1" w:styleId="59">
    <w:name w:val="Heading 6 Char"/>
    <w:basedOn w:val="45"/>
    <w:link w:val="8"/>
    <w:autoRedefine/>
    <w:semiHidden/>
    <w:qFormat/>
    <w:uiPriority w:val="9"/>
    <w:rPr>
      <w:rFonts w:asciiTheme="majorHAnsi" w:hAnsiTheme="majorHAnsi" w:eastAsiaTheme="majorEastAsia" w:cstheme="majorBidi"/>
      <w:b/>
      <w:bCs/>
      <w:sz w:val="24"/>
      <w:szCs w:val="24"/>
    </w:rPr>
  </w:style>
  <w:style w:type="character" w:customStyle="1" w:styleId="60">
    <w:name w:val="Heading 7 Char"/>
    <w:basedOn w:val="45"/>
    <w:link w:val="9"/>
    <w:autoRedefine/>
    <w:semiHidden/>
    <w:qFormat/>
    <w:uiPriority w:val="9"/>
    <w:rPr>
      <w:rFonts w:ascii="宋体" w:hAnsi="宋体" w:cs="宋体"/>
      <w:b/>
      <w:bCs/>
      <w:sz w:val="24"/>
      <w:szCs w:val="24"/>
    </w:rPr>
  </w:style>
  <w:style w:type="character" w:customStyle="1" w:styleId="61">
    <w:name w:val="Heading 8 Char"/>
    <w:basedOn w:val="45"/>
    <w:link w:val="10"/>
    <w:autoRedefine/>
    <w:semiHidden/>
    <w:qFormat/>
    <w:uiPriority w:val="9"/>
    <w:rPr>
      <w:rFonts w:asciiTheme="majorHAnsi" w:hAnsiTheme="majorHAnsi" w:eastAsiaTheme="majorEastAsia" w:cstheme="majorBidi"/>
      <w:sz w:val="24"/>
      <w:szCs w:val="24"/>
    </w:rPr>
  </w:style>
  <w:style w:type="character" w:customStyle="1" w:styleId="62">
    <w:name w:val="Heading 9 Char"/>
    <w:basedOn w:val="45"/>
    <w:link w:val="11"/>
    <w:autoRedefine/>
    <w:semiHidden/>
    <w:qFormat/>
    <w:uiPriority w:val="9"/>
    <w:rPr>
      <w:rFonts w:asciiTheme="majorHAnsi" w:hAnsiTheme="majorHAnsi" w:eastAsiaTheme="majorEastAsia" w:cstheme="majorBidi"/>
      <w:sz w:val="21"/>
      <w:szCs w:val="21"/>
    </w:rPr>
  </w:style>
  <w:style w:type="character" w:customStyle="1" w:styleId="63">
    <w:name w:val="Caption Char"/>
    <w:link w:val="13"/>
    <w:autoRedefine/>
    <w:qFormat/>
    <w:uiPriority w:val="99"/>
    <w:rPr>
      <w:rFonts w:ascii="Calibri Light" w:hAnsi="Calibri Light" w:eastAsia="宋体" w:cs="Times New Roman"/>
      <w:b/>
      <w:sz w:val="24"/>
    </w:rPr>
  </w:style>
  <w:style w:type="character" w:customStyle="1" w:styleId="64">
    <w:name w:val="Comment Text Char"/>
    <w:link w:val="15"/>
    <w:autoRedefine/>
    <w:qFormat/>
    <w:uiPriority w:val="99"/>
    <w:rPr>
      <w:rFonts w:ascii="宋体" w:hAnsi="宋体" w:eastAsia="宋体" w:cs="宋体"/>
    </w:rPr>
  </w:style>
  <w:style w:type="character" w:customStyle="1" w:styleId="65">
    <w:name w:val="Header Char"/>
    <w:link w:val="18"/>
    <w:autoRedefine/>
    <w:qFormat/>
    <w:uiPriority w:val="0"/>
    <w:rPr>
      <w:rFonts w:ascii="宋体" w:hAnsi="宋体" w:cs="宋体"/>
      <w:sz w:val="24"/>
      <w:szCs w:val="24"/>
    </w:rPr>
  </w:style>
  <w:style w:type="character" w:customStyle="1" w:styleId="66">
    <w:name w:val="Body Text Indent Char"/>
    <w:link w:val="17"/>
    <w:autoRedefine/>
    <w:qFormat/>
    <w:uiPriority w:val="99"/>
    <w:rPr>
      <w:kern w:val="2"/>
      <w:sz w:val="24"/>
      <w:szCs w:val="22"/>
    </w:rPr>
  </w:style>
  <w:style w:type="character" w:customStyle="1" w:styleId="67">
    <w:name w:val="Plain Text Char"/>
    <w:link w:val="24"/>
    <w:autoRedefine/>
    <w:qFormat/>
    <w:uiPriority w:val="0"/>
    <w:rPr>
      <w:rFonts w:ascii="宋体" w:hAnsi="Courier New"/>
      <w:sz w:val="22"/>
    </w:rPr>
  </w:style>
  <w:style w:type="character" w:customStyle="1" w:styleId="68">
    <w:name w:val="Date Char"/>
    <w:link w:val="26"/>
    <w:autoRedefine/>
    <w:qFormat/>
    <w:uiPriority w:val="0"/>
    <w:rPr>
      <w:rFonts w:ascii="宋体" w:hAnsi="宋体" w:cs="宋体"/>
      <w:sz w:val="24"/>
      <w:szCs w:val="24"/>
    </w:rPr>
  </w:style>
  <w:style w:type="character" w:customStyle="1" w:styleId="69">
    <w:name w:val="Body Text Indent 2 Char"/>
    <w:link w:val="27"/>
    <w:autoRedefine/>
    <w:qFormat/>
    <w:uiPriority w:val="0"/>
    <w:rPr>
      <w:rFonts w:ascii="Times New Roman" w:hAnsi="Times New Roman" w:eastAsia="宋体" w:cs="Times New Roman"/>
      <w:kern w:val="2"/>
      <w:sz w:val="26"/>
      <w:szCs w:val="24"/>
    </w:rPr>
  </w:style>
  <w:style w:type="character" w:customStyle="1" w:styleId="70">
    <w:name w:val="Balloon Text Char"/>
    <w:link w:val="28"/>
    <w:autoRedefine/>
    <w:qFormat/>
    <w:uiPriority w:val="0"/>
    <w:rPr>
      <w:rFonts w:ascii="宋体" w:hAnsi="宋体" w:eastAsia="宋体" w:cs="宋体"/>
      <w:sz w:val="18"/>
      <w:szCs w:val="18"/>
    </w:rPr>
  </w:style>
  <w:style w:type="character" w:customStyle="1" w:styleId="71">
    <w:name w:val="Footer Char"/>
    <w:link w:val="29"/>
    <w:autoRedefine/>
    <w:qFormat/>
    <w:uiPriority w:val="0"/>
    <w:rPr>
      <w:rFonts w:ascii="宋体" w:hAnsi="宋体" w:cs="宋体"/>
      <w:sz w:val="24"/>
      <w:szCs w:val="24"/>
    </w:rPr>
  </w:style>
  <w:style w:type="character" w:customStyle="1" w:styleId="72">
    <w:name w:val="Subtitle Char"/>
    <w:link w:val="32"/>
    <w:autoRedefine/>
    <w:qFormat/>
    <w:uiPriority w:val="0"/>
    <w:rPr>
      <w:rFonts w:ascii="Calibri Light" w:hAnsi="Calibri Light" w:eastAsia="宋体" w:cs="Times New Roman"/>
      <w:b/>
      <w:bCs/>
      <w:kern w:val="28"/>
      <w:sz w:val="32"/>
      <w:szCs w:val="32"/>
    </w:rPr>
  </w:style>
  <w:style w:type="character" w:customStyle="1" w:styleId="73">
    <w:name w:val="Footnote Text Char"/>
    <w:link w:val="33"/>
    <w:autoRedefine/>
    <w:qFormat/>
    <w:uiPriority w:val="0"/>
    <w:rPr>
      <w:rFonts w:ascii="Times New Roman" w:hAnsi="Times New Roman" w:eastAsia="宋体" w:cs="宋体"/>
      <w:sz w:val="18"/>
      <w:szCs w:val="18"/>
    </w:rPr>
  </w:style>
  <w:style w:type="character" w:customStyle="1" w:styleId="74">
    <w:name w:val="Body Text Indent 3 Char"/>
    <w:basedOn w:val="45"/>
    <w:link w:val="35"/>
    <w:autoRedefine/>
    <w:qFormat/>
    <w:uiPriority w:val="0"/>
    <w:rPr>
      <w:rFonts w:ascii="宋体" w:hAnsi="宋体" w:cs="宋体"/>
      <w:sz w:val="16"/>
      <w:szCs w:val="16"/>
    </w:rPr>
  </w:style>
  <w:style w:type="character" w:customStyle="1" w:styleId="75">
    <w:name w:val="Comment Subject Char"/>
    <w:link w:val="40"/>
    <w:autoRedefine/>
    <w:qFormat/>
    <w:uiPriority w:val="99"/>
    <w:rPr>
      <w:rFonts w:ascii="宋体" w:hAnsi="宋体" w:eastAsia="宋体" w:cs="宋体"/>
      <w:b/>
      <w:bCs/>
      <w:sz w:val="24"/>
      <w:szCs w:val="24"/>
    </w:rPr>
  </w:style>
  <w:style w:type="paragraph" w:styleId="76">
    <w:name w:val="List Paragraph"/>
    <w:basedOn w:val="1"/>
    <w:link w:val="77"/>
    <w:autoRedefine/>
    <w:qFormat/>
    <w:uiPriority w:val="99"/>
    <w:pPr>
      <w:ind w:left="720"/>
      <w:contextualSpacing/>
    </w:pPr>
  </w:style>
  <w:style w:type="character" w:customStyle="1" w:styleId="77">
    <w:name w:val="List Paragraph Char"/>
    <w:link w:val="76"/>
    <w:autoRedefine/>
    <w:qFormat/>
    <w:locked/>
    <w:uiPriority w:val="99"/>
    <w:rPr>
      <w:rFonts w:ascii="宋体" w:hAnsi="宋体" w:eastAsia="宋体" w:cs="宋体"/>
      <w:sz w:val="24"/>
      <w:szCs w:val="24"/>
    </w:rPr>
  </w:style>
  <w:style w:type="table" w:customStyle="1" w:styleId="78">
    <w:name w:val="（网格型）2"/>
    <w:basedOn w:val="43"/>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9">
    <w:name w:val="表格"/>
    <w:basedOn w:val="1"/>
    <w:autoRedefine/>
    <w:qFormat/>
    <w:uiPriority w:val="0"/>
    <w:pPr>
      <w:jc w:val="center"/>
    </w:pPr>
    <w:rPr>
      <w:rFonts w:ascii="Calibri" w:hAnsi="Calibri" w:cs="Times New Roman"/>
      <w:kern w:val="2"/>
      <w:sz w:val="21"/>
      <w:szCs w:val="21"/>
    </w:rPr>
  </w:style>
  <w:style w:type="table" w:customStyle="1" w:styleId="80">
    <w:name w:val="网格型6"/>
    <w:basedOn w:val="43"/>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
    <w:name w:val="Table Grid1"/>
    <w:basedOn w:val="43"/>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
    <w:name w:val="Table Grid2"/>
    <w:basedOn w:val="43"/>
    <w:autoRedefine/>
    <w:qFormat/>
    <w:uiPriority w:val="39"/>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
    <w:name w:val="网格型1"/>
    <w:basedOn w:val="43"/>
    <w:autoRedefine/>
    <w:qFormat/>
    <w:uiPriority w:val="0"/>
    <w:rPr>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
    <w:name w:val="Table Grid3"/>
    <w:basedOn w:val="43"/>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5">
    <w:name w:val="列表段落1"/>
    <w:basedOn w:val="1"/>
    <w:autoRedefine/>
    <w:qFormat/>
    <w:uiPriority w:val="0"/>
    <w:pPr>
      <w:spacing w:before="100" w:beforeAutospacing="1" w:after="100" w:afterAutospacing="1"/>
      <w:ind w:left="720"/>
      <w:contextualSpacing/>
    </w:pPr>
  </w:style>
  <w:style w:type="paragraph" w:customStyle="1" w:styleId="86">
    <w:name w:val="H1"/>
    <w:basedOn w:val="1"/>
    <w:autoRedefine/>
    <w:qFormat/>
    <w:uiPriority w:val="0"/>
    <w:pPr>
      <w:spacing w:before="120" w:after="120"/>
    </w:pPr>
    <w:rPr>
      <w:rFonts w:ascii="Gotham-XLight" w:hAnsi="Gotham-XLight" w:eastAsia="Cambria" w:cs="Gotham-XLight"/>
      <w:color w:val="FFFFFF"/>
      <w:spacing w:val="-12"/>
      <w:sz w:val="104"/>
      <w:szCs w:val="104"/>
      <w:lang w:eastAsia="en-US"/>
    </w:rPr>
  </w:style>
  <w:style w:type="character" w:customStyle="1" w:styleId="87">
    <w:name w:val="列出段落 Char1"/>
    <w:autoRedefine/>
    <w:qFormat/>
    <w:locked/>
    <w:uiPriority w:val="99"/>
  </w:style>
  <w:style w:type="table" w:customStyle="1" w:styleId="88">
    <w:name w:val="网格型4"/>
    <w:basedOn w:val="43"/>
    <w:autoRedefine/>
    <w:qFormat/>
    <w:uiPriority w:val="59"/>
    <w:rPr>
      <w:kern w:val="2"/>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9">
    <w:name w:val="No Spacing"/>
    <w:link w:val="90"/>
    <w:autoRedefine/>
    <w:qFormat/>
    <w:uiPriority w:val="1"/>
    <w:rPr>
      <w:rFonts w:ascii="Calibri" w:hAnsi="Calibri" w:eastAsia="宋体" w:cs="Times New Roman"/>
      <w:kern w:val="2"/>
      <w:sz w:val="22"/>
      <w:szCs w:val="22"/>
      <w:lang w:val="en-US" w:eastAsia="zh-CN" w:bidi="ar-SA"/>
    </w:rPr>
  </w:style>
  <w:style w:type="character" w:customStyle="1" w:styleId="90">
    <w:name w:val="No Spacing Char"/>
    <w:link w:val="89"/>
    <w:autoRedefine/>
    <w:qFormat/>
    <w:uiPriority w:val="1"/>
    <w:rPr>
      <w:kern w:val="2"/>
      <w:sz w:val="22"/>
      <w:szCs w:val="22"/>
    </w:rPr>
  </w:style>
  <w:style w:type="paragraph" w:customStyle="1" w:styleId="91">
    <w:name w:val="修订1"/>
    <w:autoRedefine/>
    <w:semiHidden/>
    <w:qFormat/>
    <w:uiPriority w:val="99"/>
    <w:rPr>
      <w:rFonts w:ascii="宋体" w:hAnsi="宋体" w:eastAsia="宋体" w:cs="宋体"/>
      <w:sz w:val="24"/>
      <w:szCs w:val="24"/>
      <w:lang w:val="en-US" w:eastAsia="zh-CN" w:bidi="ar-SA"/>
    </w:rPr>
  </w:style>
  <w:style w:type="paragraph" w:customStyle="1" w:styleId="92">
    <w:name w:val="列表段落2"/>
    <w:basedOn w:val="1"/>
    <w:autoRedefine/>
    <w:qFormat/>
    <w:uiPriority w:val="0"/>
    <w:pPr>
      <w:spacing w:before="100" w:beforeAutospacing="1" w:after="160" w:line="273" w:lineRule="auto"/>
      <w:ind w:left="720"/>
      <w:contextualSpacing/>
    </w:pPr>
    <w:rPr>
      <w:rFonts w:ascii="Calibri" w:hAnsi="Calibri" w:cs="Times New Roman"/>
      <w:kern w:val="2"/>
    </w:rPr>
  </w:style>
  <w:style w:type="paragraph" w:customStyle="1" w:styleId="93">
    <w:name w:val="列表段落3"/>
    <w:basedOn w:val="1"/>
    <w:autoRedefine/>
    <w:qFormat/>
    <w:uiPriority w:val="0"/>
    <w:pPr>
      <w:widowControl w:val="0"/>
      <w:ind w:firstLine="420" w:firstLineChars="200"/>
      <w:jc w:val="both"/>
    </w:pPr>
    <w:rPr>
      <w:rFonts w:ascii="Times New Roman" w:hAnsi="Times New Roman" w:cs="Times New Roman"/>
      <w:kern w:val="2"/>
      <w:sz w:val="21"/>
      <w:szCs w:val="21"/>
    </w:rPr>
  </w:style>
  <w:style w:type="paragraph" w:customStyle="1" w:styleId="94">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95">
    <w:name w:val="List Paragraph1"/>
    <w:basedOn w:val="1"/>
    <w:autoRedefine/>
    <w:qFormat/>
    <w:uiPriority w:val="0"/>
    <w:pPr>
      <w:spacing w:before="100" w:beforeAutospacing="1" w:after="100" w:afterAutospacing="1"/>
      <w:ind w:firstLine="420" w:firstLineChars="200"/>
    </w:pPr>
    <w:rPr>
      <w:rFonts w:ascii="Arial" w:hAnsi="Arial" w:cs="Mangal"/>
      <w:kern w:val="24"/>
      <w:sz w:val="18"/>
      <w:szCs w:val="18"/>
    </w:rPr>
  </w:style>
  <w:style w:type="paragraph" w:customStyle="1" w:styleId="96">
    <w:name w:val="TOC 标题1"/>
    <w:basedOn w:val="3"/>
    <w:next w:val="1"/>
    <w:autoRedefine/>
    <w:qFormat/>
    <w:uiPriority w:val="39"/>
    <w:pPr>
      <w:spacing w:before="240" w:after="0" w:line="259" w:lineRule="auto"/>
      <w:outlineLvl w:val="9"/>
    </w:pPr>
    <w:rPr>
      <w:rFonts w:ascii="Calibri Light" w:hAnsi="Calibri Light" w:cs="Times New Roman"/>
      <w:b w:val="0"/>
      <w:bCs w:val="0"/>
      <w:color w:val="2E74B5"/>
      <w:kern w:val="0"/>
      <w:sz w:val="32"/>
      <w:szCs w:val="32"/>
    </w:rPr>
  </w:style>
  <w:style w:type="paragraph" w:customStyle="1" w:styleId="97">
    <w:name w:val="正文首行缩进 2 + Times New Roman"/>
    <w:basedOn w:val="1"/>
    <w:link w:val="98"/>
    <w:qFormat/>
    <w:uiPriority w:val="0"/>
    <w:pPr>
      <w:widowControl w:val="0"/>
      <w:autoSpaceDE w:val="0"/>
      <w:autoSpaceDN w:val="0"/>
      <w:spacing w:line="360" w:lineRule="auto"/>
      <w:ind w:firstLine="480" w:firstLineChars="200"/>
      <w:jc w:val="both"/>
    </w:pPr>
    <w:rPr>
      <w:rFonts w:ascii="Times New Roman" w:hAnsi="Times New Roman" w:cs="Times New Roman"/>
    </w:rPr>
  </w:style>
  <w:style w:type="character" w:customStyle="1" w:styleId="98">
    <w:name w:val="正文首行缩进 2 + Times New Roman Char"/>
    <w:link w:val="97"/>
    <w:autoRedefine/>
    <w:qFormat/>
    <w:locked/>
    <w:uiPriority w:val="0"/>
    <w:rPr>
      <w:rFonts w:ascii="Times New Roman" w:hAnsi="Times New Roman"/>
      <w:sz w:val="24"/>
      <w:szCs w:val="24"/>
    </w:rPr>
  </w:style>
  <w:style w:type="paragraph" w:customStyle="1" w:styleId="99">
    <w:name w:val="列表段落4"/>
    <w:basedOn w:val="1"/>
    <w:autoRedefine/>
    <w:qFormat/>
    <w:uiPriority w:val="0"/>
    <w:pPr>
      <w:widowControl w:val="0"/>
      <w:ind w:firstLine="420" w:firstLineChars="200"/>
      <w:jc w:val="both"/>
    </w:pPr>
    <w:rPr>
      <w:rFonts w:ascii="Calibri" w:hAnsi="Calibri" w:cs="Times New Roman"/>
      <w:kern w:val="2"/>
      <w:sz w:val="21"/>
      <w:szCs w:val="21"/>
    </w:rPr>
  </w:style>
  <w:style w:type="character" w:customStyle="1" w:styleId="100">
    <w:name w:val="num"/>
    <w:autoRedefine/>
    <w:qFormat/>
    <w:uiPriority w:val="0"/>
  </w:style>
  <w:style w:type="paragraph" w:customStyle="1" w:styleId="101">
    <w:name w:val="列表段落5"/>
    <w:basedOn w:val="1"/>
    <w:autoRedefine/>
    <w:qFormat/>
    <w:uiPriority w:val="0"/>
    <w:pPr>
      <w:spacing w:before="100" w:beforeAutospacing="1" w:after="100" w:afterAutospacing="1"/>
      <w:ind w:left="720"/>
      <w:contextualSpacing/>
    </w:pPr>
  </w:style>
  <w:style w:type="character" w:customStyle="1" w:styleId="102">
    <w:name w:val="未处理的提及1"/>
    <w:autoRedefine/>
    <w:unhideWhenUsed/>
    <w:qFormat/>
    <w:uiPriority w:val="99"/>
    <w:rPr>
      <w:color w:val="605E5C"/>
      <w:shd w:val="clear" w:color="auto" w:fill="E1DFDD"/>
    </w:rPr>
  </w:style>
  <w:style w:type="paragraph" w:customStyle="1" w:styleId="103">
    <w:name w:val="修订2"/>
    <w:autoRedefine/>
    <w:unhideWhenUsed/>
    <w:qFormat/>
    <w:uiPriority w:val="99"/>
    <w:rPr>
      <w:rFonts w:ascii="宋体" w:hAnsi="宋体" w:eastAsia="宋体" w:cs="宋体"/>
      <w:sz w:val="24"/>
      <w:szCs w:val="24"/>
      <w:lang w:val="en-US" w:eastAsia="zh-CN" w:bidi="ar-SA"/>
    </w:rPr>
  </w:style>
  <w:style w:type="paragraph" w:customStyle="1" w:styleId="104">
    <w:name w:val="列出段落1"/>
    <w:basedOn w:val="1"/>
    <w:autoRedefine/>
    <w:qFormat/>
    <w:uiPriority w:val="0"/>
    <w:pPr>
      <w:widowControl w:val="0"/>
      <w:ind w:firstLine="420" w:firstLineChars="200"/>
      <w:jc w:val="both"/>
    </w:pPr>
    <w:rPr>
      <w:rFonts w:ascii="Calibri" w:hAnsi="Calibri" w:cs="Calibri"/>
      <w:kern w:val="2"/>
      <w:sz w:val="21"/>
      <w:szCs w:val="21"/>
    </w:rPr>
  </w:style>
  <w:style w:type="character" w:customStyle="1" w:styleId="105">
    <w:name w:val="q4iawc"/>
    <w:basedOn w:val="45"/>
    <w:qFormat/>
    <w:uiPriority w:val="0"/>
  </w:style>
  <w:style w:type="character" w:customStyle="1" w:styleId="106">
    <w:name w:val="font121"/>
    <w:basedOn w:val="45"/>
    <w:autoRedefine/>
    <w:qFormat/>
    <w:uiPriority w:val="0"/>
    <w:rPr>
      <w:rFonts w:hint="eastAsia" w:ascii="宋体" w:hAnsi="宋体" w:eastAsia="宋体" w:cs="宋体"/>
      <w:b/>
      <w:bCs/>
      <w:color w:val="000000"/>
      <w:sz w:val="20"/>
      <w:szCs w:val="20"/>
      <w:u w:val="none"/>
    </w:rPr>
  </w:style>
  <w:style w:type="character" w:customStyle="1" w:styleId="107">
    <w:name w:val="font41"/>
    <w:basedOn w:val="45"/>
    <w:qFormat/>
    <w:uiPriority w:val="0"/>
    <w:rPr>
      <w:rFonts w:hint="default" w:ascii="Arial" w:hAnsi="Arial" w:cs="Arial"/>
      <w:b/>
      <w:bCs/>
      <w:color w:val="000000"/>
      <w:sz w:val="20"/>
      <w:szCs w:val="20"/>
      <w:u w:val="none"/>
    </w:rPr>
  </w:style>
  <w:style w:type="character" w:customStyle="1" w:styleId="108">
    <w:name w:val="font71"/>
    <w:basedOn w:val="45"/>
    <w:autoRedefine/>
    <w:qFormat/>
    <w:uiPriority w:val="0"/>
    <w:rPr>
      <w:rFonts w:hint="default" w:ascii="Arial" w:hAnsi="Arial" w:cs="Arial"/>
      <w:color w:val="000000"/>
      <w:sz w:val="20"/>
      <w:szCs w:val="20"/>
      <w:u w:val="none"/>
    </w:rPr>
  </w:style>
  <w:style w:type="character" w:customStyle="1" w:styleId="109">
    <w:name w:val="font61"/>
    <w:basedOn w:val="45"/>
    <w:autoRedefine/>
    <w:qFormat/>
    <w:uiPriority w:val="0"/>
    <w:rPr>
      <w:rFonts w:hint="eastAsia" w:ascii="宋体" w:hAnsi="宋体" w:eastAsia="宋体" w:cs="宋体"/>
      <w:color w:val="000000"/>
      <w:sz w:val="20"/>
      <w:szCs w:val="20"/>
      <w:u w:val="none"/>
    </w:rPr>
  </w:style>
  <w:style w:type="character" w:customStyle="1" w:styleId="110">
    <w:name w:val="font101"/>
    <w:basedOn w:val="45"/>
    <w:autoRedefine/>
    <w:qFormat/>
    <w:uiPriority w:val="0"/>
    <w:rPr>
      <w:rFonts w:hint="eastAsia" w:ascii="宋体" w:hAnsi="宋体" w:eastAsia="宋体" w:cs="宋体"/>
      <w:b/>
      <w:bCs/>
      <w:color w:val="000000"/>
      <w:sz w:val="20"/>
      <w:szCs w:val="20"/>
      <w:u w:val="none"/>
    </w:rPr>
  </w:style>
  <w:style w:type="character" w:customStyle="1" w:styleId="111">
    <w:name w:val="font91"/>
    <w:basedOn w:val="45"/>
    <w:autoRedefine/>
    <w:qFormat/>
    <w:uiPriority w:val="0"/>
    <w:rPr>
      <w:rFonts w:hint="eastAsia" w:ascii="宋体" w:hAnsi="宋体" w:eastAsia="宋体" w:cs="宋体"/>
      <w:color w:val="000000"/>
      <w:sz w:val="20"/>
      <w:szCs w:val="20"/>
      <w:u w:val="none"/>
    </w:rPr>
  </w:style>
  <w:style w:type="character" w:customStyle="1" w:styleId="112">
    <w:name w:val="font31"/>
    <w:basedOn w:val="45"/>
    <w:autoRedefine/>
    <w:qFormat/>
    <w:uiPriority w:val="0"/>
    <w:rPr>
      <w:rFonts w:hint="default" w:ascii="Arial" w:hAnsi="Arial" w:cs="Arial"/>
      <w:color w:val="000000"/>
      <w:sz w:val="20"/>
      <w:szCs w:val="20"/>
      <w:u w:val="none"/>
    </w:rPr>
  </w:style>
  <w:style w:type="character" w:customStyle="1" w:styleId="113">
    <w:name w:val="正文文本缩进 字符"/>
    <w:basedOn w:val="45"/>
    <w:semiHidden/>
    <w:qFormat/>
    <w:uiPriority w:val="0"/>
    <w:rPr>
      <w:rFonts w:ascii="宋体" w:hAnsi="宋体" w:cs="宋体"/>
      <w:sz w:val="24"/>
      <w:szCs w:val="24"/>
    </w:rPr>
  </w:style>
  <w:style w:type="character" w:customStyle="1" w:styleId="114">
    <w:name w:val="纯文本 字符"/>
    <w:basedOn w:val="45"/>
    <w:autoRedefine/>
    <w:semiHidden/>
    <w:qFormat/>
    <w:uiPriority w:val="0"/>
    <w:rPr>
      <w:rFonts w:hAnsi="Courier New" w:cs="Courier New" w:asciiTheme="minorEastAsia" w:eastAsiaTheme="minorEastAsia"/>
      <w:sz w:val="24"/>
      <w:szCs w:val="24"/>
    </w:rPr>
  </w:style>
  <w:style w:type="character" w:customStyle="1" w:styleId="115">
    <w:name w:val="font01"/>
    <w:basedOn w:val="45"/>
    <w:autoRedefine/>
    <w:qFormat/>
    <w:uiPriority w:val="0"/>
    <w:rPr>
      <w:rFonts w:ascii="Arial" w:hAnsi="Arial" w:cs="Arial"/>
      <w:b/>
      <w:bCs/>
      <w:color w:val="000000"/>
      <w:sz w:val="18"/>
      <w:szCs w:val="18"/>
      <w:u w:val="none"/>
    </w:rPr>
  </w:style>
  <w:style w:type="paragraph" w:customStyle="1" w:styleId="116">
    <w:name w:val="paragraph"/>
    <w:basedOn w:val="1"/>
    <w:qFormat/>
    <w:uiPriority w:val="0"/>
    <w:pPr>
      <w:spacing w:before="100" w:beforeAutospacing="1" w:after="100" w:afterAutospacing="1"/>
    </w:pPr>
  </w:style>
  <w:style w:type="character" w:customStyle="1" w:styleId="117">
    <w:name w:val="normaltextrun"/>
    <w:basedOn w:val="45"/>
    <w:autoRedefine/>
    <w:qFormat/>
    <w:uiPriority w:val="0"/>
  </w:style>
  <w:style w:type="character" w:customStyle="1" w:styleId="118">
    <w:name w:val="eop"/>
    <w:basedOn w:val="45"/>
    <w:autoRedefine/>
    <w:qFormat/>
    <w:uiPriority w:val="0"/>
  </w:style>
  <w:style w:type="character" w:customStyle="1" w:styleId="119">
    <w:name w:val="tabchar"/>
    <w:basedOn w:val="45"/>
    <w:qFormat/>
    <w:uiPriority w:val="0"/>
  </w:style>
  <w:style w:type="character" w:customStyle="1" w:styleId="120">
    <w:name w:val="superscript"/>
    <w:basedOn w:val="45"/>
    <w:autoRedefine/>
    <w:qFormat/>
    <w:uiPriority w:val="0"/>
  </w:style>
  <w:style w:type="paragraph" w:customStyle="1" w:styleId="121">
    <w:name w:val="修订20"/>
    <w:hidden/>
    <w:qFormat/>
    <w:uiPriority w:val="99"/>
    <w:rPr>
      <w:rFonts w:ascii="宋体" w:hAnsi="宋体" w:eastAsia="宋体" w:cs="宋体"/>
      <w:sz w:val="24"/>
      <w:szCs w:val="24"/>
      <w:lang w:val="en-US" w:eastAsia="zh-CN" w:bidi="ar-SA"/>
    </w:rPr>
  </w:style>
  <w:style w:type="character" w:customStyle="1" w:styleId="122">
    <w:name w:val="font11"/>
    <w:basedOn w:val="45"/>
    <w:autoRedefine/>
    <w:qFormat/>
    <w:uiPriority w:val="0"/>
    <w:rPr>
      <w:rFonts w:hint="eastAsia" w:ascii="宋体" w:hAnsi="宋体" w:eastAsia="宋体" w:cs="宋体"/>
      <w:color w:val="000000"/>
      <w:sz w:val="21"/>
      <w:szCs w:val="21"/>
      <w:u w:val="none"/>
    </w:rPr>
  </w:style>
  <w:style w:type="character" w:customStyle="1" w:styleId="123">
    <w:name w:val="font51"/>
    <w:basedOn w:val="45"/>
    <w:autoRedefine/>
    <w:qFormat/>
    <w:uiPriority w:val="0"/>
    <w:rPr>
      <w:rFonts w:ascii="Calibri" w:hAnsi="Calibri" w:cs="Calibri"/>
      <w:color w:val="000000"/>
      <w:sz w:val="21"/>
      <w:szCs w:val="21"/>
      <w:u w:val="none"/>
    </w:rPr>
  </w:style>
  <w:style w:type="character" w:customStyle="1" w:styleId="124">
    <w:name w:val="font21"/>
    <w:basedOn w:val="45"/>
    <w:autoRedefine/>
    <w:qFormat/>
    <w:uiPriority w:val="0"/>
    <w:rPr>
      <w:rFonts w:ascii="等线" w:hAnsi="等线" w:eastAsia="等线" w:cs="等线"/>
      <w:color w:val="000000"/>
      <w:sz w:val="21"/>
      <w:szCs w:val="21"/>
      <w:u w:val="none"/>
    </w:rPr>
  </w:style>
  <w:style w:type="paragraph" w:customStyle="1" w:styleId="125">
    <w:name w:val="修订3"/>
    <w:autoRedefine/>
    <w:hidden/>
    <w:semiHidden/>
    <w:qFormat/>
    <w:uiPriority w:val="99"/>
    <w:rPr>
      <w:rFonts w:ascii="宋体" w:hAnsi="宋体" w:eastAsia="宋体" w:cs="宋体"/>
      <w:sz w:val="24"/>
      <w:szCs w:val="24"/>
      <w:lang w:val="en-US" w:eastAsia="zh-CN" w:bidi="ar-SA"/>
    </w:rPr>
  </w:style>
  <w:style w:type="paragraph" w:customStyle="1" w:styleId="126">
    <w:name w:val="列出段落11"/>
    <w:basedOn w:val="1"/>
    <w:link w:val="127"/>
    <w:autoRedefine/>
    <w:qFormat/>
    <w:uiPriority w:val="34"/>
    <w:pPr>
      <w:ind w:firstLine="420" w:firstLineChars="200"/>
    </w:pPr>
    <w:rPr>
      <w:lang w:eastAsia="en-US"/>
    </w:rPr>
  </w:style>
  <w:style w:type="character" w:customStyle="1" w:styleId="127">
    <w:name w:val="列出段落字符"/>
    <w:link w:val="126"/>
    <w:qFormat/>
    <w:uiPriority w:val="34"/>
    <w:rPr>
      <w:rFonts w:ascii="宋体" w:hAnsi="宋体" w:cs="宋体"/>
      <w:sz w:val="24"/>
      <w:szCs w:val="24"/>
      <w:lang w:eastAsia="en-US"/>
    </w:rPr>
  </w:style>
  <w:style w:type="paragraph" w:customStyle="1" w:styleId="128">
    <w:name w:val="环评正文"/>
    <w:basedOn w:val="3"/>
    <w:autoRedefine/>
    <w:qFormat/>
    <w:uiPriority w:val="0"/>
    <w:pPr>
      <w:keepNext w:val="0"/>
      <w:keepLines w:val="0"/>
      <w:numPr>
        <w:numId w:val="0"/>
      </w:numPr>
      <w:adjustRightInd w:val="0"/>
      <w:snapToGrid w:val="0"/>
      <w:spacing w:before="0" w:after="0" w:line="480" w:lineRule="exact"/>
      <w:jc w:val="both"/>
      <w:textAlignment w:val="baseline"/>
      <w:outlineLvl w:val="9"/>
    </w:pPr>
    <w:rPr>
      <w:rFonts w:ascii="Times New Roman" w:hAnsi="Times New Roman" w:cs="Times New Roman"/>
      <w:b w:val="0"/>
      <w:color w:val="000000"/>
      <w:kern w:val="2"/>
      <w:sz w:val="26"/>
      <w:szCs w:val="22"/>
    </w:rPr>
  </w:style>
  <w:style w:type="paragraph" w:customStyle="1" w:styleId="129">
    <w:name w:val="Table Paragraph"/>
    <w:basedOn w:val="1"/>
    <w:autoRedefine/>
    <w:qFormat/>
    <w:uiPriority w:val="1"/>
    <w:pPr>
      <w:spacing w:after="160" w:line="259" w:lineRule="auto"/>
    </w:pPr>
    <w:rPr>
      <w:rFonts w:ascii="Calibri" w:hAnsi="Calibri" w:eastAsia="等线" w:cs="Times New Roman"/>
      <w:sz w:val="22"/>
      <w:lang w:eastAsia="en-US"/>
    </w:rPr>
  </w:style>
  <w:style w:type="paragraph" w:customStyle="1" w:styleId="130">
    <w:name w:val="修订200"/>
    <w:autoRedefine/>
    <w:hidden/>
    <w:qFormat/>
    <w:uiPriority w:val="99"/>
    <w:rPr>
      <w:rFonts w:ascii="宋体" w:hAnsi="宋体" w:eastAsia="宋体" w:cs="宋体"/>
      <w:sz w:val="24"/>
      <w:szCs w:val="24"/>
      <w:lang w:val="en-US" w:eastAsia="zh-CN" w:bidi="ar-SA"/>
    </w:rPr>
  </w:style>
  <w:style w:type="paragraph" w:customStyle="1" w:styleId="131">
    <w:name w:val="修订2000"/>
    <w:hidden/>
    <w:qFormat/>
    <w:uiPriority w:val="99"/>
    <w:rPr>
      <w:rFonts w:ascii="宋体" w:hAnsi="宋体" w:eastAsia="宋体" w:cs="宋体"/>
      <w:sz w:val="24"/>
      <w:szCs w:val="24"/>
      <w:lang w:val="en-US" w:eastAsia="zh-CN" w:bidi="ar-SA"/>
    </w:rPr>
  </w:style>
  <w:style w:type="paragraph" w:customStyle="1" w:styleId="132">
    <w:name w:val="修订20000"/>
    <w:autoRedefine/>
    <w:hidden/>
    <w:qFormat/>
    <w:uiPriority w:val="99"/>
    <w:rPr>
      <w:rFonts w:ascii="宋体" w:hAnsi="宋体" w:eastAsia="宋体" w:cs="宋体"/>
      <w:sz w:val="24"/>
      <w:szCs w:val="24"/>
      <w:lang w:val="en-US" w:eastAsia="zh-CN" w:bidi="ar-SA"/>
    </w:rPr>
  </w:style>
  <w:style w:type="paragraph" w:customStyle="1" w:styleId="133">
    <w:name w:val="修订200000"/>
    <w:autoRedefine/>
    <w:hidden/>
    <w:qFormat/>
    <w:uiPriority w:val="99"/>
    <w:rPr>
      <w:rFonts w:ascii="宋体" w:hAnsi="宋体" w:eastAsia="宋体" w:cs="宋体"/>
      <w:sz w:val="24"/>
      <w:szCs w:val="24"/>
      <w:lang w:val="en-US" w:eastAsia="zh-CN" w:bidi="ar-SA"/>
    </w:rPr>
  </w:style>
  <w:style w:type="character" w:customStyle="1" w:styleId="134">
    <w:name w:val="未处理的提及2"/>
    <w:basedOn w:val="45"/>
    <w:autoRedefine/>
    <w:semiHidden/>
    <w:unhideWhenUsed/>
    <w:qFormat/>
    <w:uiPriority w:val="99"/>
    <w:rPr>
      <w:color w:val="605E5C"/>
      <w:shd w:val="clear" w:color="auto" w:fill="E1DFDD"/>
    </w:rPr>
  </w:style>
  <w:style w:type="character" w:customStyle="1" w:styleId="135">
    <w:name w:val="font81"/>
    <w:basedOn w:val="45"/>
    <w:autoRedefine/>
    <w:qFormat/>
    <w:uiPriority w:val="0"/>
    <w:rPr>
      <w:rFonts w:hint="eastAsia" w:ascii="宋体" w:hAnsi="宋体" w:eastAsia="宋体" w:cs="宋体"/>
      <w:color w:val="000000"/>
      <w:sz w:val="18"/>
      <w:szCs w:val="18"/>
      <w:u w:val="none"/>
    </w:rPr>
  </w:style>
  <w:style w:type="paragraph" w:customStyle="1" w:styleId="136">
    <w:name w:val="Revision1"/>
    <w:autoRedefine/>
    <w:hidden/>
    <w:semiHidden/>
    <w:qFormat/>
    <w:uiPriority w:val="99"/>
    <w:rPr>
      <w:rFonts w:ascii="宋体" w:hAnsi="宋体" w:eastAsia="宋体" w:cs="宋体"/>
      <w:sz w:val="24"/>
      <w:szCs w:val="24"/>
      <w:lang w:val="en-US" w:eastAsia="zh-CN" w:bidi="ar-SA"/>
    </w:rPr>
  </w:style>
  <w:style w:type="character" w:customStyle="1" w:styleId="137">
    <w:name w:val="Unresolved Mention1"/>
    <w:basedOn w:val="45"/>
    <w:autoRedefine/>
    <w:semiHidden/>
    <w:unhideWhenUsed/>
    <w:qFormat/>
    <w:uiPriority w:val="99"/>
    <w:rPr>
      <w:color w:val="605E5C"/>
      <w:shd w:val="clear" w:color="auto" w:fill="E1DFDD"/>
    </w:rPr>
  </w:style>
  <w:style w:type="paragraph" w:customStyle="1" w:styleId="138">
    <w:name w:val="修订4"/>
    <w:autoRedefine/>
    <w:hidden/>
    <w:semiHidden/>
    <w:qFormat/>
    <w:uiPriority w:val="99"/>
    <w:rPr>
      <w:rFonts w:ascii="宋体" w:hAnsi="宋体" w:eastAsia="宋体" w:cs="宋体"/>
      <w:sz w:val="24"/>
      <w:szCs w:val="24"/>
      <w:lang w:val="en-US" w:eastAsia="zh-CN" w:bidi="ar-SA"/>
    </w:rPr>
  </w:style>
  <w:style w:type="paragraph" w:customStyle="1" w:styleId="139">
    <w:name w:val="cucd-0"/>
    <w:basedOn w:val="140"/>
    <w:next w:val="1"/>
    <w:autoRedefine/>
    <w:qFormat/>
    <w:uiPriority w:val="0"/>
    <w:rPr>
      <w:rFonts w:ascii="Arial" w:hAnsi="Arial"/>
    </w:rPr>
  </w:style>
  <w:style w:type="paragraph" w:customStyle="1" w:styleId="140">
    <w:name w:val="cauc-0"/>
    <w:autoRedefine/>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1">
    <w:name w:val="fontstyle01"/>
    <w:basedOn w:val="45"/>
    <w:autoRedefine/>
    <w:qFormat/>
    <w:uiPriority w:val="0"/>
    <w:rPr>
      <w:rFonts w:hint="eastAsia" w:ascii="宋体" w:hAnsi="宋体" w:eastAsia="宋体"/>
      <w:color w:val="000000"/>
      <w:sz w:val="28"/>
      <w:szCs w:val="28"/>
    </w:rPr>
  </w:style>
  <w:style w:type="character" w:customStyle="1" w:styleId="142">
    <w:name w:val="fontstyle21"/>
    <w:basedOn w:val="45"/>
    <w:autoRedefine/>
    <w:qFormat/>
    <w:uiPriority w:val="0"/>
    <w:rPr>
      <w:rFonts w:hint="default" w:ascii="TimesNewRomanPSMT" w:hAnsi="TimesNewRomanPSMT"/>
      <w:color w:val="000000"/>
      <w:sz w:val="28"/>
      <w:szCs w:val="28"/>
    </w:rPr>
  </w:style>
  <w:style w:type="paragraph" w:customStyle="1" w:styleId="143">
    <w:name w:val="Revision"/>
    <w:autoRedefine/>
    <w:hidden/>
    <w:unhideWhenUsed/>
    <w:qFormat/>
    <w:uiPriority w:val="99"/>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6" Type="http://schemas.openxmlformats.org/officeDocument/2006/relationships/fontTable" Target="fontTable.xml"/><Relationship Id="rId45" Type="http://schemas.openxmlformats.org/officeDocument/2006/relationships/customXml" Target="../customXml/item3.xml"/><Relationship Id="rId44" Type="http://schemas.openxmlformats.org/officeDocument/2006/relationships/customXml" Target="../customXml/item2.xml"/><Relationship Id="rId43" Type="http://schemas.openxmlformats.org/officeDocument/2006/relationships/customXml" Target="../customXml/item1.xml"/><Relationship Id="rId42" Type="http://schemas.openxmlformats.org/officeDocument/2006/relationships/numbering" Target="numbering.xml"/><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footer" Target="footer1.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notes" Target="footnotes.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3.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236842105263"/>
          <c:y val="0.150694444444444"/>
          <c:w val="0.429473684210526"/>
          <c:h val="0.755555555555556"/>
        </c:manualLayout>
      </c:layout>
      <c:pieChart>
        <c:varyColors val="1"/>
        <c:ser>
          <c:idx val="0"/>
          <c:order val="0"/>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[工作簿1]Sheet1!$Q$22:$Q$24</c:f>
              <c:strCache>
                <c:ptCount val="3"/>
                <c:pt idx="0">
                  <c:v>21岁~44岁</c:v>
                </c:pt>
                <c:pt idx="1">
                  <c:v>45岁~59岁</c:v>
                </c:pt>
                <c:pt idx="2">
                  <c:v>60岁以上</c:v>
                </c:pt>
              </c:strCache>
            </c:strRef>
          </c:cat>
          <c:val>
            <c:numRef>
              <c:f>[工作簿1]Sheet1!$T$22:$T$24</c:f>
              <c:numCache>
                <c:formatCode>0.0%</c:formatCode>
                <c:ptCount val="3"/>
                <c:pt idx="0">
                  <c:v>0.477631578947368</c:v>
                </c:pt>
                <c:pt idx="1">
                  <c:v>0.273684210526316</c:v>
                </c:pt>
                <c:pt idx="2">
                  <c:v>0.248684210526316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ayout>
        <c:manualLayout>
          <c:xMode val="edge"/>
          <c:yMode val="edge"/>
          <c:x val="0.735263157894737"/>
          <c:y val="0.642592592592593"/>
          <c:w val="0.234868421052632"/>
          <c:h val="0.3016203703703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948f96a-3341-434d-8fc5-2532cf5db48f}"/>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00394736842105263"/>
          <c:y val="0.089125"/>
          <c:w val="0.829052631578947"/>
          <c:h val="0.706240740740741"/>
        </c:manualLayout>
      </c:layout>
      <c:pie3DChart>
        <c:varyColors val="1"/>
        <c:ser>
          <c:idx val="0"/>
          <c:order val="0"/>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[工作簿1]Sheet1!$M$29:$M$32</c:f>
              <c:strCache>
                <c:ptCount val="4"/>
                <c:pt idx="0">
                  <c:v>小学及以下</c:v>
                </c:pt>
                <c:pt idx="1">
                  <c:v>初中</c:v>
                </c:pt>
                <c:pt idx="2">
                  <c:v>高中</c:v>
                </c:pt>
                <c:pt idx="3">
                  <c:v>本科、大专及以上</c:v>
                </c:pt>
              </c:strCache>
            </c:strRef>
          </c:cat>
          <c:val>
            <c:numRef>
              <c:f>[工作簿1]Sheet1!$Q$29:$Q$32</c:f>
              <c:numCache>
                <c:formatCode>0.0%</c:formatCode>
                <c:ptCount val="4"/>
                <c:pt idx="0">
                  <c:v>0.147368421052632</c:v>
                </c:pt>
                <c:pt idx="1">
                  <c:v>0.284210526315789</c:v>
                </c:pt>
                <c:pt idx="2">
                  <c:v>0.326315789473684</c:v>
                </c:pt>
                <c:pt idx="3">
                  <c:v>0.242105263157895</c:v>
                </c:pt>
              </c:numCache>
            </c:numRef>
          </c:val>
        </c:ser>
        <c:dLbls>
          <c:showLegendKey val="0"/>
          <c:showVal val="1"/>
          <c:showCatName val="0"/>
          <c:showSerName val="0"/>
          <c:showPercent val="0"/>
          <c:showBubbleSize val="0"/>
        </c:dLbls>
      </c:pie3DChart>
      <c:spPr>
        <a:noFill/>
        <a:ln>
          <a:noFill/>
        </a:ln>
        <a:effectLst/>
      </c:spPr>
    </c:plotArea>
    <c:legend>
      <c:legendPos val="t"/>
      <c:layout>
        <c:manualLayout>
          <c:xMode val="edge"/>
          <c:yMode val="edge"/>
          <c:x val="0.728947368421053"/>
          <c:y val="0.668518518518519"/>
          <c:w val="0.263947368421053"/>
          <c:h val="0.27777777777777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4644ae9-ff30-4395-9d28-2e341f1157f9}"/>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2D13F3BA6BAFD49A49C6E4AD3A1C59A" ma:contentTypeVersion="14" ma:contentTypeDescription="Create a new document." ma:contentTypeScope="" ma:versionID="e1e9ce9b45be1f0e96065f485e66e2e8">
  <xsd:schema xmlns:xsd="http://www.w3.org/2001/XMLSchema" xmlns:xs="http://www.w3.org/2001/XMLSchema" xmlns:p="http://schemas.microsoft.com/office/2006/metadata/properties" xmlns:ns2="c62659b0-518d-4595-a165-15407096e43a" xmlns:ns3="a1db1a3c-ddc6-4c1a-9cea-22961bd9945f" targetNamespace="http://schemas.microsoft.com/office/2006/metadata/properties" ma:root="true" ma:fieldsID="bc80620de434eef610b2d1225625c4a3" ns2:_="" ns3:_="">
    <xsd:import namespace="c62659b0-518d-4595-a165-15407096e43a"/>
    <xsd:import namespace="a1db1a3c-ddc6-4c1a-9cea-22961bd9945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2659b0-518d-4595-a165-15407096e4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6ab2832-64a0-42a8-aa14-5406f91faab9"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db1a3c-ddc6-4c1a-9cea-22961bd9945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87672d5-1dbe-4375-b827-9e2ea9ac5a53}" ma:internalName="TaxCatchAll" ma:showField="CatchAllData" ma:web="a1db1a3c-ddc6-4c1a-9cea-22961bd9945f">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833A2A-ADC4-4E7F-A694-5C50A75EFE51}">
  <ds:schemaRefs/>
</ds:datastoreItem>
</file>

<file path=customXml/itemProps2.xml><?xml version="1.0" encoding="utf-8"?>
<ds:datastoreItem xmlns:ds="http://schemas.openxmlformats.org/officeDocument/2006/customXml" ds:itemID="{217653D5-0EDB-4195-977C-84792BAF0C76}">
  <ds:schemaRefs/>
</ds:datastoreItem>
</file>

<file path=customXml/itemProps3.xml><?xml version="1.0" encoding="utf-8"?>
<ds:datastoreItem xmlns:ds="http://schemas.openxmlformats.org/officeDocument/2006/customXml" ds:itemID="{71CF5E4F-0CF8-4099-859C-D379A5419E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103</Pages>
  <Words>10501</Words>
  <Characters>11299</Characters>
  <Lines>586</Lines>
  <Paragraphs>165</Paragraphs>
  <TotalTime>0</TotalTime>
  <ScaleCrop>false</ScaleCrop>
  <LinksUpToDate>false</LinksUpToDate>
  <CharactersWithSpaces>11539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2022-11-01T05:28:00Z</dcterms:created>
  <dc:creator>mjW</dc:creator>
  <cp:lastModifiedBy>楊凱</cp:lastModifiedBy>
  <cp:lastPrinted>2022-09-08T14:01:00Z</cp:lastPrinted>
  <dcterms:modified xsi:type="dcterms:W3CDTF">2024-11-11T09:47:38Z</dcterms:modified>
  <cp:revision>185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DFE362B493154E698A36D188B9E2378D_13</vt:lpwstr>
  </property>
</Properties>
</file>