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C9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37DDE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7C14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9DB7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年汉滨区国民经济和社会发展统计公报</w:t>
      </w:r>
    </w:p>
    <w:p w14:paraId="01B79D06"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 w14:paraId="7B60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是全面贯彻党的二十大精神的开局之年，是三年新冠疫情防控转段后经济恢复发展的一年。面对错综复杂的风险挑战、艰巨繁重的发展任务，在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政府的坚强领导下，全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下全面贯彻落实党的二十大精神，扎实开展学习贯彻习近平新时代中国特色社会主义思想主题教育，紧扣高质量发展主题，认真落实“三个年”活动，全力扩大内需、提振信心、防范风险，全年经济企稳向好，结构持续优化，动能积聚增强，高质量发展取得新成效。</w:t>
      </w:r>
    </w:p>
    <w:p w14:paraId="2DC1B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2471D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一、综合</w:t>
      </w:r>
    </w:p>
    <w:p w14:paraId="6452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根据地区生产总值统一核算结果，20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区生产总值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%。其中：第一产业增加值增长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%；第三产业增加值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增长3.3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%。三次产业增加值占生产总值的比重为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11.5：29.6：58.9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人均生产总值增长1.6%。</w:t>
      </w:r>
    </w:p>
    <w:p w14:paraId="3DCCC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792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892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960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03D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84B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53975</wp:posOffset>
            </wp:positionV>
            <wp:extent cx="4559935" cy="2639060"/>
            <wp:effectExtent l="0" t="0" r="12065" b="8890"/>
            <wp:wrapNone/>
            <wp:docPr id="1" name="图片 1" descr="D:/Desktop/统计公报/生产总值构成.png生产总值构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Desktop/统计公报/生产总值构成.png生产总值构成"/>
                    <pic:cNvPicPr>
                      <a:picLocks noChangeAspect="1"/>
                    </pic:cNvPicPr>
                  </pic:nvPicPr>
                  <pic:blipFill>
                    <a:blip r:embed="rId6"/>
                    <a:srcRect l="12" r="12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A20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CE9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42B8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50D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5F7A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2B7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0DD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D460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辖区非公有制经济增加值占生产总值的比重为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个百分点。</w:t>
      </w:r>
    </w:p>
    <w:p w14:paraId="26D60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据人口抽样调查，经市统计局评估认定，2023年末，辖区常住人口89.60万人，比上年增加0.26万人。其中：城镇人口54.55万人，占比60.9%；乡村人口35.05万人，占比39.1%。城镇化率60.88%。全年人口出生率7.15‰，死亡率6.82‰，自然增长率0.33‰。</w:t>
      </w:r>
    </w:p>
    <w:p w14:paraId="66DF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据公安部门年报统计显示：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年末，辖区户籍总人口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103.49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万人，比上年增加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万人。按性别分：男性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54.35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万人，女性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49.14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万人；按地域分：城镇人口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49.93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万人，乡村人口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53.56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暂住人口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3.19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万人。汉滨区户籍总人口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75.38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万人，比上年增加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0.05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万人。按性别分：男性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39.78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万人，女性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35.60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万人；按地域分：城镇人口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34.53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万人，乡村人口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40.85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万人。</w:t>
      </w:r>
    </w:p>
    <w:p w14:paraId="127D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AF6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364CB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二、农业</w:t>
      </w:r>
    </w:p>
    <w:p w14:paraId="16F5F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年，辖区农林牧渔业增加值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%。其中：农业增加值增长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%；林业增加值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%；牧业增加值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%；渔业增加值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%；农林牧渔服务业增加值增长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44004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34F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年粮油生产情况</w:t>
      </w:r>
    </w:p>
    <w:tbl>
      <w:tblPr>
        <w:tblStyle w:val="7"/>
        <w:tblW w:w="8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887"/>
        <w:gridCol w:w="1486"/>
        <w:gridCol w:w="2880"/>
      </w:tblGrid>
      <w:tr w14:paraId="68766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19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4A0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3C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CCF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较上年增长（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83CD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522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粮食面积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99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7D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69.30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C0B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-0.3</w:t>
            </w:r>
          </w:p>
        </w:tc>
      </w:tr>
      <w:tr w14:paraId="6CF3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9F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粮食产量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253E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96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18.08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DACD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1.2</w:t>
            </w:r>
          </w:p>
        </w:tc>
      </w:tr>
      <w:tr w14:paraId="3585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760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# 夏粮产量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0DF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3FB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5.33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563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0.2</w:t>
            </w:r>
          </w:p>
        </w:tc>
      </w:tr>
      <w:tr w14:paraId="16C2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2D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秋粮产量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457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41F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12.75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FA1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1.7</w:t>
            </w:r>
          </w:p>
        </w:tc>
      </w:tr>
      <w:tr w14:paraId="74C84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8A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油料面积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F8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54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33.71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6100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2.6</w:t>
            </w:r>
          </w:p>
        </w:tc>
      </w:tr>
      <w:tr w14:paraId="2E7CA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D93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# 油菜籽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8E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A62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27.50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24B1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3.4</w:t>
            </w:r>
          </w:p>
        </w:tc>
      </w:tr>
      <w:tr w14:paraId="14D1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D0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麻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77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0373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2.27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519E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-1.7</w:t>
            </w:r>
          </w:p>
        </w:tc>
      </w:tr>
      <w:tr w14:paraId="4758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9C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生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B7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A9F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3.94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35CE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-0.4</w:t>
            </w:r>
          </w:p>
        </w:tc>
      </w:tr>
      <w:tr w14:paraId="4125A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4A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油料产量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C59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6E7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5.46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4501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2.4</w:t>
            </w:r>
          </w:p>
        </w:tc>
      </w:tr>
      <w:tr w14:paraId="4A95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EC7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 xml:space="preserve"> # 油菜籽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15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660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4.12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7FBF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2.9</w:t>
            </w:r>
          </w:p>
        </w:tc>
      </w:tr>
      <w:tr w14:paraId="16A3F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D4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麻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4B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1718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0.26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53EF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-1.7</w:t>
            </w:r>
          </w:p>
        </w:tc>
      </w:tr>
      <w:tr w14:paraId="0C09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71F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 xml:space="preserve">   花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生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075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89F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1.08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1B9C2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1.7</w:t>
            </w:r>
          </w:p>
        </w:tc>
      </w:tr>
    </w:tbl>
    <w:p w14:paraId="5F6E9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18D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年经济作物生产情况</w:t>
      </w:r>
    </w:p>
    <w:tbl>
      <w:tblPr>
        <w:tblStyle w:val="7"/>
        <w:tblW w:w="8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887"/>
        <w:gridCol w:w="1666"/>
        <w:gridCol w:w="2700"/>
      </w:tblGrid>
      <w:tr w14:paraId="2493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D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7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3F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705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highlight w:val="none"/>
              </w:rPr>
              <w:t>%</w:t>
            </w:r>
          </w:p>
        </w:tc>
      </w:tr>
      <w:tr w14:paraId="0526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B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蔬菜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及食用菌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4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35.17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0668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2.7</w:t>
            </w:r>
          </w:p>
        </w:tc>
      </w:tr>
      <w:tr w14:paraId="5A9A8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蔬菜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及食用菌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3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60.47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9D30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3.9</w:t>
            </w:r>
          </w:p>
        </w:tc>
      </w:tr>
      <w:tr w14:paraId="38C7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B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中药材面积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C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4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B91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2.6</w:t>
            </w:r>
          </w:p>
        </w:tc>
      </w:tr>
      <w:tr w14:paraId="55A9A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5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中药材产量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1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E9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2.6</w:t>
            </w:r>
          </w:p>
        </w:tc>
      </w:tr>
      <w:tr w14:paraId="09BE3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E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园林水果面积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7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D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12.11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2C14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3.1</w:t>
            </w:r>
          </w:p>
        </w:tc>
      </w:tr>
      <w:tr w14:paraId="47F4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7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园林水果产量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2C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9F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7.21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55E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4.8</w:t>
            </w:r>
          </w:p>
        </w:tc>
      </w:tr>
      <w:tr w14:paraId="17070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9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茶园面积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E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万亩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21.12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717A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0.4</w:t>
            </w:r>
          </w:p>
        </w:tc>
      </w:tr>
      <w:tr w14:paraId="05A0D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C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茶叶产量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D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0.93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957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val="en-US" w:eastAsia="zh-CN"/>
              </w:rPr>
              <w:t>5.7</w:t>
            </w:r>
          </w:p>
        </w:tc>
      </w:tr>
    </w:tbl>
    <w:p w14:paraId="66D11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</w:p>
    <w:p w14:paraId="366A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年畜牧业发展情况</w:t>
      </w:r>
    </w:p>
    <w:tbl>
      <w:tblPr>
        <w:tblStyle w:val="7"/>
        <w:tblW w:w="82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900"/>
        <w:gridCol w:w="1749"/>
        <w:gridCol w:w="2715"/>
      </w:tblGrid>
      <w:tr w14:paraId="441A5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5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6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5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绝对量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F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%</w:t>
            </w:r>
          </w:p>
        </w:tc>
      </w:tr>
      <w:tr w14:paraId="75C24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肉类总产量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C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1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4.60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89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-2.1</w:t>
            </w:r>
          </w:p>
        </w:tc>
      </w:tr>
      <w:tr w14:paraId="002B9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43CBB">
            <w:pPr>
              <w:keepNext w:val="0"/>
              <w:keepLines w:val="0"/>
              <w:pageBreakBefore w:val="0"/>
              <w:widowControl w:val="0"/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# 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E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3.86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36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-1.8</w:t>
            </w:r>
          </w:p>
        </w:tc>
      </w:tr>
      <w:tr w14:paraId="33F94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7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D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2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0.24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D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-1.1</w:t>
            </w:r>
          </w:p>
        </w:tc>
      </w:tr>
      <w:tr w14:paraId="5B99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8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96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0.15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4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-9.7</w:t>
            </w:r>
          </w:p>
        </w:tc>
      </w:tr>
      <w:tr w14:paraId="20485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0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D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B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0.35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78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-2.7</w:t>
            </w:r>
          </w:p>
        </w:tc>
      </w:tr>
      <w:tr w14:paraId="7377D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5C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禽蛋产量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0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万吨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1.39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AE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-3.0</w:t>
            </w:r>
          </w:p>
        </w:tc>
      </w:tr>
      <w:tr w14:paraId="52F08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0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猪出栏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64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5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48.33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6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-2.6</w:t>
            </w:r>
          </w:p>
        </w:tc>
      </w:tr>
      <w:tr w14:paraId="76310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7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牛出栏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0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5F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1.62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E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-0.9</w:t>
            </w:r>
          </w:p>
        </w:tc>
      </w:tr>
      <w:tr w14:paraId="69E88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31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羊出栏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4F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8.36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2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-5.8</w:t>
            </w:r>
          </w:p>
        </w:tc>
      </w:tr>
      <w:tr w14:paraId="78BF9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4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家禽出栏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6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1F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216.36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6E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-3.6</w:t>
            </w:r>
          </w:p>
        </w:tc>
      </w:tr>
      <w:tr w14:paraId="76AD1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B1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猪存栏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4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0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30.84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18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-4.7</w:t>
            </w:r>
          </w:p>
        </w:tc>
      </w:tr>
      <w:tr w14:paraId="124EB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B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牛存栏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B7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万头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88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4.77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2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-1.0</w:t>
            </w:r>
          </w:p>
        </w:tc>
      </w:tr>
      <w:tr w14:paraId="07C61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" w:hRule="atLeast"/>
          <w:jc w:val="center"/>
        </w:trPr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A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羊存栏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3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10.32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-5.0</w:t>
            </w:r>
          </w:p>
        </w:tc>
      </w:tr>
      <w:tr w14:paraId="6240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家禽存栏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5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万只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F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185.16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D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-4.3</w:t>
            </w:r>
          </w:p>
        </w:tc>
      </w:tr>
    </w:tbl>
    <w:p w14:paraId="1FCA3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04" w:firstLineChars="1095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749E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三、工业</w:t>
      </w:r>
    </w:p>
    <w:p w14:paraId="54EF8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其中，汉滨区增长7.2%。</w:t>
      </w:r>
    </w:p>
    <w:p w14:paraId="38C0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692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38D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102235</wp:posOffset>
            </wp:positionV>
            <wp:extent cx="4578350" cy="2749550"/>
            <wp:effectExtent l="0" t="0" r="12700" b="12700"/>
            <wp:wrapNone/>
            <wp:docPr id="4" name="图片 4" descr="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工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7635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787C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44B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915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815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C566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308F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7043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工业销售产值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汉滨区较上年增长9.0%（中省市较上年增长5.1%，区属较上年增长13.4%）。</w:t>
      </w:r>
    </w:p>
    <w:p w14:paraId="35383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规模以上工业中六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大支柱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产值较上年下降4.9%。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发展情况详见下表：</w:t>
      </w:r>
    </w:p>
    <w:p w14:paraId="396A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0B1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大支柱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工业发展情况</w:t>
      </w:r>
    </w:p>
    <w:tbl>
      <w:tblPr>
        <w:tblStyle w:val="7"/>
        <w:tblW w:w="7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3990"/>
      </w:tblGrid>
      <w:tr w14:paraId="7B75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2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主要指标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588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较上年增长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highlight w:val="none"/>
              </w:rPr>
              <w:t>%</w:t>
            </w:r>
          </w:p>
        </w:tc>
      </w:tr>
      <w:tr w14:paraId="5EC8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E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w w:val="100"/>
                <w:kern w:val="0"/>
                <w:sz w:val="32"/>
                <w:szCs w:val="32"/>
                <w:highlight w:val="none"/>
                <w:lang w:val="en-US" w:eastAsia="zh-CN"/>
              </w:rPr>
              <w:t>六大支柱及特色工业产值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4E9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-4.9</w:t>
            </w:r>
          </w:p>
        </w:tc>
      </w:tr>
      <w:tr w14:paraId="28C0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AE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#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清洁能源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07B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5.0</w:t>
            </w:r>
          </w:p>
        </w:tc>
      </w:tr>
      <w:tr w14:paraId="6642A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95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富硒食品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396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-10.9</w:t>
            </w:r>
          </w:p>
        </w:tc>
      </w:tr>
      <w:tr w14:paraId="1BDF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装备制造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33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-17.4</w:t>
            </w:r>
          </w:p>
        </w:tc>
      </w:tr>
      <w:tr w14:paraId="0953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7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新型材料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C52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-22.5</w:t>
            </w:r>
          </w:p>
        </w:tc>
      </w:tr>
      <w:tr w14:paraId="2608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生物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医药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11B6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-21.6</w:t>
            </w:r>
          </w:p>
        </w:tc>
      </w:tr>
      <w:tr w14:paraId="6487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4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纺织服装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E2D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42.8</w:t>
            </w:r>
          </w:p>
        </w:tc>
      </w:tr>
      <w:tr w14:paraId="66769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特色工业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12F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41.8</w:t>
            </w:r>
          </w:p>
        </w:tc>
      </w:tr>
    </w:tbl>
    <w:p w14:paraId="239AA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截至12月底，辖区规模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工业企业达到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户（含陕西硒谷产业发展有限公司和供电局）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汉滨区108户（中省市3户，区属105户）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。当年辖区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新增规模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户。 </w:t>
      </w:r>
    </w:p>
    <w:p w14:paraId="22A45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16EC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四、建筑业</w:t>
      </w:r>
    </w:p>
    <w:p w14:paraId="2252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年，辖区全部建筑业增加值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4B310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辖区资质以上建筑业总产值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132.84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亿元,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施工面积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增长31.5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%。其中：新开工面积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下降13.8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%；房屋竣工面积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下降24.2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54F32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汉滨区资质以上建筑业总产值60.72亿元, 较上年下降1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%。房屋建筑施工面积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下降9.5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%。其中：新开工面积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下降36.2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%；房屋竣工面积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增长42.5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196A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截至12月底，辖区资质以上建筑业企业达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户。当年辖区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资质以上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建筑业企业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户。</w:t>
      </w:r>
    </w:p>
    <w:p w14:paraId="064E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</w:p>
    <w:p w14:paraId="1B147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五、服务业</w:t>
      </w:r>
    </w:p>
    <w:p w14:paraId="2891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年，辖区规模以上服务业营业收入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50.61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37.45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%。</w:t>
      </w:r>
    </w:p>
    <w:p w14:paraId="3D36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截至12月底，辖区规模以上服务业企业达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户。当年辖区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新增规模以上服务业企业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 w14:paraId="2FD1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51516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六、固定资产投资</w:t>
      </w:r>
    </w:p>
    <w:p w14:paraId="2020D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辖区固定资产投资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较上年下降0.7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第一产业投资较上年下降25.5%；第二产业投资下降8.9%；第三产业投资增长5.2%。</w:t>
      </w:r>
    </w:p>
    <w:p w14:paraId="154C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2023年，汉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固定资产投资较上年下降4.1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其中：第一产业投资较上年下降17.7%；第二产业投资增长4.2%；第三产业投资下降4.0%。</w:t>
      </w:r>
    </w:p>
    <w:p w14:paraId="53687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249555</wp:posOffset>
            </wp:positionV>
            <wp:extent cx="5108575" cy="2956560"/>
            <wp:effectExtent l="0" t="0" r="15875" b="15240"/>
            <wp:wrapNone/>
            <wp:docPr id="6" name="图片 6" descr="辖区投资占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辖区投资占比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C4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258C4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C98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B9C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813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FBB8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50FB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EB0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C26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0563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60BA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60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D48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BDD2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722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50165</wp:posOffset>
            </wp:positionV>
            <wp:extent cx="5108575" cy="2956560"/>
            <wp:effectExtent l="0" t="0" r="15875" b="15240"/>
            <wp:wrapNone/>
            <wp:docPr id="5" name="图片 5" descr="D:/Desktop/统计公报/汉滨区投资占比.png汉滨区投资占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Desktop/统计公报/汉滨区投资占比.png汉滨区投资占比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9DA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2FF2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0CE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D54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768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7540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0A7A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8503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C825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截至12月底，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辖区房地产企业达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当年辖区新增房地产开发企业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汉滨区1户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辖区房地产开发投资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下降25.7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辖区民间投资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下降21.3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%，其中，汉滨区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下降15.7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%；辖区商品房销售面积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23F4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2月底，辖区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500万元以上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施工项目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其中，新开工项目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汉滨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区500万元以上固定资产投资施工项目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个。其中，新开工项目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个。汉滨区5000万元以上投资项目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减少34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706E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</w:p>
    <w:p w14:paraId="51EF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七、邮电</w:t>
      </w:r>
    </w:p>
    <w:p w14:paraId="72D8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年，辖区邮电业务总量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14.54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%。其中，邮政业务总量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</w:p>
    <w:p w14:paraId="687C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辖区固定电话年末用户达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万户，比上年增加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%；移动电话用户达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130.77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增加2.32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增长1.8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固定互联网宽带用户达57.31万户，比上年增加6.46万户，增长12.7%。</w:t>
      </w:r>
    </w:p>
    <w:p w14:paraId="05FA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A3C7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八、贸易业</w:t>
      </w:r>
    </w:p>
    <w:p w14:paraId="478B8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年，辖区社会消费品零售总额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%。辖区限额以上批发零售和住宿餐饮业零售额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5F231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截至12月底，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辖区限额以上批发零售和住宿餐饮企业达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户（批发业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户，零售业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户，住宿业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户，餐饮业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其中，汉滨区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户（批发业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户，零售业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户，住宿业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户，餐饮业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户）。当年辖区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新增限额以上批发零售和住宿餐饮企业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汉滨区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户。</w:t>
      </w:r>
    </w:p>
    <w:p w14:paraId="0F62E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558F6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九、文化、旅游业</w:t>
      </w:r>
    </w:p>
    <w:p w14:paraId="74F8C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年，汉滨区广播节目综合人口覆盖率达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%，电视节目综合人口覆盖率达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%，公共图书馆图书总藏量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千册（件）。</w:t>
      </w:r>
    </w:p>
    <w:p w14:paraId="6241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汉滨区旅游从业人员达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导游人数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人；旅行社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个。</w:t>
      </w:r>
    </w:p>
    <w:p w14:paraId="2F80D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328B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十、财政、金融</w:t>
      </w:r>
    </w:p>
    <w:p w14:paraId="0BE5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年，汉滨区财政总收入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23.46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增长19.9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其中，财政一般预算收入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较上年增长5.0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%。财政一般预算支出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64.67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7FF4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年末，辖区金融机构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976.78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其中，住户存款余额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747.77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%。各项贷款余额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721.96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较上年增长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5D8A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4" w:firstLineChars="1195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0580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十一、教育</w:t>
      </w:r>
    </w:p>
    <w:p w14:paraId="5493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年，辖区共有普通高等学校2所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人；在校学生数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24951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12847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人；毕业生人数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7799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03334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辖区共有中等职业学校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550F3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有普通中学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16150人，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59382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158F1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所（不含教学点）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13828人，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76854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5183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4DF34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生8699人，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在园人数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33994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0A05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辖区共有特殊教育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全年共招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生37人，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在校学生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教职工人数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人，其中，专任教师4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</w:t>
      </w:r>
    </w:p>
    <w:p w14:paraId="6E17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2D9DE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十二、卫生</w:t>
      </w:r>
    </w:p>
    <w:p w14:paraId="54033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辖区医疗卫生机构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个，卫生院4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个，妇幼保健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2个，疾病预防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2个，诊所（卫生所、医务室）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个，村卫生室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个。床位数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8471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医院床位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张，卫生院床位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张。卫生技术人员数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9203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其中：医院、卫生院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人，妇幼保健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机构470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人，疾病预防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人。婴儿死亡率为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‰。</w:t>
      </w:r>
    </w:p>
    <w:p w14:paraId="64AEC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 w14:paraId="422E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十三、水利</w:t>
      </w:r>
    </w:p>
    <w:p w14:paraId="01DA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水土流失治理面积累计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145.39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千公顷，年末农村饮水安全达标人口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</w:t>
      </w:r>
    </w:p>
    <w:p w14:paraId="0EEC7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全年辖区水利工程总供用水量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其中：农业灌溉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10225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万立方米，工业生产供水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万立方米，城镇生活用水量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2941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万立方米，乡村生活用水量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1504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万立方米，人工生态环境用水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建筑业用水688万立方米，服务业用水978万立方米。</w:t>
      </w:r>
    </w:p>
    <w:p w14:paraId="1816A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E8C2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十四、城镇建设</w:t>
      </w:r>
    </w:p>
    <w:p w14:paraId="57363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年，辖区（不含恒口示范区，下同）供水综合生产能力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万立方米/日；城市供水总量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万吨；售水量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3075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万吨，其中，居民生活用水量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1868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万吨。</w:t>
      </w:r>
    </w:p>
    <w:p w14:paraId="146D1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年，辖区（不含恒口示范区，下同）供气总量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6362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万立方米；液化石油气供气总量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吨。</w:t>
      </w:r>
    </w:p>
    <w:p w14:paraId="0282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年，辖区（不含恒口示范区，下同）绿地面积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17.13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平方公里，其中，公园绿地面积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平方公里；建成区面积45平方公里，绿化覆盖面积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18.92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平方公里，建成区绿化覆盖率为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42.1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%；污水排放总量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吨，污水处理厂集中处理率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%，生活垃圾无害化处理率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 w14:paraId="0D301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67E8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十五、环境保护和安全生产</w:t>
      </w:r>
    </w:p>
    <w:p w14:paraId="6910F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年，辖区空气质量优良天数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天，空气质量优良天数占比达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%；空气质量综合指数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 w14:paraId="52C54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汉滨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区生产安全事故死亡人数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人，比上年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 w14:paraId="6B3F4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E84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、人民生活和社会保障</w:t>
      </w:r>
    </w:p>
    <w:p w14:paraId="611C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年，辖区全体居民人均可支配收入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24536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%。其中：工资性收入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%，占可支配收入的比重为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44.7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%；经营净收入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3687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15.0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%；财产净收入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%；转移净收入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 w14:paraId="0D108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34062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1665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其中：工资性收入15760元，增长5.0%，占可支配收入的比重为46.3%；经营净收入4370元，增长4.7%，占比12.8%；财产净收入2065元，增长5.7%，占比6.1%；转移净收入11867元，增长5.4%，占比34.8%。</w:t>
      </w:r>
    </w:p>
    <w:p w14:paraId="052A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农村常住居民人均可支配收入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14261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元，比上年增加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工资性收入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5820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%，占可支配收入的比重为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40.8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%；经营净收入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%；财产净收入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%；转移净收入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5398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%，占比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%。</w:t>
      </w:r>
    </w:p>
    <w:p w14:paraId="5337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1A217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205740</wp:posOffset>
            </wp:positionV>
            <wp:extent cx="4578350" cy="2749550"/>
            <wp:effectExtent l="0" t="0" r="12700" b="12700"/>
            <wp:wrapNone/>
            <wp:docPr id="8" name="图片 8" descr="城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城镇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6C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022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665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839F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D141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CFE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269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9E4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207645</wp:posOffset>
            </wp:positionV>
            <wp:extent cx="4578350" cy="2749550"/>
            <wp:effectExtent l="0" t="0" r="12700" b="12700"/>
            <wp:wrapNone/>
            <wp:docPr id="9" name="图片 9" descr="农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农村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2B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BA14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3B9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77DD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589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3BF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158C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EDAA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2FB2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城镇职工已参加基本医疗保险人数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居民已参加基本医疗保险人数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57.43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城乡居民已参加基本养老保险人数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机关事业单位已参加养老保险人数1.68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万人（含恒口示范区）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，企业职工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已参加基本养老保险人数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5.52万人（含恒口示范区）；汉滨区当年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离退休人员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城镇已参加生育保险人数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已参加失业保险人数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已参加工伤保险人数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万人。</w:t>
      </w:r>
    </w:p>
    <w:p w14:paraId="0113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临时救助人数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1.61万人，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提供住宿的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民政服务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个，提供住宿的民政服务机构床位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张，社区服务设施数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个。城镇居民最低生活保障人数达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3919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人，农村居民最低生活保障人数达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53915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人，农村特困供养人数达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</w:p>
    <w:p w14:paraId="40347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B5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B227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C39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2D74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5B9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72" w:firstLineChars="147"/>
        <w:textAlignment w:val="auto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注释：</w:t>
      </w:r>
    </w:p>
    <w:p w14:paraId="48FF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1.本公报部分指标数据为四季度快报数。</w:t>
      </w:r>
    </w:p>
    <w:p w14:paraId="2DCB3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2.部分数据因四舍五入的原因，存在总计与分项合计不等的情况。</w:t>
      </w:r>
    </w:p>
    <w:p w14:paraId="0EC89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9" w:leftChars="71" w:right="150" w:firstLine="480" w:firstLineChars="1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3.生产总值、各产业增加值绝对数按现价计算，增长速度按不变价计算。</w:t>
      </w:r>
    </w:p>
    <w:p w14:paraId="0AF8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4.邮电业务总量按20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年不变价格计算。</w:t>
      </w:r>
    </w:p>
    <w:p w14:paraId="4C29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.本公报中辖区所指的范围是指包含高新区、恒口示范区、瀛湖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旅游区在内，除专门标注外，汉滨区所指的范围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不含高新区、恒口示范区，但包含瀛湖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旅游区。 </w:t>
      </w:r>
    </w:p>
    <w:p w14:paraId="7402B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当年辖区新增规模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工业企业、规模以上服务业企业、限额以上批发零售和住宿餐饮企业数是以上年度年报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企业数与当年新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企业数为准统计的。</w:t>
      </w:r>
    </w:p>
    <w:p w14:paraId="40F19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0" w:firstLine="630" w:firstLineChars="196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本公报资料来源：</w:t>
      </w:r>
    </w:p>
    <w:p w14:paraId="01D3F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1.邮电数据来自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市邮政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市移动公司、市电信公司和市联通公司。</w:t>
      </w:r>
    </w:p>
    <w:p w14:paraId="6DB8B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2.文化、旅游数据来自区文旅广电局。</w:t>
      </w:r>
    </w:p>
    <w:p w14:paraId="1DE0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3.财政数据来自区财政局决算。</w:t>
      </w:r>
    </w:p>
    <w:p w14:paraId="5C940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4.金融数据来自市人行。</w:t>
      </w:r>
    </w:p>
    <w:p w14:paraId="0F5AA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5.教育数据来自高等学校和区教体局。</w:t>
      </w:r>
    </w:p>
    <w:p w14:paraId="1E543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6.卫生数据来自区卫健局。</w:t>
      </w:r>
    </w:p>
    <w:p w14:paraId="21AE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7.水利数据来自区水利局。</w:t>
      </w:r>
    </w:p>
    <w:p w14:paraId="67017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8.城镇建设数据来自区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局。</w:t>
      </w:r>
    </w:p>
    <w:p w14:paraId="0A5B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9.环保数据来自区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局。</w:t>
      </w:r>
    </w:p>
    <w:p w14:paraId="6F57F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10.安全生产数据来自区应急管理局。</w:t>
      </w:r>
    </w:p>
    <w:p w14:paraId="7AC6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11.城镇就业、失业、社会保障数据来自区人力资源和社会保障局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区医保局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和区民政局。    </w:t>
      </w:r>
    </w:p>
    <w:sectPr>
      <w:footerReference r:id="rId3" w:type="default"/>
      <w:footerReference r:id="rId4" w:type="even"/>
      <w:pgSz w:w="11906" w:h="16838"/>
      <w:pgMar w:top="1701" w:right="1531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3C460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E1C7A">
                          <w:pPr>
                            <w:pStyle w:val="4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8E1C7A">
                    <w:pPr>
                      <w:pStyle w:val="4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181F"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5E8B214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mExODM2ZTFhOWQ5NjUzYjZjYWQwNDhiMDQ5NjMifQ=="/>
  </w:docVars>
  <w:rsids>
    <w:rsidRoot w:val="00A22706"/>
    <w:rsid w:val="00003EFB"/>
    <w:rsid w:val="00086D93"/>
    <w:rsid w:val="000C4FD0"/>
    <w:rsid w:val="000C7C8B"/>
    <w:rsid w:val="000D67C9"/>
    <w:rsid w:val="00171C8C"/>
    <w:rsid w:val="00172FFC"/>
    <w:rsid w:val="001F4E65"/>
    <w:rsid w:val="0028228D"/>
    <w:rsid w:val="002A1985"/>
    <w:rsid w:val="003C2016"/>
    <w:rsid w:val="004526BC"/>
    <w:rsid w:val="00497085"/>
    <w:rsid w:val="004E14D0"/>
    <w:rsid w:val="004F7DCA"/>
    <w:rsid w:val="0057307B"/>
    <w:rsid w:val="005F2997"/>
    <w:rsid w:val="006150D6"/>
    <w:rsid w:val="006C276A"/>
    <w:rsid w:val="007A3664"/>
    <w:rsid w:val="007C6895"/>
    <w:rsid w:val="007C6D83"/>
    <w:rsid w:val="008040C5"/>
    <w:rsid w:val="0082448E"/>
    <w:rsid w:val="00880A70"/>
    <w:rsid w:val="008B45D6"/>
    <w:rsid w:val="00953270"/>
    <w:rsid w:val="00A10144"/>
    <w:rsid w:val="00A22706"/>
    <w:rsid w:val="00AB79BD"/>
    <w:rsid w:val="00AD0C3A"/>
    <w:rsid w:val="00C417AC"/>
    <w:rsid w:val="00C45216"/>
    <w:rsid w:val="00C7633F"/>
    <w:rsid w:val="00CC61AC"/>
    <w:rsid w:val="00CF12FC"/>
    <w:rsid w:val="00D6443A"/>
    <w:rsid w:val="00E6284A"/>
    <w:rsid w:val="00E82D3C"/>
    <w:rsid w:val="00EB52BD"/>
    <w:rsid w:val="00EF63B0"/>
    <w:rsid w:val="00F42A34"/>
    <w:rsid w:val="00F61A21"/>
    <w:rsid w:val="01145609"/>
    <w:rsid w:val="01240BD1"/>
    <w:rsid w:val="01E60B4A"/>
    <w:rsid w:val="01EF5D9A"/>
    <w:rsid w:val="02063171"/>
    <w:rsid w:val="02343063"/>
    <w:rsid w:val="027F4D04"/>
    <w:rsid w:val="02824C57"/>
    <w:rsid w:val="02FC3B99"/>
    <w:rsid w:val="03082F4B"/>
    <w:rsid w:val="030B47EA"/>
    <w:rsid w:val="033E2E83"/>
    <w:rsid w:val="03796EE7"/>
    <w:rsid w:val="04AD5190"/>
    <w:rsid w:val="04CC0C60"/>
    <w:rsid w:val="05036F0A"/>
    <w:rsid w:val="051B40B6"/>
    <w:rsid w:val="05392C7E"/>
    <w:rsid w:val="05502988"/>
    <w:rsid w:val="05594596"/>
    <w:rsid w:val="05905454"/>
    <w:rsid w:val="05DA7C07"/>
    <w:rsid w:val="068B1EC9"/>
    <w:rsid w:val="069845E6"/>
    <w:rsid w:val="071219C0"/>
    <w:rsid w:val="0730783C"/>
    <w:rsid w:val="074F15B8"/>
    <w:rsid w:val="07B76CEE"/>
    <w:rsid w:val="07F90633"/>
    <w:rsid w:val="08602DE6"/>
    <w:rsid w:val="089963F4"/>
    <w:rsid w:val="08AC4379"/>
    <w:rsid w:val="08D236A1"/>
    <w:rsid w:val="095037EE"/>
    <w:rsid w:val="09540C99"/>
    <w:rsid w:val="095E1B17"/>
    <w:rsid w:val="0B0F5480"/>
    <w:rsid w:val="0B1D63A0"/>
    <w:rsid w:val="0B5224A3"/>
    <w:rsid w:val="0B7A2611"/>
    <w:rsid w:val="0BA852CC"/>
    <w:rsid w:val="0BC33EB3"/>
    <w:rsid w:val="0C063DA0"/>
    <w:rsid w:val="0C18268D"/>
    <w:rsid w:val="0C72622F"/>
    <w:rsid w:val="0CA75583"/>
    <w:rsid w:val="0CF67C2C"/>
    <w:rsid w:val="0DBF68FD"/>
    <w:rsid w:val="0DDC7406"/>
    <w:rsid w:val="0E0B3620"/>
    <w:rsid w:val="0E4503D3"/>
    <w:rsid w:val="0E7A5166"/>
    <w:rsid w:val="0E8E2172"/>
    <w:rsid w:val="0E9C725F"/>
    <w:rsid w:val="0EB76AB3"/>
    <w:rsid w:val="0F580A7E"/>
    <w:rsid w:val="0F972E26"/>
    <w:rsid w:val="0FB12F47"/>
    <w:rsid w:val="10036BDC"/>
    <w:rsid w:val="10847253"/>
    <w:rsid w:val="10CA5CE4"/>
    <w:rsid w:val="114A1D60"/>
    <w:rsid w:val="11965BC6"/>
    <w:rsid w:val="11995E91"/>
    <w:rsid w:val="11C42733"/>
    <w:rsid w:val="11C721FA"/>
    <w:rsid w:val="120C7C36"/>
    <w:rsid w:val="123A47A4"/>
    <w:rsid w:val="1266014D"/>
    <w:rsid w:val="13ED0EFA"/>
    <w:rsid w:val="1419368F"/>
    <w:rsid w:val="144F780E"/>
    <w:rsid w:val="14A64372"/>
    <w:rsid w:val="14AB44D5"/>
    <w:rsid w:val="14EA7B72"/>
    <w:rsid w:val="15041962"/>
    <w:rsid w:val="161B72CE"/>
    <w:rsid w:val="165833EA"/>
    <w:rsid w:val="167A7DB1"/>
    <w:rsid w:val="16AB336D"/>
    <w:rsid w:val="175E37D8"/>
    <w:rsid w:val="17710B95"/>
    <w:rsid w:val="17AC5E01"/>
    <w:rsid w:val="18552F7E"/>
    <w:rsid w:val="18887F9F"/>
    <w:rsid w:val="18C029FB"/>
    <w:rsid w:val="19040906"/>
    <w:rsid w:val="190914D5"/>
    <w:rsid w:val="197D1C21"/>
    <w:rsid w:val="1A2B1136"/>
    <w:rsid w:val="1A450189"/>
    <w:rsid w:val="1AC35C7E"/>
    <w:rsid w:val="1ACC4407"/>
    <w:rsid w:val="1B2D1CCB"/>
    <w:rsid w:val="1B2D30F7"/>
    <w:rsid w:val="1B630C86"/>
    <w:rsid w:val="1B7326C5"/>
    <w:rsid w:val="1BE07A5B"/>
    <w:rsid w:val="1C1B78F6"/>
    <w:rsid w:val="1C56141B"/>
    <w:rsid w:val="1C735C5D"/>
    <w:rsid w:val="1CE43C8A"/>
    <w:rsid w:val="1D2065A9"/>
    <w:rsid w:val="1D980AE6"/>
    <w:rsid w:val="1E9217B7"/>
    <w:rsid w:val="1E9516DF"/>
    <w:rsid w:val="1EA65CDC"/>
    <w:rsid w:val="1F0A6153"/>
    <w:rsid w:val="20052895"/>
    <w:rsid w:val="2005627A"/>
    <w:rsid w:val="20453B09"/>
    <w:rsid w:val="20FC3C98"/>
    <w:rsid w:val="21703D3E"/>
    <w:rsid w:val="219A18CA"/>
    <w:rsid w:val="220473ED"/>
    <w:rsid w:val="225A7E11"/>
    <w:rsid w:val="229512F7"/>
    <w:rsid w:val="22BC0398"/>
    <w:rsid w:val="23292224"/>
    <w:rsid w:val="23C03648"/>
    <w:rsid w:val="23C45A74"/>
    <w:rsid w:val="242C159B"/>
    <w:rsid w:val="2435126F"/>
    <w:rsid w:val="243C084F"/>
    <w:rsid w:val="24596D0B"/>
    <w:rsid w:val="247B1377"/>
    <w:rsid w:val="24F21C57"/>
    <w:rsid w:val="25B67503"/>
    <w:rsid w:val="25BE1084"/>
    <w:rsid w:val="26134077"/>
    <w:rsid w:val="26487037"/>
    <w:rsid w:val="265E25BE"/>
    <w:rsid w:val="2673350C"/>
    <w:rsid w:val="274F261D"/>
    <w:rsid w:val="277E26B9"/>
    <w:rsid w:val="279F3713"/>
    <w:rsid w:val="27E5181C"/>
    <w:rsid w:val="27E83F29"/>
    <w:rsid w:val="282F4CB9"/>
    <w:rsid w:val="2841081B"/>
    <w:rsid w:val="28892747"/>
    <w:rsid w:val="290556B4"/>
    <w:rsid w:val="290C4E61"/>
    <w:rsid w:val="29C941B3"/>
    <w:rsid w:val="29EC23D0"/>
    <w:rsid w:val="2A0F067D"/>
    <w:rsid w:val="2A0F0896"/>
    <w:rsid w:val="2A6F478F"/>
    <w:rsid w:val="2A731B79"/>
    <w:rsid w:val="2B563421"/>
    <w:rsid w:val="2B621186"/>
    <w:rsid w:val="2B8B0751"/>
    <w:rsid w:val="2B9203AF"/>
    <w:rsid w:val="2B996587"/>
    <w:rsid w:val="2BE34690"/>
    <w:rsid w:val="2C01778F"/>
    <w:rsid w:val="2C3D4E5D"/>
    <w:rsid w:val="2C576226"/>
    <w:rsid w:val="2C5D5DEC"/>
    <w:rsid w:val="2C7636A5"/>
    <w:rsid w:val="2C9254B0"/>
    <w:rsid w:val="2CB61047"/>
    <w:rsid w:val="2CEF4062"/>
    <w:rsid w:val="2CF848DC"/>
    <w:rsid w:val="2D0D0452"/>
    <w:rsid w:val="2D145EC5"/>
    <w:rsid w:val="2D590A8D"/>
    <w:rsid w:val="2D83448C"/>
    <w:rsid w:val="2DBD610D"/>
    <w:rsid w:val="2E007B0F"/>
    <w:rsid w:val="2E1E4DFE"/>
    <w:rsid w:val="2E475B96"/>
    <w:rsid w:val="2E5D3055"/>
    <w:rsid w:val="2F0B12B7"/>
    <w:rsid w:val="2F815C0B"/>
    <w:rsid w:val="2FA051E1"/>
    <w:rsid w:val="2FAF0127"/>
    <w:rsid w:val="2FF23C55"/>
    <w:rsid w:val="30490C89"/>
    <w:rsid w:val="3051409E"/>
    <w:rsid w:val="307F5C02"/>
    <w:rsid w:val="308039E8"/>
    <w:rsid w:val="30E6401D"/>
    <w:rsid w:val="314E571E"/>
    <w:rsid w:val="31665A94"/>
    <w:rsid w:val="31C4323A"/>
    <w:rsid w:val="323A7097"/>
    <w:rsid w:val="323F1C36"/>
    <w:rsid w:val="32922F41"/>
    <w:rsid w:val="32A74594"/>
    <w:rsid w:val="3307027A"/>
    <w:rsid w:val="331D26B7"/>
    <w:rsid w:val="334D461D"/>
    <w:rsid w:val="33962A97"/>
    <w:rsid w:val="33974783"/>
    <w:rsid w:val="33C06DA7"/>
    <w:rsid w:val="35080B6F"/>
    <w:rsid w:val="356112E2"/>
    <w:rsid w:val="359E23BA"/>
    <w:rsid w:val="35B72D4C"/>
    <w:rsid w:val="35F9432D"/>
    <w:rsid w:val="3632560E"/>
    <w:rsid w:val="371B60A2"/>
    <w:rsid w:val="37376037"/>
    <w:rsid w:val="37D1142F"/>
    <w:rsid w:val="37DB3B4D"/>
    <w:rsid w:val="37FF210D"/>
    <w:rsid w:val="38145328"/>
    <w:rsid w:val="38387B0C"/>
    <w:rsid w:val="38613F89"/>
    <w:rsid w:val="39736669"/>
    <w:rsid w:val="39901870"/>
    <w:rsid w:val="39AD62D8"/>
    <w:rsid w:val="39C821E7"/>
    <w:rsid w:val="3A4B5033"/>
    <w:rsid w:val="3A595223"/>
    <w:rsid w:val="3B074AC6"/>
    <w:rsid w:val="3B091033"/>
    <w:rsid w:val="3B1517E1"/>
    <w:rsid w:val="3B4A64BC"/>
    <w:rsid w:val="3B887C53"/>
    <w:rsid w:val="3B923B8A"/>
    <w:rsid w:val="3C02602D"/>
    <w:rsid w:val="3CED228F"/>
    <w:rsid w:val="3DAF0D3B"/>
    <w:rsid w:val="3DBF1E7D"/>
    <w:rsid w:val="3E210442"/>
    <w:rsid w:val="3E5A77B3"/>
    <w:rsid w:val="3E7B5510"/>
    <w:rsid w:val="3F0E5F2B"/>
    <w:rsid w:val="3F1C2170"/>
    <w:rsid w:val="3F546654"/>
    <w:rsid w:val="40350C0D"/>
    <w:rsid w:val="40C23DE1"/>
    <w:rsid w:val="40F57964"/>
    <w:rsid w:val="40FC0CF2"/>
    <w:rsid w:val="418D5B51"/>
    <w:rsid w:val="41A424B8"/>
    <w:rsid w:val="41B058F8"/>
    <w:rsid w:val="42790B68"/>
    <w:rsid w:val="42CF4458"/>
    <w:rsid w:val="4392593E"/>
    <w:rsid w:val="43945548"/>
    <w:rsid w:val="43A31047"/>
    <w:rsid w:val="43A60480"/>
    <w:rsid w:val="43FC36AC"/>
    <w:rsid w:val="4420119C"/>
    <w:rsid w:val="444C5F47"/>
    <w:rsid w:val="44670B79"/>
    <w:rsid w:val="44675B6F"/>
    <w:rsid w:val="4582699B"/>
    <w:rsid w:val="464A160C"/>
    <w:rsid w:val="464D01D7"/>
    <w:rsid w:val="464F175E"/>
    <w:rsid w:val="47370CD6"/>
    <w:rsid w:val="47B8159F"/>
    <w:rsid w:val="484C6FD0"/>
    <w:rsid w:val="48B76469"/>
    <w:rsid w:val="48C70EB4"/>
    <w:rsid w:val="48C72077"/>
    <w:rsid w:val="48E629B4"/>
    <w:rsid w:val="491C7A2F"/>
    <w:rsid w:val="49671FC1"/>
    <w:rsid w:val="498A06A3"/>
    <w:rsid w:val="498F3FBA"/>
    <w:rsid w:val="49980EBF"/>
    <w:rsid w:val="49A47845"/>
    <w:rsid w:val="4A355616"/>
    <w:rsid w:val="4AAA2E98"/>
    <w:rsid w:val="4AB35ACA"/>
    <w:rsid w:val="4AC415A8"/>
    <w:rsid w:val="4AF73CAA"/>
    <w:rsid w:val="4B080A90"/>
    <w:rsid w:val="4B5E223D"/>
    <w:rsid w:val="4B8F1C29"/>
    <w:rsid w:val="4BDA266D"/>
    <w:rsid w:val="4C06217B"/>
    <w:rsid w:val="4C794EE2"/>
    <w:rsid w:val="4CA270B8"/>
    <w:rsid w:val="4D2B684D"/>
    <w:rsid w:val="4D344701"/>
    <w:rsid w:val="4D403B35"/>
    <w:rsid w:val="4D812CAB"/>
    <w:rsid w:val="4D92310A"/>
    <w:rsid w:val="4E257ADB"/>
    <w:rsid w:val="4EF57107"/>
    <w:rsid w:val="4F1B678D"/>
    <w:rsid w:val="4F382113"/>
    <w:rsid w:val="4F981ECE"/>
    <w:rsid w:val="503D5FC5"/>
    <w:rsid w:val="504B09CE"/>
    <w:rsid w:val="50C2070C"/>
    <w:rsid w:val="50CF66F9"/>
    <w:rsid w:val="51121E6C"/>
    <w:rsid w:val="51136310"/>
    <w:rsid w:val="515563BF"/>
    <w:rsid w:val="516D383D"/>
    <w:rsid w:val="51754B8B"/>
    <w:rsid w:val="51F37EF0"/>
    <w:rsid w:val="52132340"/>
    <w:rsid w:val="52816F9E"/>
    <w:rsid w:val="528D5323"/>
    <w:rsid w:val="52A15B17"/>
    <w:rsid w:val="52A25AC3"/>
    <w:rsid w:val="52C553E8"/>
    <w:rsid w:val="52D95F9F"/>
    <w:rsid w:val="53146D34"/>
    <w:rsid w:val="537D2167"/>
    <w:rsid w:val="53A849CE"/>
    <w:rsid w:val="54983866"/>
    <w:rsid w:val="54C17E31"/>
    <w:rsid w:val="5541087D"/>
    <w:rsid w:val="55745BAF"/>
    <w:rsid w:val="55985036"/>
    <w:rsid w:val="56EE0CC7"/>
    <w:rsid w:val="574865E8"/>
    <w:rsid w:val="578B0AD8"/>
    <w:rsid w:val="57F90DDB"/>
    <w:rsid w:val="5816620A"/>
    <w:rsid w:val="58542265"/>
    <w:rsid w:val="587D2D71"/>
    <w:rsid w:val="5915074C"/>
    <w:rsid w:val="595948A6"/>
    <w:rsid w:val="598D29D8"/>
    <w:rsid w:val="5A096502"/>
    <w:rsid w:val="5A0F163F"/>
    <w:rsid w:val="5A152A57"/>
    <w:rsid w:val="5ADF54B5"/>
    <w:rsid w:val="5B041718"/>
    <w:rsid w:val="5BF82D97"/>
    <w:rsid w:val="5CB5025A"/>
    <w:rsid w:val="5CDE4D80"/>
    <w:rsid w:val="5D086F45"/>
    <w:rsid w:val="5D4F4A26"/>
    <w:rsid w:val="5D612F48"/>
    <w:rsid w:val="5D6415FC"/>
    <w:rsid w:val="5D757530"/>
    <w:rsid w:val="5DAF5613"/>
    <w:rsid w:val="5E111E29"/>
    <w:rsid w:val="5E222523"/>
    <w:rsid w:val="5E2A2EEB"/>
    <w:rsid w:val="5E325E43"/>
    <w:rsid w:val="5E4A70E9"/>
    <w:rsid w:val="5E85199F"/>
    <w:rsid w:val="5EF14681"/>
    <w:rsid w:val="5F784E7B"/>
    <w:rsid w:val="5F7E34EF"/>
    <w:rsid w:val="5F9521C5"/>
    <w:rsid w:val="5FAE2E3B"/>
    <w:rsid w:val="5FEE5F7F"/>
    <w:rsid w:val="60FB0DE5"/>
    <w:rsid w:val="61563BD5"/>
    <w:rsid w:val="62213805"/>
    <w:rsid w:val="6238154A"/>
    <w:rsid w:val="63114BBF"/>
    <w:rsid w:val="63780255"/>
    <w:rsid w:val="63B70BA4"/>
    <w:rsid w:val="63C829D3"/>
    <w:rsid w:val="63DA78BA"/>
    <w:rsid w:val="63E2685D"/>
    <w:rsid w:val="64151F48"/>
    <w:rsid w:val="647631C6"/>
    <w:rsid w:val="64A1494B"/>
    <w:rsid w:val="65214356"/>
    <w:rsid w:val="659E3379"/>
    <w:rsid w:val="65AA428E"/>
    <w:rsid w:val="65AE191D"/>
    <w:rsid w:val="660B715E"/>
    <w:rsid w:val="66C84488"/>
    <w:rsid w:val="66D439F4"/>
    <w:rsid w:val="67143F9C"/>
    <w:rsid w:val="672276F0"/>
    <w:rsid w:val="6732302E"/>
    <w:rsid w:val="67A33EF1"/>
    <w:rsid w:val="67FD51CC"/>
    <w:rsid w:val="68303B19"/>
    <w:rsid w:val="68C03F98"/>
    <w:rsid w:val="68CE4BA1"/>
    <w:rsid w:val="68FC02AB"/>
    <w:rsid w:val="693966D8"/>
    <w:rsid w:val="69CD406E"/>
    <w:rsid w:val="6A064C45"/>
    <w:rsid w:val="6A070584"/>
    <w:rsid w:val="6A9B2592"/>
    <w:rsid w:val="6AE4418A"/>
    <w:rsid w:val="6B560E7C"/>
    <w:rsid w:val="6BE97F42"/>
    <w:rsid w:val="6C4D6722"/>
    <w:rsid w:val="6C67530A"/>
    <w:rsid w:val="6CA5662D"/>
    <w:rsid w:val="6CB37B19"/>
    <w:rsid w:val="6CBB5AF0"/>
    <w:rsid w:val="6CCF6652"/>
    <w:rsid w:val="6D1C273C"/>
    <w:rsid w:val="6D1F4312"/>
    <w:rsid w:val="6D3C6893"/>
    <w:rsid w:val="6D5308DD"/>
    <w:rsid w:val="6E17191D"/>
    <w:rsid w:val="6E3B39B7"/>
    <w:rsid w:val="6E8B6551"/>
    <w:rsid w:val="6EA230B9"/>
    <w:rsid w:val="6EAC4745"/>
    <w:rsid w:val="6EAF22E3"/>
    <w:rsid w:val="6F5D002D"/>
    <w:rsid w:val="6F6C53DE"/>
    <w:rsid w:val="6F7E3BE7"/>
    <w:rsid w:val="701B6328"/>
    <w:rsid w:val="70400FD0"/>
    <w:rsid w:val="70414654"/>
    <w:rsid w:val="711E068D"/>
    <w:rsid w:val="713D4226"/>
    <w:rsid w:val="719C3905"/>
    <w:rsid w:val="71A60563"/>
    <w:rsid w:val="71FB2322"/>
    <w:rsid w:val="72E17BC5"/>
    <w:rsid w:val="7325112F"/>
    <w:rsid w:val="7329331A"/>
    <w:rsid w:val="73467980"/>
    <w:rsid w:val="738D2000"/>
    <w:rsid w:val="73B3232A"/>
    <w:rsid w:val="73B47087"/>
    <w:rsid w:val="73ED5AAF"/>
    <w:rsid w:val="749A512C"/>
    <w:rsid w:val="74C13C24"/>
    <w:rsid w:val="74DD260E"/>
    <w:rsid w:val="755D1591"/>
    <w:rsid w:val="758C1062"/>
    <w:rsid w:val="759D5408"/>
    <w:rsid w:val="75EF29C7"/>
    <w:rsid w:val="766308F1"/>
    <w:rsid w:val="766D7DC9"/>
    <w:rsid w:val="76DB493A"/>
    <w:rsid w:val="76E931CA"/>
    <w:rsid w:val="76FB7D40"/>
    <w:rsid w:val="77407DFE"/>
    <w:rsid w:val="77764653"/>
    <w:rsid w:val="77D22C08"/>
    <w:rsid w:val="77F53FBA"/>
    <w:rsid w:val="78183855"/>
    <w:rsid w:val="783D77E2"/>
    <w:rsid w:val="7868106D"/>
    <w:rsid w:val="78A20C1B"/>
    <w:rsid w:val="79273948"/>
    <w:rsid w:val="7A210B49"/>
    <w:rsid w:val="7A344A7E"/>
    <w:rsid w:val="7A3A62A3"/>
    <w:rsid w:val="7A4D602C"/>
    <w:rsid w:val="7A8F5BB9"/>
    <w:rsid w:val="7A9E45ED"/>
    <w:rsid w:val="7AEF75DF"/>
    <w:rsid w:val="7B094382"/>
    <w:rsid w:val="7B1107C4"/>
    <w:rsid w:val="7B481280"/>
    <w:rsid w:val="7BD01932"/>
    <w:rsid w:val="7C4C07FB"/>
    <w:rsid w:val="7C5A4544"/>
    <w:rsid w:val="7C9D1CD5"/>
    <w:rsid w:val="7D204E07"/>
    <w:rsid w:val="7D2C6D56"/>
    <w:rsid w:val="7D35681B"/>
    <w:rsid w:val="7D555C01"/>
    <w:rsid w:val="7D616AB4"/>
    <w:rsid w:val="7D8B393A"/>
    <w:rsid w:val="7D981E4B"/>
    <w:rsid w:val="7E0208EE"/>
    <w:rsid w:val="7E0B5800"/>
    <w:rsid w:val="7E3418A9"/>
    <w:rsid w:val="7E3B02D9"/>
    <w:rsid w:val="7E506AC0"/>
    <w:rsid w:val="7E5D3887"/>
    <w:rsid w:val="7E6416AA"/>
    <w:rsid w:val="7E94162E"/>
    <w:rsid w:val="7E994DF3"/>
    <w:rsid w:val="7EBC7738"/>
    <w:rsid w:val="7EE50A3C"/>
    <w:rsid w:val="7EF7251E"/>
    <w:rsid w:val="7F084483"/>
    <w:rsid w:val="7F2E7866"/>
    <w:rsid w:val="7F68753F"/>
    <w:rsid w:val="7F9562A7"/>
    <w:rsid w:val="7FDE29E0"/>
    <w:rsid w:val="7FE80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Char Char Char Char Char Char Char Char Char Char Char Char Char"/>
    <w:basedOn w:val="1"/>
    <w:qFormat/>
    <w:uiPriority w:val="0"/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4527</Words>
  <Characters>5731</Characters>
  <Lines>47</Lines>
  <Paragraphs>13</Paragraphs>
  <TotalTime>403</TotalTime>
  <ScaleCrop>false</ScaleCrop>
  <LinksUpToDate>false</LinksUpToDate>
  <CharactersWithSpaces>5831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2020-04-03T02:16:00Z</dcterms:created>
  <dc:creator>wanghuifang</dc:creator>
  <cp:lastModifiedBy>会说法语优雅的猪</cp:lastModifiedBy>
  <cp:lastPrinted>2024-09-29T01:24:00Z</cp:lastPrinted>
  <dcterms:modified xsi:type="dcterms:W3CDTF">2024-10-11T08:35:15Z</dcterms:modified>
  <dc:title>2019年汉滨区国民经济和社会发展统计公报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334AC10475D34807BE3A3F832DE06A18_13</vt:lpwstr>
  </property>
</Properties>
</file>