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仿宋_GB2312"/>
          <w:color w:val="auto"/>
          <w:sz w:val="36"/>
          <w:szCs w:val="36"/>
        </w:rPr>
      </w:pPr>
    </w:p>
    <w:p>
      <w:pPr>
        <w:rPr>
          <w:rFonts w:cs="仿宋_GB2312"/>
          <w:color w:val="auto"/>
          <w:sz w:val="36"/>
          <w:szCs w:val="36"/>
        </w:rPr>
      </w:pPr>
    </w:p>
    <w:p>
      <w:pPr>
        <w:rPr>
          <w:rFonts w:cs="仿宋_GB2312"/>
          <w:color w:val="auto"/>
          <w:sz w:val="36"/>
          <w:szCs w:val="36"/>
        </w:rPr>
      </w:pPr>
    </w:p>
    <w:p>
      <w:pPr>
        <w:rPr>
          <w:rFonts w:hint="eastAsia" w:cs="仿宋_GB2312"/>
          <w:color w:val="auto"/>
          <w:sz w:val="36"/>
          <w:szCs w:val="36"/>
        </w:rPr>
      </w:pPr>
    </w:p>
    <w:p>
      <w:pPr>
        <w:adjustRightInd w:val="0"/>
        <w:snapToGrid w:val="0"/>
        <w:jc w:val="center"/>
        <w:outlineLvl w:val="0"/>
        <w:rPr>
          <w:rFonts w:hint="eastAsia" w:ascii="Times New Roman" w:hAnsi="Times New Roman" w:eastAsia="方正小标宋_GBK" w:cs="Times New Roman"/>
          <w:bCs/>
          <w:color w:val="auto"/>
          <w:sz w:val="72"/>
          <w:szCs w:val="72"/>
        </w:rPr>
      </w:pPr>
      <w:r>
        <w:rPr>
          <w:rFonts w:hint="eastAsia" w:ascii="Times New Roman" w:hAnsi="Times New Roman" w:eastAsia="方正小标宋_GBK" w:cs="Times New Roman"/>
          <w:bCs/>
          <w:color w:val="auto"/>
          <w:sz w:val="72"/>
          <w:szCs w:val="72"/>
        </w:rPr>
        <w:t>建设项目环境影响报告表</w:t>
      </w:r>
    </w:p>
    <w:p>
      <w:pPr>
        <w:adjustRightInd w:val="0"/>
        <w:snapToGrid w:val="0"/>
        <w:spacing w:before="192" w:beforeLines="80"/>
        <w:jc w:val="center"/>
        <w:rPr>
          <w:rFonts w:hint="eastAsia" w:ascii="Times New Roman" w:hAnsi="Times New Roman" w:eastAsia="楷体_GB2312" w:cs="Times New Roman"/>
          <w:bCs/>
          <w:color w:val="auto"/>
          <w:sz w:val="48"/>
          <w:szCs w:val="48"/>
        </w:rPr>
      </w:pPr>
      <w:r>
        <w:rPr>
          <w:rFonts w:hint="eastAsia" w:ascii="Times New Roman" w:hAnsi="Times New Roman" w:eastAsia="楷体_GB2312" w:cs="Times New Roman"/>
          <w:bCs/>
          <w:color w:val="auto"/>
          <w:sz w:val="48"/>
          <w:szCs w:val="48"/>
        </w:rPr>
        <w:t>（污染影响类）</w:t>
      </w:r>
    </w:p>
    <w:p>
      <w:pPr>
        <w:adjustRightInd w:val="0"/>
        <w:snapToGrid w:val="0"/>
        <w:spacing w:line="288" w:lineRule="auto"/>
        <w:jc w:val="center"/>
        <w:outlineLvl w:val="0"/>
        <w:rPr>
          <w:rFonts w:cs="华文仿宋"/>
          <w:color w:val="auto"/>
          <w:kern w:val="44"/>
          <w:sz w:val="44"/>
          <w:szCs w:val="44"/>
        </w:rPr>
      </w:pPr>
    </w:p>
    <w:p>
      <w:pPr>
        <w:jc w:val="center"/>
        <w:rPr>
          <w:color w:val="auto"/>
          <w:sz w:val="52"/>
          <w:szCs w:val="52"/>
        </w:rPr>
      </w:pPr>
    </w:p>
    <w:p>
      <w:pPr>
        <w:ind w:firstLine="1040"/>
        <w:rPr>
          <w:color w:val="auto"/>
          <w:sz w:val="44"/>
          <w:szCs w:val="44"/>
        </w:rPr>
      </w:pPr>
    </w:p>
    <w:p>
      <w:pPr>
        <w:ind w:firstLine="1040"/>
        <w:rPr>
          <w:color w:val="auto"/>
          <w:sz w:val="44"/>
          <w:szCs w:val="44"/>
        </w:rPr>
      </w:pPr>
    </w:p>
    <w:p>
      <w:pPr>
        <w:ind w:firstLine="1040"/>
        <w:rPr>
          <w:color w:val="auto"/>
          <w:sz w:val="44"/>
          <w:szCs w:val="44"/>
        </w:rPr>
      </w:pPr>
    </w:p>
    <w:p>
      <w:pPr>
        <w:ind w:firstLine="1040"/>
        <w:rPr>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仿宋_GB2312" w:cs="Times New Roman"/>
          <w:b w:val="0"/>
          <w:bCs w:val="0"/>
          <w:color w:val="auto"/>
          <w:sz w:val="36"/>
          <w:szCs w:val="36"/>
          <w:u w:val="single"/>
          <w:lang w:val="en-US" w:eastAsia="zh-CN"/>
        </w:rPr>
      </w:pPr>
      <w:r>
        <w:rPr>
          <w:rFonts w:hint="eastAsia" w:ascii="Times New Roman" w:hAnsi="Times New Roman" w:eastAsia="仿宋_GB2312" w:cs="Times New Roman"/>
          <w:b w:val="0"/>
          <w:bCs w:val="0"/>
          <w:color w:val="auto"/>
          <w:sz w:val="36"/>
          <w:szCs w:val="36"/>
        </w:rPr>
        <w:t>项目名称：</w:t>
      </w:r>
      <w:r>
        <w:rPr>
          <w:rFonts w:hint="eastAsia" w:ascii="Times New Roman" w:hAnsi="Times New Roman" w:eastAsia="仿宋_GB2312" w:cs="Times New Roman"/>
          <w:b w:val="0"/>
          <w:bCs w:val="0"/>
          <w:color w:val="auto"/>
          <w:sz w:val="36"/>
          <w:szCs w:val="36"/>
          <w:u w:val="single"/>
          <w:lang w:val="en-US" w:eastAsia="zh-CN"/>
        </w:rPr>
        <w:t xml:space="preserve">    安康华兴妇产医院建设项目    </w:t>
      </w:r>
    </w:p>
    <w:p>
      <w:pPr>
        <w:adjustRightInd w:val="0"/>
        <w:snapToGrid w:val="0"/>
        <w:spacing w:line="288" w:lineRule="auto"/>
        <w:rPr>
          <w:rFonts w:hint="default" w:ascii="Times New Roman" w:hAnsi="Times New Roman" w:eastAsia="仿宋_GB2312" w:cs="Times New Roman"/>
          <w:b w:val="0"/>
          <w:bCs w:val="0"/>
          <w:color w:val="auto"/>
          <w:sz w:val="36"/>
          <w:szCs w:val="36"/>
          <w:u w:val="single"/>
          <w:lang w:val="en-US" w:eastAsia="zh-CN"/>
        </w:rPr>
      </w:pPr>
      <w:r>
        <w:rPr>
          <w:rFonts w:hint="eastAsia" w:ascii="Times New Roman" w:hAnsi="Times New Roman" w:eastAsia="仿宋_GB2312" w:cs="Times New Roman"/>
          <w:b w:val="0"/>
          <w:bCs w:val="0"/>
          <w:color w:val="auto"/>
          <w:sz w:val="36"/>
          <w:szCs w:val="36"/>
        </w:rPr>
        <w:t>建设单位（盖章）：</w:t>
      </w:r>
      <w:r>
        <w:rPr>
          <w:rFonts w:hint="eastAsia" w:ascii="Times New Roman" w:hAnsi="Times New Roman" w:eastAsia="仿宋_GB2312" w:cs="Times New Roman"/>
          <w:b w:val="0"/>
          <w:bCs w:val="0"/>
          <w:color w:val="auto"/>
          <w:sz w:val="36"/>
          <w:szCs w:val="36"/>
          <w:u w:val="single"/>
          <w:lang w:val="en-US" w:eastAsia="zh-CN"/>
        </w:rPr>
        <w:t xml:space="preserve"> </w:t>
      </w:r>
      <w:r>
        <w:rPr>
          <w:rFonts w:hint="eastAsia" w:ascii="Times New Roman" w:hAnsi="Times New Roman" w:eastAsia="仿宋_GB2312" w:cs="Times New Roman"/>
          <w:b w:val="0"/>
          <w:bCs w:val="0"/>
          <w:color w:val="auto"/>
          <w:spacing w:val="-17"/>
          <w:sz w:val="36"/>
          <w:szCs w:val="36"/>
          <w:u w:val="single"/>
          <w:lang w:val="en-US" w:eastAsia="zh-CN"/>
        </w:rPr>
        <w:t xml:space="preserve">安康华兴妇产医院有限公司  </w:t>
      </w:r>
    </w:p>
    <w:p>
      <w:pPr>
        <w:adjustRightInd w:val="0"/>
        <w:snapToGrid w:val="0"/>
        <w:spacing w:line="288" w:lineRule="auto"/>
        <w:rPr>
          <w:rFonts w:hint="default" w:ascii="Times New Roman" w:hAnsi="Times New Roman" w:eastAsia="仿宋_GB2312" w:cs="Times New Roman"/>
          <w:b w:val="0"/>
          <w:bCs w:val="0"/>
          <w:color w:val="auto"/>
          <w:sz w:val="36"/>
          <w:szCs w:val="36"/>
          <w:lang w:val="en-US"/>
        </w:rPr>
      </w:pPr>
      <w:r>
        <w:rPr>
          <w:rFonts w:hint="eastAsia" w:ascii="Times New Roman" w:hAnsi="Times New Roman" w:eastAsia="仿宋_GB2312" w:cs="Times New Roman"/>
          <w:b w:val="0"/>
          <w:bCs w:val="0"/>
          <w:color w:val="auto"/>
          <w:sz w:val="36"/>
          <w:szCs w:val="36"/>
        </w:rPr>
        <w:t>编制日期：</w:t>
      </w:r>
      <w:r>
        <w:rPr>
          <w:rFonts w:hint="eastAsia" w:ascii="Times New Roman" w:hAnsi="Times New Roman" w:eastAsia="仿宋_GB2312" w:cs="Times New Roman"/>
          <w:b w:val="0"/>
          <w:bCs w:val="0"/>
          <w:color w:val="auto"/>
          <w:sz w:val="36"/>
          <w:szCs w:val="36"/>
          <w:u w:val="single"/>
          <w:lang w:val="en-US" w:eastAsia="zh-CN"/>
        </w:rPr>
        <w:t xml:space="preserve">          二○二四年六月        </w:t>
      </w:r>
    </w:p>
    <w:p>
      <w:pPr>
        <w:adjustRightInd w:val="0"/>
        <w:snapToGrid w:val="0"/>
        <w:spacing w:line="288" w:lineRule="auto"/>
        <w:ind w:firstLine="1040"/>
        <w:rPr>
          <w:color w:val="auto"/>
          <w:sz w:val="36"/>
          <w:szCs w:val="36"/>
          <w:u w:val="single"/>
        </w:rPr>
      </w:pPr>
      <w:bookmarkStart w:id="0" w:name="_Hlk57884087"/>
    </w:p>
    <w:p>
      <w:pPr>
        <w:adjustRightInd w:val="0"/>
        <w:snapToGrid w:val="0"/>
        <w:spacing w:line="288" w:lineRule="auto"/>
        <w:ind w:firstLine="1040"/>
        <w:rPr>
          <w:color w:val="auto"/>
          <w:sz w:val="36"/>
          <w:szCs w:val="36"/>
        </w:rPr>
      </w:pPr>
    </w:p>
    <w:p>
      <w:pPr>
        <w:adjustRightInd w:val="0"/>
        <w:snapToGrid w:val="0"/>
        <w:spacing w:line="288" w:lineRule="auto"/>
        <w:ind w:firstLine="1040"/>
        <w:rPr>
          <w:color w:val="auto"/>
          <w:sz w:val="36"/>
          <w:szCs w:val="36"/>
        </w:rPr>
      </w:pPr>
    </w:p>
    <w:p>
      <w:pPr>
        <w:adjustRightInd w:val="0"/>
        <w:snapToGrid w:val="0"/>
        <w:spacing w:line="288" w:lineRule="auto"/>
        <w:ind w:firstLine="1040"/>
        <w:rPr>
          <w:rFonts w:hint="eastAsia"/>
          <w:color w:val="auto"/>
          <w:sz w:val="36"/>
          <w:szCs w:val="36"/>
        </w:rPr>
      </w:pPr>
    </w:p>
    <w:p>
      <w:pPr>
        <w:adjustRightInd w:val="0"/>
        <w:snapToGrid w:val="0"/>
        <w:spacing w:line="288" w:lineRule="auto"/>
        <w:ind w:firstLine="1040"/>
        <w:rPr>
          <w:rFonts w:hint="eastAsia"/>
          <w:color w:val="auto"/>
          <w:sz w:val="36"/>
          <w:szCs w:val="36"/>
        </w:rPr>
      </w:pPr>
    </w:p>
    <w:bookmarkEnd w:id="0"/>
    <w:p>
      <w:pPr>
        <w:adjustRightInd w:val="0"/>
        <w:snapToGrid w:val="0"/>
        <w:spacing w:line="288" w:lineRule="auto"/>
        <w:jc w:val="center"/>
        <w:rPr>
          <w:rFonts w:hint="eastAsia"/>
          <w:color w:val="auto"/>
          <w:sz w:val="36"/>
          <w:szCs w:val="36"/>
        </w:rPr>
      </w:pPr>
      <w:r>
        <w:rPr>
          <w:rFonts w:hint="eastAsia" w:ascii="Times New Roman" w:hAnsi="Times New Roman" w:eastAsia="楷体_GB2312" w:cs="Times New Roman"/>
          <w:color w:val="auto"/>
          <w:sz w:val="36"/>
          <w:szCs w:val="36"/>
        </w:rPr>
        <w:t>中华人民共和国生态环境部制</w:t>
      </w:r>
    </w:p>
    <w:p>
      <w:pPr>
        <w:adjustRightInd w:val="0"/>
        <w:snapToGrid w:val="0"/>
        <w:spacing w:line="288" w:lineRule="auto"/>
        <w:ind w:firstLine="1040"/>
        <w:rPr>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eastAsia" w:ascii="Times New Roman" w:hAnsi="Times New Roman"/>
          <w:snapToGrid w:val="0"/>
          <w:color w:val="auto"/>
          <w:sz w:val="30"/>
          <w:szCs w:val="30"/>
        </w:rPr>
      </w:pPr>
      <w:r>
        <w:rPr>
          <w:rFonts w:hint="eastAsia" w:ascii="Times New Roman" w:hAnsi="Times New Roman"/>
          <w:snapToGrid w:val="0"/>
          <w:color w:val="auto"/>
          <w:sz w:val="30"/>
          <w:szCs w:val="30"/>
        </w:rPr>
        <w:t>一、建设项目基本情况</w:t>
      </w:r>
    </w:p>
    <w:tbl>
      <w:tblPr>
        <w:tblStyle w:val="2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79"/>
        <w:gridCol w:w="2558"/>
        <w:gridCol w:w="2384"/>
        <w:gridCol w:w="31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6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建设项目名称</w:t>
            </w:r>
          </w:p>
        </w:tc>
        <w:tc>
          <w:tcPr>
            <w:tcW w:w="4139" w:type="pct"/>
            <w:gridSpan w:val="3"/>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安康华兴妇产医院</w:t>
            </w:r>
            <w:r>
              <w:rPr>
                <w:rFonts w:hint="eastAsia" w:ascii="Times New Roman" w:hAnsi="Times New Roman" w:eastAsia="宋体" w:cs="Times New Roman"/>
                <w:color w:val="auto"/>
                <w:sz w:val="24"/>
                <w:szCs w:val="24"/>
                <w:lang w:val="en-US" w:eastAsia="zh-CN"/>
              </w:rPr>
              <w:t>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6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项目代码</w:t>
            </w:r>
          </w:p>
        </w:tc>
        <w:tc>
          <w:tcPr>
            <w:tcW w:w="4139" w:type="pct"/>
            <w:gridSpan w:val="3"/>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6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建设单位联系人</w:t>
            </w:r>
          </w:p>
        </w:tc>
        <w:tc>
          <w:tcPr>
            <w:tcW w:w="130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highlight w:val="none"/>
                <w:lang w:val="en-US" w:eastAsia="zh-CN"/>
              </w:rPr>
              <w:t>王保杰</w:t>
            </w:r>
          </w:p>
        </w:tc>
        <w:tc>
          <w:tcPr>
            <w:tcW w:w="1220"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联系方式</w:t>
            </w:r>
          </w:p>
        </w:tc>
        <w:tc>
          <w:tcPr>
            <w:tcW w:w="160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15929007286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6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建设地点</w:t>
            </w:r>
          </w:p>
        </w:tc>
        <w:tc>
          <w:tcPr>
            <w:tcW w:w="4139" w:type="pct"/>
            <w:gridSpan w:val="3"/>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u w:val="single"/>
                <w:lang w:val="en-US" w:eastAsia="zh-CN"/>
              </w:rPr>
              <w:t>陕西</w:t>
            </w:r>
            <w:r>
              <w:rPr>
                <w:rFonts w:hint="default" w:ascii="Times New Roman" w:hAnsi="Times New Roman" w:cs="Times New Roman"/>
                <w:color w:val="auto"/>
                <w:sz w:val="24"/>
                <w:szCs w:val="24"/>
              </w:rPr>
              <w:t>省</w:t>
            </w:r>
            <w:r>
              <w:rPr>
                <w:rFonts w:hint="eastAsia" w:ascii="Times New Roman" w:hAnsi="Times New Roman" w:cs="Times New Roman"/>
                <w:color w:val="auto"/>
                <w:sz w:val="24"/>
                <w:szCs w:val="24"/>
                <w:u w:val="single"/>
                <w:lang w:val="en-US" w:eastAsia="zh-CN"/>
              </w:rPr>
              <w:t>安康</w:t>
            </w:r>
            <w:r>
              <w:rPr>
                <w:rFonts w:hint="default" w:ascii="Times New Roman" w:hAnsi="Times New Roman" w:cs="Times New Roman"/>
                <w:color w:val="auto"/>
                <w:sz w:val="24"/>
                <w:szCs w:val="24"/>
              </w:rPr>
              <w:t>市</w:t>
            </w:r>
            <w:r>
              <w:rPr>
                <w:rFonts w:hint="eastAsia" w:ascii="Times New Roman" w:hAnsi="Times New Roman" w:cs="Times New Roman"/>
                <w:color w:val="auto"/>
                <w:sz w:val="24"/>
                <w:szCs w:val="24"/>
                <w:u w:val="single"/>
                <w:lang w:val="en-US" w:eastAsia="zh-CN"/>
              </w:rPr>
              <w:t>满意建材路与香溪路交汇处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6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地理坐标</w:t>
            </w:r>
          </w:p>
        </w:tc>
        <w:tc>
          <w:tcPr>
            <w:tcW w:w="4139" w:type="pct"/>
            <w:gridSpan w:val="3"/>
            <w:tcBorders>
              <w:tl2br w:val="nil"/>
              <w:tr2bl w:val="nil"/>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东经</w:t>
            </w:r>
            <w:r>
              <w:rPr>
                <w:rFonts w:hint="default" w:ascii="Times New Roman" w:hAnsi="Times New Roman" w:cs="Times New Roman"/>
                <w:color w:val="auto"/>
                <w:sz w:val="24"/>
                <w:szCs w:val="24"/>
                <w:u w:val="single"/>
              </w:rPr>
              <w:t>1</w:t>
            </w:r>
            <w:r>
              <w:rPr>
                <w:rFonts w:hint="eastAsia" w:ascii="Times New Roman" w:hAnsi="Times New Roman" w:cs="Times New Roman"/>
                <w:color w:val="auto"/>
                <w:sz w:val="24"/>
                <w:szCs w:val="24"/>
                <w:u w:val="single"/>
                <w:lang w:val="en-US" w:eastAsia="zh-CN"/>
              </w:rPr>
              <w:t>09</w:t>
            </w:r>
            <w:r>
              <w:rPr>
                <w:rFonts w:hint="default" w:ascii="Times New Roman" w:hAnsi="Times New Roman" w:cs="Times New Roman"/>
                <w:color w:val="auto"/>
                <w:sz w:val="24"/>
                <w:szCs w:val="24"/>
              </w:rPr>
              <w:t>度</w:t>
            </w:r>
            <w:r>
              <w:rPr>
                <w:rFonts w:hint="eastAsia" w:ascii="Times New Roman" w:hAnsi="Times New Roman" w:cs="Times New Roman"/>
                <w:color w:val="auto"/>
                <w:sz w:val="24"/>
                <w:szCs w:val="24"/>
                <w:u w:val="single"/>
                <w:lang w:val="en-US" w:eastAsia="zh-CN"/>
              </w:rPr>
              <w:t>01</w:t>
            </w:r>
            <w:r>
              <w:rPr>
                <w:rFonts w:hint="default" w:ascii="Times New Roman" w:hAnsi="Times New Roman" w:cs="Times New Roman"/>
                <w:color w:val="auto"/>
                <w:sz w:val="24"/>
                <w:szCs w:val="24"/>
              </w:rPr>
              <w:t>分</w:t>
            </w:r>
            <w:r>
              <w:rPr>
                <w:rFonts w:hint="eastAsia" w:ascii="Times New Roman" w:hAnsi="Times New Roman" w:cs="Times New Roman"/>
                <w:color w:val="auto"/>
                <w:sz w:val="24"/>
                <w:szCs w:val="24"/>
                <w:u w:val="single"/>
                <w:lang w:val="en-US" w:eastAsia="zh-CN"/>
              </w:rPr>
              <w:t>38.399</w:t>
            </w:r>
            <w:r>
              <w:rPr>
                <w:rFonts w:hint="default" w:ascii="Times New Roman" w:hAnsi="Times New Roman" w:cs="Times New Roman"/>
                <w:color w:val="auto"/>
                <w:sz w:val="24"/>
                <w:szCs w:val="24"/>
              </w:rPr>
              <w:t>秒，</w:t>
            </w:r>
            <w:r>
              <w:rPr>
                <w:rFonts w:hint="eastAsia" w:ascii="Times New Roman" w:hAnsi="Times New Roman" w:cs="Times New Roman"/>
                <w:color w:val="auto"/>
                <w:sz w:val="24"/>
                <w:szCs w:val="24"/>
                <w:lang w:val="en-US" w:eastAsia="zh-CN"/>
              </w:rPr>
              <w:t>北纬</w:t>
            </w:r>
            <w:bookmarkStart w:id="4" w:name="_GoBack"/>
            <w:bookmarkEnd w:id="4"/>
            <w:r>
              <w:rPr>
                <w:rFonts w:hint="default" w:ascii="Times New Roman" w:hAnsi="Times New Roman" w:cs="Times New Roman"/>
                <w:color w:val="auto"/>
                <w:sz w:val="24"/>
                <w:szCs w:val="24"/>
                <w:u w:val="single"/>
              </w:rPr>
              <w:t>3</w:t>
            </w:r>
            <w:r>
              <w:rPr>
                <w:rFonts w:hint="eastAsia" w:ascii="Times New Roman" w:hAnsi="Times New Roman" w:cs="Times New Roman"/>
                <w:color w:val="auto"/>
                <w:sz w:val="24"/>
                <w:szCs w:val="24"/>
                <w:u w:val="single"/>
                <w:lang w:val="en-US" w:eastAsia="zh-CN"/>
              </w:rPr>
              <w:t>2</w:t>
            </w:r>
            <w:r>
              <w:rPr>
                <w:rFonts w:hint="default" w:ascii="Times New Roman" w:hAnsi="Times New Roman" w:cs="Times New Roman"/>
                <w:color w:val="auto"/>
                <w:sz w:val="24"/>
                <w:szCs w:val="24"/>
              </w:rPr>
              <w:t>度</w:t>
            </w:r>
            <w:r>
              <w:rPr>
                <w:rFonts w:hint="eastAsia" w:ascii="Times New Roman" w:hAnsi="Times New Roman" w:cs="Times New Roman"/>
                <w:color w:val="auto"/>
                <w:sz w:val="24"/>
                <w:szCs w:val="24"/>
                <w:u w:val="single"/>
                <w:lang w:val="en-US" w:eastAsia="zh-CN"/>
              </w:rPr>
              <w:t>40</w:t>
            </w:r>
            <w:r>
              <w:rPr>
                <w:rFonts w:hint="default" w:ascii="Times New Roman" w:hAnsi="Times New Roman" w:cs="Times New Roman"/>
                <w:color w:val="auto"/>
                <w:sz w:val="24"/>
                <w:szCs w:val="24"/>
              </w:rPr>
              <w:t>分</w:t>
            </w:r>
            <w:r>
              <w:rPr>
                <w:rFonts w:hint="eastAsia" w:ascii="Times New Roman" w:hAnsi="Times New Roman" w:cs="Times New Roman"/>
                <w:color w:val="auto"/>
                <w:sz w:val="24"/>
                <w:szCs w:val="24"/>
                <w:u w:val="single"/>
                <w:lang w:val="en-US" w:eastAsia="zh-CN"/>
              </w:rPr>
              <w:t>53.493</w:t>
            </w:r>
            <w:r>
              <w:rPr>
                <w:rFonts w:hint="default" w:ascii="Times New Roman" w:hAnsi="Times New Roman" w:cs="Times New Roman"/>
                <w:color w:val="auto"/>
                <w:sz w:val="24"/>
                <w:szCs w:val="24"/>
              </w:rPr>
              <w:t>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86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国民经济</w:t>
            </w:r>
          </w:p>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行业类别</w:t>
            </w:r>
          </w:p>
        </w:tc>
        <w:tc>
          <w:tcPr>
            <w:tcW w:w="130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Q841</w:t>
            </w:r>
            <w:r>
              <w:rPr>
                <w:rFonts w:hint="eastAsia" w:ascii="Times New Roman" w:hAnsi="Times New Roman" w:cs="Times New Roman"/>
                <w:color w:val="auto"/>
                <w:kern w:val="0"/>
                <w:sz w:val="24"/>
                <w:szCs w:val="24"/>
                <w:lang w:val="en-US" w:eastAsia="zh-CN" w:bidi="ar"/>
              </w:rPr>
              <w:t>5专科</w:t>
            </w:r>
            <w:r>
              <w:rPr>
                <w:rFonts w:hint="default" w:ascii="Times New Roman" w:hAnsi="Times New Roman" w:eastAsia="宋体" w:cs="Times New Roman"/>
                <w:color w:val="auto"/>
                <w:kern w:val="0"/>
                <w:sz w:val="24"/>
                <w:szCs w:val="24"/>
                <w:lang w:val="en-US" w:eastAsia="zh-CN" w:bidi="ar"/>
              </w:rPr>
              <w:t>医院</w:t>
            </w:r>
          </w:p>
        </w:tc>
        <w:tc>
          <w:tcPr>
            <w:tcW w:w="1220"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bookmarkStart w:id="1" w:name="_Hlk49843745"/>
            <w:r>
              <w:rPr>
                <w:rFonts w:hint="default" w:ascii="Times New Roman" w:hAnsi="Times New Roman" w:cs="Times New Roman"/>
                <w:color w:val="auto"/>
                <w:sz w:val="24"/>
                <w:szCs w:val="24"/>
              </w:rPr>
              <w:t>建设项目</w:t>
            </w:r>
          </w:p>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行业类别</w:t>
            </w:r>
            <w:bookmarkEnd w:id="1"/>
          </w:p>
        </w:tc>
        <w:tc>
          <w:tcPr>
            <w:tcW w:w="160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四十九、卫生84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108、医院841；专科疾病防治院（所、站）8432；妇幼保健院（所、站） 8433；急救中心（站）服务8434；采供血机构服务8435；基层医疗卫生服务842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86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建设性质</w:t>
            </w:r>
          </w:p>
        </w:tc>
        <w:tc>
          <w:tcPr>
            <w:tcW w:w="1309" w:type="pct"/>
            <w:tcBorders>
              <w:tl2br w:val="nil"/>
              <w:tr2bl w:val="nil"/>
            </w:tcBorders>
            <w:noWrap w:val="0"/>
            <w:vAlign w:val="center"/>
          </w:tcPr>
          <w:p>
            <w:pPr>
              <w:keepNext w:val="0"/>
              <w:keepLines w:val="0"/>
              <w:pageBreakBefore w:val="0"/>
              <w:widowControl w:val="0"/>
              <w:kinsoku/>
              <w:wordWrap/>
              <w:overflowPunct/>
              <w:topLinePunct w:val="0"/>
              <w:bidi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sym w:font="Wingdings 2" w:char="0052"/>
            </w:r>
            <w:r>
              <w:rPr>
                <w:rFonts w:hint="default" w:ascii="Times New Roman" w:hAnsi="Times New Roman" w:cs="Times New Roman"/>
                <w:color w:val="auto"/>
                <w:sz w:val="24"/>
                <w:szCs w:val="24"/>
              </w:rPr>
              <w:t>新建（迁建）</w:t>
            </w:r>
          </w:p>
          <w:p>
            <w:pPr>
              <w:keepNext w:val="0"/>
              <w:keepLines w:val="0"/>
              <w:pageBreakBefore w:val="0"/>
              <w:widowControl w:val="0"/>
              <w:kinsoku/>
              <w:wordWrap/>
              <w:overflowPunct/>
              <w:topLinePunct w:val="0"/>
              <w:bidi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sym w:font="Wingdings 2" w:char="00A3"/>
            </w:r>
            <w:r>
              <w:rPr>
                <w:rFonts w:hint="default" w:ascii="Times New Roman" w:hAnsi="Times New Roman" w:cs="Times New Roman"/>
                <w:color w:val="auto"/>
                <w:sz w:val="24"/>
                <w:szCs w:val="24"/>
              </w:rPr>
              <w:t>改建</w:t>
            </w:r>
          </w:p>
          <w:p>
            <w:pPr>
              <w:keepNext w:val="0"/>
              <w:keepLines w:val="0"/>
              <w:pageBreakBefore w:val="0"/>
              <w:widowControl w:val="0"/>
              <w:kinsoku/>
              <w:wordWrap/>
              <w:overflowPunct/>
              <w:topLinePunct w:val="0"/>
              <w:bidi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扩建</w:t>
            </w:r>
          </w:p>
          <w:p>
            <w:pPr>
              <w:keepNext w:val="0"/>
              <w:keepLines w:val="0"/>
              <w:pageBreakBefore w:val="0"/>
              <w:widowControl w:val="0"/>
              <w:kinsoku/>
              <w:wordWrap/>
              <w:overflowPunct/>
              <w:topLinePunct w:val="0"/>
              <w:bidi w:val="0"/>
              <w:jc w:val="left"/>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cs="Times New Roman"/>
                <w:color w:val="auto"/>
                <w:sz w:val="24"/>
                <w:szCs w:val="24"/>
              </w:rPr>
              <w:t>技术改造</w:t>
            </w:r>
          </w:p>
        </w:tc>
        <w:tc>
          <w:tcPr>
            <w:tcW w:w="1220"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w:t>
            </w:r>
          </w:p>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申报情形</w:t>
            </w:r>
          </w:p>
        </w:tc>
        <w:tc>
          <w:tcPr>
            <w:tcW w:w="1609" w:type="pct"/>
            <w:tcBorders>
              <w:tl2br w:val="nil"/>
              <w:tr2bl w:val="nil"/>
            </w:tcBorders>
            <w:noWrap w:val="0"/>
            <w:vAlign w:val="center"/>
          </w:tcPr>
          <w:p>
            <w:pPr>
              <w:keepNext w:val="0"/>
              <w:keepLines w:val="0"/>
              <w:pageBreakBefore w:val="0"/>
              <w:widowControl w:val="0"/>
              <w:kinsoku/>
              <w:wordWrap/>
              <w:overflowPunct/>
              <w:topLinePunct w:val="0"/>
              <w:bidi w:val="0"/>
              <w:jc w:val="left"/>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sym w:font="Wingdings 2" w:char="0052"/>
            </w:r>
            <w:r>
              <w:rPr>
                <w:rFonts w:hint="default" w:ascii="Times New Roman" w:hAnsi="Times New Roman" w:cs="Times New Roman"/>
                <w:color w:val="auto"/>
                <w:sz w:val="24"/>
                <w:szCs w:val="24"/>
              </w:rPr>
              <w:t>首次申报项目</w:t>
            </w:r>
          </w:p>
          <w:p>
            <w:pPr>
              <w:keepNext w:val="0"/>
              <w:keepLines w:val="0"/>
              <w:pageBreakBefore w:val="0"/>
              <w:widowControl w:val="0"/>
              <w:kinsoku/>
              <w:wordWrap/>
              <w:overflowPunct/>
              <w:topLinePunct w:val="0"/>
              <w:bidi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不予批准后再次申报项目</w:t>
            </w:r>
          </w:p>
          <w:p>
            <w:pPr>
              <w:keepNext w:val="0"/>
              <w:keepLines w:val="0"/>
              <w:pageBreakBefore w:val="0"/>
              <w:widowControl w:val="0"/>
              <w:kinsoku/>
              <w:wordWrap/>
              <w:overflowPunct/>
              <w:topLinePunct w:val="0"/>
              <w:bidi w:val="0"/>
              <w:jc w:val="left"/>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sym w:font="Wingdings 2" w:char="00A3"/>
            </w:r>
            <w:r>
              <w:rPr>
                <w:rFonts w:hint="default" w:ascii="Times New Roman" w:hAnsi="Times New Roman" w:cs="Times New Roman"/>
                <w:color w:val="auto"/>
                <w:sz w:val="24"/>
                <w:szCs w:val="24"/>
              </w:rPr>
              <w:t>超五年重新审核项目</w:t>
            </w:r>
          </w:p>
          <w:p>
            <w:pPr>
              <w:keepNext w:val="0"/>
              <w:keepLines w:val="0"/>
              <w:pageBreakBefore w:val="0"/>
              <w:widowControl w:val="0"/>
              <w:kinsoku/>
              <w:wordWrap/>
              <w:overflowPunct/>
              <w:topLinePunct w:val="0"/>
              <w:bidi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6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项目审批（核准/备案）部门（选填）</w:t>
            </w:r>
          </w:p>
        </w:tc>
        <w:tc>
          <w:tcPr>
            <w:tcW w:w="130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c>
          <w:tcPr>
            <w:tcW w:w="1220"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w:t>
            </w:r>
          </w:p>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备案）文号（选填）</w:t>
            </w:r>
          </w:p>
        </w:tc>
        <w:tc>
          <w:tcPr>
            <w:tcW w:w="160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6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总投资（万元）</w:t>
            </w:r>
          </w:p>
        </w:tc>
        <w:tc>
          <w:tcPr>
            <w:tcW w:w="130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2600</w:t>
            </w:r>
          </w:p>
        </w:tc>
        <w:tc>
          <w:tcPr>
            <w:tcW w:w="122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环保投资（万元）</w:t>
            </w:r>
          </w:p>
        </w:tc>
        <w:tc>
          <w:tcPr>
            <w:tcW w:w="160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57.5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6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环保投资占比（%）</w:t>
            </w:r>
          </w:p>
        </w:tc>
        <w:tc>
          <w:tcPr>
            <w:tcW w:w="130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2.21</w:t>
            </w:r>
            <w:r>
              <w:rPr>
                <w:rFonts w:hint="default" w:ascii="Times New Roman" w:hAnsi="Times New Roman" w:cs="Times New Roman"/>
                <w:color w:val="auto"/>
                <w:sz w:val="24"/>
                <w:szCs w:val="24"/>
                <w:highlight w:val="none"/>
              </w:rPr>
              <w:t>%</w:t>
            </w:r>
          </w:p>
        </w:tc>
        <w:tc>
          <w:tcPr>
            <w:tcW w:w="122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施工工期</w:t>
            </w:r>
          </w:p>
        </w:tc>
        <w:tc>
          <w:tcPr>
            <w:tcW w:w="160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6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是否开工建设</w:t>
            </w:r>
          </w:p>
        </w:tc>
        <w:tc>
          <w:tcPr>
            <w:tcW w:w="130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sym w:font="Wingdings 2" w:char="00A3"/>
            </w:r>
            <w:r>
              <w:rPr>
                <w:rFonts w:hint="default" w:ascii="Times New Roman" w:hAnsi="Times New Roman" w:cs="Times New Roman"/>
                <w:color w:val="auto"/>
                <w:sz w:val="24"/>
                <w:szCs w:val="24"/>
                <w:highlight w:val="none"/>
              </w:rPr>
              <w:t>否</w:t>
            </w:r>
          </w:p>
          <w:p>
            <w:pPr>
              <w:keepNext w:val="0"/>
              <w:keepLines w:val="0"/>
              <w:pageBreakBefore w:val="0"/>
              <w:widowControl w:val="0"/>
              <w:kinsoku/>
              <w:wordWrap/>
              <w:overflowPunct/>
              <w:topLinePunct w:val="0"/>
              <w:bidi w:val="0"/>
              <w:adjustRightInd w:val="0"/>
              <w:snapToGrid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eastAsia="zh-CN"/>
              </w:rPr>
              <w:sym w:font="Wingdings 2" w:char="0052"/>
            </w:r>
            <w:r>
              <w:rPr>
                <w:rFonts w:hint="default" w:ascii="Times New Roman" w:hAnsi="Times New Roman" w:cs="Times New Roman"/>
                <w:color w:val="auto"/>
                <w:sz w:val="24"/>
                <w:szCs w:val="24"/>
                <w:highlight w:val="none"/>
              </w:rPr>
              <w:t>是：</w:t>
            </w:r>
            <w:r>
              <w:rPr>
                <w:rFonts w:hint="eastAsia" w:ascii="Times New Roman" w:hAnsi="Times New Roman" w:cs="Times New Roman"/>
                <w:color w:val="auto"/>
                <w:sz w:val="24"/>
                <w:szCs w:val="24"/>
                <w:highlight w:val="none"/>
                <w:lang w:val="en-US" w:eastAsia="zh-CN"/>
              </w:rPr>
              <w:t>本项目于2013年承租安康市老干部活动中心综合楼用于建设安康妇产医院，医院于2013年创办，现补办相关环保手续</w:t>
            </w:r>
          </w:p>
        </w:tc>
        <w:tc>
          <w:tcPr>
            <w:tcW w:w="1220" w:type="pct"/>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pacing w:val="-6"/>
                <w:sz w:val="24"/>
                <w:szCs w:val="24"/>
              </w:rPr>
            </w:pPr>
            <w:r>
              <w:rPr>
                <w:rFonts w:hint="default" w:ascii="Times New Roman" w:hAnsi="Times New Roman" w:cs="Times New Roman"/>
                <w:color w:val="auto"/>
                <w:spacing w:val="-6"/>
                <w:sz w:val="24"/>
                <w:szCs w:val="24"/>
              </w:rPr>
              <w:t>用地（用海）</w:t>
            </w:r>
          </w:p>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pacing w:val="-6"/>
                <w:sz w:val="24"/>
                <w:szCs w:val="24"/>
              </w:rPr>
              <w:t>面积（m</w:t>
            </w:r>
            <w:r>
              <w:rPr>
                <w:rFonts w:hint="default" w:ascii="Times New Roman" w:hAnsi="Times New Roman" w:cs="Times New Roman"/>
                <w:color w:val="auto"/>
                <w:spacing w:val="-6"/>
                <w:sz w:val="24"/>
                <w:szCs w:val="24"/>
                <w:vertAlign w:val="superscript"/>
              </w:rPr>
              <w:t>2</w:t>
            </w:r>
            <w:r>
              <w:rPr>
                <w:rFonts w:hint="default" w:ascii="Times New Roman" w:hAnsi="Times New Roman" w:cs="Times New Roman"/>
                <w:color w:val="auto"/>
                <w:spacing w:val="-6"/>
                <w:sz w:val="24"/>
                <w:szCs w:val="24"/>
              </w:rPr>
              <w:t>）</w:t>
            </w:r>
          </w:p>
        </w:tc>
        <w:tc>
          <w:tcPr>
            <w:tcW w:w="160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专项评价设置情况</w:t>
            </w:r>
          </w:p>
        </w:tc>
        <w:tc>
          <w:tcPr>
            <w:tcW w:w="4139" w:type="pct"/>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规划情况</w:t>
            </w:r>
          </w:p>
        </w:tc>
        <w:tc>
          <w:tcPr>
            <w:tcW w:w="4139" w:type="pct"/>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0"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规划环境影响评价情况</w:t>
            </w:r>
          </w:p>
        </w:tc>
        <w:tc>
          <w:tcPr>
            <w:tcW w:w="4139" w:type="pct"/>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规划及规划环境影响评价符合性分析</w:t>
            </w:r>
          </w:p>
        </w:tc>
        <w:tc>
          <w:tcPr>
            <w:tcW w:w="4139" w:type="pct"/>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27" w:hRule="atLeast"/>
          <w:jc w:val="center"/>
        </w:trPr>
        <w:tc>
          <w:tcPr>
            <w:tcW w:w="8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其他符合性分析</w:t>
            </w:r>
          </w:p>
        </w:tc>
        <w:tc>
          <w:tcPr>
            <w:tcW w:w="4139" w:type="pct"/>
            <w:gridSpan w:val="3"/>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left="0" w:leftChars="0" w:firstLineChars="0"/>
              <w:textAlignment w:val="auto"/>
              <w:rPr>
                <w:rFonts w:hint="default" w:ascii="Times New Roman" w:hAnsi="Times New Roman" w:cs="Times New Roman"/>
                <w:color w:val="auto"/>
                <w:sz w:val="24"/>
                <w:szCs w:val="24"/>
              </w:rPr>
            </w:pPr>
            <w:bookmarkStart w:id="2" w:name="OLE_LINK1"/>
            <w:r>
              <w:rPr>
                <w:rFonts w:hint="default" w:ascii="Times New Roman" w:hAnsi="Times New Roman" w:cs="Times New Roman"/>
                <w:color w:val="auto"/>
                <w:sz w:val="24"/>
                <w:szCs w:val="24"/>
              </w:rPr>
              <w:t>产业政策符合性分析</w:t>
            </w:r>
          </w:p>
          <w:bookmarkEnd w:id="2"/>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本项目为医院建设项目，依据《产业结构调整指导目录（20</w:t>
            </w:r>
            <w:r>
              <w:rPr>
                <w:rFonts w:hint="eastAsia" w:ascii="Times New Roman" w:hAnsi="Times New Roman" w:cs="Times New Roman"/>
                <w:color w:val="auto"/>
                <w:sz w:val="24"/>
                <w:szCs w:val="24"/>
                <w:lang w:val="en-US" w:eastAsia="zh-CN"/>
              </w:rPr>
              <w:t>24</w:t>
            </w:r>
            <w:r>
              <w:rPr>
                <w:rFonts w:hint="default" w:ascii="Times New Roman" w:hAnsi="Times New Roman" w:cs="Times New Roman"/>
                <w:color w:val="auto"/>
                <w:sz w:val="24"/>
                <w:szCs w:val="24"/>
              </w:rPr>
              <w:t>年本）》，本项目</w:t>
            </w:r>
            <w:r>
              <w:rPr>
                <w:rFonts w:hint="default" w:ascii="Times New Roman" w:hAnsi="Times New Roman" w:cs="Times New Roman"/>
                <w:color w:val="auto"/>
                <w:sz w:val="24"/>
                <w:szCs w:val="24"/>
                <w:lang w:val="en-US" w:eastAsia="zh-CN"/>
              </w:rPr>
              <w:t>属于</w:t>
            </w:r>
            <w:r>
              <w:rPr>
                <w:rFonts w:hint="default" w:ascii="Times New Roman" w:hAnsi="Times New Roman" w:cs="Times New Roman"/>
                <w:color w:val="auto"/>
                <w:sz w:val="24"/>
                <w:szCs w:val="24"/>
              </w:rPr>
              <w:t>鼓励类中</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三十</w:t>
            </w:r>
            <w:r>
              <w:rPr>
                <w:rFonts w:hint="default" w:ascii="Times New Roman" w:hAnsi="Times New Roman" w:cs="Times New Roman"/>
                <w:color w:val="auto"/>
                <w:sz w:val="24"/>
                <w:szCs w:val="24"/>
                <w:lang w:val="en-US" w:eastAsia="zh-CN"/>
              </w:rPr>
              <w:t>七</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卫生健康——</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、医疗服务设施建设</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属于鼓励类的项目</w:t>
            </w:r>
            <w:r>
              <w:rPr>
                <w:rFonts w:hint="default" w:ascii="Times New Roman" w:hAnsi="Times New Roman" w:cs="Times New Roman"/>
                <w:color w:val="auto"/>
                <w:sz w:val="24"/>
                <w:szCs w:val="24"/>
              </w:rPr>
              <w:t>。</w:t>
            </w:r>
          </w:p>
          <w:p>
            <w:pPr>
              <w:pStyle w:val="56"/>
              <w:keepNext w:val="0"/>
              <w:keepLines w:val="0"/>
              <w:pageBreakBefore w:val="0"/>
              <w:widowControl w:val="0"/>
              <w:kinsoku/>
              <w:wordWrap/>
              <w:overflowPunct/>
              <w:topLinePunct w:val="0"/>
              <w:autoSpaceDE/>
              <w:autoSpaceDN/>
              <w:bidi w:val="0"/>
              <w:adjustRightInd w:val="0"/>
              <w:snapToGrid w:val="0"/>
              <w:spacing w:line="360" w:lineRule="auto"/>
              <w:ind w:left="0" w:leftChars="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“三线一单”相符性分析</w:t>
            </w:r>
          </w:p>
          <w:p>
            <w:pPr>
              <w:widowControl/>
              <w:autoSpaceDE/>
              <w:autoSpaceDN/>
              <w:adjustRightInd w:val="0"/>
              <w:snapToGrid w:val="0"/>
              <w:spacing w:line="360" w:lineRule="auto"/>
              <w:ind w:firstLine="480" w:firstLineChars="200"/>
              <w:jc w:val="both"/>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项目“三线一单”符合性分析见表1-2。</w:t>
            </w:r>
          </w:p>
          <w:p>
            <w:pPr>
              <w:pStyle w:val="7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表</w:t>
            </w:r>
            <w:r>
              <w:rPr>
                <w:rFonts w:hint="default"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lang w:val="en-US" w:eastAsia="zh-CN"/>
              </w:rPr>
              <w:t>2</w:t>
            </w:r>
            <w:r>
              <w:rPr>
                <w:rFonts w:hint="default"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bCs/>
                <w:color w:val="auto"/>
                <w:sz w:val="24"/>
                <w:szCs w:val="24"/>
                <w:lang w:val="en-US" w:eastAsia="zh-CN"/>
              </w:rPr>
              <w:t>“三线一单”符合性分析</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autofit"/>
              <w:tblCellMar>
                <w:top w:w="0" w:type="dxa"/>
                <w:left w:w="108" w:type="dxa"/>
                <w:bottom w:w="0" w:type="dxa"/>
                <w:right w:w="108" w:type="dxa"/>
              </w:tblCellMar>
            </w:tblPr>
            <w:tblGrid>
              <w:gridCol w:w="1937"/>
              <w:gridCol w:w="4941"/>
              <w:gridCol w:w="991"/>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065" w:type="dxa"/>
                  <w:tcBorders>
                    <w:tl2br w:val="nil"/>
                    <w:tr2bl w:val="nil"/>
                  </w:tcBorders>
                  <w:noWrap w:val="0"/>
                  <w:vAlign w:val="center"/>
                </w:tcPr>
                <w:p>
                  <w:pPr>
                    <w:pStyle w:val="71"/>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lang w:val="en-US" w:eastAsia="zh-CN"/>
                    </w:rPr>
                    <w:t>内容</w:t>
                  </w:r>
                </w:p>
              </w:tc>
              <w:tc>
                <w:tcPr>
                  <w:tcW w:w="5288" w:type="dxa"/>
                  <w:tcBorders>
                    <w:tl2br w:val="nil"/>
                    <w:tr2bl w:val="nil"/>
                  </w:tcBorders>
                  <w:noWrap w:val="0"/>
                  <w:vAlign w:val="center"/>
                </w:tcPr>
                <w:p>
                  <w:pPr>
                    <w:pStyle w:val="71"/>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cs="Times New Roman"/>
                      <w:b/>
                      <w:bCs/>
                      <w:color w:val="auto"/>
                      <w:sz w:val="21"/>
                      <w:szCs w:val="21"/>
                      <w:lang w:val="en-US" w:eastAsia="zh-CN"/>
                    </w:rPr>
                    <w:t>符合性分析</w:t>
                  </w:r>
                </w:p>
              </w:tc>
              <w:tc>
                <w:tcPr>
                  <w:tcW w:w="1038" w:type="dxa"/>
                  <w:tcBorders>
                    <w:tl2br w:val="nil"/>
                    <w:tr2bl w:val="nil"/>
                  </w:tcBorders>
                  <w:noWrap w:val="0"/>
                  <w:vAlign w:val="center"/>
                </w:tcPr>
                <w:p>
                  <w:pPr>
                    <w:pStyle w:val="71"/>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cs="Times New Roman"/>
                      <w:b/>
                      <w:bCs/>
                      <w:color w:val="auto"/>
                      <w:sz w:val="21"/>
                      <w:szCs w:val="21"/>
                      <w:lang w:val="en-US" w:eastAsia="zh-CN"/>
                    </w:rPr>
                    <w:t>相符性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065" w:type="dxa"/>
                  <w:tcBorders>
                    <w:tl2br w:val="nil"/>
                    <w:tr2bl w:val="nil"/>
                  </w:tcBorders>
                  <w:noWrap w:val="0"/>
                  <w:vAlign w:val="center"/>
                </w:tcPr>
                <w:p>
                  <w:pPr>
                    <w:pStyle w:val="71"/>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生态保护红线</w:t>
                  </w:r>
                </w:p>
              </w:tc>
              <w:tc>
                <w:tcPr>
                  <w:tcW w:w="5288" w:type="dxa"/>
                  <w:tcBorders>
                    <w:tl2br w:val="nil"/>
                    <w:tr2bl w:val="nil"/>
                  </w:tcBorders>
                  <w:noWrap w:val="0"/>
                  <w:vAlign w:val="center"/>
                </w:tcPr>
                <w:p>
                  <w:pPr>
                    <w:pStyle w:val="71"/>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本项目位于</w:t>
                  </w:r>
                  <w:r>
                    <w:rPr>
                      <w:rFonts w:hint="eastAsia" w:ascii="Times New Roman" w:hAnsi="Times New Roman" w:eastAsia="宋体" w:cs="Times New Roman"/>
                      <w:color w:val="auto"/>
                      <w:sz w:val="21"/>
                      <w:szCs w:val="21"/>
                      <w:lang w:val="en-US" w:eastAsia="zh-CN"/>
                    </w:rPr>
                    <w:t>陕西省安康市满意建材路与香溪路交汇处</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项目所在区无自然保护区、风景名胜区及水源地保护区，不在生态保护红线管控范围内</w:t>
                  </w:r>
                </w:p>
              </w:tc>
              <w:tc>
                <w:tcPr>
                  <w:tcW w:w="1038" w:type="dxa"/>
                  <w:tcBorders>
                    <w:tl2br w:val="nil"/>
                    <w:tr2bl w:val="nil"/>
                  </w:tcBorders>
                  <w:noWrap w:val="0"/>
                  <w:vAlign w:val="center"/>
                </w:tcPr>
                <w:p>
                  <w:pPr>
                    <w:pStyle w:val="71"/>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065" w:type="dxa"/>
                  <w:tcBorders>
                    <w:tl2br w:val="nil"/>
                    <w:tr2bl w:val="nil"/>
                  </w:tcBorders>
                  <w:noWrap w:val="0"/>
                  <w:vAlign w:val="center"/>
                </w:tcPr>
                <w:p>
                  <w:pPr>
                    <w:pStyle w:val="71"/>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lang w:val="en-US" w:eastAsia="zh-CN"/>
                    </w:rPr>
                    <w:t>环境质量底线</w:t>
                  </w:r>
                </w:p>
              </w:tc>
              <w:tc>
                <w:tcPr>
                  <w:tcW w:w="5288" w:type="dxa"/>
                  <w:tcBorders>
                    <w:tl2br w:val="nil"/>
                    <w:tr2bl w:val="nil"/>
                  </w:tcBorders>
                  <w:noWrap w:val="0"/>
                  <w:vAlign w:val="center"/>
                </w:tcPr>
                <w:p>
                  <w:pPr>
                    <w:pStyle w:val="71"/>
                    <w:keepNext w:val="0"/>
                    <w:keepLines w:val="0"/>
                    <w:pageBreakBefore w:val="0"/>
                    <w:widowControl w:val="0"/>
                    <w:kinsoku/>
                    <w:wordWrap/>
                    <w:overflowPunct/>
                    <w:topLinePunct w:val="0"/>
                    <w:bidi w:val="0"/>
                    <w:snapToGrid/>
                    <w:spacing w:line="300" w:lineRule="exact"/>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根据陕西省生态环境厅办公室发布的《202</w:t>
                  </w:r>
                  <w:r>
                    <w:rPr>
                      <w:rFonts w:hint="eastAsia"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年12月及1~12月全省环境空气质量状况》，项目所在区域为达标区。</w:t>
                  </w:r>
                  <w:r>
                    <w:rPr>
                      <w:rFonts w:hint="eastAsia" w:ascii="Times New Roman" w:hAnsi="Times New Roman" w:cs="Times New Roman"/>
                      <w:color w:val="auto"/>
                      <w:sz w:val="21"/>
                      <w:szCs w:val="21"/>
                      <w:lang w:val="en-US" w:eastAsia="zh-CN"/>
                    </w:rPr>
                    <w:t>昼夜等效声级均符合《声环境质量标准》2类标准。通过环境影响分析，项目运营期采取环评要求的措施能够合理处置各项污染物，</w:t>
                  </w:r>
                  <w:r>
                    <w:rPr>
                      <w:rFonts w:hint="default" w:ascii="Times New Roman" w:hAnsi="Times New Roman" w:eastAsia="宋体" w:cs="Times New Roman"/>
                      <w:color w:val="auto"/>
                      <w:sz w:val="21"/>
                      <w:szCs w:val="21"/>
                      <w:lang w:val="en-US" w:eastAsia="zh-CN"/>
                    </w:rPr>
                    <w:t>对周围环境影响较小，不会突破项目所在地的环境质量底线</w:t>
                  </w:r>
                </w:p>
              </w:tc>
              <w:tc>
                <w:tcPr>
                  <w:tcW w:w="1038" w:type="dxa"/>
                  <w:tcBorders>
                    <w:tl2br w:val="nil"/>
                    <w:tr2bl w:val="nil"/>
                  </w:tcBorders>
                  <w:noWrap w:val="0"/>
                  <w:vAlign w:val="center"/>
                </w:tcPr>
                <w:p>
                  <w:pPr>
                    <w:pStyle w:val="71"/>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065" w:type="dxa"/>
                  <w:tcBorders>
                    <w:tl2br w:val="nil"/>
                    <w:tr2bl w:val="nil"/>
                  </w:tcBorders>
                  <w:noWrap w:val="0"/>
                  <w:vAlign w:val="center"/>
                </w:tcPr>
                <w:p>
                  <w:pPr>
                    <w:pStyle w:val="71"/>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lang w:val="en-US" w:eastAsia="zh-CN"/>
                    </w:rPr>
                    <w:t>资源利用上线</w:t>
                  </w:r>
                </w:p>
              </w:tc>
              <w:tc>
                <w:tcPr>
                  <w:tcW w:w="5288" w:type="dxa"/>
                  <w:tcBorders>
                    <w:tl2br w:val="nil"/>
                    <w:tr2bl w:val="nil"/>
                  </w:tcBorders>
                  <w:noWrap w:val="0"/>
                  <w:vAlign w:val="center"/>
                </w:tcPr>
                <w:p>
                  <w:pPr>
                    <w:pStyle w:val="71"/>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项目用水由当地市政供水管网供给，用电依托当地电网供电，用地不涉及永久基本农田，不会对区域的资源利用造成明显影响，因此项目符合资源利用上</w:t>
                  </w:r>
                  <w:r>
                    <w:rPr>
                      <w:rFonts w:hint="eastAsia" w:ascii="Times New Roman" w:hAnsi="Times New Roman" w:eastAsia="宋体" w:cs="Times New Roman"/>
                      <w:color w:val="auto"/>
                      <w:sz w:val="21"/>
                      <w:szCs w:val="21"/>
                      <w:lang w:val="en-US" w:eastAsia="zh-CN"/>
                    </w:rPr>
                    <w:t>线</w:t>
                  </w:r>
                  <w:r>
                    <w:rPr>
                      <w:rFonts w:hint="default" w:ascii="Times New Roman" w:hAnsi="Times New Roman" w:eastAsia="宋体" w:cs="Times New Roman"/>
                      <w:color w:val="auto"/>
                      <w:sz w:val="21"/>
                      <w:szCs w:val="21"/>
                      <w:lang w:val="en-US" w:eastAsia="zh-CN"/>
                    </w:rPr>
                    <w:t>要求</w:t>
                  </w:r>
                </w:p>
              </w:tc>
              <w:tc>
                <w:tcPr>
                  <w:tcW w:w="1038" w:type="dxa"/>
                  <w:tcBorders>
                    <w:tl2br w:val="nil"/>
                    <w:tr2bl w:val="nil"/>
                  </w:tcBorders>
                  <w:noWrap w:val="0"/>
                  <w:vAlign w:val="center"/>
                </w:tcPr>
                <w:p>
                  <w:pPr>
                    <w:pStyle w:val="71"/>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065" w:type="dxa"/>
                  <w:tcBorders>
                    <w:tl2br w:val="nil"/>
                    <w:tr2bl w:val="nil"/>
                  </w:tcBorders>
                  <w:noWrap w:val="0"/>
                  <w:vAlign w:val="center"/>
                </w:tcPr>
                <w:p>
                  <w:pPr>
                    <w:pStyle w:val="71"/>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宋体" w:cs="Times New Roman"/>
                      <w:bCs/>
                      <w:color w:val="auto"/>
                      <w:kern w:val="0"/>
                      <w:sz w:val="21"/>
                      <w:szCs w:val="21"/>
                      <w:highlight w:val="none"/>
                      <w:lang w:val="en-US" w:eastAsia="zh-CN" w:bidi="ar-SA"/>
                    </w:rPr>
                  </w:pPr>
                  <w:r>
                    <w:rPr>
                      <w:rFonts w:hint="eastAsia" w:ascii="Times New Roman" w:hAnsi="Times New Roman" w:cs="Times New Roman"/>
                      <w:color w:val="auto"/>
                      <w:sz w:val="21"/>
                      <w:szCs w:val="21"/>
                      <w:lang w:val="en-US" w:eastAsia="zh-CN"/>
                    </w:rPr>
                    <w:t>生态环境准入</w:t>
                  </w:r>
                  <w:r>
                    <w:rPr>
                      <w:rFonts w:hint="default" w:ascii="Times New Roman" w:hAnsi="Times New Roman" w:cs="Times New Roman"/>
                      <w:color w:val="auto"/>
                      <w:sz w:val="21"/>
                      <w:szCs w:val="21"/>
                      <w:lang w:val="en-US" w:eastAsia="zh-CN"/>
                    </w:rPr>
                    <w:t>清单</w:t>
                  </w:r>
                </w:p>
              </w:tc>
              <w:tc>
                <w:tcPr>
                  <w:tcW w:w="5288" w:type="dxa"/>
                  <w:tcBorders>
                    <w:tl2br w:val="nil"/>
                    <w:tr2bl w:val="nil"/>
                  </w:tcBorders>
                  <w:noWrap w:val="0"/>
                  <w:vAlign w:val="center"/>
                </w:tcPr>
                <w:p>
                  <w:pPr>
                    <w:pStyle w:val="36"/>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color w:val="auto"/>
                      <w:sz w:val="21"/>
                      <w:szCs w:val="21"/>
                      <w:lang w:val="en-US" w:eastAsia="zh-CN"/>
                    </w:rPr>
                    <w:t>项目为</w:t>
                  </w:r>
                  <w:r>
                    <w:rPr>
                      <w:rFonts w:hint="eastAsia" w:ascii="Times New Roman" w:hAnsi="Times New Roman" w:cs="Times New Roman"/>
                      <w:color w:val="auto"/>
                      <w:sz w:val="21"/>
                      <w:szCs w:val="21"/>
                      <w:lang w:val="en-US" w:eastAsia="zh-CN"/>
                    </w:rPr>
                    <w:t>专科</w:t>
                  </w:r>
                  <w:r>
                    <w:rPr>
                      <w:rFonts w:hint="default" w:ascii="Times New Roman" w:hAnsi="Times New Roman" w:cs="Times New Roman"/>
                      <w:color w:val="auto"/>
                      <w:sz w:val="21"/>
                      <w:szCs w:val="21"/>
                      <w:lang w:val="en-US" w:eastAsia="zh-CN"/>
                    </w:rPr>
                    <w:t>医院，不在《陕西省国家重点生态功能区产业准入负面清单（试行）》所列的淘汰类、禁止类项目之中</w:t>
                  </w:r>
                </w:p>
              </w:tc>
              <w:tc>
                <w:tcPr>
                  <w:tcW w:w="1038" w:type="dxa"/>
                  <w:tcBorders>
                    <w:tl2br w:val="nil"/>
                    <w:tr2bl w:val="nil"/>
                  </w:tcBorders>
                  <w:noWrap w:val="0"/>
                  <w:vAlign w:val="center"/>
                </w:tcPr>
                <w:p>
                  <w:pPr>
                    <w:pStyle w:val="36"/>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color w:val="auto"/>
                      <w:sz w:val="21"/>
                      <w:szCs w:val="21"/>
                      <w:lang w:val="en-US" w:eastAsia="zh-CN"/>
                    </w:rPr>
                    <w:t>符合</w:t>
                  </w:r>
                </w:p>
              </w:tc>
            </w:tr>
          </w:tbl>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与《安康市“三线一单”生态环境分区管控方案》（安政发〔2021〕18号）符合性分析</w:t>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陕西省“三线一单”生态环境分区管控应用技术指南：环境影响评价（试行）》，环评文件涉及“三线一单”生态环境分区管控符合性分析应采取“一图一表一说明”的表达方式，本项目与管控方案中“安康市生态环境准入清单”符合性分析见表1-3。</w:t>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①</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一图</w:t>
            </w:r>
            <w:r>
              <w:rPr>
                <w:rFonts w:hint="eastAsia" w:ascii="Times New Roman" w:hAnsi="Times New Roman" w:eastAsia="宋体" w:cs="Times New Roman"/>
                <w:color w:val="auto"/>
                <w:sz w:val="24"/>
                <w:szCs w:val="24"/>
                <w:lang w:eastAsia="zh-CN"/>
              </w:rPr>
              <w:t>”</w:t>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本项目与“安康市三线一单”成果对比图，见下图。</w:t>
            </w:r>
          </w:p>
          <w:p>
            <w:pPr>
              <w:pStyle w:val="5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pPr>
            <w:r>
              <w:drawing>
                <wp:inline distT="0" distB="0" distL="114300" distR="114300">
                  <wp:extent cx="3287395" cy="5241290"/>
                  <wp:effectExtent l="0" t="0" r="8255" b="1651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3287395" cy="5241290"/>
                          </a:xfrm>
                          <a:prstGeom prst="rect">
                            <a:avLst/>
                          </a:prstGeom>
                          <a:noFill/>
                          <a:ln>
                            <a:noFill/>
                          </a:ln>
                        </pic:spPr>
                      </pic:pic>
                    </a:graphicData>
                  </a:graphic>
                </wp:inline>
              </w:drawing>
            </w:r>
          </w:p>
          <w:p>
            <w:pPr>
              <w:pStyle w:val="5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lang w:val="en-US" w:eastAsia="zh-CN"/>
              </w:rPr>
            </w:pPr>
            <w:r>
              <w:rPr>
                <w:rFonts w:hint="default" w:ascii="Times New Roman" w:hAnsi="Times New Roman" w:cs="Times New Roman"/>
                <w:b/>
                <w:bCs/>
                <w:lang w:val="en-US" w:eastAsia="zh-CN"/>
              </w:rPr>
              <w:t>图1 空间冲突附图</w:t>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②“一表”</w:t>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default"/>
                <w:b w:val="0"/>
                <w:bCs w:val="0"/>
                <w:color w:val="auto"/>
                <w:lang w:val="en-US" w:eastAsia="zh-CN"/>
              </w:rPr>
            </w:pPr>
            <w:r>
              <w:rPr>
                <w:rFonts w:hint="eastAsia" w:ascii="Times New Roman" w:hAnsi="Times New Roman" w:eastAsia="宋体" w:cs="Times New Roman"/>
                <w:color w:val="auto"/>
                <w:sz w:val="24"/>
                <w:szCs w:val="24"/>
              </w:rPr>
              <w:t>本项目所涉及的《</w:t>
            </w:r>
            <w:r>
              <w:rPr>
                <w:rFonts w:hint="eastAsia" w:ascii="Times New Roman" w:hAnsi="Times New Roman" w:eastAsia="宋体" w:cs="Times New Roman"/>
                <w:color w:val="auto"/>
                <w:sz w:val="24"/>
                <w:szCs w:val="24"/>
                <w:lang w:val="en-US" w:eastAsia="zh-CN"/>
              </w:rPr>
              <w:t>安康</w:t>
            </w:r>
            <w:r>
              <w:rPr>
                <w:rFonts w:hint="eastAsia" w:ascii="Times New Roman" w:hAnsi="Times New Roman" w:eastAsia="宋体" w:cs="Times New Roman"/>
                <w:color w:val="auto"/>
                <w:sz w:val="24"/>
                <w:szCs w:val="24"/>
              </w:rPr>
              <w:t>市生态环境准入清单》如下表所示：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lang w:val="en-US" w:eastAsia="zh-CN" w:bidi="ar-SA"/>
              </w:rPr>
              <w:t>表1-</w:t>
            </w:r>
            <w:r>
              <w:rPr>
                <w:rFonts w:hint="eastAsia" w:ascii="Times New Roman" w:hAnsi="Times New Roman" w:cs="Times New Roman"/>
                <w:b/>
                <w:color w:val="auto"/>
                <w:kern w:val="2"/>
                <w:sz w:val="24"/>
                <w:szCs w:val="24"/>
                <w:lang w:val="en-US" w:eastAsia="zh-CN" w:bidi="ar-SA"/>
              </w:rPr>
              <w:t>3</w:t>
            </w:r>
            <w:r>
              <w:rPr>
                <w:rFonts w:hint="default" w:ascii="Times New Roman" w:hAnsi="Times New Roman" w:cs="Times New Roman"/>
                <w:b/>
                <w:color w:val="auto"/>
                <w:kern w:val="2"/>
                <w:sz w:val="24"/>
                <w:szCs w:val="24"/>
                <w:lang w:val="en-US" w:eastAsia="zh-CN" w:bidi="ar-SA"/>
              </w:rPr>
              <w:t xml:space="preserve">  本项目与安康市生态环境准入清单符合性分析</w:t>
            </w:r>
          </w:p>
          <w:tbl>
            <w:tblPr>
              <w:tblStyle w:val="27"/>
              <w:tblW w:w="493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696"/>
              <w:gridCol w:w="3396"/>
              <w:gridCol w:w="2176"/>
              <w:gridCol w:w="74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trPr>
              <w:tc>
                <w:tcPr>
                  <w:tcW w:w="931" w:type="pct"/>
                  <w:gridSpan w:val="2"/>
                  <w:tcBorders>
                    <w:tl2br w:val="nil"/>
                    <w:tr2bl w:val="nil"/>
                  </w:tcBorders>
                  <w:vAlign w:val="center"/>
                </w:tcPr>
                <w:p>
                  <w:pPr>
                    <w:pStyle w:val="85"/>
                    <w:rPr>
                      <w:rFonts w:hint="default" w:eastAsia="宋体"/>
                      <w:b/>
                      <w:bCs/>
                      <w:color w:val="auto"/>
                      <w:highlight w:val="none"/>
                      <w:lang w:val="en-US" w:eastAsia="zh-CN"/>
                    </w:rPr>
                  </w:pPr>
                  <w:r>
                    <w:rPr>
                      <w:rFonts w:hint="eastAsia"/>
                      <w:b/>
                      <w:bCs/>
                      <w:color w:val="auto"/>
                      <w:highlight w:val="none"/>
                      <w:lang w:val="en-US" w:eastAsia="zh-CN"/>
                    </w:rPr>
                    <w:t>管控维度</w:t>
                  </w:r>
                </w:p>
              </w:tc>
              <w:tc>
                <w:tcPr>
                  <w:tcW w:w="2187" w:type="pct"/>
                  <w:tcBorders>
                    <w:tl2br w:val="nil"/>
                    <w:tr2bl w:val="nil"/>
                  </w:tcBorders>
                  <w:vAlign w:val="center"/>
                </w:tcPr>
                <w:p>
                  <w:pPr>
                    <w:pStyle w:val="85"/>
                    <w:rPr>
                      <w:rFonts w:hint="default" w:eastAsia="宋体"/>
                      <w:b/>
                      <w:bCs/>
                      <w:color w:val="auto"/>
                      <w:highlight w:val="none"/>
                      <w:lang w:val="en-US" w:eastAsia="zh-CN"/>
                    </w:rPr>
                  </w:pPr>
                  <w:r>
                    <w:rPr>
                      <w:rFonts w:hint="eastAsia"/>
                      <w:b/>
                      <w:bCs/>
                      <w:color w:val="auto"/>
                      <w:highlight w:val="none"/>
                      <w:lang w:val="en-US" w:eastAsia="zh-CN"/>
                    </w:rPr>
                    <w:t>管控要求</w:t>
                  </w:r>
                </w:p>
              </w:tc>
              <w:tc>
                <w:tcPr>
                  <w:tcW w:w="1401" w:type="pct"/>
                  <w:tcBorders>
                    <w:tl2br w:val="nil"/>
                    <w:tr2bl w:val="nil"/>
                  </w:tcBorders>
                  <w:vAlign w:val="center"/>
                </w:tcPr>
                <w:p>
                  <w:pPr>
                    <w:pStyle w:val="85"/>
                    <w:rPr>
                      <w:rFonts w:hint="eastAsia" w:eastAsia="宋体"/>
                      <w:b/>
                      <w:bCs/>
                      <w:color w:val="auto"/>
                      <w:highlight w:val="none"/>
                      <w:lang w:val="en-US" w:eastAsia="zh-CN"/>
                    </w:rPr>
                  </w:pPr>
                  <w:r>
                    <w:rPr>
                      <w:rFonts w:hint="eastAsia"/>
                      <w:b/>
                      <w:bCs/>
                      <w:color w:val="auto"/>
                      <w:highlight w:val="none"/>
                      <w:lang w:val="en-US" w:eastAsia="zh-CN"/>
                    </w:rPr>
                    <w:t>本项目</w:t>
                  </w:r>
                </w:p>
              </w:tc>
              <w:tc>
                <w:tcPr>
                  <w:tcW w:w="479" w:type="pct"/>
                  <w:tcBorders>
                    <w:tl2br w:val="nil"/>
                    <w:tr2bl w:val="nil"/>
                  </w:tcBorders>
                  <w:vAlign w:val="center"/>
                </w:tcPr>
                <w:p>
                  <w:pPr>
                    <w:pStyle w:val="85"/>
                    <w:rPr>
                      <w:rFonts w:hint="eastAsia" w:eastAsia="宋体"/>
                      <w:b/>
                      <w:bCs/>
                      <w:color w:val="auto"/>
                      <w:highlight w:val="none"/>
                      <w:lang w:val="en-US" w:eastAsia="zh-CN"/>
                    </w:rPr>
                  </w:pPr>
                  <w:r>
                    <w:rPr>
                      <w:rFonts w:hint="eastAsia"/>
                      <w:b/>
                      <w:bCs/>
                      <w:color w:val="auto"/>
                      <w:highlight w:val="none"/>
                      <w:lang w:val="en-US" w:eastAsia="zh-CN"/>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trPr>
              <w:tc>
                <w:tcPr>
                  <w:tcW w:w="483" w:type="pct"/>
                  <w:vMerge w:val="restart"/>
                  <w:tcBorders>
                    <w:top w:val="single" w:color="auto" w:sz="4" w:space="0"/>
                    <w:right w:val="single" w:color="auto" w:sz="4" w:space="0"/>
                    <w:tl2br w:val="nil"/>
                    <w:tr2bl w:val="nil"/>
                  </w:tcBorders>
                  <w:vAlign w:val="center"/>
                </w:tcPr>
                <w:p>
                  <w:pPr>
                    <w:pStyle w:val="85"/>
                    <w:rPr>
                      <w:rFonts w:hint="default" w:eastAsia="宋体"/>
                      <w:color w:val="auto"/>
                      <w:highlight w:val="none"/>
                      <w:lang w:val="en-US" w:eastAsia="zh-CN"/>
                    </w:rPr>
                  </w:pPr>
                  <w:r>
                    <w:rPr>
                      <w:rFonts w:hint="eastAsia"/>
                      <w:color w:val="auto"/>
                      <w:highlight w:val="none"/>
                      <w:lang w:val="en-US" w:eastAsia="zh-CN"/>
                    </w:rPr>
                    <w:t>陕西省安康市汉滨区重点管控单元</w:t>
                  </w:r>
                </w:p>
              </w:tc>
              <w:tc>
                <w:tcPr>
                  <w:tcW w:w="448" w:type="pct"/>
                  <w:tcBorders>
                    <w:top w:val="single" w:color="auto" w:sz="4" w:space="0"/>
                    <w:left w:val="single" w:color="auto" w:sz="4" w:space="0"/>
                    <w:tl2br w:val="nil"/>
                    <w:tr2bl w:val="nil"/>
                  </w:tcBorders>
                  <w:vAlign w:val="center"/>
                </w:tcPr>
                <w:p>
                  <w:pPr>
                    <w:pStyle w:val="85"/>
                    <w:rPr>
                      <w:rFonts w:hint="default" w:eastAsia="宋体"/>
                      <w:color w:val="auto"/>
                      <w:highlight w:val="none"/>
                      <w:lang w:val="en-US" w:eastAsia="zh-CN"/>
                    </w:rPr>
                  </w:pPr>
                  <w:r>
                    <w:rPr>
                      <w:rFonts w:hint="eastAsia"/>
                      <w:color w:val="auto"/>
                      <w:highlight w:val="none"/>
                      <w:lang w:val="en-US" w:eastAsia="zh-CN"/>
                    </w:rPr>
                    <w:t>空间布局约束</w:t>
                  </w:r>
                </w:p>
              </w:tc>
              <w:tc>
                <w:tcPr>
                  <w:tcW w:w="2187" w:type="pct"/>
                  <w:tcBorders>
                    <w:tl2br w:val="nil"/>
                    <w:tr2bl w:val="nil"/>
                  </w:tcBorders>
                  <w:vAlign w:val="center"/>
                </w:tcPr>
                <w:p>
                  <w:pPr>
                    <w:pStyle w:val="85"/>
                    <w:numPr>
                      <w:ilvl w:val="0"/>
                      <w:numId w:val="4"/>
                    </w:numPr>
                    <w:tabs>
                      <w:tab w:val="clear" w:pos="312"/>
                    </w:tabs>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严格控制新增《陕西省</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两高</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项目管理暂行目录》行业项目</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民生等项目除外，后续对</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两高</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范围国家如有新规定的，从其规定</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。2.推动重污染企业搬迁入园或依法关闭。实施工业企业退城搬迁改造。3.新建居民住宅、商业综合体等必须使用清洁化能源取暖。</w:t>
                  </w:r>
                </w:p>
                <w:p>
                  <w:pPr>
                    <w:pStyle w:val="85"/>
                    <w:numPr>
                      <w:ilvl w:val="0"/>
                      <w:numId w:val="0"/>
                    </w:numPr>
                    <w:jc w:val="both"/>
                    <w:rPr>
                      <w:rFonts w:hint="default" w:eastAsia="宋体"/>
                      <w:color w:val="auto"/>
                      <w:highlight w:val="none"/>
                      <w:lang w:val="en-US" w:eastAsia="zh-CN"/>
                    </w:rPr>
                  </w:pPr>
                  <w:r>
                    <w:rPr>
                      <w:rFonts w:hint="default" w:ascii="Times New Roman" w:hAnsi="Times New Roman" w:eastAsia="宋体" w:cs="Times New Roman"/>
                      <w:color w:val="auto"/>
                      <w:highlight w:val="none"/>
                      <w:lang w:val="en-US" w:eastAsia="zh-CN"/>
                    </w:rPr>
                    <w:t>4.城市建成区禁止建设、使用燃煤锅炉。水环境城镇生活污染重点管控区</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推进城镇污水处理设施建设与提标改造，提高污水收集率和处理率。建设人工湿地水质净化工程，对处理达标后的尾水进一步净化。完普镇级污水处理设施运行和保障机制。到2025年，实现镇级污水处理设施基本全覆盖。新建污水处理设施配套管网应同步设计、同步建设、同步投运，积极探索</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厂网一体化</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机制。</w:t>
                  </w:r>
                </w:p>
              </w:tc>
              <w:tc>
                <w:tcPr>
                  <w:tcW w:w="1401" w:type="pct"/>
                  <w:tcBorders>
                    <w:tl2br w:val="nil"/>
                    <w:tr2bl w:val="nil"/>
                  </w:tcBorders>
                  <w:vAlign w:val="center"/>
                </w:tcPr>
                <w:p>
                  <w:pPr>
                    <w:pStyle w:val="85"/>
                    <w:jc w:val="center"/>
                    <w:rPr>
                      <w:rFonts w:hint="default" w:eastAsia="宋体"/>
                      <w:color w:val="auto"/>
                      <w:highlight w:val="none"/>
                      <w:lang w:val="en-US" w:eastAsia="zh-CN"/>
                    </w:rPr>
                  </w:pPr>
                  <w:r>
                    <w:rPr>
                      <w:rFonts w:hint="eastAsia"/>
                      <w:color w:val="auto"/>
                      <w:highlight w:val="none"/>
                      <w:lang w:val="en-US" w:eastAsia="zh-CN"/>
                    </w:rPr>
                    <w:t>本项目为妇产医院建设项目，不属于“两高”项目，不属于重污染企业；项目不涉及燃煤锅炉；项目新建污水处理站一座，污水处理设施配套管网已建成。</w:t>
                  </w:r>
                </w:p>
              </w:tc>
              <w:tc>
                <w:tcPr>
                  <w:tcW w:w="479" w:type="pct"/>
                  <w:tcBorders>
                    <w:tl2br w:val="nil"/>
                    <w:tr2bl w:val="nil"/>
                  </w:tcBorders>
                  <w:vAlign w:val="center"/>
                </w:tcPr>
                <w:p>
                  <w:pPr>
                    <w:pStyle w:val="85"/>
                    <w:rPr>
                      <w:rFonts w:hint="default" w:eastAsia="宋体"/>
                      <w:color w:val="auto"/>
                      <w:highlight w:val="none"/>
                      <w:lang w:val="en-US" w:eastAsia="zh-CN"/>
                    </w:rPr>
                  </w:pPr>
                  <w:r>
                    <w:rPr>
                      <w:rFonts w:hint="eastAsia" w:eastAsia="宋体"/>
                      <w:color w:val="auto"/>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04" w:hRule="atLeast"/>
              </w:trPr>
              <w:tc>
                <w:tcPr>
                  <w:tcW w:w="483" w:type="pct"/>
                  <w:vMerge w:val="continue"/>
                  <w:tcBorders>
                    <w:right w:val="single" w:color="auto" w:sz="4" w:space="0"/>
                    <w:tl2br w:val="nil"/>
                    <w:tr2bl w:val="nil"/>
                  </w:tcBorders>
                  <w:vAlign w:val="center"/>
                </w:tcPr>
                <w:p>
                  <w:pPr>
                    <w:pStyle w:val="85"/>
                    <w:rPr>
                      <w:rFonts w:hint="default" w:eastAsia="宋体"/>
                      <w:color w:val="auto"/>
                      <w:highlight w:val="yellow"/>
                      <w:lang w:val="en-US" w:eastAsia="zh-CN"/>
                    </w:rPr>
                  </w:pPr>
                </w:p>
              </w:tc>
              <w:tc>
                <w:tcPr>
                  <w:tcW w:w="448" w:type="pct"/>
                  <w:tcBorders>
                    <w:left w:val="single" w:color="auto" w:sz="4" w:space="0"/>
                    <w:tl2br w:val="nil"/>
                    <w:tr2bl w:val="nil"/>
                  </w:tcBorders>
                  <w:vAlign w:val="center"/>
                </w:tcPr>
                <w:p>
                  <w:pPr>
                    <w:pStyle w:val="85"/>
                    <w:rPr>
                      <w:rFonts w:hint="default" w:eastAsia="宋体"/>
                      <w:color w:val="auto"/>
                      <w:highlight w:val="none"/>
                      <w:lang w:val="en-US" w:eastAsia="zh-CN"/>
                    </w:rPr>
                  </w:pPr>
                  <w:r>
                    <w:rPr>
                      <w:rFonts w:hint="eastAsia"/>
                      <w:color w:val="auto"/>
                      <w:highlight w:val="none"/>
                      <w:lang w:val="en-US" w:eastAsia="zh-CN"/>
                    </w:rPr>
                    <w:t>污染物排放管控</w:t>
                  </w:r>
                </w:p>
              </w:tc>
              <w:tc>
                <w:tcPr>
                  <w:tcW w:w="2187" w:type="pct"/>
                  <w:tcBorders>
                    <w:tl2br w:val="nil"/>
                    <w:tr2bl w:val="nil"/>
                  </w:tcBorders>
                  <w:vAlign w:val="center"/>
                </w:tcPr>
                <w:p>
                  <w:pPr>
                    <w:pStyle w:val="85"/>
                    <w:numPr>
                      <w:ilvl w:val="0"/>
                      <w:numId w:val="5"/>
                    </w:numPr>
                    <w:tabs>
                      <w:tab w:val="clear" w:pos="312"/>
                    </w:tabs>
                    <w:rPr>
                      <w:rFonts w:hint="default" w:ascii="Times New Roman" w:hAnsi="Times New Roman" w:cs="Times New Roman"/>
                      <w:color w:val="auto"/>
                      <w:highlight w:val="none"/>
                    </w:rPr>
                  </w:pPr>
                  <w:r>
                    <w:rPr>
                      <w:rFonts w:hint="default" w:ascii="Times New Roman" w:hAnsi="Times New Roman" w:cs="Times New Roman"/>
                      <w:color w:val="auto"/>
                      <w:highlight w:val="none"/>
                    </w:rPr>
                    <w:t>城市建成区产生油烟的餐饮服务单位全部安装油烟净化装置并保持正常运行和定期维护。深入推进餐饮油烟污染治理，拟开设餐饮服务的建筑应设计建设专用烟道。</w:t>
                  </w:r>
                </w:p>
                <w:p>
                  <w:pPr>
                    <w:pStyle w:val="85"/>
                    <w:numPr>
                      <w:ilvl w:val="0"/>
                      <w:numId w:val="5"/>
                    </w:numPr>
                    <w:tabs>
                      <w:tab w:val="clear" w:pos="312"/>
                    </w:tabs>
                    <w:ind w:left="0" w:leftChars="0" w:firstLine="0" w:firstLineChars="0"/>
                    <w:rPr>
                      <w:color w:val="auto"/>
                      <w:highlight w:val="none"/>
                    </w:rPr>
                  </w:pPr>
                  <w:r>
                    <w:rPr>
                      <w:rFonts w:hint="default" w:ascii="Times New Roman" w:hAnsi="Times New Roman" w:cs="Times New Roman"/>
                      <w:color w:val="auto"/>
                      <w:highlight w:val="none"/>
                    </w:rPr>
                    <w:t>水环境城镇生活污染重点管控区：①加强城镇污水收集处理设施建设与提标改造。全面推进城镇生活污染治理。适时开展《汉丹江流域（陕西段）重点行业水污染物排放限值》（DB61/942-2014)实施评估工作，排入封闭式水域的污水处理厂因地制宜强化除磷脱氮工艺。</w:t>
                  </w:r>
                  <w:r>
                    <w:rPr>
                      <w:rFonts w:hint="default" w:ascii="Times New Roman" w:hAnsi="Times New Roman" w:cs="Times New Roman"/>
                      <w:color w:val="auto"/>
                      <w:highlight w:val="none"/>
                      <w:lang w:val="en-US" w:eastAsia="zh-CN"/>
                    </w:rPr>
                    <w:t>②</w:t>
                  </w:r>
                  <w:r>
                    <w:rPr>
                      <w:rFonts w:hint="default" w:ascii="Times New Roman" w:hAnsi="Times New Roman" w:cs="Times New Roman"/>
                      <w:color w:val="auto"/>
                      <w:highlight w:val="none"/>
                    </w:rPr>
                    <w:t>城镇新区管网建设及老旧城区管网升级改造中实行雨污分流，鼓励推进初期雨水收集、处理和资源化利用，建设人工湿地水质净化工程，对处理达标后的尾水进一步净化。③污水处理厂出水用于绿化、农灌等用途的，合理确定管控要求，确保达到相应污水再生利用标准。</w:t>
                  </w:r>
                  <w:r>
                    <w:rPr>
                      <w:rFonts w:hint="default" w:ascii="Times New Roman" w:hAnsi="Times New Roman" w:eastAsia="微软雅黑" w:cs="Times New Roman"/>
                      <w:color w:val="auto"/>
                      <w:highlight w:val="none"/>
                    </w:rPr>
                    <w:t>④</w:t>
                  </w:r>
                  <w:r>
                    <w:rPr>
                      <w:rFonts w:hint="default" w:ascii="Times New Roman" w:hAnsi="Times New Roman" w:cs="Times New Roman"/>
                      <w:color w:val="auto"/>
                      <w:highlight w:val="none"/>
                    </w:rPr>
                    <w:t>加强流域排污口长效监管。建立责任明晰、设置合理、管理规范的排污口长效监督管理机制，推进“排污体-如何排污口-排污管线-污染源”水生态全链条管理制度。落实入河排污口设置审批制度，分流</w:t>
                  </w:r>
                  <w:r>
                    <w:rPr>
                      <w:rFonts w:hint="eastAsia"/>
                      <w:color w:val="auto"/>
                      <w:highlight w:val="none"/>
                    </w:rPr>
                    <w:t>域开展入河排污口排查整治。</w:t>
                  </w:r>
                </w:p>
              </w:tc>
              <w:tc>
                <w:tcPr>
                  <w:tcW w:w="1401" w:type="pct"/>
                  <w:tcBorders>
                    <w:tl2br w:val="nil"/>
                    <w:tr2bl w:val="nil"/>
                  </w:tcBorders>
                  <w:vAlign w:val="center"/>
                </w:tcPr>
                <w:p>
                  <w:pPr>
                    <w:pStyle w:val="85"/>
                    <w:rPr>
                      <w:rFonts w:hint="default" w:eastAsia="宋体"/>
                      <w:color w:val="auto"/>
                      <w:highlight w:val="none"/>
                      <w:lang w:val="en-US" w:eastAsia="zh-CN"/>
                    </w:rPr>
                  </w:pPr>
                  <w:r>
                    <w:rPr>
                      <w:rFonts w:hint="eastAsia"/>
                      <w:color w:val="auto"/>
                      <w:highlight w:val="none"/>
                      <w:lang w:val="en-US" w:eastAsia="zh-CN"/>
                    </w:rPr>
                    <w:t>本项目不建设食堂，不涉及油烟产生；对原有污水处理站进行拆除，新建一座污水处理站，处理工艺为“一级强化+消毒”，处理后的污水经市政管网排入安康市江南城市污水处理厂。</w:t>
                  </w:r>
                </w:p>
              </w:tc>
              <w:tc>
                <w:tcPr>
                  <w:tcW w:w="479" w:type="pct"/>
                  <w:tcBorders>
                    <w:tl2br w:val="nil"/>
                    <w:tr2bl w:val="nil"/>
                  </w:tcBorders>
                  <w:vAlign w:val="center"/>
                </w:tcPr>
                <w:p>
                  <w:pPr>
                    <w:pStyle w:val="85"/>
                    <w:ind w:firstLine="0" w:firstLineChars="0"/>
                    <w:rPr>
                      <w:color w:val="auto"/>
                      <w:highlight w:val="none"/>
                    </w:rPr>
                  </w:pPr>
                  <w:r>
                    <w:rPr>
                      <w:rFonts w:hint="eastAsia" w:eastAsia="宋体"/>
                      <w:color w:val="auto"/>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8" w:hRule="atLeast"/>
              </w:trPr>
              <w:tc>
                <w:tcPr>
                  <w:tcW w:w="483" w:type="pct"/>
                  <w:vMerge w:val="continue"/>
                  <w:tcBorders>
                    <w:right w:val="single" w:color="auto" w:sz="4" w:space="0"/>
                    <w:tl2br w:val="nil"/>
                    <w:tr2bl w:val="nil"/>
                  </w:tcBorders>
                  <w:vAlign w:val="center"/>
                </w:tcPr>
                <w:p>
                  <w:pPr>
                    <w:pStyle w:val="85"/>
                    <w:rPr>
                      <w:rFonts w:hint="default"/>
                      <w:color w:val="auto"/>
                      <w:highlight w:val="yellow"/>
                      <w:lang w:val="en-US" w:eastAsia="zh-CN"/>
                    </w:rPr>
                  </w:pPr>
                </w:p>
              </w:tc>
              <w:tc>
                <w:tcPr>
                  <w:tcW w:w="448" w:type="pct"/>
                  <w:tcBorders>
                    <w:left w:val="single" w:color="auto" w:sz="4" w:space="0"/>
                    <w:tl2br w:val="nil"/>
                    <w:tr2bl w:val="nil"/>
                  </w:tcBorders>
                  <w:vAlign w:val="center"/>
                </w:tcPr>
                <w:p>
                  <w:pPr>
                    <w:pStyle w:val="85"/>
                    <w:rPr>
                      <w:rFonts w:hint="default"/>
                      <w:color w:val="auto"/>
                      <w:highlight w:val="none"/>
                      <w:lang w:val="en-US" w:eastAsia="zh-CN"/>
                    </w:rPr>
                  </w:pPr>
                  <w:r>
                    <w:rPr>
                      <w:rFonts w:hint="default"/>
                      <w:color w:val="auto"/>
                      <w:highlight w:val="none"/>
                      <w:lang w:val="en-US" w:eastAsia="zh-CN"/>
                    </w:rPr>
                    <w:t>资源开发效率要求</w:t>
                  </w:r>
                </w:p>
              </w:tc>
              <w:tc>
                <w:tcPr>
                  <w:tcW w:w="2187" w:type="pct"/>
                  <w:tcBorders>
                    <w:tl2br w:val="nil"/>
                    <w:tr2bl w:val="nil"/>
                  </w:tcBorders>
                  <w:vAlign w:val="center"/>
                </w:tcPr>
                <w:p>
                  <w:pPr>
                    <w:pStyle w:val="85"/>
                    <w:rPr>
                      <w:rFonts w:hint="eastAsia" w:eastAsia="宋体"/>
                      <w:color w:val="auto"/>
                      <w:highlight w:val="none"/>
                      <w:lang w:val="en-US" w:eastAsia="zh-CN"/>
                    </w:rPr>
                  </w:pPr>
                  <w:r>
                    <w:rPr>
                      <w:rFonts w:hint="eastAsia" w:eastAsia="宋体"/>
                      <w:color w:val="auto"/>
                      <w:highlight w:val="none"/>
                      <w:lang w:val="en-US" w:eastAsia="zh-CN"/>
                    </w:rPr>
                    <w:t>高污染燃料禁</w:t>
                  </w:r>
                  <w:r>
                    <w:rPr>
                      <w:rFonts w:hint="default" w:ascii="Times New Roman" w:hAnsi="Times New Roman" w:eastAsia="宋体" w:cs="Times New Roman"/>
                      <w:color w:val="auto"/>
                      <w:highlight w:val="none"/>
                      <w:lang w:val="en-US" w:eastAsia="zh-CN"/>
                    </w:rPr>
                    <w:t>燃区：1、禁止销售、燃用高污染燃料。禁燃区散煤销售网点一律取消。2、已建成使用高污染燃料的各类设备应当拆除或者改用管道天然气、液化石油气、电或者其他清洁能源。3、现有燃用高污染燃料设备在拆除或改造之前，应确保排放的大气污染物达到国家规定的大气污染物排放标准。</w:t>
                  </w:r>
                </w:p>
              </w:tc>
              <w:tc>
                <w:tcPr>
                  <w:tcW w:w="1401" w:type="pct"/>
                  <w:tcBorders>
                    <w:tl2br w:val="nil"/>
                    <w:tr2bl w:val="nil"/>
                  </w:tcBorders>
                  <w:vAlign w:val="center"/>
                </w:tcPr>
                <w:p>
                  <w:pPr>
                    <w:pStyle w:val="85"/>
                    <w:rPr>
                      <w:rFonts w:hint="default"/>
                      <w:color w:val="auto"/>
                      <w:highlight w:val="none"/>
                      <w:lang w:val="en-US" w:eastAsia="zh-CN"/>
                    </w:rPr>
                  </w:pPr>
                  <w:r>
                    <w:rPr>
                      <w:rFonts w:hint="eastAsia"/>
                      <w:color w:val="auto"/>
                      <w:highlight w:val="none"/>
                      <w:lang w:val="en-US" w:eastAsia="zh-CN"/>
                    </w:rPr>
                    <w:t>本项目不涉及高污染燃料，项目不供热，供暖制冷均采用空调，热水供应为电热水器，不设食堂，不涉及高污染燃料</w:t>
                  </w:r>
                </w:p>
              </w:tc>
              <w:tc>
                <w:tcPr>
                  <w:tcW w:w="479" w:type="pct"/>
                  <w:tcBorders>
                    <w:tl2br w:val="nil"/>
                    <w:tr2bl w:val="nil"/>
                  </w:tcBorders>
                  <w:vAlign w:val="center"/>
                </w:tcPr>
                <w:p>
                  <w:pPr>
                    <w:pStyle w:val="85"/>
                    <w:ind w:firstLine="0" w:firstLineChars="0"/>
                    <w:rPr>
                      <w:rFonts w:hint="default"/>
                      <w:color w:val="auto"/>
                      <w:highlight w:val="none"/>
                      <w:lang w:val="en-US" w:eastAsia="zh-CN"/>
                    </w:rPr>
                  </w:pPr>
                  <w:r>
                    <w:rPr>
                      <w:rFonts w:hint="eastAsia"/>
                      <w:color w:val="auto"/>
                      <w:highlight w:val="none"/>
                      <w:lang w:val="en-US" w:eastAsia="zh-CN"/>
                    </w:rPr>
                    <w:t>符合</w:t>
                  </w:r>
                </w:p>
              </w:tc>
            </w:tr>
          </w:tbl>
          <w:p>
            <w:pPr>
              <w:pStyle w:val="11"/>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textAlignment w:val="auto"/>
              <w:rPr>
                <w:rFonts w:hint="eastAsia" w:ascii="Times New Roman" w:hAnsi="Times New Roman" w:eastAsia="宋体" w:cs="Times New Roman"/>
                <w:b w:val="0"/>
                <w:bCs/>
                <w:color w:val="auto"/>
                <w:kern w:val="0"/>
                <w:sz w:val="24"/>
              </w:rPr>
            </w:pPr>
            <w:r>
              <w:rPr>
                <w:rFonts w:hint="eastAsia" w:ascii="Times New Roman" w:hAnsi="Times New Roman" w:eastAsia="宋体" w:cs="Times New Roman"/>
                <w:b w:val="0"/>
                <w:bCs/>
                <w:color w:val="auto"/>
                <w:kern w:val="0"/>
                <w:sz w:val="24"/>
              </w:rPr>
              <w:t>③“一说明”</w:t>
            </w:r>
          </w:p>
          <w:p>
            <w:pPr>
              <w:pStyle w:val="11"/>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textAlignment w:val="auto"/>
              <w:rPr>
                <w:rFonts w:hint="eastAsia" w:ascii="Times New Roman" w:hAnsi="Times New Roman" w:eastAsia="宋体" w:cs="Times New Roman"/>
                <w:b w:val="0"/>
                <w:bCs/>
                <w:color w:val="auto"/>
                <w:kern w:val="0"/>
                <w:sz w:val="24"/>
                <w:highlight w:val="none"/>
              </w:rPr>
            </w:pPr>
            <w:r>
              <w:rPr>
                <w:rFonts w:hint="eastAsia" w:ascii="Times New Roman" w:hAnsi="Times New Roman" w:eastAsia="宋体" w:cs="Times New Roman"/>
                <w:b w:val="0"/>
                <w:bCs/>
                <w:color w:val="auto"/>
                <w:kern w:val="0"/>
                <w:sz w:val="24"/>
              </w:rPr>
              <w:t>本项目位于陕西省</w:t>
            </w:r>
            <w:r>
              <w:rPr>
                <w:rFonts w:hint="eastAsia" w:ascii="Times New Roman" w:hAnsi="Times New Roman" w:eastAsia="宋体" w:cs="Times New Roman"/>
                <w:b w:val="0"/>
                <w:bCs/>
                <w:color w:val="auto"/>
                <w:kern w:val="0"/>
                <w:sz w:val="24"/>
                <w:lang w:val="en-US" w:eastAsia="zh-CN"/>
              </w:rPr>
              <w:t>安康</w:t>
            </w:r>
            <w:r>
              <w:rPr>
                <w:rFonts w:hint="eastAsia" w:ascii="Times New Roman" w:hAnsi="Times New Roman" w:eastAsia="宋体" w:cs="Times New Roman"/>
                <w:b w:val="0"/>
                <w:bCs/>
                <w:color w:val="auto"/>
                <w:kern w:val="0"/>
                <w:sz w:val="24"/>
              </w:rPr>
              <w:t>市</w:t>
            </w:r>
            <w:r>
              <w:rPr>
                <w:rFonts w:hint="eastAsia" w:ascii="Times New Roman" w:hAnsi="Times New Roman" w:eastAsia="宋体" w:cs="Times New Roman"/>
                <w:b w:val="0"/>
                <w:bCs/>
                <w:color w:val="auto"/>
                <w:kern w:val="0"/>
                <w:sz w:val="24"/>
                <w:lang w:val="en-US" w:eastAsia="zh-CN"/>
              </w:rPr>
              <w:t>汉滨区满意建材路与香溪路交汇处</w:t>
            </w:r>
            <w:r>
              <w:rPr>
                <w:rFonts w:hint="eastAsia" w:ascii="Times New Roman" w:hAnsi="Times New Roman" w:eastAsia="宋体" w:cs="Times New Roman"/>
                <w:b w:val="0"/>
                <w:bCs/>
                <w:color w:val="auto"/>
                <w:kern w:val="0"/>
                <w:sz w:val="24"/>
              </w:rPr>
              <w:t>，</w:t>
            </w:r>
            <w:r>
              <w:rPr>
                <w:rFonts w:hint="eastAsia" w:ascii="Times New Roman" w:hAnsi="Times New Roman" w:eastAsia="宋体" w:cs="Times New Roman"/>
                <w:b w:val="0"/>
                <w:bCs/>
                <w:color w:val="auto"/>
                <w:kern w:val="0"/>
                <w:sz w:val="24"/>
                <w:lang w:val="en-US" w:eastAsia="zh-CN"/>
              </w:rPr>
              <w:t>涉及重点管控单元</w:t>
            </w:r>
            <w:r>
              <w:rPr>
                <w:rFonts w:hint="eastAsia" w:ascii="Times New Roman" w:hAnsi="Times New Roman" w:eastAsia="宋体" w:cs="Times New Roman"/>
                <w:b w:val="0"/>
                <w:bCs/>
                <w:color w:val="auto"/>
                <w:kern w:val="0"/>
                <w:sz w:val="24"/>
                <w:highlight w:val="none"/>
              </w:rPr>
              <w:t>。</w:t>
            </w:r>
          </w:p>
          <w:p>
            <w:pPr>
              <w:pStyle w:val="11"/>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textAlignment w:val="auto"/>
              <w:rPr>
                <w:rFonts w:hint="eastAsia" w:ascii="Times New Roman" w:hAnsi="Times New Roman" w:eastAsia="宋体" w:cs="Times New Roman"/>
                <w:b w:val="0"/>
                <w:bCs/>
                <w:color w:val="auto"/>
                <w:kern w:val="0"/>
                <w:sz w:val="24"/>
              </w:rPr>
            </w:pPr>
            <w:r>
              <w:rPr>
                <w:rFonts w:hint="eastAsia" w:ascii="Times New Roman" w:hAnsi="Times New Roman" w:eastAsia="宋体" w:cs="Times New Roman"/>
                <w:b w:val="0"/>
                <w:bCs/>
                <w:color w:val="auto"/>
                <w:kern w:val="0"/>
                <w:sz w:val="24"/>
              </w:rPr>
              <w:t>本项目不属于“两高”项目；项目建设过程中产生的废水、废气、噪声均能达标排放，固废能够得到妥善处置。</w:t>
            </w:r>
          </w:p>
          <w:p>
            <w:pPr>
              <w:pStyle w:val="56"/>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textAlignment w:val="auto"/>
              <w:rPr>
                <w:rFonts w:hint="default" w:ascii="Times New Roman" w:hAnsi="Times New Roman" w:cs="Times New Roman"/>
                <w:b w:val="0"/>
                <w:bCs/>
                <w:color w:val="auto"/>
                <w:sz w:val="24"/>
                <w:szCs w:val="24"/>
                <w:lang w:val="en-US" w:eastAsia="zh-CN"/>
              </w:rPr>
            </w:pPr>
            <w:r>
              <w:rPr>
                <w:rFonts w:hint="eastAsia" w:ascii="Times New Roman" w:hAnsi="Times New Roman" w:eastAsia="宋体" w:cs="Times New Roman"/>
                <w:b w:val="0"/>
                <w:bCs/>
                <w:color w:val="auto"/>
                <w:kern w:val="0"/>
                <w:sz w:val="24"/>
              </w:rPr>
              <w:t>综上所述，本项目符合《</w:t>
            </w:r>
            <w:r>
              <w:rPr>
                <w:rFonts w:hint="eastAsia" w:ascii="Times New Roman" w:hAnsi="Times New Roman" w:eastAsia="宋体" w:cs="Times New Roman"/>
                <w:b w:val="0"/>
                <w:bCs/>
                <w:color w:val="auto"/>
                <w:kern w:val="0"/>
                <w:sz w:val="24"/>
                <w:lang w:val="en-US" w:eastAsia="zh-CN"/>
              </w:rPr>
              <w:t>安康</w:t>
            </w:r>
            <w:r>
              <w:rPr>
                <w:rFonts w:hint="eastAsia" w:ascii="Times New Roman" w:hAnsi="Times New Roman" w:eastAsia="宋体" w:cs="Times New Roman"/>
                <w:b w:val="0"/>
                <w:bCs/>
                <w:color w:val="auto"/>
                <w:kern w:val="0"/>
                <w:sz w:val="24"/>
              </w:rPr>
              <w:t>市生态环境准入清单》中的各项要求。</w:t>
            </w:r>
          </w:p>
          <w:p>
            <w:pPr>
              <w:pStyle w:val="56"/>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与</w:t>
            </w:r>
            <w:r>
              <w:rPr>
                <w:rFonts w:hint="default" w:ascii="Times New Roman" w:hAnsi="Times New Roman" w:cs="Times New Roman"/>
                <w:color w:val="auto"/>
                <w:sz w:val="24"/>
                <w:szCs w:val="24"/>
                <w:lang w:val="en-US" w:eastAsia="zh-CN"/>
              </w:rPr>
              <w:t>相关</w:t>
            </w:r>
            <w:r>
              <w:rPr>
                <w:rFonts w:hint="eastAsia" w:ascii="Times New Roman" w:hAnsi="Times New Roman" w:cs="Times New Roman"/>
                <w:color w:val="auto"/>
                <w:sz w:val="24"/>
                <w:szCs w:val="24"/>
                <w:lang w:val="en-US" w:eastAsia="zh-CN"/>
              </w:rPr>
              <w:t>污染防治行动方案</w:t>
            </w:r>
            <w:r>
              <w:rPr>
                <w:rFonts w:hint="default" w:ascii="Times New Roman" w:hAnsi="Times New Roman" w:cs="Times New Roman"/>
                <w:color w:val="auto"/>
                <w:sz w:val="24"/>
                <w:szCs w:val="24"/>
                <w:lang w:val="en-US" w:eastAsia="zh-CN"/>
              </w:rPr>
              <w:t>符合性分析</w:t>
            </w:r>
          </w:p>
          <w:p>
            <w:pPr>
              <w:keepNext w:val="0"/>
              <w:keepLines w:val="0"/>
              <w:pageBreakBefore w:val="0"/>
              <w:widowControl w:val="0"/>
              <w:kinsoku/>
              <w:wordWrap/>
              <w:overflowPunct/>
              <w:topLinePunct w:val="0"/>
              <w:bidi w:val="0"/>
              <w:snapToGrid w:val="0"/>
              <w:jc w:val="center"/>
              <w:rPr>
                <w:rFonts w:hint="default" w:ascii="Times New Roman" w:hAnsi="Times New Roman" w:cs="Times New Roman"/>
                <w:color w:val="auto"/>
                <w:sz w:val="24"/>
                <w:szCs w:val="24"/>
                <w:lang w:val="en-US" w:eastAsia="zh-CN"/>
              </w:rPr>
            </w:pPr>
            <w:r>
              <w:rPr>
                <w:rFonts w:hint="default" w:ascii="Times New Roman" w:hAnsi="Times New Roman" w:eastAsia="宋体" w:cs="Times New Roman"/>
                <w:b/>
                <w:color w:val="auto"/>
                <w:sz w:val="24"/>
                <w:szCs w:val="24"/>
                <w:highlight w:val="none"/>
              </w:rPr>
              <w:t>表1-</w:t>
            </w:r>
            <w:r>
              <w:rPr>
                <w:rFonts w:hint="eastAsia" w:ascii="Times New Roman" w:hAnsi="Times New Roman" w:cs="Times New Roman"/>
                <w:b/>
                <w:color w:val="auto"/>
                <w:sz w:val="24"/>
                <w:szCs w:val="24"/>
                <w:highlight w:val="none"/>
                <w:lang w:val="en-US" w:eastAsia="zh-CN"/>
              </w:rPr>
              <w:t xml:space="preserve">4 </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项目与</w:t>
            </w:r>
            <w:r>
              <w:rPr>
                <w:rFonts w:hint="default" w:ascii="Times New Roman" w:hAnsi="Times New Roman" w:eastAsia="宋体" w:cs="Times New Roman"/>
                <w:b/>
                <w:color w:val="auto"/>
                <w:sz w:val="24"/>
                <w:szCs w:val="24"/>
                <w:highlight w:val="none"/>
                <w:lang w:eastAsia="zh-CN"/>
              </w:rPr>
              <w:t>相关政策</w:t>
            </w:r>
            <w:r>
              <w:rPr>
                <w:rFonts w:hint="default" w:ascii="Times New Roman" w:hAnsi="Times New Roman" w:eastAsia="宋体" w:cs="Times New Roman"/>
                <w:b/>
                <w:color w:val="auto"/>
                <w:sz w:val="24"/>
                <w:szCs w:val="24"/>
                <w:highlight w:val="none"/>
              </w:rPr>
              <w:t>符合性分析</w:t>
            </w:r>
          </w:p>
          <w:tbl>
            <w:tblPr>
              <w:tblStyle w:val="27"/>
              <w:tblW w:w="4995" w:type="pct"/>
              <w:tblInd w:w="1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3745"/>
              <w:gridCol w:w="1680"/>
              <w:gridCol w:w="9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文件</w:t>
                  </w:r>
                </w:p>
              </w:tc>
              <w:tc>
                <w:tcPr>
                  <w:tcW w:w="23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相关</w:t>
                  </w:r>
                  <w:r>
                    <w:rPr>
                      <w:rFonts w:hint="default" w:ascii="Times New Roman" w:hAnsi="Times New Roman" w:eastAsia="宋体" w:cs="Times New Roman"/>
                      <w:b/>
                      <w:bCs/>
                      <w:color w:val="auto"/>
                      <w:sz w:val="21"/>
                      <w:szCs w:val="21"/>
                      <w:highlight w:val="none"/>
                    </w:rPr>
                    <w:t>要求</w:t>
                  </w:r>
                </w:p>
              </w:tc>
              <w:tc>
                <w:tcPr>
                  <w:tcW w:w="1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 w:type="pct"/>
                  <w:vMerge w:val="restart"/>
                  <w:tcBorders>
                    <w:tl2br w:val="nil"/>
                    <w:tr2bl w:val="nil"/>
                  </w:tcBorders>
                  <w:noWrap w:val="0"/>
                  <w:vAlign w:val="center"/>
                </w:tcPr>
                <w:p>
                  <w:pPr>
                    <w:keepNext w:val="0"/>
                    <w:keepLines w:val="0"/>
                    <w:pageBreakBefore w:val="0"/>
                    <w:widowControl w:val="0"/>
                    <w:kinsoku/>
                    <w:wordWrap/>
                    <w:overflowPunct/>
                    <w:topLinePunct w:val="0"/>
                    <w:bidi w:val="0"/>
                    <w:spacing w:beforeLines="0" w:afterLines="0"/>
                    <w:jc w:val="left"/>
                    <w:rPr>
                      <w:rFonts w:hint="default" w:ascii="宋体" w:hAnsi="宋体" w:eastAsia="宋体"/>
                      <w:color w:val="auto"/>
                      <w:kern w:val="2"/>
                      <w:sz w:val="21"/>
                      <w:szCs w:val="24"/>
                      <w:lang w:val="en-US" w:eastAsia="zh-CN" w:bidi="ar-SA"/>
                    </w:rPr>
                  </w:pPr>
                  <w:r>
                    <w:rPr>
                      <w:rFonts w:hint="eastAsia" w:ascii="宋体" w:hAnsi="宋体" w:eastAsia="宋体"/>
                      <w:color w:val="auto"/>
                      <w:sz w:val="21"/>
                      <w:szCs w:val="24"/>
                    </w:rPr>
                    <w:t>《陕西省人民政府关于印发国民经济和社会发展第十四个五年规划和二〇三五年远景目标纲要的通知》（陕政发</w:t>
                  </w:r>
                  <w:r>
                    <w:rPr>
                      <w:rFonts w:hint="eastAsia" w:ascii="宋体" w:hAnsi="宋体" w:eastAsia="宋体" w:cs="宋体"/>
                      <w:color w:val="auto"/>
                      <w:sz w:val="21"/>
                      <w:szCs w:val="24"/>
                    </w:rPr>
                    <w:t>〔</w:t>
                  </w:r>
                  <w:r>
                    <w:rPr>
                      <w:rFonts w:hint="eastAsia" w:ascii="TimesNewRomanPSMT" w:hAnsi="TimesNewRomanPSMT" w:eastAsia="TimesNewRomanPSMT"/>
                      <w:color w:val="auto"/>
                      <w:sz w:val="21"/>
                      <w:szCs w:val="24"/>
                    </w:rPr>
                    <w:t>2021</w:t>
                  </w:r>
                  <w:r>
                    <w:rPr>
                      <w:rFonts w:hint="eastAsia" w:ascii="宋体" w:hAnsi="宋体" w:eastAsia="宋体" w:cs="宋体"/>
                      <w:color w:val="auto"/>
                      <w:sz w:val="21"/>
                      <w:szCs w:val="24"/>
                    </w:rPr>
                    <w:t>〕</w:t>
                  </w:r>
                  <w:r>
                    <w:rPr>
                      <w:rFonts w:hint="eastAsia" w:ascii="TimesNewRomanPSMT" w:hAnsi="TimesNewRomanPSMT" w:eastAsia="TimesNewRomanPSMT"/>
                      <w:color w:val="auto"/>
                      <w:sz w:val="21"/>
                      <w:szCs w:val="24"/>
                    </w:rPr>
                    <w:t>3</w:t>
                  </w:r>
                  <w:r>
                    <w:rPr>
                      <w:rFonts w:hint="eastAsia" w:ascii="宋体" w:hAnsi="宋体" w:eastAsia="宋体"/>
                      <w:color w:val="auto"/>
                      <w:sz w:val="21"/>
                      <w:szCs w:val="24"/>
                    </w:rPr>
                    <w:t>号）</w:t>
                  </w:r>
                </w:p>
              </w:tc>
              <w:tc>
                <w:tcPr>
                  <w:tcW w:w="2380" w:type="pct"/>
                  <w:tcBorders>
                    <w:tl2br w:val="nil"/>
                    <w:tr2bl w:val="nil"/>
                  </w:tcBorders>
                  <w:noWrap w:val="0"/>
                  <w:vAlign w:val="center"/>
                </w:tcPr>
                <w:p>
                  <w:pPr>
                    <w:spacing w:beforeLines="0" w:afterLines="0"/>
                    <w:jc w:val="both"/>
                    <w:rPr>
                      <w:rFonts w:hint="default" w:ascii="宋体" w:hAnsi="宋体" w:eastAsia="宋体"/>
                      <w:color w:val="auto"/>
                      <w:kern w:val="2"/>
                      <w:sz w:val="21"/>
                      <w:szCs w:val="24"/>
                      <w:lang w:val="en-US" w:eastAsia="zh-CN" w:bidi="ar-SA"/>
                    </w:rPr>
                  </w:pPr>
                  <w:r>
                    <w:rPr>
                      <w:rFonts w:hint="eastAsia" w:ascii="宋体" w:hAnsi="宋体" w:eastAsia="宋体"/>
                      <w:color w:val="auto"/>
                      <w:sz w:val="21"/>
                      <w:szCs w:val="24"/>
                    </w:rPr>
                    <w:t>高品质生活迈向更高水平：多层次社会保障体系更加完善，卫生健康体系更加健全。</w:t>
                  </w:r>
                </w:p>
              </w:tc>
              <w:tc>
                <w:tcPr>
                  <w:tcW w:w="1068" w:type="pct"/>
                  <w:tcBorders>
                    <w:tl2br w:val="nil"/>
                    <w:tr2bl w:val="nil"/>
                  </w:tcBorders>
                  <w:noWrap w:val="0"/>
                  <w:vAlign w:val="center"/>
                </w:tcPr>
                <w:p>
                  <w:pPr>
                    <w:keepNext w:val="0"/>
                    <w:keepLines w:val="0"/>
                    <w:pageBreakBefore w:val="0"/>
                    <w:widowControl w:val="0"/>
                    <w:kinsoku/>
                    <w:wordWrap/>
                    <w:overflowPunct/>
                    <w:topLinePunct w:val="0"/>
                    <w:bidi w:val="0"/>
                    <w:spacing w:beforeLines="0" w:afterLines="0"/>
                    <w:jc w:val="both"/>
                    <w:rPr>
                      <w:rFonts w:hint="default" w:ascii="宋体" w:hAnsi="宋体" w:eastAsia="宋体"/>
                      <w:color w:val="auto"/>
                      <w:kern w:val="2"/>
                      <w:sz w:val="21"/>
                      <w:szCs w:val="24"/>
                      <w:lang w:val="en-US" w:eastAsia="zh-CN" w:bidi="ar-SA"/>
                    </w:rPr>
                  </w:pPr>
                  <w:r>
                    <w:rPr>
                      <w:rFonts w:hint="eastAsia" w:ascii="宋体" w:hAnsi="宋体"/>
                      <w:color w:val="auto"/>
                      <w:kern w:val="2"/>
                      <w:sz w:val="21"/>
                      <w:szCs w:val="24"/>
                      <w:lang w:val="en-US" w:eastAsia="zh-CN" w:bidi="ar-SA"/>
                    </w:rPr>
                    <w:t>本项目为妇幼医院，项目建成后安康市卫生健康体系更加健全，社会保障体系更加完善</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74" w:type="pct"/>
                  <w:vMerge w:val="continue"/>
                  <w:tcBorders>
                    <w:tl2br w:val="nil"/>
                    <w:tr2bl w:val="nil"/>
                  </w:tcBorders>
                  <w:noWrap w:val="0"/>
                  <w:vAlign w:val="center"/>
                </w:tcPr>
                <w:p>
                  <w:pPr>
                    <w:keepNext w:val="0"/>
                    <w:keepLines w:val="0"/>
                    <w:pageBreakBefore w:val="0"/>
                    <w:widowControl w:val="0"/>
                    <w:kinsoku/>
                    <w:wordWrap/>
                    <w:overflowPunct/>
                    <w:topLinePunct w:val="0"/>
                    <w:bidi w:val="0"/>
                    <w:spacing w:beforeLines="0" w:afterLines="0"/>
                    <w:jc w:val="left"/>
                    <w:rPr>
                      <w:rFonts w:hint="eastAsia" w:ascii="宋体" w:hAnsi="宋体" w:eastAsia="宋体"/>
                      <w:color w:val="auto"/>
                      <w:sz w:val="21"/>
                      <w:szCs w:val="24"/>
                    </w:rPr>
                  </w:pPr>
                </w:p>
              </w:tc>
              <w:tc>
                <w:tcPr>
                  <w:tcW w:w="2380" w:type="pct"/>
                  <w:tcBorders>
                    <w:tl2br w:val="nil"/>
                    <w:tr2bl w:val="nil"/>
                  </w:tcBorders>
                  <w:noWrap w:val="0"/>
                  <w:vAlign w:val="center"/>
                </w:tcPr>
                <w:p>
                  <w:pPr>
                    <w:spacing w:beforeLines="0" w:afterLines="0"/>
                    <w:jc w:val="both"/>
                    <w:rPr>
                      <w:rFonts w:hint="eastAsia" w:ascii="宋体" w:hAnsi="宋体" w:eastAsia="宋体"/>
                      <w:color w:val="auto"/>
                      <w:sz w:val="21"/>
                      <w:szCs w:val="24"/>
                    </w:rPr>
                  </w:pPr>
                  <w:r>
                    <w:rPr>
                      <w:rFonts w:hint="eastAsia" w:ascii="宋体" w:hAnsi="宋体" w:eastAsia="宋体"/>
                      <w:color w:val="auto"/>
                      <w:sz w:val="21"/>
                      <w:szCs w:val="24"/>
                    </w:rPr>
                    <w:t>推动新型基础设施与传统基础设施融合发展：聚焦城市管理、交通物流、医疗卫</w:t>
                  </w:r>
                </w:p>
                <w:p>
                  <w:pPr>
                    <w:spacing w:beforeLines="0" w:afterLines="0"/>
                    <w:jc w:val="both"/>
                    <w:rPr>
                      <w:rFonts w:hint="eastAsia" w:ascii="宋体" w:hAnsi="宋体" w:eastAsia="宋体"/>
                      <w:color w:val="auto"/>
                      <w:sz w:val="21"/>
                      <w:szCs w:val="24"/>
                    </w:rPr>
                  </w:pPr>
                  <w:r>
                    <w:rPr>
                      <w:rFonts w:hint="eastAsia" w:ascii="宋体" w:hAnsi="宋体" w:eastAsia="宋体"/>
                      <w:color w:val="auto"/>
                      <w:sz w:val="21"/>
                      <w:szCs w:val="24"/>
                    </w:rPr>
                    <w:t>生、生态环境、文化旅游等领域，开展一批基础设施智慧化融合应用示范，加快建</w:t>
                  </w:r>
                </w:p>
                <w:p>
                  <w:pPr>
                    <w:keepNext w:val="0"/>
                    <w:keepLines w:val="0"/>
                    <w:pageBreakBefore w:val="0"/>
                    <w:widowControl w:val="0"/>
                    <w:kinsoku/>
                    <w:wordWrap/>
                    <w:overflowPunct/>
                    <w:topLinePunct w:val="0"/>
                    <w:bidi w:val="0"/>
                    <w:spacing w:beforeLines="0" w:afterLines="0"/>
                    <w:jc w:val="both"/>
                    <w:rPr>
                      <w:rFonts w:hint="default" w:ascii="宋体" w:hAnsi="宋体" w:eastAsia="宋体"/>
                      <w:color w:val="auto"/>
                      <w:kern w:val="2"/>
                      <w:sz w:val="21"/>
                      <w:szCs w:val="24"/>
                      <w:lang w:val="en-US" w:eastAsia="zh-CN" w:bidi="ar-SA"/>
                    </w:rPr>
                  </w:pPr>
                  <w:r>
                    <w:rPr>
                      <w:rFonts w:hint="eastAsia" w:ascii="宋体" w:hAnsi="宋体" w:eastAsia="宋体"/>
                      <w:color w:val="auto"/>
                      <w:sz w:val="21"/>
                      <w:szCs w:val="24"/>
                    </w:rPr>
                    <w:t>设</w:t>
                  </w:r>
                  <w:r>
                    <w:rPr>
                      <w:rFonts w:hint="eastAsia" w:ascii="宋体" w:hAnsi="宋体" w:eastAsia="宋体"/>
                      <w:color w:val="auto"/>
                      <w:sz w:val="21"/>
                      <w:szCs w:val="24"/>
                      <w:lang w:val="en-US" w:eastAsia="zh-CN"/>
                    </w:rPr>
                    <w:t>智慧</w:t>
                  </w:r>
                  <w:r>
                    <w:rPr>
                      <w:rFonts w:hint="eastAsia" w:ascii="宋体" w:hAnsi="宋体" w:eastAsia="宋体"/>
                      <w:color w:val="auto"/>
                      <w:sz w:val="21"/>
                      <w:szCs w:val="24"/>
                    </w:rPr>
                    <w:t>陕西</w:t>
                  </w:r>
                </w:p>
              </w:tc>
              <w:tc>
                <w:tcPr>
                  <w:tcW w:w="1068" w:type="pct"/>
                  <w:tcBorders>
                    <w:tl2br w:val="nil"/>
                    <w:tr2bl w:val="nil"/>
                  </w:tcBorders>
                  <w:noWrap w:val="0"/>
                  <w:vAlign w:val="center"/>
                </w:tcPr>
                <w:p>
                  <w:pPr>
                    <w:keepNext w:val="0"/>
                    <w:keepLines w:val="0"/>
                    <w:pageBreakBefore w:val="0"/>
                    <w:widowControl w:val="0"/>
                    <w:kinsoku/>
                    <w:wordWrap/>
                    <w:overflowPunct/>
                    <w:topLinePunct w:val="0"/>
                    <w:bidi w:val="0"/>
                    <w:spacing w:beforeLines="0" w:afterLines="0"/>
                    <w:jc w:val="both"/>
                    <w:rPr>
                      <w:rFonts w:hint="default" w:ascii="宋体" w:hAnsi="宋体" w:eastAsia="宋体"/>
                      <w:color w:val="auto"/>
                      <w:kern w:val="2"/>
                      <w:sz w:val="21"/>
                      <w:szCs w:val="24"/>
                      <w:lang w:val="en-US" w:eastAsia="zh-CN" w:bidi="ar-SA"/>
                    </w:rPr>
                  </w:pPr>
                  <w:r>
                    <w:rPr>
                      <w:rFonts w:hint="eastAsia" w:ascii="宋体" w:hAnsi="宋体"/>
                      <w:color w:val="auto"/>
                      <w:kern w:val="2"/>
                      <w:sz w:val="21"/>
                      <w:szCs w:val="24"/>
                      <w:lang w:val="en-US" w:eastAsia="zh-CN" w:bidi="ar-SA"/>
                    </w:rPr>
                    <w:t>本项目为妇幼医院，为基础设施，为当地民众提供基础医疗卫生服务</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4" w:type="pct"/>
                  <w:vMerge w:val="continue"/>
                  <w:tcBorders>
                    <w:tl2br w:val="nil"/>
                    <w:tr2bl w:val="nil"/>
                  </w:tcBorders>
                  <w:noWrap w:val="0"/>
                  <w:vAlign w:val="center"/>
                </w:tcPr>
                <w:p>
                  <w:pPr>
                    <w:keepNext w:val="0"/>
                    <w:keepLines w:val="0"/>
                    <w:pageBreakBefore w:val="0"/>
                    <w:widowControl w:val="0"/>
                    <w:kinsoku/>
                    <w:wordWrap/>
                    <w:overflowPunct/>
                    <w:topLinePunct w:val="0"/>
                    <w:bidi w:val="0"/>
                    <w:spacing w:beforeLines="0" w:afterLines="0"/>
                    <w:jc w:val="left"/>
                    <w:rPr>
                      <w:rFonts w:hint="eastAsia" w:ascii="宋体" w:hAnsi="宋体" w:eastAsia="宋体"/>
                      <w:color w:val="auto"/>
                      <w:sz w:val="21"/>
                      <w:szCs w:val="24"/>
                    </w:rPr>
                  </w:pPr>
                </w:p>
              </w:tc>
              <w:tc>
                <w:tcPr>
                  <w:tcW w:w="2380" w:type="pct"/>
                  <w:tcBorders>
                    <w:tl2br w:val="nil"/>
                    <w:tr2bl w:val="nil"/>
                  </w:tcBorders>
                  <w:noWrap w:val="0"/>
                  <w:vAlign w:val="center"/>
                </w:tcPr>
                <w:p>
                  <w:pPr>
                    <w:spacing w:beforeLines="0" w:afterLines="0"/>
                    <w:jc w:val="left"/>
                    <w:rPr>
                      <w:rFonts w:hint="default" w:ascii="宋体" w:hAnsi="宋体" w:eastAsia="宋体"/>
                      <w:color w:val="auto"/>
                      <w:kern w:val="2"/>
                      <w:sz w:val="21"/>
                      <w:szCs w:val="24"/>
                      <w:lang w:val="en-US" w:eastAsia="zh-CN" w:bidi="ar-SA"/>
                    </w:rPr>
                  </w:pPr>
                  <w:r>
                    <w:rPr>
                      <w:rFonts w:hint="eastAsia" w:ascii="宋体" w:hAnsi="宋体" w:eastAsia="宋体"/>
                      <w:color w:val="auto"/>
                      <w:sz w:val="21"/>
                      <w:szCs w:val="24"/>
                    </w:rPr>
                    <w:t>构建优质高效公共卫生服务体系。建设工位卫生事业投入机制，完善公共卫生服务项目，落实医疗机构公共卫生责任。</w:t>
                  </w:r>
                </w:p>
              </w:tc>
              <w:tc>
                <w:tcPr>
                  <w:tcW w:w="1068" w:type="pct"/>
                  <w:tcBorders>
                    <w:tl2br w:val="nil"/>
                    <w:tr2bl w:val="nil"/>
                  </w:tcBorders>
                  <w:noWrap w:val="0"/>
                  <w:vAlign w:val="center"/>
                </w:tcPr>
                <w:p>
                  <w:pPr>
                    <w:keepNext w:val="0"/>
                    <w:keepLines w:val="0"/>
                    <w:pageBreakBefore w:val="0"/>
                    <w:widowControl w:val="0"/>
                    <w:kinsoku/>
                    <w:wordWrap/>
                    <w:overflowPunct/>
                    <w:topLinePunct w:val="0"/>
                    <w:bidi w:val="0"/>
                    <w:spacing w:beforeLines="0" w:afterLines="0"/>
                    <w:jc w:val="both"/>
                    <w:rPr>
                      <w:rFonts w:hint="default" w:ascii="宋体" w:hAnsi="宋体" w:eastAsia="宋体"/>
                      <w:color w:val="auto"/>
                      <w:kern w:val="2"/>
                      <w:sz w:val="21"/>
                      <w:szCs w:val="24"/>
                      <w:lang w:val="en-US" w:eastAsia="zh-CN" w:bidi="ar-SA"/>
                    </w:rPr>
                  </w:pPr>
                  <w:r>
                    <w:rPr>
                      <w:rFonts w:hint="eastAsia" w:ascii="宋体" w:hAnsi="宋体"/>
                      <w:color w:val="auto"/>
                      <w:kern w:val="2"/>
                      <w:sz w:val="21"/>
                      <w:szCs w:val="24"/>
                      <w:lang w:val="en-US" w:eastAsia="zh-CN" w:bidi="ar-SA"/>
                    </w:rPr>
                    <w:t>本项目为妇幼医院，主要承担安康市公共卫生服务项目</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4" w:type="pc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Cs/>
                      <w:color w:val="auto"/>
                      <w:sz w:val="21"/>
                      <w:szCs w:val="21"/>
                      <w:highlight w:val="none"/>
                    </w:rPr>
                    <w:t>《</w:t>
                  </w:r>
                  <w:r>
                    <w:rPr>
                      <w:rFonts w:hint="eastAsia" w:ascii="Times New Roman" w:hAnsi="Times New Roman" w:cs="Times New Roman"/>
                      <w:bCs/>
                      <w:color w:val="auto"/>
                      <w:sz w:val="21"/>
                      <w:szCs w:val="21"/>
                      <w:highlight w:val="none"/>
                      <w:lang w:val="en-US" w:eastAsia="zh-CN"/>
                    </w:rPr>
                    <w:t>安康市</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十四五</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生态环境保护规划</w:t>
                  </w:r>
                  <w:r>
                    <w:rPr>
                      <w:rFonts w:hint="default" w:ascii="Times New Roman" w:hAnsi="Times New Roman" w:eastAsia="宋体" w:cs="Times New Roman"/>
                      <w:bCs/>
                      <w:color w:val="auto"/>
                      <w:sz w:val="21"/>
                      <w:szCs w:val="21"/>
                      <w:highlight w:val="none"/>
                    </w:rPr>
                    <w:t>》</w:t>
                  </w:r>
                </w:p>
              </w:tc>
              <w:tc>
                <w:tcPr>
                  <w:tcW w:w="2380" w:type="pct"/>
                  <w:tcBorders>
                    <w:tl2br w:val="nil"/>
                    <w:tr2bl w:val="nil"/>
                  </w:tcBorders>
                  <w:noWrap w:val="0"/>
                  <w:vAlign w:val="center"/>
                </w:tcPr>
                <w:p>
                  <w:pPr>
                    <w:spacing w:beforeLines="0" w:afterLines="0"/>
                    <w:jc w:val="both"/>
                    <w:rPr>
                      <w:rFonts w:hint="default" w:ascii="Times New Roman" w:hAnsi="Times New Roman" w:eastAsia="宋体" w:cs="Times New Roman"/>
                      <w:b/>
                      <w:bCs/>
                      <w:color w:val="auto"/>
                      <w:kern w:val="2"/>
                      <w:sz w:val="21"/>
                      <w:szCs w:val="21"/>
                      <w:highlight w:val="none"/>
                      <w:lang w:val="en-US" w:eastAsia="zh-CN" w:bidi="ar-SA"/>
                    </w:rPr>
                  </w:pPr>
                  <w:r>
                    <w:rPr>
                      <w:rFonts w:hint="eastAsia" w:ascii="宋体" w:hAnsi="宋体" w:eastAsia="宋体"/>
                      <w:color w:val="auto"/>
                      <w:sz w:val="21"/>
                      <w:szCs w:val="21"/>
                    </w:rPr>
                    <w:t>加强医疗废物处置与应急能力建设。加快实施医疗废物处置设施升级改造，推进县（市、区）</w:t>
                  </w:r>
                  <w:r>
                    <w:rPr>
                      <w:rFonts w:hint="eastAsia" w:ascii="宋体" w:hAnsi="宋体" w:eastAsia="宋体"/>
                      <w:color w:val="auto"/>
                      <w:sz w:val="21"/>
                      <w:szCs w:val="21"/>
                      <w:lang w:val="en-US" w:eastAsia="zh-CN"/>
                    </w:rPr>
                    <w:t>医疗废物集中收集设施布局优化，完善医疗废物收集转运体系并覆盖农村地区。强化医疗废物处置全过程监管，做到源头分类、规范消毒、应收尽收。完善医疗废物应急预案，细化管理制度，完善处置物资储备体系，切实做好重大疫情防控保障工作</w:t>
                  </w:r>
                </w:p>
              </w:tc>
              <w:tc>
                <w:tcPr>
                  <w:tcW w:w="1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目前已在院区设置有医废暂存间，并与安康市医疗废物处置中心签订了处置协议，项目能够做到医疗废物源头分类、规范消毒、应收尽收</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9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《安康市“十四五”卫生健康事业发展规划》</w:t>
                  </w:r>
                </w:p>
              </w:tc>
              <w:tc>
                <w:tcPr>
                  <w:tcW w:w="2380" w:type="pct"/>
                  <w:tcBorders>
                    <w:tl2br w:val="nil"/>
                    <w:tr2bl w:val="nil"/>
                  </w:tcBorders>
                  <w:noWrap w:val="0"/>
                  <w:vAlign w:val="center"/>
                </w:tcPr>
                <w:p>
                  <w:pPr>
                    <w:spacing w:beforeLines="0" w:afterLines="0"/>
                    <w:jc w:val="both"/>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olor w:val="auto"/>
                      <w:sz w:val="21"/>
                      <w:szCs w:val="21"/>
                    </w:rPr>
                    <w:t>完善妇女儿童医疗卫生服务体系，实现区域妇女儿童医疗卫生资源均衡发展。建设市妇幼保健院母婴康复中心，加快推进县级妇幼保健机构标准化建设，提高危重孕产妇和新生儿、产前筛查、新生儿疾病筛查等服务能力。……加强产科、儿科医务人员培养和队伍建设，增加医务人员数量，提高队伍整体素质。</w:t>
                  </w:r>
                </w:p>
              </w:tc>
              <w:tc>
                <w:tcPr>
                  <w:tcW w:w="1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本项目新增床位66张，完善了妇女儿童医疗卫生服务体系，实现了区域妇女儿童医疗卫生资源均衡发展。</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《关于印发促进社会办医持续健康规范发展意见的通知》国卫医发</w:t>
                  </w:r>
                  <w:r>
                    <w:rPr>
                      <w:rFonts w:hint="default" w:ascii="Times New Roman" w:hAnsi="Times New Roman" w:eastAsia="宋体" w:cs="Times New Roman"/>
                      <w:color w:val="auto"/>
                      <w:sz w:val="21"/>
                      <w:szCs w:val="21"/>
                      <w:highlight w:val="none"/>
                      <w:lang w:val="en-US" w:eastAsia="zh-CN"/>
                    </w:rPr>
                    <w:t>〔2019〕42号</w:t>
                  </w:r>
                </w:p>
              </w:tc>
              <w:tc>
                <w:tcPr>
                  <w:tcW w:w="23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加大政府支持社会办医力度，扩大用地供给，各地在安排国有建设用地年度供应计划时，本地区医疗设施不足的，要在供地计划中落实并优先保障医疗卫生用地。社会力量可以通过政府划拨、协议出让、租赁等方式取得医疗卫生用地使用权</w:t>
                  </w:r>
                </w:p>
              </w:tc>
              <w:tc>
                <w:tcPr>
                  <w:tcW w:w="1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本项目为社会办医，故本项目采用租赁的方式取得医疗卫生用地使用权符合相关政策</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《水污染防治行动计划》</w:t>
                  </w:r>
                </w:p>
              </w:tc>
              <w:tc>
                <w:tcPr>
                  <w:tcW w:w="23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集中治理工业集聚区水污染。强化经济技术开发区、高新技术产业开发区、出口加工区等工业集聚区污染治理。集聚区内工业废水必须经预处理达到集中处理要求，方可进入污水集中处理设施</w:t>
                  </w:r>
                </w:p>
              </w:tc>
              <w:tc>
                <w:tcPr>
                  <w:tcW w:w="1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项目生活污水与医疗废水</w:t>
                  </w:r>
                  <w:r>
                    <w:rPr>
                      <w:rFonts w:hint="eastAsia" w:ascii="Times New Roman" w:hAnsi="Times New Roman" w:cs="Times New Roman"/>
                      <w:color w:val="auto"/>
                      <w:sz w:val="21"/>
                      <w:szCs w:val="21"/>
                      <w:highlight w:val="none"/>
                      <w:lang w:val="en-US" w:eastAsia="zh-CN"/>
                    </w:rPr>
                    <w:t>经原有化粪池处理后</w:t>
                  </w:r>
                  <w:r>
                    <w:rPr>
                      <w:rFonts w:hint="default" w:ascii="Times New Roman" w:hAnsi="Times New Roman" w:eastAsia="宋体" w:cs="Times New Roman"/>
                      <w:color w:val="auto"/>
                      <w:sz w:val="21"/>
                      <w:szCs w:val="21"/>
                      <w:highlight w:val="none"/>
                      <w:lang w:val="en-US" w:eastAsia="zh-CN"/>
                    </w:rPr>
                    <w:t>进入</w:t>
                  </w:r>
                  <w:r>
                    <w:rPr>
                      <w:rFonts w:hint="eastAsia" w:ascii="Times New Roman" w:hAnsi="Times New Roman"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lang w:val="en-US" w:eastAsia="zh-CN"/>
                    </w:rPr>
                    <w:t>污水处理站（</w:t>
                  </w:r>
                  <w:r>
                    <w:rPr>
                      <w:rFonts w:hint="eastAsia" w:ascii="Times New Roman" w:hAnsi="Times New Roman" w:cs="Times New Roman"/>
                      <w:color w:val="auto"/>
                      <w:sz w:val="21"/>
                      <w:szCs w:val="21"/>
                      <w:highlight w:val="none"/>
                      <w:lang w:val="en-US" w:eastAsia="zh-CN"/>
                    </w:rPr>
                    <w:t>一级强化</w:t>
                  </w:r>
                  <w:r>
                    <w:rPr>
                      <w:rFonts w:hint="eastAsia" w:ascii="Times New Roman" w:hAnsi="Times New Roman" w:eastAsia="宋体" w:cs="Times New Roman"/>
                      <w:color w:val="auto"/>
                      <w:sz w:val="21"/>
                      <w:szCs w:val="21"/>
                      <w:highlight w:val="none"/>
                      <w:lang w:val="en-US" w:eastAsia="zh-CN"/>
                    </w:rPr>
                    <w:t>+消毒（二氧化氯</w:t>
                  </w:r>
                  <w:r>
                    <w:rPr>
                      <w:rFonts w:hint="default" w:ascii="Times New Roman" w:hAnsi="Times New Roman" w:eastAsia="宋体" w:cs="Times New Roman"/>
                      <w:color w:val="auto"/>
                      <w:sz w:val="21"/>
                      <w:szCs w:val="21"/>
                      <w:highlight w:val="none"/>
                      <w:lang w:val="en-US" w:eastAsia="zh-CN"/>
                    </w:rPr>
                    <w:t>）处理达标后排入市政管网，最终进入</w:t>
                  </w:r>
                  <w:r>
                    <w:rPr>
                      <w:rFonts w:hint="eastAsia" w:ascii="Times New Roman" w:hAnsi="Times New Roman" w:cs="Times New Roman"/>
                      <w:color w:val="auto"/>
                      <w:sz w:val="21"/>
                      <w:szCs w:val="21"/>
                      <w:highlight w:val="none"/>
                      <w:lang w:val="en-US" w:eastAsia="zh-CN"/>
                    </w:rPr>
                    <w:t>安康市江南城市污水处理厂</w:t>
                  </w:r>
                  <w:r>
                    <w:rPr>
                      <w:rFonts w:hint="default" w:ascii="Times New Roman" w:hAnsi="Times New Roman" w:eastAsia="宋体" w:cs="Times New Roman"/>
                      <w:color w:val="auto"/>
                      <w:sz w:val="21"/>
                      <w:szCs w:val="21"/>
                      <w:highlight w:val="none"/>
                      <w:lang w:val="en-US" w:eastAsia="zh-CN"/>
                    </w:rPr>
                    <w:t>进行处置</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医疗机构设置规划指导原则（2021-2025年）</w:t>
                  </w:r>
                  <w:r>
                    <w:rPr>
                      <w:rFonts w:hint="eastAsia" w:ascii="Times New Roman" w:hAnsi="Times New Roman" w:cs="Times New Roman"/>
                      <w:color w:val="auto"/>
                      <w:sz w:val="21"/>
                      <w:szCs w:val="21"/>
                      <w:highlight w:val="none"/>
                      <w:lang w:eastAsia="zh-CN"/>
                    </w:rPr>
                    <w:t>》</w:t>
                  </w:r>
                </w:p>
              </w:tc>
              <w:tc>
                <w:tcPr>
                  <w:tcW w:w="2380" w:type="pct"/>
                  <w:tcBorders>
                    <w:tl2br w:val="nil"/>
                    <w:tr2bl w:val="nil"/>
                  </w:tcBorders>
                  <w:noWrap w:val="0"/>
                  <w:vAlign w:val="center"/>
                </w:tcPr>
                <w:p>
                  <w:pPr>
                    <w:spacing w:beforeLines="0" w:afterLines="0"/>
                    <w:jc w:val="left"/>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olor w:val="auto"/>
                      <w:sz w:val="21"/>
                      <w:szCs w:val="24"/>
                    </w:rPr>
                    <w:t>优化基层医疗卫生机构布局，实现医疗机构高质量发展，满足人民群众多层次、多样化的医疗服务需求</w:t>
                  </w:r>
                </w:p>
              </w:tc>
              <w:tc>
                <w:tcPr>
                  <w:tcW w:w="1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本项目可以满足人民群众多层次、多样化的医疗服务需求</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color w:val="auto"/>
                      <w:sz w:val="21"/>
                      <w:szCs w:val="21"/>
                      <w:highlight w:val="none"/>
                      <w:lang w:eastAsia="zh-CN"/>
                    </w:rPr>
                  </w:pPr>
                </w:p>
              </w:tc>
              <w:tc>
                <w:tcPr>
                  <w:tcW w:w="2380" w:type="pct"/>
                  <w:tcBorders>
                    <w:tl2br w:val="nil"/>
                    <w:tr2bl w:val="nil"/>
                  </w:tcBorders>
                  <w:noWrap w:val="0"/>
                  <w:vAlign w:val="center"/>
                </w:tcPr>
                <w:p>
                  <w:pPr>
                    <w:spacing w:beforeLines="0" w:afterLines="0"/>
                    <w:jc w:val="both"/>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olor w:val="auto"/>
                      <w:sz w:val="21"/>
                      <w:szCs w:val="24"/>
                    </w:rPr>
                    <w:t>各级各类医疗机构应当符合属地卫生健康事业发展需求和医疗机构设置规划</w:t>
                  </w:r>
                </w:p>
              </w:tc>
              <w:tc>
                <w:tcPr>
                  <w:tcW w:w="1068" w:type="pct"/>
                  <w:tcBorders>
                    <w:tl2br w:val="nil"/>
                    <w:tr2bl w:val="nil"/>
                  </w:tcBorders>
                  <w:noWrap w:val="0"/>
                  <w:vAlign w:val="center"/>
                </w:tcPr>
                <w:p>
                  <w:pPr>
                    <w:spacing w:beforeLines="0" w:afterLines="0"/>
                    <w:jc w:val="left"/>
                    <w:rPr>
                      <w:rFonts w:hint="default" w:ascii="Times New Roman" w:hAnsi="Times New Roman" w:eastAsia="宋体" w:cs="Times New Roman"/>
                      <w:color w:val="auto"/>
                      <w:sz w:val="21"/>
                      <w:szCs w:val="21"/>
                      <w:highlight w:val="none"/>
                      <w:lang w:val="en-US" w:eastAsia="zh-CN"/>
                    </w:rPr>
                  </w:pPr>
                  <w:r>
                    <w:rPr>
                      <w:rFonts w:hint="eastAsia" w:ascii="宋体" w:hAnsi="宋体" w:eastAsia="宋体"/>
                      <w:color w:val="auto"/>
                      <w:sz w:val="21"/>
                      <w:szCs w:val="24"/>
                    </w:rPr>
                    <w:t>项目</w:t>
                  </w:r>
                  <w:r>
                    <w:rPr>
                      <w:rFonts w:hint="eastAsia" w:ascii="宋体" w:hAnsi="宋体" w:eastAsia="宋体"/>
                      <w:color w:val="auto"/>
                      <w:sz w:val="21"/>
                      <w:szCs w:val="24"/>
                      <w:lang w:val="en-US" w:eastAsia="zh-CN"/>
                    </w:rPr>
                    <w:t>符合</w:t>
                  </w:r>
                  <w:r>
                    <w:rPr>
                      <w:rFonts w:hint="eastAsia" w:ascii="宋体" w:hAnsi="宋体" w:eastAsia="宋体"/>
                      <w:color w:val="auto"/>
                      <w:sz w:val="21"/>
                      <w:szCs w:val="24"/>
                    </w:rPr>
                    <w:t>《安康市</w:t>
                  </w:r>
                  <w:r>
                    <w:rPr>
                      <w:rFonts w:hint="eastAsia" w:ascii="TimesNewRomanPSMT" w:hAnsi="TimesNewRomanPSMT" w:eastAsia="宋体"/>
                      <w:color w:val="auto"/>
                      <w:sz w:val="21"/>
                      <w:szCs w:val="24"/>
                      <w:lang w:eastAsia="zh-CN"/>
                    </w:rPr>
                    <w:t>“</w:t>
                  </w:r>
                  <w:r>
                    <w:rPr>
                      <w:rFonts w:hint="eastAsia" w:ascii="宋体" w:hAnsi="宋体" w:eastAsia="宋体"/>
                      <w:color w:val="auto"/>
                      <w:sz w:val="21"/>
                      <w:szCs w:val="24"/>
                    </w:rPr>
                    <w:t>十四五</w:t>
                  </w:r>
                  <w:r>
                    <w:rPr>
                      <w:rFonts w:hint="eastAsia" w:ascii="TimesNewRomanPSMT" w:hAnsi="TimesNewRomanPSMT" w:eastAsia="宋体"/>
                      <w:color w:val="auto"/>
                      <w:sz w:val="21"/>
                      <w:szCs w:val="24"/>
                      <w:lang w:eastAsia="zh-CN"/>
                    </w:rPr>
                    <w:t>”</w:t>
                  </w:r>
                  <w:r>
                    <w:rPr>
                      <w:rFonts w:hint="eastAsia" w:ascii="宋体" w:hAnsi="宋体" w:eastAsia="宋体"/>
                      <w:color w:val="auto"/>
                      <w:sz w:val="21"/>
                      <w:szCs w:val="24"/>
                    </w:rPr>
                    <w:t>卫生健康事业发展规划》中相关要求</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color w:val="auto"/>
                      <w:sz w:val="21"/>
                      <w:szCs w:val="21"/>
                      <w:highlight w:val="none"/>
                      <w:lang w:eastAsia="zh-CN"/>
                    </w:rPr>
                  </w:pPr>
                </w:p>
              </w:tc>
              <w:tc>
                <w:tcPr>
                  <w:tcW w:w="2380" w:type="pct"/>
                  <w:tcBorders>
                    <w:tl2br w:val="nil"/>
                    <w:tr2bl w:val="nil"/>
                  </w:tcBorders>
                  <w:noWrap w:val="0"/>
                  <w:vAlign w:val="center"/>
                </w:tcPr>
                <w:p>
                  <w:pPr>
                    <w:spacing w:beforeLines="0" w:afterLines="0"/>
                    <w:jc w:val="both"/>
                    <w:rPr>
                      <w:rFonts w:hint="eastAsia" w:ascii="宋体" w:hAnsi="宋体" w:eastAsia="宋体"/>
                      <w:color w:val="auto"/>
                      <w:sz w:val="21"/>
                      <w:szCs w:val="24"/>
                    </w:rPr>
                  </w:pPr>
                  <w:r>
                    <w:rPr>
                      <w:rFonts w:hint="eastAsia" w:ascii="宋体" w:hAnsi="宋体" w:eastAsia="宋体"/>
                      <w:color w:val="auto"/>
                      <w:sz w:val="21"/>
                      <w:szCs w:val="24"/>
                    </w:rPr>
                    <w:t>明确和落实各级各类医疗机构的功能和任务，根据人口数量、分布、年龄结构以及交通条件、诊疗需求等，实行中心控制、</w:t>
                  </w:r>
                </w:p>
                <w:p>
                  <w:pPr>
                    <w:spacing w:beforeLines="0" w:afterLines="0"/>
                    <w:jc w:val="both"/>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olor w:val="auto"/>
                      <w:sz w:val="21"/>
                      <w:szCs w:val="24"/>
                    </w:rPr>
                    <w:t>周边发展，合理配置各区域医疗机构数量，鼓励新增医疗机构在中心城区周边居民集中居住区设置，推动各区域医疗资源均衡布局、同质化发展</w:t>
                  </w:r>
                </w:p>
              </w:tc>
              <w:tc>
                <w:tcPr>
                  <w:tcW w:w="1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本项目已建成，为补办环评手续，项目位于安康市汉滨区，为中心城区。推动区域医疗资源均衡布局、同质化发展</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bl>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color w:val="auto"/>
                <w:kern w:val="0"/>
                <w:sz w:val="24"/>
                <w:szCs w:val="24"/>
                <w:lang w:val="en-US" w:eastAsia="zh-CN" w:bidi="ar-SA"/>
              </w:rPr>
            </w:pPr>
            <w:r>
              <w:rPr>
                <w:rFonts w:hint="eastAsia" w:ascii="Times New Roman" w:hAnsi="Times New Roman" w:eastAsia="宋体" w:cs="Times New Roman"/>
                <w:b/>
                <w:color w:val="auto"/>
                <w:kern w:val="0"/>
                <w:sz w:val="24"/>
                <w:szCs w:val="24"/>
                <w:lang w:val="en-US" w:eastAsia="zh-CN" w:bidi="ar-SA"/>
              </w:rPr>
              <w:t>与行业相关政策文件符合性分析</w:t>
            </w:r>
          </w:p>
          <w:p>
            <w:pPr>
              <w:keepNext w:val="0"/>
              <w:keepLines w:val="0"/>
              <w:pageBreakBefore w:val="0"/>
              <w:widowControl w:val="0"/>
              <w:kinsoku/>
              <w:wordWrap/>
              <w:overflowPunct/>
              <w:topLinePunct w:val="0"/>
              <w:bidi w:val="0"/>
              <w:snapToGrid w:val="0"/>
              <w:jc w:val="center"/>
              <w:rPr>
                <w:rFonts w:hint="default" w:ascii="Times New Roman" w:hAnsi="Times New Roman" w:cs="Times New Roman"/>
                <w:color w:val="auto"/>
                <w:sz w:val="24"/>
                <w:szCs w:val="24"/>
                <w:lang w:val="en-US" w:eastAsia="zh-CN"/>
              </w:rPr>
            </w:pPr>
            <w:r>
              <w:rPr>
                <w:rFonts w:hint="default" w:ascii="Times New Roman" w:hAnsi="Times New Roman" w:eastAsia="宋体" w:cs="Times New Roman"/>
                <w:b/>
                <w:color w:val="auto"/>
                <w:sz w:val="24"/>
                <w:szCs w:val="24"/>
                <w:highlight w:val="none"/>
              </w:rPr>
              <w:t>表1-</w:t>
            </w:r>
            <w:r>
              <w:rPr>
                <w:rFonts w:hint="eastAsia" w:ascii="Times New Roman" w:hAnsi="Times New Roman" w:cs="Times New Roman"/>
                <w:b/>
                <w:color w:val="auto"/>
                <w:sz w:val="24"/>
                <w:szCs w:val="24"/>
                <w:highlight w:val="none"/>
                <w:lang w:val="en-US" w:eastAsia="zh-CN"/>
              </w:rPr>
              <w:t xml:space="preserve">5 </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项目与</w:t>
            </w:r>
            <w:r>
              <w:rPr>
                <w:rFonts w:hint="eastAsia" w:ascii="Times New Roman" w:hAnsi="Times New Roman" w:eastAsia="宋体" w:cs="Times New Roman"/>
                <w:b/>
                <w:color w:val="auto"/>
                <w:sz w:val="24"/>
                <w:szCs w:val="24"/>
                <w:highlight w:val="none"/>
                <w:lang w:val="en-US" w:eastAsia="zh-CN"/>
              </w:rPr>
              <w:t>行业</w:t>
            </w:r>
            <w:r>
              <w:rPr>
                <w:rFonts w:hint="default" w:ascii="Times New Roman" w:hAnsi="Times New Roman" w:eastAsia="宋体" w:cs="Times New Roman"/>
                <w:b/>
                <w:color w:val="auto"/>
                <w:sz w:val="24"/>
                <w:szCs w:val="24"/>
                <w:highlight w:val="none"/>
                <w:lang w:eastAsia="zh-CN"/>
              </w:rPr>
              <w:t>政策</w:t>
            </w:r>
            <w:r>
              <w:rPr>
                <w:rFonts w:hint="eastAsia" w:ascii="Times New Roman" w:hAnsi="Times New Roman" w:eastAsia="宋体" w:cs="Times New Roman"/>
                <w:b/>
                <w:color w:val="auto"/>
                <w:sz w:val="24"/>
                <w:szCs w:val="24"/>
                <w:highlight w:val="none"/>
                <w:lang w:val="en-US" w:eastAsia="zh-CN"/>
              </w:rPr>
              <w:t>文件</w:t>
            </w:r>
            <w:r>
              <w:rPr>
                <w:rFonts w:hint="default" w:ascii="Times New Roman" w:hAnsi="Times New Roman" w:eastAsia="宋体" w:cs="Times New Roman"/>
                <w:b/>
                <w:color w:val="auto"/>
                <w:sz w:val="24"/>
                <w:szCs w:val="24"/>
                <w:highlight w:val="none"/>
              </w:rPr>
              <w:t>符合性分析</w:t>
            </w:r>
          </w:p>
          <w:tbl>
            <w:tblPr>
              <w:tblStyle w:val="27"/>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2816"/>
              <w:gridCol w:w="2439"/>
              <w:gridCol w:w="8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sz w:val="21"/>
                      <w:szCs w:val="21"/>
                      <w:highlight w:val="none"/>
                      <w:lang w:val="en-US" w:eastAsia="zh-CN"/>
                    </w:rPr>
                    <w:t>政策名称</w:t>
                  </w:r>
                </w:p>
              </w:tc>
              <w:tc>
                <w:tcPr>
                  <w:tcW w:w="17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sz w:val="21"/>
                      <w:szCs w:val="21"/>
                      <w:highlight w:val="none"/>
                      <w:lang w:val="en-US" w:eastAsia="zh-CN"/>
                    </w:rPr>
                    <w:t>政策要求</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sz w:val="21"/>
                      <w:szCs w:val="21"/>
                      <w:highlight w:val="none"/>
                      <w:lang w:val="en-US" w:eastAsia="zh-CN"/>
                    </w:rPr>
                    <w:t>本项目情况</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sz w:val="21"/>
                      <w:szCs w:val="21"/>
                      <w:highlight w:val="no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《国务院关于促进健康服务业发展的若干意见》（国发[2013]40号）</w:t>
                  </w:r>
                </w:p>
              </w:tc>
              <w:tc>
                <w:tcPr>
                  <w:tcW w:w="17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加强规划布局和用地保障各级政府要在土地利用总体规划和城乡规划中统筹考虑健康服务业发展需要，扩大健康服务业用地供给，优先保障非营利性机构用地。新建居住区和社区要按相关规定在公共服务设施中保障医疗卫生、文化体育、社区服务等健康服务业相关设施的配套</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本项目为</w:t>
                  </w:r>
                  <w:r>
                    <w:rPr>
                      <w:rFonts w:hint="eastAsia" w:ascii="Times New Roman" w:hAnsi="Times New Roman" w:cs="Times New Roman"/>
                      <w:bCs/>
                      <w:color w:val="auto"/>
                      <w:sz w:val="21"/>
                      <w:szCs w:val="21"/>
                      <w:highlight w:val="none"/>
                      <w:lang w:val="en-US" w:eastAsia="zh-CN"/>
                    </w:rPr>
                    <w:t>妇产</w:t>
                  </w:r>
                  <w:r>
                    <w:rPr>
                      <w:rFonts w:hint="eastAsia" w:ascii="Times New Roman" w:hAnsi="Times New Roman" w:eastAsia="宋体" w:cs="Times New Roman"/>
                      <w:bCs/>
                      <w:color w:val="auto"/>
                      <w:sz w:val="21"/>
                      <w:szCs w:val="21"/>
                      <w:highlight w:val="none"/>
                      <w:lang w:val="en-US" w:eastAsia="zh-CN"/>
                    </w:rPr>
                    <w:t>医院建设项目，为健康服务业，符合相关政策要求</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ascii="Times New Roman" w:hAnsi="Times New Roman" w:eastAsia="宋体" w:cs="Times New Roman"/>
                      <w:color w:val="auto"/>
                      <w:szCs w:val="21"/>
                    </w:rPr>
                    <w:t>《关于在医疗机构推进生活垃圾分类管理的通知》（国卫办医发[2017]30号）</w:t>
                  </w:r>
                </w:p>
              </w:tc>
              <w:tc>
                <w:tcPr>
                  <w:tcW w:w="1790"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（四）</w:t>
                  </w:r>
                  <w:r>
                    <w:rPr>
                      <w:rFonts w:hint="default" w:ascii="Times New Roman" w:hAnsi="Times New Roman" w:eastAsia="宋体" w:cs="Times New Roman"/>
                      <w:bCs/>
                      <w:color w:val="auto"/>
                      <w:sz w:val="21"/>
                      <w:szCs w:val="21"/>
                      <w:highlight w:val="none"/>
                      <w:lang w:val="en-US" w:eastAsia="zh-CN"/>
                    </w:rPr>
                    <w:t>明确使用后输液瓶</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袋</w:t>
                  </w:r>
                  <w:r>
                    <w:rPr>
                      <w:rFonts w:hint="eastAsia" w:ascii="Times New Roman" w:hAnsi="Times New Roman"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的分类管理要求。</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1.对于未被患者血液、体液和排泄物等污染的输液瓶</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袋</w:t>
                  </w:r>
                  <w:r>
                    <w:rPr>
                      <w:rFonts w:hint="eastAsia" w:ascii="Times New Roman" w:hAnsi="Times New Roman"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，应当在其与输液管连接处去除输液管后单独集中回收、存放。去除后的输液管、针头等应当严格按照医疗废物处理，严禁混入未被污染的输液瓶</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袋</w:t>
                  </w:r>
                  <w:r>
                    <w:rPr>
                      <w:rFonts w:hint="eastAsia" w:ascii="Times New Roman" w:hAnsi="Times New Roman"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及其他生活垃圾中。</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2.残留少量经稀释的普通药液的输液瓶</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袋</w:t>
                  </w:r>
                  <w:r>
                    <w:rPr>
                      <w:rFonts w:hint="eastAsia" w:ascii="Times New Roman" w:hAnsi="Times New Roman"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，可以按照未被污染的输液瓶</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袋</w:t>
                  </w:r>
                  <w:r>
                    <w:rPr>
                      <w:rFonts w:hint="eastAsia" w:ascii="Times New Roman" w:hAnsi="Times New Roman"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处理。医疗机构应当科学、规范、节约用药，提高药物使用效率，减少浪费，降低药品消耗和环境承载压力。</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3.存在下列情形的输液瓶</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袋</w:t>
                  </w:r>
                  <w:r>
                    <w:rPr>
                      <w:rFonts w:hint="eastAsia" w:ascii="Times New Roman" w:hAnsi="Times New Roman"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，即使未被患者血液、体液和排泄物等污染，也不得纳入可同收生活垃圾管理</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（1）</w:t>
                  </w:r>
                  <w:r>
                    <w:rPr>
                      <w:rFonts w:hint="eastAsia" w:ascii="Times New Roman" w:hAnsi="Times New Roman" w:eastAsia="宋体" w:cs="Times New Roman"/>
                      <w:bCs/>
                      <w:color w:val="auto"/>
                      <w:sz w:val="21"/>
                      <w:szCs w:val="21"/>
                      <w:highlight w:val="none"/>
                      <w:lang w:val="en-US" w:eastAsia="zh-CN"/>
                    </w:rPr>
                    <w:t>本项目未被患者血液、体液和排泄物等污染的输液瓶</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袋</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，在其与输液管连接处去除输液管后单独集中回收、存放。去除后的输液管、针头等严格按照医疗废物处理，严禁混入未被污染的输液瓶</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袋</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及其他生活垃圾中</w:t>
                  </w:r>
                  <w:r>
                    <w:rPr>
                      <w:rFonts w:hint="eastAsia" w:ascii="Times New Roman" w:hAnsi="Times New Roman" w:cs="Times New Roman"/>
                      <w:bCs/>
                      <w:color w:val="auto"/>
                      <w:sz w:val="21"/>
                      <w:szCs w:val="21"/>
                      <w:highlight w:val="none"/>
                      <w:lang w:val="en-US" w:eastAsia="zh-CN"/>
                    </w:rPr>
                    <w:t>；（2）</w:t>
                  </w:r>
                  <w:r>
                    <w:rPr>
                      <w:rFonts w:hint="eastAsia" w:ascii="Times New Roman" w:hAnsi="Times New Roman" w:eastAsia="宋体" w:cs="Times New Roman"/>
                      <w:bCs/>
                      <w:color w:val="auto"/>
                      <w:sz w:val="21"/>
                      <w:szCs w:val="21"/>
                      <w:highlight w:val="none"/>
                      <w:lang w:val="en-US" w:eastAsia="zh-CN"/>
                    </w:rPr>
                    <w:t>本项目残留少量经稀释的普通药液的输液瓶</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袋</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，可以按照未被污染的输液瓶</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袋</w:t>
                  </w:r>
                  <w:r>
                    <w:rPr>
                      <w:rFonts w:hint="eastAsia" w:ascii="Times New Roman" w:hAnsi="Times New Roman"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处理</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《医院污水处理工程技术规范》（HJ2029-2013）</w:t>
                  </w:r>
                </w:p>
              </w:tc>
              <w:tc>
                <w:tcPr>
                  <w:tcW w:w="17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医院污水处理工程设计水量应在实测或测算的基础上留有设计裕量，设计裕量宜取实测值或测算值的10%~20%</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本项目设置床位</w:t>
                  </w:r>
                  <w:r>
                    <w:rPr>
                      <w:rFonts w:hint="eastAsia" w:ascii="Times New Roman" w:hAnsi="Times New Roman" w:cs="Times New Roman"/>
                      <w:bCs/>
                      <w:color w:val="auto"/>
                      <w:sz w:val="21"/>
                      <w:szCs w:val="21"/>
                      <w:highlight w:val="none"/>
                      <w:lang w:val="en-US" w:eastAsia="zh-CN"/>
                    </w:rPr>
                    <w:t>66</w:t>
                  </w:r>
                  <w:r>
                    <w:rPr>
                      <w:rFonts w:hint="default" w:ascii="Times New Roman" w:hAnsi="Times New Roman" w:eastAsia="宋体" w:cs="Times New Roman"/>
                      <w:bCs/>
                      <w:color w:val="auto"/>
                      <w:sz w:val="21"/>
                      <w:szCs w:val="21"/>
                      <w:highlight w:val="none"/>
                      <w:lang w:val="en-US" w:eastAsia="zh-CN"/>
                    </w:rPr>
                    <w:t>张，根据</w:t>
                  </w:r>
                  <w:r>
                    <w:rPr>
                      <w:rFonts w:hint="eastAsia" w:ascii="Times New Roman" w:hAnsi="Times New Roman" w:cs="Times New Roman"/>
                      <w:bCs/>
                      <w:color w:val="auto"/>
                      <w:sz w:val="21"/>
                      <w:szCs w:val="21"/>
                      <w:highlight w:val="none"/>
                      <w:lang w:val="en-US" w:eastAsia="zh-CN"/>
                    </w:rPr>
                    <w:t>建设单位提供资料</w:t>
                  </w:r>
                  <w:r>
                    <w:rPr>
                      <w:rFonts w:hint="default" w:ascii="Times New Roman" w:hAnsi="Times New Roman" w:eastAsia="宋体" w:cs="Times New Roman"/>
                      <w:bCs/>
                      <w:color w:val="auto"/>
                      <w:sz w:val="21"/>
                      <w:szCs w:val="21"/>
                      <w:highlight w:val="none"/>
                      <w:lang w:val="en-US" w:eastAsia="zh-CN"/>
                    </w:rPr>
                    <w:t>，医院</w:t>
                  </w:r>
                  <w:r>
                    <w:rPr>
                      <w:rFonts w:hint="eastAsia" w:ascii="Times New Roman" w:hAnsi="Times New Roman" w:eastAsia="宋体" w:cs="Times New Roman"/>
                      <w:bCs/>
                      <w:color w:val="auto"/>
                      <w:sz w:val="21"/>
                      <w:szCs w:val="21"/>
                      <w:highlight w:val="none"/>
                      <w:lang w:val="en-US" w:eastAsia="zh-CN"/>
                    </w:rPr>
                    <w:t>废</w:t>
                  </w:r>
                  <w:r>
                    <w:rPr>
                      <w:rFonts w:hint="default" w:ascii="Times New Roman" w:hAnsi="Times New Roman" w:eastAsia="宋体" w:cs="Times New Roman"/>
                      <w:bCs/>
                      <w:color w:val="auto"/>
                      <w:sz w:val="21"/>
                      <w:szCs w:val="21"/>
                      <w:highlight w:val="none"/>
                      <w:lang w:val="en-US" w:eastAsia="zh-CN"/>
                    </w:rPr>
                    <w:t>水排放量约</w:t>
                  </w:r>
                  <w:r>
                    <w:rPr>
                      <w:rFonts w:hint="eastAsia" w:ascii="Times New Roman" w:hAnsi="Times New Roman" w:cs="Times New Roman"/>
                      <w:bCs/>
                      <w:color w:val="auto"/>
                      <w:sz w:val="21"/>
                      <w:szCs w:val="21"/>
                      <w:highlight w:val="none"/>
                      <w:lang w:val="en-US" w:eastAsia="zh-CN"/>
                    </w:rPr>
                    <w:t>24.724</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bCs/>
                      <w:color w:val="auto"/>
                      <w:sz w:val="21"/>
                      <w:szCs w:val="21"/>
                      <w:highlight w:val="none"/>
                      <w:vertAlign w:val="superscript"/>
                      <w:lang w:val="en-US" w:eastAsia="zh-CN"/>
                    </w:rPr>
                    <w:t>3</w:t>
                  </w:r>
                  <w:r>
                    <w:rPr>
                      <w:rFonts w:hint="default" w:ascii="Times New Roman" w:hAnsi="Times New Roman" w:eastAsia="宋体" w:cs="Times New Roman"/>
                      <w:bCs/>
                      <w:color w:val="auto"/>
                      <w:sz w:val="21"/>
                      <w:szCs w:val="21"/>
                      <w:highlight w:val="none"/>
                      <w:lang w:val="en-US" w:eastAsia="zh-CN"/>
                    </w:rPr>
                    <w:t>/d。本项目设置一体化污水处理站1座，处理规模</w:t>
                  </w:r>
                  <w:r>
                    <w:rPr>
                      <w:rFonts w:hint="eastAsia" w:ascii="Times New Roman" w:hAnsi="Times New Roman" w:eastAsia="宋体" w:cs="Times New Roman"/>
                      <w:bCs/>
                      <w:color w:val="auto"/>
                      <w:sz w:val="21"/>
                      <w:szCs w:val="21"/>
                      <w:highlight w:val="none"/>
                      <w:lang w:val="en-US" w:eastAsia="zh-CN"/>
                    </w:rPr>
                    <w:t>3</w:t>
                  </w:r>
                  <w:r>
                    <w:rPr>
                      <w:rFonts w:hint="default" w:ascii="Times New Roman" w:hAnsi="Times New Roman" w:eastAsia="宋体" w:cs="Times New Roman"/>
                      <w:bCs/>
                      <w:color w:val="auto"/>
                      <w:sz w:val="21"/>
                      <w:szCs w:val="21"/>
                      <w:highlight w:val="none"/>
                      <w:lang w:val="en-US" w:eastAsia="zh-CN"/>
                    </w:rPr>
                    <w:t>0m</w:t>
                  </w:r>
                  <w:r>
                    <w:rPr>
                      <w:rFonts w:hint="default" w:ascii="Times New Roman" w:hAnsi="Times New Roman" w:eastAsia="宋体" w:cs="Times New Roman"/>
                      <w:bCs/>
                      <w:color w:val="auto"/>
                      <w:sz w:val="21"/>
                      <w:szCs w:val="21"/>
                      <w:highlight w:val="none"/>
                      <w:vertAlign w:val="superscript"/>
                      <w:lang w:val="en-US" w:eastAsia="zh-CN"/>
                    </w:rPr>
                    <w:t>3</w:t>
                  </w:r>
                  <w:r>
                    <w:rPr>
                      <w:rFonts w:hint="default" w:ascii="Times New Roman" w:hAnsi="Times New Roman" w:eastAsia="宋体" w:cs="Times New Roman"/>
                      <w:bCs/>
                      <w:color w:val="auto"/>
                      <w:sz w:val="21"/>
                      <w:szCs w:val="21"/>
                      <w:highlight w:val="none"/>
                      <w:lang w:val="en-US" w:eastAsia="zh-CN"/>
                    </w:rPr>
                    <w:t>/d</w:t>
                  </w:r>
                  <w:r>
                    <w:rPr>
                      <w:rFonts w:hint="eastAsia" w:ascii="Times New Roman" w:hAnsi="Times New Roman" w:cs="Times New Roman"/>
                      <w:bCs/>
                      <w:color w:val="auto"/>
                      <w:sz w:val="21"/>
                      <w:szCs w:val="21"/>
                      <w:highlight w:val="none"/>
                      <w:lang w:val="en-US" w:eastAsia="zh-CN"/>
                    </w:rPr>
                    <w:t>，设计裕量为17.59%</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1790" w:type="pct"/>
                  <w:tcBorders>
                    <w:tl2br w:val="nil"/>
                    <w:tr2bl w:val="nil"/>
                  </w:tcBorders>
                  <w:noWrap w:val="0"/>
                  <w:vAlign w:val="center"/>
                </w:tcPr>
                <w:p>
                  <w:pPr>
                    <w:keepNext w:val="0"/>
                    <w:keepLines w:val="0"/>
                    <w:pageBreakBefore w:val="0"/>
                    <w:widowControl w:val="0"/>
                    <w:kinsoku/>
                    <w:wordWrap/>
                    <w:overflowPunct/>
                    <w:topLinePunct w:val="0"/>
                    <w:bidi w:val="0"/>
                    <w:spacing w:beforeLines="0" w:afterLines="0"/>
                    <w:jc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olor w:val="auto"/>
                      <w:sz w:val="21"/>
                      <w:szCs w:val="24"/>
                    </w:rPr>
                    <w:t>医院污水处理工程的选址及总平面布置应根据医院总体规划、污水排放口位置、环境卫生要求、风向、工程地质及维护管理和运输等因素来确定。医院污水处理构筑物的位置宜设在医院主体建筑物当地夏季主导风向的下风向</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yellow"/>
                      <w:lang w:val="en-US" w:eastAsia="zh-CN"/>
                    </w:rPr>
                  </w:pPr>
                  <w:r>
                    <w:rPr>
                      <w:rFonts w:hint="default" w:ascii="Times New Roman" w:hAnsi="Times New Roman" w:eastAsia="宋体" w:cs="Times New Roman"/>
                      <w:bCs/>
                      <w:color w:val="auto"/>
                      <w:sz w:val="21"/>
                      <w:szCs w:val="21"/>
                      <w:highlight w:val="none"/>
                      <w:lang w:val="en-US" w:eastAsia="zh-CN"/>
                    </w:rPr>
                    <w:t>本项目在医院楼</w:t>
                  </w:r>
                  <w:r>
                    <w:rPr>
                      <w:rFonts w:hint="eastAsia" w:ascii="Times New Roman" w:hAnsi="Times New Roman" w:cs="Times New Roman"/>
                      <w:bCs/>
                      <w:color w:val="auto"/>
                      <w:sz w:val="21"/>
                      <w:szCs w:val="21"/>
                      <w:highlight w:val="none"/>
                      <w:lang w:val="en-US" w:eastAsia="zh-CN"/>
                    </w:rPr>
                    <w:t>南</w:t>
                  </w:r>
                  <w:r>
                    <w:rPr>
                      <w:rFonts w:hint="default" w:ascii="Times New Roman" w:hAnsi="Times New Roman" w:eastAsia="宋体" w:cs="Times New Roman"/>
                      <w:bCs/>
                      <w:color w:val="auto"/>
                      <w:sz w:val="21"/>
                      <w:szCs w:val="21"/>
                      <w:highlight w:val="none"/>
                      <w:lang w:val="en-US" w:eastAsia="zh-CN"/>
                    </w:rPr>
                    <w:t>侧设置污水处理站一座，</w:t>
                  </w:r>
                  <w:r>
                    <w:rPr>
                      <w:rFonts w:hint="eastAsia" w:ascii="Times New Roman" w:hAnsi="Times New Roman" w:eastAsia="宋体" w:cs="Times New Roman"/>
                      <w:bCs/>
                      <w:color w:val="auto"/>
                      <w:sz w:val="21"/>
                      <w:szCs w:val="21"/>
                      <w:highlight w:val="none"/>
                      <w:lang w:val="en-US" w:eastAsia="zh-CN"/>
                    </w:rPr>
                    <w:t>当地主导风向为西南风，污水处理站</w:t>
                  </w:r>
                  <w:r>
                    <w:rPr>
                      <w:rFonts w:hint="default" w:ascii="Times New Roman" w:hAnsi="Times New Roman" w:eastAsia="宋体" w:cs="Times New Roman"/>
                      <w:bCs/>
                      <w:color w:val="auto"/>
                      <w:sz w:val="21"/>
                      <w:szCs w:val="21"/>
                      <w:highlight w:val="none"/>
                      <w:lang w:val="en-US" w:eastAsia="zh-CN"/>
                    </w:rPr>
                    <w:t>位于当地主导风向的</w:t>
                  </w:r>
                  <w:r>
                    <w:rPr>
                      <w:rFonts w:hint="eastAsia" w:ascii="Times New Roman" w:hAnsi="Times New Roman" w:eastAsia="宋体" w:cs="Times New Roman"/>
                      <w:bCs/>
                      <w:color w:val="auto"/>
                      <w:sz w:val="21"/>
                      <w:szCs w:val="21"/>
                      <w:highlight w:val="none"/>
                      <w:lang w:val="en-US" w:eastAsia="zh-CN"/>
                    </w:rPr>
                    <w:t>侧</w:t>
                  </w:r>
                  <w:r>
                    <w:rPr>
                      <w:rFonts w:hint="default" w:ascii="Times New Roman" w:hAnsi="Times New Roman" w:eastAsia="宋体" w:cs="Times New Roman"/>
                      <w:bCs/>
                      <w:color w:val="auto"/>
                      <w:sz w:val="21"/>
                      <w:szCs w:val="21"/>
                      <w:highlight w:val="none"/>
                      <w:lang w:val="en-US" w:eastAsia="zh-CN"/>
                    </w:rPr>
                    <w:t>风向</w:t>
                  </w:r>
                  <w:r>
                    <w:rPr>
                      <w:rFonts w:hint="eastAsia" w:ascii="Times New Roman" w:hAnsi="Times New Roman" w:eastAsia="宋体" w:cs="Times New Roman"/>
                      <w:bCs/>
                      <w:color w:val="auto"/>
                      <w:sz w:val="21"/>
                      <w:szCs w:val="21"/>
                      <w:highlight w:val="none"/>
                      <w:lang w:val="en-US" w:eastAsia="zh-CN"/>
                    </w:rPr>
                    <w:t>，对医院主体建筑物环境影响较小</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1790" w:type="pct"/>
                  <w:tcBorders>
                    <w:tl2br w:val="nil"/>
                    <w:tr2bl w:val="nil"/>
                  </w:tcBorders>
                  <w:noWrap w:val="0"/>
                  <w:vAlign w:val="center"/>
                </w:tcPr>
                <w:p>
                  <w:pPr>
                    <w:keepNext w:val="0"/>
                    <w:keepLines w:val="0"/>
                    <w:pageBreakBefore w:val="0"/>
                    <w:widowControl w:val="0"/>
                    <w:kinsoku/>
                    <w:wordWrap/>
                    <w:overflowPunct/>
                    <w:topLinePunct w:val="0"/>
                    <w:bidi w:val="0"/>
                    <w:spacing w:beforeLines="0" w:afterLines="0"/>
                    <w:jc w:val="center"/>
                    <w:rPr>
                      <w:rFonts w:hint="default" w:ascii="宋体" w:hAnsi="宋体" w:eastAsia="宋体"/>
                      <w:color w:val="auto"/>
                      <w:sz w:val="21"/>
                      <w:szCs w:val="24"/>
                      <w:lang w:val="en-US" w:eastAsia="zh-CN"/>
                    </w:rPr>
                  </w:pPr>
                  <w:r>
                    <w:rPr>
                      <w:rFonts w:hint="eastAsia" w:ascii="宋体" w:hAnsi="宋体"/>
                      <w:color w:val="auto"/>
                      <w:sz w:val="21"/>
                      <w:szCs w:val="24"/>
                      <w:lang w:val="en-US" w:eastAsia="zh-CN"/>
                    </w:rPr>
                    <w:t>医院污水处理工程以采用低噪声设备和采取隔音为主的控制措施，辅以消声、隔振、吸音等综合噪声治理措施</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污水处理站水泵、风机均选用低噪声设备，采取减振、隔声等措施</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17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非传染病医院污水，若处理出水直接或间接排入地表水体或海域时，应采用二级处理+消毒工艺或二级处理+深度处理+消毒工艺；若处理出水排入终端已建有正常运行的二级污水处理厂的城市污水管网时，可采用</w:t>
                  </w:r>
                  <w:r>
                    <w:rPr>
                      <w:rFonts w:hint="eastAsia" w:ascii="Times New Roman" w:hAnsi="Times New Roman" w:cs="Times New Roman"/>
                      <w:bCs/>
                      <w:color w:val="auto"/>
                      <w:sz w:val="21"/>
                      <w:szCs w:val="21"/>
                      <w:highlight w:val="none"/>
                      <w:lang w:val="en-US" w:eastAsia="zh-CN"/>
                    </w:rPr>
                    <w:t>一级强化处理</w:t>
                  </w:r>
                  <w:r>
                    <w:rPr>
                      <w:rFonts w:hint="default" w:ascii="Times New Roman" w:hAnsi="Times New Roman" w:eastAsia="宋体" w:cs="Times New Roman"/>
                      <w:bCs/>
                      <w:color w:val="auto"/>
                      <w:sz w:val="21"/>
                      <w:szCs w:val="21"/>
                      <w:highlight w:val="none"/>
                      <w:lang w:val="en-US" w:eastAsia="zh-CN"/>
                    </w:rPr>
                    <w:t>+消毒工艺</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yellow"/>
                      <w:lang w:val="en-US" w:eastAsia="zh-CN"/>
                    </w:rPr>
                  </w:pPr>
                  <w:r>
                    <w:rPr>
                      <w:rFonts w:hint="default" w:ascii="Times New Roman" w:hAnsi="Times New Roman" w:eastAsia="宋体" w:cs="Times New Roman"/>
                      <w:bCs/>
                      <w:color w:val="auto"/>
                      <w:sz w:val="21"/>
                      <w:szCs w:val="21"/>
                      <w:highlight w:val="none"/>
                      <w:lang w:val="en-US" w:eastAsia="zh-CN"/>
                    </w:rPr>
                    <w:t>本项目</w:t>
                  </w:r>
                  <w:r>
                    <w:rPr>
                      <w:rFonts w:hint="eastAsia" w:ascii="Times New Roman" w:hAnsi="Times New Roman" w:cs="Times New Roman"/>
                      <w:bCs/>
                      <w:color w:val="auto"/>
                      <w:sz w:val="21"/>
                      <w:szCs w:val="21"/>
                      <w:highlight w:val="none"/>
                      <w:lang w:val="en-US" w:eastAsia="zh-CN"/>
                    </w:rPr>
                    <w:t>为非传染病医院，且出水排入已建正常运行的污水处理厂，项目污水处理站采用一级强化处理+消毒工艺，具体工艺为</w:t>
                  </w:r>
                  <w:r>
                    <w:rPr>
                      <w:rFonts w:hint="default" w:ascii="Times New Roman" w:hAnsi="Times New Roman" w:eastAsia="宋体"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“格栅+调节池+混凝沉淀池+消毒（二氧化氯）”</w:t>
                  </w:r>
                  <w:r>
                    <w:rPr>
                      <w:rFonts w:hint="default" w:ascii="Times New Roman" w:hAnsi="Times New Roman" w:eastAsia="宋体" w:cs="Times New Roman"/>
                      <w:bCs/>
                      <w:color w:val="auto"/>
                      <w:sz w:val="21"/>
                      <w:szCs w:val="21"/>
                      <w:highlight w:val="none"/>
                      <w:lang w:val="en-US" w:eastAsia="zh-CN"/>
                    </w:rPr>
                    <w:t>）</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《陕西省医疗卫生机构医疗废物管理规范》</w:t>
                  </w:r>
                </w:p>
              </w:tc>
              <w:tc>
                <w:tcPr>
                  <w:tcW w:w="17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医疗卫生机构应当建立医疗废物暂时贮存设施、设备，不得露天存放医疗废物；医疗废物暂时贮存的时间不得超过2天</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本项目医疗废物暂存于医疗废物暂存间内，且在实际运行过程中，医疗废物暂存时间不超过2天</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《医疗机构废弃物综合治理工作方案》国卫医发〔2020〕3号</w:t>
                  </w:r>
                </w:p>
              </w:tc>
              <w:tc>
                <w:tcPr>
                  <w:tcW w:w="1790" w:type="pct"/>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进一步明确处置要求。医疗机构按照《医疗废物分类目录》等要求制定具体的分类收集清单。严格落实危险废物申报登记和管理计划备案要求，依法向生态环境部门申报医疗废物的种类、产生量、流向、贮存和处置等情况。严禁混合医疗废物、生活垃圾和输液瓶（袋），严禁混放各类医疗废物。规范医疗废物贮存场所（设施）管理，不得露天存放。及时告知并将医疗废物交由持有危险废物经营许可证的集中处置单位，执行转移联单并做好交接登记，资料保存不少于3年。医疗废物集中处置单位要配备数量充足的收集、转运周转设施和具备相关资质的车辆，至少每2天到医疗机构收集、转运一次医疗废物。要按照《医疗废物集中处置技术规范（试行）》转运处置医疗废物，防止丢失、泄漏，探索医疗废物收集、贮存、交接、运输、处置全过程智能化管理。</w:t>
                  </w:r>
                </w:p>
              </w:tc>
              <w:tc>
                <w:tcPr>
                  <w:tcW w:w="1550" w:type="pct"/>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要求建设单位按照《医疗废物分类目录》（2021年版）等要求制定具体的分类收集清单；</w:t>
                  </w:r>
                  <w:r>
                    <w:rPr>
                      <w:rFonts w:hint="default" w:ascii="Times New Roman" w:hAnsi="Times New Roman" w:eastAsia="宋体" w:cs="Times New Roman"/>
                      <w:color w:val="auto"/>
                      <w:sz w:val="21"/>
                      <w:szCs w:val="21"/>
                      <w:lang w:eastAsia="zh-CN"/>
                    </w:rPr>
                    <w:t>要求建设单位依法向生态环境部门申报医疗废物的种类、产生量、流向、贮存和处置等情况；</w:t>
                  </w:r>
                  <w:r>
                    <w:rPr>
                      <w:rFonts w:hint="eastAsia" w:ascii="Times New Roman" w:hAnsi="Times New Roman" w:cs="Times New Roman"/>
                      <w:color w:val="auto"/>
                      <w:sz w:val="21"/>
                      <w:szCs w:val="21"/>
                      <w:highlight w:val="none"/>
                      <w:lang w:val="en-US" w:eastAsia="zh-CN"/>
                    </w:rPr>
                    <w:t>目前已在院区设置有医废暂存间一座，位于医院大楼南侧，原有污水处理站旁，建筑面积约11.5m</w:t>
                  </w:r>
                  <w:r>
                    <w:rPr>
                      <w:rFonts w:hint="eastAsia" w:ascii="Times New Roman" w:hAnsi="Times New Roman" w:cs="Times New Roman"/>
                      <w:color w:val="auto"/>
                      <w:sz w:val="21"/>
                      <w:szCs w:val="21"/>
                      <w:highlight w:val="none"/>
                      <w:vertAlign w:val="superscript"/>
                      <w:lang w:val="en-US" w:eastAsia="zh-CN"/>
                    </w:rPr>
                    <w:t>2</w:t>
                  </w:r>
                  <w:r>
                    <w:rPr>
                      <w:rFonts w:hint="default" w:ascii="Times New Roman" w:hAnsi="Times New Roman" w:cs="Times New Roman"/>
                      <w:color w:val="auto"/>
                      <w:spacing w:val="22"/>
                      <w:w w:val="95"/>
                      <w:sz w:val="21"/>
                      <w:szCs w:val="21"/>
                      <w:highlight w:val="none"/>
                      <w:lang w:eastAsia="zh-CN"/>
                    </w:rPr>
                    <w:t>，</w:t>
                  </w:r>
                  <w:r>
                    <w:rPr>
                      <w:rFonts w:hint="default" w:ascii="Times New Roman" w:hAnsi="Times New Roman" w:cs="Times New Roman"/>
                      <w:color w:val="auto"/>
                      <w:sz w:val="21"/>
                      <w:szCs w:val="21"/>
                      <w:highlight w:val="none"/>
                    </w:rPr>
                    <w:t>并与</w:t>
                  </w:r>
                  <w:r>
                    <w:rPr>
                      <w:rFonts w:hint="eastAsia" w:ascii="Times New Roman" w:hAnsi="Times New Roman" w:cs="Times New Roman"/>
                      <w:color w:val="auto"/>
                      <w:sz w:val="21"/>
                      <w:szCs w:val="21"/>
                      <w:highlight w:val="none"/>
                      <w:lang w:val="en-US" w:eastAsia="zh-CN"/>
                    </w:rPr>
                    <w:t>安康市医疗废物处置中心</w:t>
                  </w:r>
                  <w:r>
                    <w:rPr>
                      <w:rFonts w:hint="default" w:ascii="Times New Roman" w:hAnsi="Times New Roman" w:cs="Times New Roman"/>
                      <w:color w:val="auto"/>
                      <w:sz w:val="21"/>
                      <w:szCs w:val="21"/>
                      <w:highlight w:val="none"/>
                    </w:rPr>
                    <w:t>签订</w:t>
                  </w:r>
                  <w:r>
                    <w:rPr>
                      <w:rFonts w:hint="eastAsia" w:ascii="Times New Roman" w:hAnsi="Times New Roman" w:cs="Times New Roman"/>
                      <w:color w:val="auto"/>
                      <w:sz w:val="21"/>
                      <w:szCs w:val="21"/>
                      <w:highlight w:val="none"/>
                      <w:lang w:val="en-US" w:eastAsia="zh-CN"/>
                    </w:rPr>
                    <w:t>了</w:t>
                  </w:r>
                  <w:r>
                    <w:rPr>
                      <w:rFonts w:hint="default" w:ascii="Times New Roman" w:hAnsi="Times New Roman" w:cs="Times New Roman"/>
                      <w:color w:val="auto"/>
                      <w:sz w:val="21"/>
                      <w:szCs w:val="21"/>
                      <w:highlight w:val="none"/>
                    </w:rPr>
                    <w:t>医疗</w:t>
                  </w:r>
                  <w:r>
                    <w:rPr>
                      <w:rFonts w:hint="default" w:ascii="Times New Roman" w:hAnsi="Times New Roman" w:cs="Times New Roman"/>
                      <w:color w:val="auto"/>
                      <w:sz w:val="21"/>
                      <w:szCs w:val="21"/>
                    </w:rPr>
                    <w:t>废物处置协议</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评价要求医疗废物转运</w:t>
                  </w:r>
                  <w:r>
                    <w:rPr>
                      <w:rFonts w:hint="default" w:ascii="Times New Roman" w:hAnsi="Times New Roman" w:eastAsia="宋体" w:cs="Times New Roman"/>
                      <w:color w:val="auto"/>
                      <w:sz w:val="21"/>
                      <w:szCs w:val="21"/>
                    </w:rPr>
                    <w:t>做好交接登记，并保存不少于</w:t>
                  </w:r>
                  <w:r>
                    <w:rPr>
                      <w:rFonts w:hint="default" w:ascii="Times New Roman" w:hAnsi="Times New Roman" w:eastAsia="宋体" w:cs="Times New Roman"/>
                      <w:color w:val="auto"/>
                      <w:sz w:val="21"/>
                      <w:szCs w:val="21"/>
                      <w:lang w:eastAsia="zh-CN"/>
                    </w:rPr>
                    <w:t>三年。</w:t>
                  </w:r>
                </w:p>
              </w:tc>
              <w:tc>
                <w:tcPr>
                  <w:tcW w:w="523" w:type="pct"/>
                  <w:tcBorders>
                    <w:tl2br w:val="nil"/>
                    <w:tr2bl w:val="nil"/>
                  </w:tcBorders>
                  <w:noWrap w:val="0"/>
                  <w:vAlign w:val="center"/>
                </w:tcPr>
                <w:p>
                  <w:pPr>
                    <w:pStyle w:val="67"/>
                    <w:ind w:left="91" w:leftChars="0" w:right="8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1790" w:type="pct"/>
                  <w:tcBorders>
                    <w:tl2br w:val="nil"/>
                    <w:tr2bl w:val="nil"/>
                  </w:tcBorders>
                  <w:noWrap w:val="0"/>
                  <w:vAlign w:val="center"/>
                </w:tcPr>
                <w:p>
                  <w:pPr>
                    <w:pStyle w:val="80"/>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color w:val="auto"/>
                      <w:sz w:val="21"/>
                      <w:szCs w:val="21"/>
                    </w:rPr>
                    <w:t>加强源头管理。医疗机构废弃物分为医疗废物、生活垃圾和输液瓶（袋）。通过规范分类和清晰流程，各医疗机构内形成分类投放、分类收集、分类贮存、分类交接、分类转运的废弃物管理系统。</w:t>
                  </w:r>
                </w:p>
              </w:tc>
              <w:tc>
                <w:tcPr>
                  <w:tcW w:w="1550" w:type="pct"/>
                  <w:tcBorders>
                    <w:tl2br w:val="nil"/>
                    <w:tr2bl w:val="nil"/>
                  </w:tcBorders>
                  <w:noWrap w:val="0"/>
                  <w:vAlign w:val="center"/>
                </w:tcPr>
                <w:p>
                  <w:pPr>
                    <w:pStyle w:val="67"/>
                    <w:spacing w:before="35"/>
                    <w:ind w:left="111" w:left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color w:val="auto"/>
                      <w:sz w:val="21"/>
                      <w:szCs w:val="21"/>
                      <w:lang w:eastAsia="zh-CN"/>
                    </w:rPr>
                    <w:t>要求</w:t>
                  </w:r>
                  <w:r>
                    <w:rPr>
                      <w:rFonts w:hint="default" w:ascii="Times New Roman" w:hAnsi="Times New Roman" w:cs="Times New Roman"/>
                      <w:color w:val="auto"/>
                      <w:sz w:val="21"/>
                      <w:szCs w:val="21"/>
                    </w:rPr>
                    <w:t>建设单位严格按照分类要求对医疗废物分类收集并暂存。</w:t>
                  </w:r>
                </w:p>
              </w:tc>
              <w:tc>
                <w:tcPr>
                  <w:tcW w:w="523" w:type="pct"/>
                  <w:tcBorders>
                    <w:tl2br w:val="nil"/>
                    <w:tr2bl w:val="nil"/>
                  </w:tcBorders>
                  <w:noWrap w:val="0"/>
                  <w:vAlign w:val="center"/>
                </w:tcPr>
                <w:p>
                  <w:pPr>
                    <w:pStyle w:val="67"/>
                    <w:ind w:left="91" w:leftChars="0" w:right="80" w:rightChars="0"/>
                    <w:jc w:val="center"/>
                    <w:rPr>
                      <w:rFonts w:hint="eastAsia" w:ascii="Times New Roman" w:hAnsi="Times New Roman" w:eastAsia="宋体" w:cs="Times New Roman"/>
                      <w:color w:val="auto"/>
                      <w:sz w:val="21"/>
                      <w:szCs w:val="21"/>
                      <w:highlight w:val="none"/>
                      <w:lang w:val="en-US" w:eastAsia="zh-CN"/>
                    </w:rPr>
                  </w:pPr>
                  <w:r>
                    <w:rPr>
                      <w:rFonts w:hint="eastAsia"/>
                      <w:color w:val="auto"/>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1790" w:type="pct"/>
                  <w:tcBorders>
                    <w:tl2br w:val="nil"/>
                    <w:tr2bl w:val="nil"/>
                  </w:tcBorders>
                  <w:noWrap w:val="0"/>
                  <w:vAlign w:val="center"/>
                </w:tcPr>
                <w:p>
                  <w:pPr>
                    <w:pStyle w:val="80"/>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color w:val="auto"/>
                      <w:sz w:val="21"/>
                      <w:szCs w:val="21"/>
                    </w:rPr>
                    <w:t>医疗机构要严格落实生活垃圾分类管理有关政策，将非传染病患者或家属在就诊过程中产生的生活垃圾，以及医疗机构职工非医疗活动产生的生活垃圾，与医疗活动中产生的医疗废物、输液瓶（袋）等区别管理。做好医疗机构生活垃圾的接收、运输和处理工作。</w:t>
                  </w:r>
                </w:p>
              </w:tc>
              <w:tc>
                <w:tcPr>
                  <w:tcW w:w="1550" w:type="pct"/>
                  <w:tcBorders>
                    <w:tl2br w:val="nil"/>
                    <w:tr2bl w:val="nil"/>
                  </w:tcBorders>
                  <w:noWrap w:val="0"/>
                  <w:vAlign w:val="center"/>
                </w:tcPr>
                <w:p>
                  <w:pPr>
                    <w:pStyle w:val="67"/>
                    <w:spacing w:before="91"/>
                    <w:ind w:left="111" w:left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color w:val="auto"/>
                      <w:sz w:val="21"/>
                      <w:szCs w:val="21"/>
                    </w:rPr>
                    <w:t>建设单位严格落实生活垃圾分类管理有关政策，将职工非医疗活动产生的生活垃圾，与医疗活动中产生的医疗废物、输液瓶（袋）等区别管理。</w:t>
                  </w:r>
                </w:p>
              </w:tc>
              <w:tc>
                <w:tcPr>
                  <w:tcW w:w="523" w:type="pct"/>
                  <w:tcBorders>
                    <w:tl2br w:val="nil"/>
                    <w:tr2bl w:val="nil"/>
                  </w:tcBorders>
                  <w:noWrap w:val="0"/>
                  <w:vAlign w:val="center"/>
                </w:tcPr>
                <w:p>
                  <w:pPr>
                    <w:pStyle w:val="67"/>
                    <w:ind w:left="91" w:leftChars="0" w:right="80" w:rightChars="0"/>
                    <w:jc w:val="center"/>
                    <w:rPr>
                      <w:rFonts w:hint="eastAsia" w:ascii="Times New Roman" w:hAnsi="Times New Roman" w:eastAsia="宋体" w:cs="Times New Roman"/>
                      <w:color w:val="auto"/>
                      <w:sz w:val="21"/>
                      <w:szCs w:val="21"/>
                      <w:highlight w:val="none"/>
                      <w:lang w:val="en-US" w:eastAsia="zh-CN"/>
                    </w:rPr>
                  </w:pPr>
                  <w:r>
                    <w:rPr>
                      <w:rFonts w:hint="eastAsia"/>
                      <w:color w:val="auto"/>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restart"/>
                  <w:tcBorders>
                    <w:tl2br w:val="nil"/>
                    <w:tr2bl w:val="nil"/>
                  </w:tcBorders>
                  <w:noWrap w:val="0"/>
                  <w:vAlign w:val="center"/>
                </w:tcPr>
                <w:p>
                  <w:pPr>
                    <w:keepNext w:val="0"/>
                    <w:keepLines w:val="0"/>
                    <w:pageBreakBefore w:val="0"/>
                    <w:widowControl w:val="0"/>
                    <w:kinsoku/>
                    <w:wordWrap/>
                    <w:overflowPunct/>
                    <w:topLinePunct w:val="0"/>
                    <w:bidi w:val="0"/>
                    <w:spacing w:beforeLines="0" w:afterLines="0"/>
                    <w:jc w:val="left"/>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olor w:val="auto"/>
                      <w:sz w:val="21"/>
                      <w:szCs w:val="24"/>
                    </w:rPr>
                    <w:t>《排污许可证申请与核发技术规范医疗机构》（</w:t>
                  </w:r>
                  <w:r>
                    <w:rPr>
                      <w:rFonts w:hint="eastAsia" w:ascii="TimesNewRomanPSMT" w:hAnsi="TimesNewRomanPSMT" w:eastAsia="TimesNewRomanPSMT"/>
                      <w:color w:val="auto"/>
                      <w:sz w:val="21"/>
                      <w:szCs w:val="24"/>
                    </w:rPr>
                    <w:t>HJ</w:t>
                  </w:r>
                  <w:r>
                    <w:rPr>
                      <w:rFonts w:hint="eastAsia" w:ascii="TimesNewRomanPSMT" w:hAnsi="TimesNewRomanPSMT" w:eastAsia="宋体"/>
                      <w:color w:val="auto"/>
                      <w:sz w:val="21"/>
                      <w:szCs w:val="24"/>
                      <w:lang w:val="en-US" w:eastAsia="zh-CN"/>
                    </w:rPr>
                    <w:t xml:space="preserve"> </w:t>
                  </w:r>
                  <w:r>
                    <w:rPr>
                      <w:rFonts w:hint="eastAsia" w:ascii="TimesNewRomanPSMT" w:hAnsi="TimesNewRomanPSMT" w:eastAsia="TimesNewRomanPSMT"/>
                      <w:color w:val="auto"/>
                      <w:sz w:val="21"/>
                      <w:szCs w:val="24"/>
                    </w:rPr>
                    <w:t>1105</w:t>
                  </w:r>
                  <w:r>
                    <w:rPr>
                      <w:rFonts w:hint="eastAsia" w:ascii="宋体" w:hAnsi="宋体" w:eastAsia="宋体"/>
                      <w:color w:val="auto"/>
                      <w:sz w:val="21"/>
                      <w:szCs w:val="24"/>
                    </w:rPr>
                    <w:t>—</w:t>
                  </w:r>
                  <w:r>
                    <w:rPr>
                      <w:rFonts w:hint="eastAsia" w:ascii="TimesNewRomanPSMT" w:hAnsi="TimesNewRomanPSMT" w:eastAsia="TimesNewRomanPSMT"/>
                      <w:color w:val="auto"/>
                      <w:sz w:val="21"/>
                      <w:szCs w:val="24"/>
                    </w:rPr>
                    <w:t>2020</w:t>
                  </w:r>
                  <w:r>
                    <w:rPr>
                      <w:rFonts w:hint="eastAsia" w:ascii="宋体" w:hAnsi="宋体" w:eastAsia="宋体"/>
                      <w:color w:val="auto"/>
                      <w:sz w:val="21"/>
                      <w:szCs w:val="24"/>
                    </w:rPr>
                    <w:t>）</w:t>
                  </w:r>
                </w:p>
              </w:tc>
              <w:tc>
                <w:tcPr>
                  <w:tcW w:w="17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出水排入城市污水管网的非传染病医院污水，可采用</w:t>
                  </w:r>
                  <w:r>
                    <w:rPr>
                      <w:rFonts w:hint="eastAsia" w:ascii="Times New Roman" w:hAnsi="Times New Roman" w:cs="Times New Roman"/>
                      <w:bCs/>
                      <w:color w:val="auto"/>
                      <w:sz w:val="21"/>
                      <w:szCs w:val="21"/>
                      <w:highlight w:val="none"/>
                      <w:lang w:val="en-US" w:eastAsia="zh-CN"/>
                    </w:rPr>
                    <w:t>一级强化处理</w:t>
                  </w:r>
                  <w:r>
                    <w:rPr>
                      <w:rFonts w:hint="default" w:ascii="Times New Roman" w:hAnsi="Times New Roman" w:eastAsia="宋体" w:cs="Times New Roman"/>
                      <w:bCs/>
                      <w:color w:val="auto"/>
                      <w:sz w:val="21"/>
                      <w:szCs w:val="21"/>
                      <w:highlight w:val="none"/>
                      <w:lang w:val="en-US" w:eastAsia="zh-CN"/>
                    </w:rPr>
                    <w:t>工艺。</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本项目采用</w:t>
                  </w:r>
                  <w:r>
                    <w:rPr>
                      <w:rFonts w:hint="eastAsia" w:ascii="Times New Roman" w:hAnsi="Times New Roman" w:cs="Times New Roman"/>
                      <w:bCs/>
                      <w:color w:val="auto"/>
                      <w:sz w:val="21"/>
                      <w:szCs w:val="21"/>
                      <w:highlight w:val="none"/>
                      <w:lang w:val="en-US" w:eastAsia="zh-CN"/>
                    </w:rPr>
                    <w:t>一级强化</w:t>
                  </w:r>
                  <w:r>
                    <w:rPr>
                      <w:rFonts w:hint="default" w:ascii="Times New Roman" w:hAnsi="Times New Roman" w:eastAsia="宋体" w:cs="Times New Roman"/>
                      <w:bCs/>
                      <w:color w:val="auto"/>
                      <w:sz w:val="21"/>
                      <w:szCs w:val="21"/>
                      <w:highlight w:val="none"/>
                      <w:lang w:val="en-US" w:eastAsia="zh-CN"/>
                    </w:rPr>
                    <w:t>+消毒工艺，为一体化污水处理站，由人工格栅、风机、水泵</w:t>
                  </w:r>
                  <w:r>
                    <w:rPr>
                      <w:rFonts w:hint="eastAsia" w:ascii="Times New Roman" w:hAnsi="Times New Roman" w:cs="Times New Roman"/>
                      <w:bCs/>
                      <w:color w:val="auto"/>
                      <w:sz w:val="21"/>
                      <w:szCs w:val="21"/>
                      <w:highlight w:val="none"/>
                      <w:lang w:val="en-US" w:eastAsia="zh-CN"/>
                    </w:rPr>
                    <w:t>及二氧化氯消毒</w:t>
                  </w:r>
                  <w:r>
                    <w:rPr>
                      <w:rFonts w:hint="default" w:ascii="Times New Roman" w:hAnsi="Times New Roman" w:eastAsia="宋体" w:cs="Times New Roman"/>
                      <w:bCs/>
                      <w:color w:val="auto"/>
                      <w:sz w:val="21"/>
                      <w:szCs w:val="21"/>
                      <w:highlight w:val="none"/>
                      <w:lang w:val="en-US" w:eastAsia="zh-CN"/>
                    </w:rPr>
                    <w:t>等组成，此类污水处理站易于管理，广泛应用于中小医院污水处理</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17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固体废物管理要求a)医疗机构排污单位必须建有规范的医疗废物暂存间，医疗废物暂存间的建设与管理应符合GB18597的要求。b)应按照分类记录医疗废物、废药物、药品和污水处理站污泥的产生量、贮存量和转移量，并向全国固体废物管理信息系统报送相关数据</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yellow"/>
                      <w:lang w:val="en-US" w:eastAsia="zh-CN"/>
                    </w:rPr>
                  </w:pPr>
                  <w:r>
                    <w:rPr>
                      <w:rFonts w:hint="eastAsia" w:ascii="Times New Roman" w:hAnsi="Times New Roman" w:cs="Times New Roman"/>
                      <w:bCs/>
                      <w:color w:val="auto"/>
                      <w:sz w:val="21"/>
                      <w:szCs w:val="21"/>
                      <w:highlight w:val="none"/>
                      <w:lang w:val="en-US" w:eastAsia="zh-CN"/>
                    </w:rPr>
                    <w:t>医院现有</w:t>
                  </w:r>
                  <w:r>
                    <w:rPr>
                      <w:rFonts w:hint="default" w:ascii="Times New Roman" w:hAnsi="Times New Roman" w:eastAsia="宋体" w:cs="Times New Roman"/>
                      <w:bCs/>
                      <w:color w:val="auto"/>
                      <w:sz w:val="21"/>
                      <w:szCs w:val="21"/>
                      <w:highlight w:val="none"/>
                      <w:lang w:val="en-US" w:eastAsia="zh-CN"/>
                    </w:rPr>
                    <w:t>医疗废物暂存间1座，并且与</w:t>
                  </w:r>
                  <w:r>
                    <w:rPr>
                      <w:rFonts w:hint="eastAsia" w:ascii="Times New Roman" w:hAnsi="Times New Roman" w:cs="Times New Roman"/>
                      <w:bCs/>
                      <w:color w:val="auto"/>
                      <w:sz w:val="21"/>
                      <w:szCs w:val="21"/>
                      <w:highlight w:val="none"/>
                      <w:lang w:val="en-US" w:eastAsia="zh-CN"/>
                    </w:rPr>
                    <w:t>安康市医疗废物处置中心</w:t>
                  </w:r>
                  <w:r>
                    <w:rPr>
                      <w:rFonts w:hint="eastAsia" w:ascii="Times New Roman" w:hAnsi="Times New Roman" w:eastAsia="宋体" w:cs="Times New Roman"/>
                      <w:bCs/>
                      <w:color w:val="auto"/>
                      <w:sz w:val="21"/>
                      <w:szCs w:val="21"/>
                      <w:highlight w:val="none"/>
                      <w:lang w:val="en-US" w:eastAsia="zh-CN"/>
                    </w:rPr>
                    <w:t>签订</w:t>
                  </w:r>
                  <w:r>
                    <w:rPr>
                      <w:rFonts w:hint="eastAsia" w:ascii="Times New Roman" w:hAnsi="Times New Roman" w:cs="Times New Roman"/>
                      <w:bCs/>
                      <w:color w:val="auto"/>
                      <w:sz w:val="21"/>
                      <w:szCs w:val="21"/>
                      <w:highlight w:val="none"/>
                      <w:lang w:val="en-US" w:eastAsia="zh-CN"/>
                    </w:rPr>
                    <w:t>了</w:t>
                  </w:r>
                  <w:r>
                    <w:rPr>
                      <w:rFonts w:hint="eastAsia" w:ascii="Times New Roman" w:hAnsi="Times New Roman" w:eastAsia="宋体" w:cs="Times New Roman"/>
                      <w:bCs/>
                      <w:color w:val="auto"/>
                      <w:sz w:val="21"/>
                      <w:szCs w:val="21"/>
                      <w:highlight w:val="none"/>
                      <w:lang w:val="en-US" w:eastAsia="zh-CN"/>
                    </w:rPr>
                    <w:t>医疗</w:t>
                  </w:r>
                  <w:r>
                    <w:rPr>
                      <w:rFonts w:hint="default" w:ascii="Times New Roman" w:hAnsi="Times New Roman" w:eastAsia="宋体" w:cs="Times New Roman"/>
                      <w:bCs/>
                      <w:color w:val="auto"/>
                      <w:sz w:val="21"/>
                      <w:szCs w:val="21"/>
                      <w:highlight w:val="none"/>
                      <w:lang w:val="en-US" w:eastAsia="zh-CN"/>
                    </w:rPr>
                    <w:t>废物处置协议</w:t>
                  </w:r>
                  <w:r>
                    <w:rPr>
                      <w:rFonts w:hint="eastAsia" w:ascii="Times New Roman" w:hAnsi="Times New Roman" w:cs="Times New Roman"/>
                      <w:bCs/>
                      <w:color w:val="auto"/>
                      <w:sz w:val="21"/>
                      <w:szCs w:val="21"/>
                      <w:highlight w:val="none"/>
                      <w:lang w:val="en-US" w:eastAsia="zh-CN"/>
                    </w:rPr>
                    <w:t>（见附件5）</w:t>
                  </w:r>
                  <w:r>
                    <w:rPr>
                      <w:rFonts w:hint="default" w:ascii="Times New Roman" w:hAnsi="Times New Roman" w:eastAsia="宋体" w:cs="Times New Roman"/>
                      <w:bCs/>
                      <w:color w:val="auto"/>
                      <w:sz w:val="21"/>
                      <w:szCs w:val="21"/>
                      <w:highlight w:val="none"/>
                      <w:lang w:val="en-US" w:eastAsia="zh-CN"/>
                    </w:rPr>
                    <w:t>，医疗废物暂存间按要求防渗，并保存</w:t>
                  </w:r>
                  <w:r>
                    <w:rPr>
                      <w:rFonts w:hint="eastAsia" w:ascii="Times New Roman" w:hAnsi="Times New Roman" w:cs="Times New Roman"/>
                      <w:bCs/>
                      <w:color w:val="auto"/>
                      <w:sz w:val="21"/>
                      <w:szCs w:val="21"/>
                      <w:highlight w:val="none"/>
                      <w:lang w:val="en-US" w:eastAsia="zh-CN"/>
                    </w:rPr>
                    <w:t>了</w:t>
                  </w:r>
                  <w:r>
                    <w:rPr>
                      <w:rFonts w:hint="default" w:ascii="Times New Roman" w:hAnsi="Times New Roman" w:eastAsia="宋体" w:cs="Times New Roman"/>
                      <w:bCs/>
                      <w:color w:val="auto"/>
                      <w:sz w:val="21"/>
                      <w:szCs w:val="21"/>
                      <w:highlight w:val="none"/>
                      <w:lang w:val="en-US" w:eastAsia="zh-CN"/>
                    </w:rPr>
                    <w:t>医疗废物转运联单</w:t>
                  </w:r>
                  <w:r>
                    <w:rPr>
                      <w:rFonts w:hint="eastAsia" w:ascii="Times New Roman" w:hAnsi="Times New Roman" w:cs="Times New Roman"/>
                      <w:bCs/>
                      <w:color w:val="auto"/>
                      <w:sz w:val="21"/>
                      <w:szCs w:val="21"/>
                      <w:highlight w:val="none"/>
                      <w:lang w:val="en-US" w:eastAsia="zh-CN"/>
                    </w:rPr>
                    <w:t>（见附件6）</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《陕西省医疗卫生服务体系规划及资源配置标准（2016-2020年）》</w:t>
                  </w:r>
                </w:p>
              </w:tc>
              <w:tc>
                <w:tcPr>
                  <w:tcW w:w="17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鼓励和支持社会办医，满足人民群众多层次、多元化医疗卫生服务需求</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本项目为社会办医疗机构，符合陕西省医疗卫生服务体系规划及资源配置标准要求</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《医疗废物管理条例》中华人民共和国国务院令第380号</w:t>
                  </w:r>
                </w:p>
              </w:tc>
              <w:tc>
                <w:tcPr>
                  <w:tcW w:w="17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医疗卫生机构应当及时收集本单位产生的医疗废物，并按照类别分置于防渗漏、防锐器穿透的专用包装物或者密闭的容器内。医疗废物专用包装物、容器，应当有明显的警示标识和警示说明</w:t>
                  </w:r>
                </w:p>
              </w:tc>
              <w:tc>
                <w:tcPr>
                  <w:tcW w:w="155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本项目严格按照条例要求对医疗废物进行分类收集，并置于符合要求的包装物或容器内，同时张贴明显的警示标识和警示说明。另外，医疗废物暂存间，远离医疗区、食品加工区和人员活动区以及生活垃圾存放场所，并对医疗废物暂存间进行定期消毒清洁</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17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医疗卫生机构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tc>
              <w:tc>
                <w:tcPr>
                  <w:tcW w:w="15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17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医疗卫生机构应当使用防渗漏、防遗撒的专用运送工具，按照本单位确定的内部医疗废物运送时间、路线，将医疗废物收集、运送至暂时贮存地点。运送工具使用后应当在医疗卫生机构内指定的地点及时消毒和清洁</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本项目使用专用工具运送医疗废物至医疗废物暂存间，并进行及时消毒清洁</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17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医疗卫生机构应当根据就近集中处置的原则，及时将医疗废物交由医疗废物集中处置单位处置</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本项目医疗废物定期交由有资质单位集中处理</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17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医疗卫生机构产生的污水、传染病病人或者疑似传染病病人的排泄物，应当按照国家规定严格消毒；达到国家规定的排放标准后，排入污水处理系统</w:t>
                  </w:r>
                </w:p>
              </w:tc>
              <w:tc>
                <w:tcPr>
                  <w:tcW w:w="1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本项目设自建污水处理站，医疗废水经处理达标后排入市政污水管网</w:t>
                  </w:r>
                </w:p>
              </w:tc>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《医院污水处理技术指南》（环发〔2003〕197号）</w:t>
                  </w:r>
                </w:p>
              </w:tc>
              <w:tc>
                <w:tcPr>
                  <w:tcW w:w="1790" w:type="pct"/>
                  <w:tcBorders>
                    <w:tl2br w:val="nil"/>
                    <w:tr2bl w:val="nil"/>
                  </w:tcBorders>
                  <w:noWrap w:val="0"/>
                  <w:vAlign w:val="center"/>
                </w:tcPr>
                <w:p>
                  <w:pPr>
                    <w:widowControl/>
                    <w:jc w:val="left"/>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0"/>
                      <w:sz w:val="21"/>
                      <w:szCs w:val="21"/>
                      <w:lang w:bidi="ar"/>
                    </w:rPr>
                    <w:t>6.1.2医院污泥处理工艺流程污泥处理工艺以污泥消毒和污泥脱水为主。水处理工艺产生的剩余污泥在污泥消毒池内，投加石灰或漂白粉作为消毒剂进行消毒。若污泥量很小，则消毒污泥可排入化粪池进行贮存；污泥量大，则消毒污泥需经脱水后封装外运，作为危险废物进行焚烧处理。</w:t>
                  </w:r>
                </w:p>
              </w:tc>
              <w:tc>
                <w:tcPr>
                  <w:tcW w:w="1550" w:type="pct"/>
                  <w:tcBorders>
                    <w:tl2br w:val="nil"/>
                    <w:tr2bl w:val="nil"/>
                  </w:tcBorders>
                  <w:noWrap w:val="0"/>
                  <w:vAlign w:val="center"/>
                </w:tcPr>
                <w:p>
                  <w:pPr>
                    <w:widowControl/>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0"/>
                      <w:sz w:val="21"/>
                      <w:szCs w:val="21"/>
                      <w:lang w:bidi="ar"/>
                    </w:rPr>
                    <w:t>本项目建设的污水处理站产生的污泥严格按照《医院污水处理工程技术规范》（HJ2029-2013）、《国家危废管理名录（2021版）》中有关污泥处理处置要求，消毒后交由有资质单位处置。</w:t>
                  </w:r>
                </w:p>
              </w:tc>
              <w:tc>
                <w:tcPr>
                  <w:tcW w:w="523" w:type="pct"/>
                  <w:tcBorders>
                    <w:tl2br w:val="nil"/>
                    <w:tr2bl w:val="nil"/>
                  </w:tcBorders>
                  <w:noWrap w:val="0"/>
                  <w:vAlign w:val="center"/>
                </w:tcPr>
                <w:p>
                  <w:pPr>
                    <w:pStyle w:val="8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cs="Times New Roman"/>
                <w:b/>
                <w:bCs/>
                <w:color w:val="auto"/>
                <w:kern w:val="0"/>
                <w:sz w:val="24"/>
                <w:szCs w:val="24"/>
              </w:rPr>
            </w:pPr>
            <w:r>
              <w:rPr>
                <w:rFonts w:hint="eastAsia" w:ascii="Times New Roman" w:hAnsi="Times New Roman" w:cs="Times New Roman"/>
                <w:b/>
                <w:bCs/>
                <w:color w:val="auto"/>
                <w:kern w:val="0"/>
                <w:sz w:val="24"/>
                <w:szCs w:val="24"/>
                <w:lang w:val="en-US" w:eastAsia="zh-CN"/>
              </w:rPr>
              <w:t>5</w:t>
            </w:r>
            <w:r>
              <w:rPr>
                <w:rFonts w:hint="default" w:ascii="Times New Roman" w:hAnsi="Times New Roman" w:cs="Times New Roman"/>
                <w:b/>
                <w:bCs/>
                <w:color w:val="auto"/>
                <w:kern w:val="0"/>
                <w:sz w:val="24"/>
                <w:szCs w:val="24"/>
                <w:lang w:val="en-US" w:eastAsia="zh-CN"/>
              </w:rPr>
              <w:t>、</w:t>
            </w:r>
            <w:r>
              <w:rPr>
                <w:rFonts w:hint="default" w:ascii="Times New Roman" w:hAnsi="Times New Roman" w:cs="Times New Roman"/>
                <w:b/>
                <w:bCs/>
                <w:color w:val="auto"/>
                <w:kern w:val="0"/>
                <w:sz w:val="24"/>
                <w:szCs w:val="24"/>
              </w:rPr>
              <w:t>项目选址合理性分析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color w:val="auto"/>
                <w:kern w:val="0"/>
                <w:sz w:val="24"/>
                <w:szCs w:val="24"/>
              </w:rPr>
              <w:t>本项目位于</w:t>
            </w:r>
            <w:r>
              <w:rPr>
                <w:rFonts w:hint="eastAsia" w:ascii="Times New Roman" w:hAnsi="Times New Roman" w:cs="Times New Roman"/>
                <w:color w:val="auto"/>
                <w:kern w:val="0"/>
                <w:sz w:val="24"/>
                <w:szCs w:val="24"/>
                <w:lang w:eastAsia="zh-CN"/>
              </w:rPr>
              <w:t>陕西省</w:t>
            </w:r>
            <w:r>
              <w:rPr>
                <w:rFonts w:hint="eastAsia" w:ascii="Times New Roman" w:hAnsi="Times New Roman" w:cs="Times New Roman"/>
                <w:color w:val="auto"/>
                <w:kern w:val="0"/>
                <w:sz w:val="24"/>
                <w:szCs w:val="24"/>
                <w:lang w:val="en-US" w:eastAsia="zh-CN"/>
              </w:rPr>
              <w:t>安康市满意建材路与香溪路交汇处</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西侧紧邻</w:t>
            </w:r>
            <w:r>
              <w:rPr>
                <w:rFonts w:hint="eastAsia" w:ascii="Times New Roman" w:hAnsi="Times New Roman" w:cs="Times New Roman"/>
                <w:color w:val="auto"/>
                <w:kern w:val="0"/>
                <w:sz w:val="24"/>
                <w:szCs w:val="24"/>
                <w:lang w:val="en-US" w:eastAsia="zh-CN"/>
              </w:rPr>
              <w:t>老干部活动中心</w:t>
            </w:r>
            <w:r>
              <w:rPr>
                <w:rFonts w:hint="default" w:ascii="Times New Roman" w:hAnsi="Times New Roman" w:cs="Times New Roman"/>
                <w:color w:val="auto"/>
                <w:kern w:val="0"/>
                <w:sz w:val="24"/>
                <w:szCs w:val="24"/>
              </w:rPr>
              <w:t>，北侧为</w:t>
            </w:r>
            <w:r>
              <w:rPr>
                <w:rFonts w:hint="eastAsia" w:ascii="Times New Roman" w:hAnsi="Times New Roman" w:cs="Times New Roman"/>
                <w:color w:val="auto"/>
                <w:kern w:val="0"/>
                <w:sz w:val="24"/>
                <w:szCs w:val="24"/>
                <w:lang w:val="en-US" w:eastAsia="zh-CN"/>
              </w:rPr>
              <w:t>香溪路</w:t>
            </w:r>
            <w:r>
              <w:rPr>
                <w:rFonts w:hint="default" w:ascii="Times New Roman" w:hAnsi="Times New Roman" w:cs="Times New Roman"/>
                <w:color w:val="auto"/>
                <w:kern w:val="0"/>
                <w:sz w:val="24"/>
                <w:szCs w:val="24"/>
              </w:rPr>
              <w:t>、东侧</w:t>
            </w:r>
            <w:r>
              <w:rPr>
                <w:rFonts w:hint="eastAsia" w:ascii="Times New Roman" w:hAnsi="Times New Roman" w:cs="Times New Roman"/>
                <w:color w:val="auto"/>
                <w:kern w:val="0"/>
                <w:sz w:val="24"/>
                <w:szCs w:val="24"/>
                <w:lang w:val="en-US" w:eastAsia="zh-CN"/>
              </w:rPr>
              <w:t>17</w:t>
            </w:r>
            <w:r>
              <w:rPr>
                <w:rFonts w:hint="default" w:ascii="Times New Roman" w:hAnsi="Times New Roman" w:cs="Times New Roman"/>
                <w:color w:val="auto"/>
                <w:kern w:val="0"/>
                <w:sz w:val="24"/>
                <w:szCs w:val="24"/>
              </w:rPr>
              <w:t>m为</w:t>
            </w:r>
            <w:r>
              <w:rPr>
                <w:rFonts w:hint="eastAsia" w:ascii="Times New Roman" w:hAnsi="Times New Roman" w:cs="Times New Roman"/>
                <w:color w:val="auto"/>
                <w:kern w:val="0"/>
                <w:sz w:val="24"/>
                <w:szCs w:val="24"/>
                <w:lang w:val="en-US" w:eastAsia="zh-CN"/>
              </w:rPr>
              <w:t>公路一处家属院</w:t>
            </w:r>
            <w:r>
              <w:rPr>
                <w:rFonts w:hint="default" w:ascii="Times New Roman" w:hAnsi="Times New Roman" w:cs="Times New Roman"/>
                <w:color w:val="auto"/>
                <w:kern w:val="0"/>
                <w:sz w:val="24"/>
                <w:szCs w:val="24"/>
              </w:rPr>
              <w:t>、南侧</w:t>
            </w:r>
            <w:r>
              <w:rPr>
                <w:rFonts w:hint="eastAsia" w:ascii="Times New Roman" w:hAnsi="Times New Roman" w:cs="Times New Roman"/>
                <w:color w:val="auto"/>
                <w:kern w:val="0"/>
                <w:sz w:val="24"/>
                <w:szCs w:val="24"/>
                <w:lang w:val="en-US" w:eastAsia="zh-CN"/>
              </w:rPr>
              <w:t>12m为香溪路竹园</w:t>
            </w:r>
            <w:r>
              <w:rPr>
                <w:rFonts w:hint="default" w:ascii="Times New Roman" w:hAnsi="Times New Roman" w:cs="Times New Roman"/>
                <w:color w:val="auto"/>
                <w:kern w:val="0"/>
                <w:sz w:val="24"/>
                <w:szCs w:val="24"/>
              </w:rPr>
              <w:t>小区</w:t>
            </w:r>
            <w:r>
              <w:rPr>
                <w:rFonts w:hint="default" w:ascii="Times New Roman" w:hAnsi="Times New Roman" w:eastAsia="宋体" w:cs="Times New Roman"/>
                <w:color w:val="auto"/>
                <w:kern w:val="0"/>
                <w:sz w:val="24"/>
                <w:szCs w:val="24"/>
              </w:rPr>
              <w:t>。</w:t>
            </w:r>
            <w:r>
              <w:rPr>
                <w:rFonts w:hint="default" w:ascii="Times New Roman" w:hAnsi="Times New Roman" w:cs="Times New Roman"/>
                <w:b w:val="0"/>
                <w:bCs w:val="0"/>
                <w:color w:val="auto"/>
                <w:sz w:val="24"/>
                <w:szCs w:val="24"/>
                <w:lang w:val="en-US" w:eastAsia="zh-CN"/>
              </w:rPr>
              <w:t>根据现场勘查，项目所在区域无集中式饮用水源地保护区、自然保护区、风景名胜区等特别需要保护的区域，亦无濒危动植物物种及国家保护物种。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本项目</w:t>
            </w:r>
            <w:r>
              <w:rPr>
                <w:rFonts w:hint="eastAsia" w:ascii="Times New Roman" w:hAnsi="Times New Roman" w:cs="Times New Roman"/>
                <w:color w:val="auto"/>
                <w:kern w:val="0"/>
                <w:sz w:val="24"/>
                <w:szCs w:val="24"/>
                <w:highlight w:val="none"/>
                <w:lang w:val="en-US" w:eastAsia="zh-CN"/>
              </w:rPr>
              <w:t>为妇产医院建设项目，项目租赁原老干部活动中心大楼，于2013年建设完成并投入使用，项目用地性质为医院用地，用地选址符合相关要求。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综上所述，本项目排放的各类污染物通过采取相应的污染防治措施后，对周围环境影响较小，从环境影响角度分析，本项目选址合理。</w:t>
            </w:r>
          </w:p>
          <w:p>
            <w:pPr>
              <w:keepNext w:val="0"/>
              <w:keepLines w:val="0"/>
              <w:pageBreakBefore w:val="0"/>
              <w:widowControl w:val="0"/>
              <w:kinsoku/>
              <w:wordWrap/>
              <w:overflowPunct/>
              <w:topLinePunct w:val="0"/>
              <w:autoSpaceDE w:val="0"/>
              <w:autoSpaceDN w:val="0"/>
              <w:bidi w:val="0"/>
              <w:adjustRightInd w:val="0"/>
              <w:snapToGrid w:val="0"/>
              <w:rPr>
                <w:rFonts w:hint="default" w:ascii="Times New Roman" w:hAnsi="Times New Roman" w:cs="Times New Roman"/>
                <w:color w:val="auto"/>
                <w:kern w:val="0"/>
                <w:sz w:val="24"/>
                <w:szCs w:val="24"/>
              </w:rPr>
            </w:pPr>
          </w:p>
        </w:tc>
      </w:tr>
    </w:tbl>
    <w:p>
      <w:pPr>
        <w:spacing w:line="360" w:lineRule="auto"/>
        <w:outlineLvl w:val="0"/>
        <w:rPr>
          <w:color w:val="auto"/>
          <w:sz w:val="30"/>
        </w:rPr>
        <w:sectPr>
          <w:footerReference r:id="rId5" w:type="default"/>
          <w:pgSz w:w="11906" w:h="16838"/>
          <w:pgMar w:top="1440" w:right="1080" w:bottom="1440" w:left="1080"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snapToGrid w:val="0"/>
          <w:color w:val="auto"/>
          <w:sz w:val="30"/>
          <w:szCs w:val="30"/>
        </w:rPr>
      </w:pPr>
      <w:r>
        <w:rPr>
          <w:rFonts w:hint="eastAsia" w:ascii="Times New Roman" w:hAnsi="Times New Roman"/>
          <w:snapToGrid w:val="0"/>
          <w:color w:val="auto"/>
          <w:sz w:val="30"/>
          <w:szCs w:val="30"/>
        </w:rPr>
        <w:t>二、建设项目工程分析</w:t>
      </w:r>
    </w:p>
    <w:tbl>
      <w:tblPr>
        <w:tblStyle w:val="2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382" w:type="pct"/>
            <w:tcBorders>
              <w:tl2br w:val="nil"/>
              <w:tr2bl w:val="nil"/>
            </w:tcBorders>
            <w:noWrap w:val="0"/>
            <w:vAlign w:val="center"/>
          </w:tcPr>
          <w:p>
            <w:pPr>
              <w:pStyle w:val="22"/>
              <w:adjustRightInd w:val="0"/>
              <w:snapToGrid w:val="0"/>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4"/>
                <w:szCs w:val="24"/>
              </w:rPr>
              <w:t>建设内容</w:t>
            </w:r>
          </w:p>
        </w:tc>
        <w:tc>
          <w:tcPr>
            <w:tcW w:w="4617" w:type="pct"/>
            <w:tcBorders>
              <w:tl2br w:val="nil"/>
              <w:tr2bl w:val="nil"/>
            </w:tcBorders>
            <w:noWrap w:val="0"/>
            <w:vAlign w:val="top"/>
          </w:tcPr>
          <w:p>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eastAsia="宋体" w:cs="Times New Roman"/>
                <w:b/>
                <w:bCs/>
                <w:color w:val="auto"/>
                <w:sz w:val="24"/>
                <w:szCs w:val="24"/>
                <w:lang w:val="en-US" w:eastAsia="zh-CN"/>
              </w:rPr>
              <w:t>1、项目由来</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随着人民生活水平的进一步提高以及多胎政策实施，人民群众对妇女儿童医疗卫生服务的需求必将进一步扩大，更希望在家门口就能享受到优质医疗资源的服务。</w:t>
            </w:r>
            <w:r>
              <w:rPr>
                <w:rFonts w:hint="eastAsia" w:ascii="Times New Roman" w:hAnsi="Times New Roman" w:cs="Times New Roman"/>
                <w:b w:val="0"/>
                <w:bCs w:val="0"/>
                <w:color w:val="auto"/>
                <w:sz w:val="24"/>
                <w:szCs w:val="24"/>
                <w:lang w:val="en-US" w:eastAsia="zh-CN"/>
              </w:rPr>
              <w:t>为全面提升安康市妇女儿童医疗卫生服务水平，安康华兴妇产医院于2013年租赁安康市老干部活动中心综合楼（第三、四、五层除外）建设完成并投入运营，主要诊疗科目有预防保健科、妇产科、妇女保健科、儿科、麻醉科、医学检验科、医学影像科等，各科室配备有相关医疗设备。主要分布于老干部活动中心综合楼-1层-2层，6层-16层。</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根据《中华人民共和国环境保护法》、《中华人民共和国环境影响评价法》、《建设项目环境保护管理条例》的要求，本项目需开展环境影响评价工作。本项目</w:t>
            </w:r>
            <w:r>
              <w:rPr>
                <w:rFonts w:hint="default" w:ascii="Times New Roman" w:hAnsi="Times New Roman" w:eastAsia="宋体" w:cs="Times New Roman"/>
                <w:color w:val="auto"/>
                <w:sz w:val="24"/>
                <w:szCs w:val="24"/>
                <w:lang w:val="en-US" w:eastAsia="zh-CN"/>
              </w:rPr>
              <w:t>为</w:t>
            </w:r>
            <w:r>
              <w:rPr>
                <w:rFonts w:hint="eastAsia" w:ascii="Times New Roman" w:hAnsi="Times New Roman" w:cs="Times New Roman"/>
                <w:color w:val="auto"/>
                <w:sz w:val="24"/>
                <w:szCs w:val="24"/>
                <w:lang w:val="en-US" w:eastAsia="zh-CN"/>
              </w:rPr>
              <w:t>专科</w:t>
            </w:r>
            <w:r>
              <w:rPr>
                <w:rFonts w:hint="default" w:ascii="Times New Roman" w:hAnsi="Times New Roman" w:eastAsia="宋体" w:cs="Times New Roman"/>
                <w:color w:val="auto"/>
                <w:sz w:val="24"/>
                <w:szCs w:val="24"/>
                <w:lang w:val="en-US" w:eastAsia="zh-CN"/>
              </w:rPr>
              <w:t>医院建设项目，</w:t>
            </w:r>
            <w:r>
              <w:rPr>
                <w:rFonts w:hint="default" w:ascii="Times New Roman" w:hAnsi="Times New Roman" w:eastAsia="宋体" w:cs="Times New Roman"/>
                <w:color w:val="auto"/>
                <w:sz w:val="24"/>
                <w:szCs w:val="24"/>
                <w:highlight w:val="none"/>
                <w:lang w:val="en-US" w:eastAsia="zh-CN"/>
              </w:rPr>
              <w:t>床位数</w:t>
            </w:r>
            <w:r>
              <w:rPr>
                <w:rFonts w:hint="eastAsia" w:ascii="Times New Roman" w:hAnsi="Times New Roman" w:cs="Times New Roman"/>
                <w:color w:val="auto"/>
                <w:sz w:val="24"/>
                <w:szCs w:val="24"/>
                <w:highlight w:val="none"/>
                <w:lang w:val="en-US" w:eastAsia="zh-CN"/>
              </w:rPr>
              <w:t>66</w:t>
            </w:r>
            <w:r>
              <w:rPr>
                <w:rFonts w:hint="default" w:ascii="Times New Roman" w:hAnsi="Times New Roman" w:eastAsia="宋体" w:cs="Times New Roman"/>
                <w:color w:val="auto"/>
                <w:sz w:val="24"/>
                <w:szCs w:val="24"/>
                <w:highlight w:val="none"/>
                <w:lang w:val="en-US" w:eastAsia="zh-CN"/>
              </w:rPr>
              <w:t>张</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根据《建设项目环境影响评价分类管理名录》（</w:t>
            </w:r>
            <w:r>
              <w:rPr>
                <w:rFonts w:hint="default" w:ascii="Times New Roman" w:hAnsi="Times New Roman" w:eastAsia="宋体" w:cs="Times New Roman"/>
                <w:color w:val="auto"/>
                <w:sz w:val="24"/>
                <w:szCs w:val="24"/>
                <w:lang w:val="en-US" w:eastAsia="zh-CN"/>
              </w:rPr>
              <w:t>2021年版</w:t>
            </w:r>
            <w:r>
              <w:rPr>
                <w:rFonts w:hint="default" w:ascii="Times New Roman" w:hAnsi="Times New Roman" w:eastAsia="宋体" w:cs="Times New Roman"/>
                <w:color w:val="auto"/>
                <w:sz w:val="24"/>
                <w:szCs w:val="24"/>
              </w:rPr>
              <w:t>）规定，属于</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四十九、卫生84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108、</w:t>
            </w:r>
            <w:r>
              <w:rPr>
                <w:rFonts w:hint="eastAsia" w:ascii="Times New Roman" w:hAnsi="Times New Roman" w:cs="Times New Roman"/>
                <w:color w:val="auto"/>
                <w:sz w:val="24"/>
                <w:szCs w:val="24"/>
                <w:lang w:val="en-US" w:eastAsia="zh-CN"/>
              </w:rPr>
              <w:t>专科疾病防治院（所、站）</w:t>
            </w:r>
            <w:r>
              <w:rPr>
                <w:rFonts w:hint="default" w:ascii="Times New Roman" w:hAnsi="Times New Roman" w:cs="Times New Roman"/>
                <w:color w:val="auto"/>
                <w:sz w:val="24"/>
                <w:szCs w:val="24"/>
              </w:rPr>
              <w:t>84</w:t>
            </w:r>
            <w:r>
              <w:rPr>
                <w:rFonts w:hint="eastAsia" w:ascii="Times New Roman" w:hAnsi="Times New Roman" w:cs="Times New Roman"/>
                <w:color w:val="auto"/>
                <w:sz w:val="24"/>
                <w:szCs w:val="24"/>
                <w:lang w:val="en-US" w:eastAsia="zh-CN"/>
              </w:rPr>
              <w:t>32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其他（住院床位20张以下的除外）</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，应编制建设项目环境影响报告表</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202</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月，</w:t>
            </w:r>
            <w:r>
              <w:rPr>
                <w:rFonts w:hint="eastAsia" w:ascii="Times New Roman" w:hAnsi="Times New Roman" w:cs="Times New Roman"/>
                <w:color w:val="auto"/>
                <w:sz w:val="24"/>
                <w:szCs w:val="24"/>
                <w:lang w:val="en-US" w:eastAsia="zh-CN"/>
              </w:rPr>
              <w:t>安康华兴妇产医院</w:t>
            </w:r>
            <w:r>
              <w:rPr>
                <w:rFonts w:hint="default" w:ascii="Times New Roman" w:hAnsi="Times New Roman" w:eastAsia="宋体" w:cs="Times New Roman"/>
                <w:color w:val="auto"/>
                <w:sz w:val="24"/>
                <w:szCs w:val="24"/>
                <w:lang w:eastAsia="zh-CN"/>
              </w:rPr>
              <w:t>委托</w:t>
            </w:r>
            <w:r>
              <w:rPr>
                <w:rFonts w:hint="default" w:ascii="Times New Roman" w:hAnsi="Times New Roman" w:eastAsia="宋体" w:cs="Times New Roman"/>
                <w:color w:val="auto"/>
                <w:sz w:val="24"/>
                <w:szCs w:val="24"/>
                <w:lang w:val="en-US" w:eastAsia="zh-CN"/>
              </w:rPr>
              <w:t>我</w:t>
            </w:r>
            <w:r>
              <w:rPr>
                <w:rFonts w:hint="default" w:ascii="Times New Roman" w:hAnsi="Times New Roman" w:eastAsia="宋体" w:cs="Times New Roman"/>
                <w:color w:val="auto"/>
                <w:sz w:val="24"/>
                <w:szCs w:val="24"/>
                <w:lang w:eastAsia="zh-CN"/>
              </w:rPr>
              <w:t>公司承担该项目环境影响评价工作。</w:t>
            </w:r>
            <w:r>
              <w:rPr>
                <w:rFonts w:hint="default" w:ascii="Times New Roman" w:hAnsi="Times New Roman" w:eastAsia="宋体" w:cs="Times New Roman"/>
                <w:color w:val="auto"/>
                <w:sz w:val="24"/>
                <w:szCs w:val="24"/>
              </w:rPr>
              <w:t>我公司接受委托后，组织有关技术人员进行了现场踏勘，收集了建设项目所在地区的自然环境资料，在认真分析建设项目和</w:t>
            </w:r>
            <w:r>
              <w:rPr>
                <w:rFonts w:hint="default" w:ascii="Times New Roman" w:hAnsi="Times New Roman" w:eastAsia="宋体" w:cs="Times New Roman"/>
                <w:color w:val="auto"/>
                <w:sz w:val="24"/>
                <w:szCs w:val="24"/>
                <w:lang w:eastAsia="zh-CN"/>
              </w:rPr>
              <w:t>周围</w:t>
            </w:r>
            <w:r>
              <w:rPr>
                <w:rFonts w:hint="default" w:ascii="Times New Roman" w:hAnsi="Times New Roman" w:eastAsia="宋体" w:cs="Times New Roman"/>
                <w:color w:val="auto"/>
                <w:sz w:val="24"/>
                <w:szCs w:val="24"/>
              </w:rPr>
              <w:t>环境现状的基础上，按照环境影响评价技术导则</w:t>
            </w:r>
            <w:r>
              <w:rPr>
                <w:rFonts w:hint="default" w:ascii="Times New Roman" w:hAnsi="Times New Roman" w:eastAsia="宋体" w:cs="Times New Roman"/>
                <w:color w:val="auto"/>
                <w:sz w:val="24"/>
                <w:szCs w:val="24"/>
                <w:lang w:eastAsia="zh-CN"/>
              </w:rPr>
              <w:t>和《建设项目环境影响报告表编制技术指南》（污染影响类）（试行）</w:t>
            </w:r>
            <w:r>
              <w:rPr>
                <w:rFonts w:hint="default" w:ascii="Times New Roman" w:hAnsi="Times New Roman" w:eastAsia="宋体" w:cs="Times New Roman"/>
                <w:color w:val="auto"/>
                <w:sz w:val="24"/>
                <w:szCs w:val="24"/>
              </w:rPr>
              <w:t>规定，编制完成了《</w:t>
            </w:r>
            <w:r>
              <w:rPr>
                <w:rFonts w:hint="eastAsia" w:ascii="Times New Roman" w:hAnsi="Times New Roman" w:cs="Times New Roman"/>
                <w:color w:val="auto"/>
                <w:sz w:val="24"/>
                <w:szCs w:val="24"/>
                <w:lang w:val="en-US" w:eastAsia="zh-CN"/>
              </w:rPr>
              <w:t>安康华兴妇产医院建设项目</w:t>
            </w:r>
            <w:r>
              <w:rPr>
                <w:rFonts w:hint="default" w:ascii="Times New Roman" w:hAnsi="Times New Roman" w:eastAsia="宋体" w:cs="Times New Roman"/>
                <w:color w:val="auto"/>
                <w:sz w:val="24"/>
                <w:szCs w:val="24"/>
              </w:rPr>
              <w:t>环境影响报告表》。</w:t>
            </w:r>
          </w:p>
          <w:p>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2、项目概况</w:t>
            </w:r>
          </w:p>
          <w:p>
            <w:pPr>
              <w:keepNext w:val="0"/>
              <w:keepLines w:val="0"/>
              <w:pageBreakBefore w:val="0"/>
              <w:widowControl w:val="0"/>
              <w:numPr>
                <w:ilvl w:val="0"/>
                <w:numId w:val="7"/>
              </w:numPr>
              <w:kinsoku/>
              <w:wordWrap/>
              <w:overflowPunct/>
              <w:topLinePunct w:val="0"/>
              <w:autoSpaceDE/>
              <w:autoSpaceDN/>
              <w:bidi w:val="0"/>
              <w:snapToGrid w:val="0"/>
              <w:spacing w:line="360" w:lineRule="auto"/>
              <w:ind w:left="0" w:right="0"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项目名称：</w:t>
            </w:r>
            <w:r>
              <w:rPr>
                <w:rFonts w:hint="eastAsia" w:ascii="Times New Roman" w:hAnsi="Times New Roman" w:cs="Times New Roman"/>
                <w:color w:val="auto"/>
                <w:sz w:val="24"/>
                <w:szCs w:val="24"/>
                <w:lang w:val="en-US" w:eastAsia="zh-CN"/>
              </w:rPr>
              <w:t>安康华兴妇产医院建设项目</w:t>
            </w:r>
          </w:p>
          <w:p>
            <w:pPr>
              <w:keepNext w:val="0"/>
              <w:keepLines w:val="0"/>
              <w:pageBreakBefore w:val="0"/>
              <w:widowControl w:val="0"/>
              <w:numPr>
                <w:ilvl w:val="0"/>
                <w:numId w:val="7"/>
              </w:numPr>
              <w:kinsoku/>
              <w:wordWrap/>
              <w:overflowPunct/>
              <w:topLinePunct w:val="0"/>
              <w:autoSpaceDE/>
              <w:autoSpaceDN/>
              <w:bidi w:val="0"/>
              <w:snapToGrid w:val="0"/>
              <w:spacing w:line="360" w:lineRule="auto"/>
              <w:ind w:left="0" w:right="0"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建设性质：新建</w:t>
            </w:r>
          </w:p>
          <w:p>
            <w:pPr>
              <w:keepNext w:val="0"/>
              <w:keepLines w:val="0"/>
              <w:pageBreakBefore w:val="0"/>
              <w:widowControl w:val="0"/>
              <w:kinsoku/>
              <w:wordWrap/>
              <w:overflowPunct/>
              <w:topLinePunct w:val="0"/>
              <w:autoSpaceDE/>
              <w:autoSpaceDN/>
              <w:bidi w:val="0"/>
              <w:snapToGrid w:val="0"/>
              <w:spacing w:line="360" w:lineRule="auto"/>
              <w:ind w:left="0" w:right="0"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（3）建设单位：</w:t>
            </w:r>
            <w:r>
              <w:rPr>
                <w:rFonts w:hint="eastAsia" w:ascii="Times New Roman" w:hAnsi="Times New Roman" w:cs="Times New Roman"/>
                <w:color w:val="auto"/>
                <w:kern w:val="0"/>
                <w:sz w:val="24"/>
                <w:szCs w:val="24"/>
                <w:highlight w:val="none"/>
                <w:lang w:val="en-US" w:eastAsia="zh-CN" w:bidi="ar-SA"/>
              </w:rPr>
              <w:t>安康华兴妇产医院</w:t>
            </w:r>
          </w:p>
          <w:p>
            <w:pPr>
              <w:keepNext w:val="0"/>
              <w:keepLines w:val="0"/>
              <w:pageBreakBefore w:val="0"/>
              <w:widowControl w:val="0"/>
              <w:kinsoku/>
              <w:wordWrap/>
              <w:overflowPunct/>
              <w:topLinePunct w:val="0"/>
              <w:autoSpaceDE/>
              <w:autoSpaceDN/>
              <w:bidi w:val="0"/>
              <w:snapToGrid w:val="0"/>
              <w:spacing w:line="360" w:lineRule="auto"/>
              <w:ind w:left="0" w:right="0"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（4）总投资：</w:t>
            </w:r>
            <w:r>
              <w:rPr>
                <w:rFonts w:hint="eastAsia" w:ascii="Times New Roman" w:hAnsi="Times New Roman" w:eastAsia="宋体" w:cs="Times New Roman"/>
                <w:color w:val="auto"/>
                <w:kern w:val="0"/>
                <w:sz w:val="24"/>
                <w:szCs w:val="24"/>
                <w:highlight w:val="none"/>
                <w:lang w:val="en-US" w:eastAsia="zh-CN" w:bidi="ar-SA"/>
              </w:rPr>
              <w:t>2</w:t>
            </w:r>
            <w:r>
              <w:rPr>
                <w:rFonts w:hint="eastAsia" w:ascii="Times New Roman" w:hAnsi="Times New Roman" w:cs="Times New Roman"/>
                <w:color w:val="auto"/>
                <w:kern w:val="0"/>
                <w:sz w:val="24"/>
                <w:szCs w:val="24"/>
                <w:highlight w:val="none"/>
                <w:lang w:val="en-US" w:eastAsia="zh-CN" w:bidi="ar-SA"/>
              </w:rPr>
              <w:t>6</w:t>
            </w:r>
            <w:r>
              <w:rPr>
                <w:rFonts w:hint="eastAsia" w:ascii="Times New Roman" w:hAnsi="Times New Roman" w:eastAsia="宋体" w:cs="Times New Roman"/>
                <w:color w:val="auto"/>
                <w:kern w:val="0"/>
                <w:sz w:val="24"/>
                <w:szCs w:val="24"/>
                <w:highlight w:val="none"/>
                <w:lang w:val="en-US" w:eastAsia="zh-CN" w:bidi="ar-SA"/>
              </w:rPr>
              <w:t>00</w:t>
            </w:r>
            <w:r>
              <w:rPr>
                <w:rFonts w:hint="default" w:ascii="Times New Roman" w:hAnsi="Times New Roman" w:eastAsia="宋体" w:cs="Times New Roman"/>
                <w:color w:val="auto"/>
                <w:kern w:val="0"/>
                <w:sz w:val="24"/>
                <w:szCs w:val="24"/>
                <w:highlight w:val="none"/>
                <w:lang w:val="en-US" w:eastAsia="zh-CN" w:bidi="ar-SA"/>
              </w:rPr>
              <w:t>万元</w:t>
            </w:r>
          </w:p>
          <w:p>
            <w:pPr>
              <w:keepNext w:val="0"/>
              <w:keepLines w:val="0"/>
              <w:pageBreakBefore w:val="0"/>
              <w:widowControl w:val="0"/>
              <w:kinsoku/>
              <w:wordWrap/>
              <w:overflowPunct/>
              <w:topLinePunct w:val="0"/>
              <w:autoSpaceDE/>
              <w:autoSpaceDN/>
              <w:bidi w:val="0"/>
              <w:snapToGrid w:val="0"/>
              <w:spacing w:line="360" w:lineRule="auto"/>
              <w:ind w:left="0" w:right="0"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（5）建设地点：陕西省</w:t>
            </w:r>
            <w:r>
              <w:rPr>
                <w:rFonts w:hint="eastAsia" w:ascii="Times New Roman" w:hAnsi="Times New Roman" w:cs="Times New Roman"/>
                <w:color w:val="auto"/>
                <w:kern w:val="0"/>
                <w:sz w:val="24"/>
                <w:szCs w:val="24"/>
                <w:highlight w:val="none"/>
                <w:lang w:val="en-US" w:eastAsia="zh-CN" w:bidi="ar-SA"/>
              </w:rPr>
              <w:t>安康市满意建材路与香溪路交汇处</w:t>
            </w:r>
          </w:p>
          <w:p>
            <w:pPr>
              <w:keepNext w:val="0"/>
              <w:keepLines w:val="0"/>
              <w:pageBreakBefore w:val="0"/>
              <w:widowControl w:val="0"/>
              <w:kinsoku/>
              <w:wordWrap/>
              <w:overflowPunct/>
              <w:topLinePunct w:val="0"/>
              <w:autoSpaceDE/>
              <w:autoSpaceDN/>
              <w:bidi w:val="0"/>
              <w:snapToGrid w:val="0"/>
              <w:spacing w:line="360" w:lineRule="auto"/>
              <w:ind w:left="0" w:right="0" w:firstLine="480" w:firstLineChars="200"/>
              <w:textAlignment w:val="auto"/>
              <w:rPr>
                <w:rFonts w:hint="eastAsia" w:ascii="Times New Roman" w:hAnsi="Times New Roman"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（6）</w:t>
            </w:r>
            <w:r>
              <w:rPr>
                <w:rFonts w:hint="eastAsia" w:ascii="Times New Roman" w:hAnsi="Times New Roman" w:cs="Times New Roman"/>
                <w:color w:val="auto"/>
                <w:kern w:val="0"/>
                <w:sz w:val="24"/>
                <w:szCs w:val="24"/>
                <w:highlight w:val="none"/>
                <w:lang w:val="en-US" w:eastAsia="zh-CN" w:bidi="ar-SA"/>
              </w:rPr>
              <w:t>工作制度及劳动定员：医院劳动定员共70人，其中医护人员35人，后勤人员35人。年工作365天。</w:t>
            </w:r>
          </w:p>
          <w:p>
            <w:pPr>
              <w:keepNext w:val="0"/>
              <w:keepLines w:val="0"/>
              <w:pageBreakBefore w:val="0"/>
              <w:widowControl w:val="0"/>
              <w:kinsoku/>
              <w:wordWrap/>
              <w:overflowPunct/>
              <w:topLinePunct w:val="0"/>
              <w:autoSpaceDE/>
              <w:autoSpaceDN/>
              <w:bidi w:val="0"/>
              <w:snapToGrid w:val="0"/>
              <w:spacing w:line="360" w:lineRule="auto"/>
              <w:ind w:left="0" w:right="0" w:firstLine="480" w:firstLineChars="200"/>
              <w:textAlignment w:val="auto"/>
              <w:rPr>
                <w:rFonts w:hint="default" w:ascii="Times New Roman" w:hAnsi="Times New Roman" w:eastAsia="宋体" w:cs="Times New Roman"/>
                <w:color w:val="auto"/>
                <w:kern w:val="0"/>
                <w:sz w:val="24"/>
                <w:szCs w:val="24"/>
                <w:highlight w:val="yellow"/>
                <w:lang w:val="en-US" w:eastAsia="zh-CN" w:bidi="ar-SA"/>
              </w:rPr>
            </w:pPr>
            <w:r>
              <w:rPr>
                <w:rFonts w:hint="eastAsia" w:ascii="Times New Roman" w:hAnsi="Times New Roman" w:cs="Times New Roman"/>
                <w:color w:val="auto"/>
                <w:kern w:val="0"/>
                <w:sz w:val="24"/>
                <w:szCs w:val="24"/>
                <w:highlight w:val="none"/>
                <w:lang w:val="en-US" w:eastAsia="zh-CN" w:bidi="ar-SA"/>
              </w:rPr>
              <w:t>（7）四邻关系：</w:t>
            </w:r>
            <w:r>
              <w:rPr>
                <w:rFonts w:hint="default" w:ascii="Times New Roman" w:hAnsi="Times New Roman" w:cs="Times New Roman"/>
                <w:color w:val="auto"/>
                <w:kern w:val="0"/>
                <w:sz w:val="24"/>
                <w:szCs w:val="24"/>
              </w:rPr>
              <w:t>本项目位于</w:t>
            </w:r>
            <w:r>
              <w:rPr>
                <w:rFonts w:hint="eastAsia" w:ascii="Times New Roman" w:hAnsi="Times New Roman" w:cs="Times New Roman"/>
                <w:color w:val="auto"/>
                <w:kern w:val="0"/>
                <w:sz w:val="24"/>
                <w:szCs w:val="24"/>
                <w:lang w:eastAsia="zh-CN"/>
              </w:rPr>
              <w:t>陕西省</w:t>
            </w:r>
            <w:r>
              <w:rPr>
                <w:rFonts w:hint="eastAsia" w:ascii="Times New Roman" w:hAnsi="Times New Roman" w:cs="Times New Roman"/>
                <w:color w:val="auto"/>
                <w:kern w:val="0"/>
                <w:sz w:val="24"/>
                <w:szCs w:val="24"/>
                <w:lang w:val="en-US" w:eastAsia="zh-CN"/>
              </w:rPr>
              <w:t>安康市满意建材路与香溪路交汇处</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西侧紧邻</w:t>
            </w:r>
            <w:r>
              <w:rPr>
                <w:rFonts w:hint="eastAsia" w:ascii="Times New Roman" w:hAnsi="Times New Roman" w:cs="Times New Roman"/>
                <w:color w:val="auto"/>
                <w:kern w:val="0"/>
                <w:sz w:val="24"/>
                <w:szCs w:val="24"/>
                <w:lang w:val="en-US" w:eastAsia="zh-CN"/>
              </w:rPr>
              <w:t>老干部活动中心</w:t>
            </w:r>
            <w:r>
              <w:rPr>
                <w:rFonts w:hint="default" w:ascii="Times New Roman" w:hAnsi="Times New Roman" w:cs="Times New Roman"/>
                <w:color w:val="auto"/>
                <w:kern w:val="0"/>
                <w:sz w:val="24"/>
                <w:szCs w:val="24"/>
              </w:rPr>
              <w:t>，北侧为</w:t>
            </w:r>
            <w:r>
              <w:rPr>
                <w:rFonts w:hint="eastAsia" w:ascii="Times New Roman" w:hAnsi="Times New Roman" w:cs="Times New Roman"/>
                <w:color w:val="auto"/>
                <w:kern w:val="0"/>
                <w:sz w:val="24"/>
                <w:szCs w:val="24"/>
                <w:lang w:val="en-US" w:eastAsia="zh-CN"/>
              </w:rPr>
              <w:t>香溪路</w:t>
            </w:r>
            <w:r>
              <w:rPr>
                <w:rFonts w:hint="default" w:ascii="Times New Roman" w:hAnsi="Times New Roman" w:cs="Times New Roman"/>
                <w:color w:val="auto"/>
                <w:kern w:val="0"/>
                <w:sz w:val="24"/>
                <w:szCs w:val="24"/>
              </w:rPr>
              <w:t>、东侧</w:t>
            </w:r>
            <w:r>
              <w:rPr>
                <w:rFonts w:hint="eastAsia" w:ascii="Times New Roman" w:hAnsi="Times New Roman" w:cs="Times New Roman"/>
                <w:color w:val="auto"/>
                <w:kern w:val="0"/>
                <w:sz w:val="24"/>
                <w:szCs w:val="24"/>
                <w:lang w:val="en-US" w:eastAsia="zh-CN"/>
              </w:rPr>
              <w:t>17</w:t>
            </w:r>
            <w:r>
              <w:rPr>
                <w:rFonts w:hint="default" w:ascii="Times New Roman" w:hAnsi="Times New Roman" w:cs="Times New Roman"/>
                <w:color w:val="auto"/>
                <w:kern w:val="0"/>
                <w:sz w:val="24"/>
                <w:szCs w:val="24"/>
              </w:rPr>
              <w:t>m为</w:t>
            </w:r>
            <w:r>
              <w:rPr>
                <w:rFonts w:hint="eastAsia" w:ascii="Times New Roman" w:hAnsi="Times New Roman" w:cs="Times New Roman"/>
                <w:color w:val="auto"/>
                <w:kern w:val="0"/>
                <w:sz w:val="24"/>
                <w:szCs w:val="24"/>
                <w:lang w:val="en-US" w:eastAsia="zh-CN"/>
              </w:rPr>
              <w:t>公路一处家属院</w:t>
            </w:r>
            <w:r>
              <w:rPr>
                <w:rFonts w:hint="default" w:ascii="Times New Roman" w:hAnsi="Times New Roman" w:cs="Times New Roman"/>
                <w:color w:val="auto"/>
                <w:kern w:val="0"/>
                <w:sz w:val="24"/>
                <w:szCs w:val="24"/>
              </w:rPr>
              <w:t>、南侧</w:t>
            </w:r>
            <w:r>
              <w:rPr>
                <w:rFonts w:hint="eastAsia" w:ascii="Times New Roman" w:hAnsi="Times New Roman" w:cs="Times New Roman"/>
                <w:color w:val="auto"/>
                <w:kern w:val="0"/>
                <w:sz w:val="24"/>
                <w:szCs w:val="24"/>
                <w:lang w:val="en-US" w:eastAsia="zh-CN"/>
              </w:rPr>
              <w:t>12m为香溪路竹园</w:t>
            </w:r>
            <w:r>
              <w:rPr>
                <w:rFonts w:hint="default" w:ascii="Times New Roman" w:hAnsi="Times New Roman" w:cs="Times New Roman"/>
                <w:color w:val="auto"/>
                <w:kern w:val="0"/>
                <w:sz w:val="24"/>
                <w:szCs w:val="24"/>
              </w:rPr>
              <w:t>小区</w:t>
            </w:r>
            <w:r>
              <w:rPr>
                <w:rFonts w:hint="default" w:ascii="Times New Roman" w:hAnsi="Times New Roman" w:eastAsia="宋体" w:cs="Times New Roman"/>
                <w:color w:val="auto"/>
                <w:kern w:val="0"/>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3、主要建设内容及规模</w:t>
            </w:r>
          </w:p>
          <w:p>
            <w:pPr>
              <w:pStyle w:val="52"/>
              <w:keepNext w:val="0"/>
              <w:keepLines w:val="0"/>
              <w:pageBreakBefore w:val="0"/>
              <w:kinsoku/>
              <w:wordWrap/>
              <w:overflowPunct/>
              <w:topLinePunct w:val="0"/>
              <w:autoSpaceDE/>
              <w:autoSpaceDN/>
              <w:bidi w:val="0"/>
              <w:snapToGrid w:val="0"/>
              <w:spacing w:line="360" w:lineRule="auto"/>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4"/>
                <w:szCs w:val="24"/>
                <w:lang w:val="en-US" w:eastAsia="zh-CN"/>
              </w:rPr>
              <w:t>本项目为医院建设项目，不设置传染病科，项目工程组成情况具体</w:t>
            </w:r>
            <w:r>
              <w:rPr>
                <w:rFonts w:hint="default" w:ascii="Times New Roman" w:hAnsi="Times New Roman" w:cs="Times New Roman"/>
                <w:color w:val="auto"/>
                <w:sz w:val="24"/>
                <w:szCs w:val="24"/>
              </w:rPr>
              <w:t>详见表</w:t>
            </w:r>
            <w:r>
              <w:rPr>
                <w:rFonts w:hint="default" w:ascii="Times New Roman" w:hAnsi="Times New Roman" w:cs="Times New Roman"/>
                <w:color w:val="auto"/>
                <w:sz w:val="24"/>
                <w:szCs w:val="24"/>
                <w:lang w:val="en-US" w:eastAsia="zh-CN"/>
              </w:rPr>
              <w:t>2-1</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rPr>
              <w:t>表</w:t>
            </w:r>
            <w:r>
              <w:rPr>
                <w:rFonts w:hint="default" w:ascii="Times New Roman" w:hAnsi="Times New Roman" w:cs="Times New Roman"/>
                <w:b/>
                <w:color w:val="auto"/>
                <w:sz w:val="24"/>
                <w:szCs w:val="24"/>
                <w:lang w:val="en-US" w:eastAsia="zh-CN"/>
              </w:rPr>
              <w:t>2-1</w:t>
            </w:r>
            <w:r>
              <w:rPr>
                <w:rFonts w:hint="eastAsia"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lang w:eastAsia="zh-CN"/>
              </w:rPr>
              <w:t>项目建设内容一览</w:t>
            </w:r>
            <w:r>
              <w:rPr>
                <w:rFonts w:hint="default" w:ascii="Times New Roman" w:hAnsi="Times New Roman" w:cs="Times New Roman"/>
                <w:b/>
                <w:color w:val="auto"/>
                <w:sz w:val="24"/>
                <w:szCs w:val="24"/>
              </w:rPr>
              <w:t>表</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0"/>
              <w:gridCol w:w="891"/>
              <w:gridCol w:w="5934"/>
              <w:gridCol w:w="9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类别</w:t>
                  </w:r>
                </w:p>
              </w:tc>
              <w:tc>
                <w:tcPr>
                  <w:tcW w:w="763" w:type="pct"/>
                  <w:gridSpan w:val="2"/>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名称</w:t>
                  </w:r>
                </w:p>
              </w:tc>
              <w:tc>
                <w:tcPr>
                  <w:tcW w:w="3304" w:type="pct"/>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建设内容</w:t>
                  </w:r>
                </w:p>
              </w:tc>
              <w:tc>
                <w:tcPr>
                  <w:tcW w:w="501" w:type="pct"/>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30" w:type="pct"/>
                  <w:vMerge w:val="restart"/>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主体工程</w:t>
                  </w:r>
                </w:p>
              </w:tc>
              <w:tc>
                <w:tcPr>
                  <w:tcW w:w="267"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医院综合楼</w:t>
                  </w: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负一层</w:t>
                  </w:r>
                </w:p>
              </w:tc>
              <w:tc>
                <w:tcPr>
                  <w:tcW w:w="3304" w:type="pct"/>
                  <w:tcBorders>
                    <w:tl2br w:val="nil"/>
                    <w:tr2bl w:val="nil"/>
                  </w:tcBorders>
                  <w:noWrap w:val="0"/>
                  <w:vAlign w:val="center"/>
                </w:tcPr>
                <w:p>
                  <w:pPr>
                    <w:adjustRightInd w:val="0"/>
                    <w:snapToGrid w:val="0"/>
                    <w:jc w:val="both"/>
                    <w:rPr>
                      <w:rFonts w:hint="default" w:ascii="Times New Roman" w:hAnsi="Times New Roman" w:eastAsia="宋体" w:cs="Times New Roman"/>
                      <w:color w:val="auto"/>
                      <w:kern w:val="0"/>
                      <w:sz w:val="21"/>
                      <w:szCs w:val="21"/>
                      <w:highlight w:val="yellow"/>
                      <w:lang w:val="en-US" w:eastAsia="zh-CN" w:bidi="ar-SA"/>
                    </w:rPr>
                  </w:pPr>
                  <w:r>
                    <w:rPr>
                      <w:rFonts w:hint="eastAsia" w:ascii="Times New Roman" w:hAnsi="Times New Roman" w:cs="Times New Roman"/>
                      <w:color w:val="auto"/>
                      <w:kern w:val="0"/>
                      <w:sz w:val="21"/>
                      <w:szCs w:val="21"/>
                      <w:highlight w:val="none"/>
                      <w:lang w:val="en-US" w:eastAsia="zh-CN" w:bidi="ar-SA"/>
                    </w:rPr>
                    <w:t>设置备用柴油发电机房，空压机房等</w:t>
                  </w:r>
                </w:p>
              </w:tc>
              <w:tc>
                <w:tcPr>
                  <w:tcW w:w="50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26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一层</w:t>
                  </w:r>
                </w:p>
              </w:tc>
              <w:tc>
                <w:tcPr>
                  <w:tcW w:w="3304" w:type="pct"/>
                  <w:tcBorders>
                    <w:tl2br w:val="nil"/>
                    <w:tr2bl w:val="nil"/>
                  </w:tcBorders>
                  <w:noWrap w:val="0"/>
                  <w:vAlign w:val="center"/>
                </w:tcPr>
                <w:p>
                  <w:pPr>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主要布设急诊</w:t>
                  </w:r>
                  <w:r>
                    <w:rPr>
                      <w:rFonts w:hint="eastAsia" w:ascii="Times New Roman" w:hAnsi="Times New Roman" w:cs="Times New Roman"/>
                      <w:color w:val="auto"/>
                      <w:kern w:val="0"/>
                      <w:sz w:val="21"/>
                      <w:szCs w:val="21"/>
                      <w:highlight w:val="none"/>
                      <w:lang w:val="en-US" w:eastAsia="zh-CN" w:bidi="ar-SA"/>
                    </w:rPr>
                    <w:t>室</w:t>
                  </w:r>
                  <w:r>
                    <w:rPr>
                      <w:rFonts w:hint="eastAsia" w:ascii="Times New Roman" w:hAnsi="Times New Roman" w:eastAsia="宋体" w:cs="Times New Roman"/>
                      <w:color w:val="auto"/>
                      <w:kern w:val="0"/>
                      <w:sz w:val="21"/>
                      <w:szCs w:val="21"/>
                      <w:highlight w:val="none"/>
                      <w:lang w:val="en-US" w:eastAsia="zh-CN" w:bidi="ar-SA"/>
                    </w:rPr>
                    <w:t>、</w:t>
                  </w:r>
                  <w:r>
                    <w:rPr>
                      <w:rFonts w:hint="eastAsia" w:ascii="Times New Roman" w:hAnsi="Times New Roman" w:cs="Times New Roman"/>
                      <w:color w:val="auto"/>
                      <w:kern w:val="0"/>
                      <w:sz w:val="21"/>
                      <w:szCs w:val="21"/>
                      <w:highlight w:val="none"/>
                      <w:lang w:val="en-US" w:eastAsia="zh-CN" w:bidi="ar-SA"/>
                    </w:rPr>
                    <w:t>抢救室</w:t>
                  </w:r>
                  <w:r>
                    <w:rPr>
                      <w:rFonts w:hint="eastAsia" w:ascii="Times New Roman" w:hAnsi="Times New Roman" w:eastAsia="宋体" w:cs="Times New Roman"/>
                      <w:color w:val="auto"/>
                      <w:kern w:val="0"/>
                      <w:sz w:val="21"/>
                      <w:szCs w:val="21"/>
                      <w:highlight w:val="none"/>
                      <w:lang w:val="en-US" w:eastAsia="zh-CN" w:bidi="ar-SA"/>
                    </w:rPr>
                    <w:t>、</w:t>
                  </w:r>
                  <w:r>
                    <w:rPr>
                      <w:rFonts w:hint="eastAsia" w:ascii="Times New Roman" w:hAnsi="Times New Roman" w:cs="Times New Roman"/>
                      <w:color w:val="auto"/>
                      <w:kern w:val="0"/>
                      <w:sz w:val="21"/>
                      <w:szCs w:val="21"/>
                      <w:highlight w:val="none"/>
                      <w:lang w:val="en-US" w:eastAsia="zh-CN" w:bidi="ar-SA"/>
                    </w:rPr>
                    <w:t>值班/监控室、中西</w:t>
                  </w:r>
                  <w:r>
                    <w:rPr>
                      <w:rFonts w:hint="eastAsia" w:ascii="Times New Roman" w:hAnsi="Times New Roman" w:eastAsia="宋体" w:cs="Times New Roman"/>
                      <w:color w:val="auto"/>
                      <w:kern w:val="0"/>
                      <w:sz w:val="21"/>
                      <w:szCs w:val="21"/>
                      <w:highlight w:val="none"/>
                      <w:lang w:val="en-US" w:eastAsia="zh-CN" w:bidi="ar-SA"/>
                    </w:rPr>
                    <w:t>药房、门诊输液室</w:t>
                  </w:r>
                  <w:r>
                    <w:rPr>
                      <w:rFonts w:hint="eastAsia" w:ascii="Times New Roman" w:hAnsi="Times New Roman" w:cs="Times New Roman"/>
                      <w:color w:val="auto"/>
                      <w:kern w:val="0"/>
                      <w:sz w:val="21"/>
                      <w:szCs w:val="21"/>
                      <w:highlight w:val="none"/>
                      <w:lang w:val="en-US" w:eastAsia="zh-CN" w:bidi="ar-SA"/>
                    </w:rPr>
                    <w:t>、输液观察室</w:t>
                  </w:r>
                  <w:r>
                    <w:rPr>
                      <w:rFonts w:hint="eastAsia" w:ascii="Times New Roman" w:hAnsi="Times New Roman" w:eastAsia="宋体" w:cs="Times New Roman"/>
                      <w:color w:val="auto"/>
                      <w:kern w:val="0"/>
                      <w:sz w:val="21"/>
                      <w:szCs w:val="21"/>
                      <w:highlight w:val="none"/>
                      <w:lang w:val="en-US" w:eastAsia="zh-CN" w:bidi="ar-SA"/>
                    </w:rPr>
                    <w:t>等</w:t>
                  </w:r>
                </w:p>
              </w:tc>
              <w:tc>
                <w:tcPr>
                  <w:tcW w:w="50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lang w:eastAsia="zh-CN"/>
                    </w:rPr>
                  </w:pPr>
                </w:p>
              </w:tc>
              <w:tc>
                <w:tcPr>
                  <w:tcW w:w="267"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auto"/>
                      <w:kern w:val="0"/>
                      <w:sz w:val="21"/>
                      <w:szCs w:val="21"/>
                      <w:lang w:val="en-US" w:eastAsia="zh-CN" w:bidi="ar-SA"/>
                    </w:rPr>
                  </w:pP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二层</w:t>
                  </w:r>
                </w:p>
              </w:tc>
              <w:tc>
                <w:tcPr>
                  <w:tcW w:w="3304" w:type="pct"/>
                  <w:tcBorders>
                    <w:tl2br w:val="nil"/>
                    <w:tr2bl w:val="nil"/>
                  </w:tcBorders>
                  <w:noWrap w:val="0"/>
                  <w:vAlign w:val="center"/>
                </w:tcPr>
                <w:p>
                  <w:pPr>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主要布设总服务台、诊断室、化验室、B超、彩超、四维彩超室、宣教室、配血室、贮血室、细菌室、值班室等</w:t>
                  </w:r>
                </w:p>
              </w:tc>
              <w:tc>
                <w:tcPr>
                  <w:tcW w:w="50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26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6F</w:t>
                  </w:r>
                </w:p>
              </w:tc>
              <w:tc>
                <w:tcPr>
                  <w:tcW w:w="3304" w:type="pct"/>
                  <w:tcBorders>
                    <w:tl2br w:val="nil"/>
                    <w:tr2bl w:val="nil"/>
                  </w:tcBorders>
                  <w:noWrap w:val="0"/>
                  <w:vAlign w:val="center"/>
                </w:tcPr>
                <w:p>
                  <w:pPr>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主要布设</w:t>
                  </w:r>
                  <w:r>
                    <w:rPr>
                      <w:rFonts w:hint="eastAsia" w:ascii="Times New Roman" w:hAnsi="Times New Roman" w:cs="Times New Roman"/>
                      <w:color w:val="auto"/>
                      <w:kern w:val="0"/>
                      <w:sz w:val="21"/>
                      <w:szCs w:val="21"/>
                      <w:highlight w:val="none"/>
                      <w:lang w:val="en-US" w:eastAsia="zh-CN" w:bidi="ar-SA"/>
                    </w:rPr>
                    <w:t>治疗室</w:t>
                  </w:r>
                  <w:r>
                    <w:rPr>
                      <w:rFonts w:hint="eastAsia" w:ascii="Times New Roman" w:hAnsi="Times New Roman" w:eastAsia="宋体" w:cs="Times New Roman"/>
                      <w:color w:val="auto"/>
                      <w:kern w:val="0"/>
                      <w:sz w:val="21"/>
                      <w:szCs w:val="21"/>
                      <w:highlight w:val="none"/>
                      <w:lang w:val="en-US" w:eastAsia="zh-CN" w:bidi="ar-SA"/>
                    </w:rPr>
                    <w:t>及医生办公室、护士</w:t>
                  </w:r>
                  <w:r>
                    <w:rPr>
                      <w:rFonts w:hint="eastAsia" w:ascii="Times New Roman" w:hAnsi="Times New Roman" w:cs="Times New Roman"/>
                      <w:color w:val="auto"/>
                      <w:kern w:val="0"/>
                      <w:sz w:val="21"/>
                      <w:szCs w:val="21"/>
                      <w:highlight w:val="none"/>
                      <w:lang w:val="en-US" w:eastAsia="zh-CN" w:bidi="ar-SA"/>
                    </w:rPr>
                    <w:t>站及值班</w:t>
                  </w:r>
                  <w:r>
                    <w:rPr>
                      <w:rFonts w:hint="eastAsia" w:ascii="Times New Roman" w:hAnsi="Times New Roman" w:eastAsia="宋体" w:cs="Times New Roman"/>
                      <w:color w:val="auto"/>
                      <w:kern w:val="0"/>
                      <w:sz w:val="21"/>
                      <w:szCs w:val="21"/>
                      <w:highlight w:val="none"/>
                      <w:lang w:val="en-US" w:eastAsia="zh-CN" w:bidi="ar-SA"/>
                    </w:rPr>
                    <w:t>室等</w:t>
                  </w:r>
                </w:p>
              </w:tc>
              <w:tc>
                <w:tcPr>
                  <w:tcW w:w="50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26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7F</w:t>
                  </w:r>
                </w:p>
              </w:tc>
              <w:tc>
                <w:tcPr>
                  <w:tcW w:w="3304" w:type="pct"/>
                  <w:tcBorders>
                    <w:tl2br w:val="nil"/>
                    <w:tr2bl w:val="nil"/>
                  </w:tcBorders>
                  <w:noWrap w:val="0"/>
                  <w:vAlign w:val="center"/>
                </w:tcPr>
                <w:p>
                  <w:pPr>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主要布设病房、门诊手术室、医生办公室、值班室等</w:t>
                  </w:r>
                </w:p>
              </w:tc>
              <w:tc>
                <w:tcPr>
                  <w:tcW w:w="501" w:type="pct"/>
                  <w:tcBorders>
                    <w:tl2br w:val="nil"/>
                    <w:tr2bl w:val="nil"/>
                  </w:tcBorders>
                  <w:noWrap w:val="0"/>
                  <w:vAlign w:val="center"/>
                </w:tcPr>
                <w:p>
                  <w:pPr>
                    <w:adjustRightInd w:val="0"/>
                    <w:snapToGrid w:val="0"/>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26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8F</w:t>
                  </w:r>
                </w:p>
              </w:tc>
              <w:tc>
                <w:tcPr>
                  <w:tcW w:w="3304" w:type="pct"/>
                  <w:tcBorders>
                    <w:tl2br w:val="nil"/>
                    <w:tr2bl w:val="nil"/>
                  </w:tcBorders>
                  <w:noWrap w:val="0"/>
                  <w:vAlign w:val="center"/>
                </w:tcPr>
                <w:p>
                  <w:pPr>
                    <w:adjustRightInd w:val="0"/>
                    <w:snapToGrid w:val="0"/>
                    <w:jc w:val="left"/>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主要布设病房、门诊手术室、医生办公室、值班室等</w:t>
                  </w:r>
                </w:p>
              </w:tc>
              <w:tc>
                <w:tcPr>
                  <w:tcW w:w="501" w:type="pct"/>
                  <w:tcBorders>
                    <w:tl2br w:val="nil"/>
                    <w:tr2bl w:val="nil"/>
                  </w:tcBorders>
                  <w:noWrap w:val="0"/>
                  <w:vAlign w:val="center"/>
                </w:tcPr>
                <w:p>
                  <w:pPr>
                    <w:adjustRightInd w:val="0"/>
                    <w:snapToGrid w:val="0"/>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26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9F</w:t>
                  </w:r>
                </w:p>
              </w:tc>
              <w:tc>
                <w:tcPr>
                  <w:tcW w:w="3304" w:type="pct"/>
                  <w:tcBorders>
                    <w:tl2br w:val="nil"/>
                    <w:tr2bl w:val="nil"/>
                  </w:tcBorders>
                  <w:noWrap w:val="0"/>
                  <w:vAlign w:val="center"/>
                </w:tcPr>
                <w:p>
                  <w:pPr>
                    <w:adjustRightInd w:val="0"/>
                    <w:snapToGrid w:val="0"/>
                    <w:jc w:val="left"/>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主要布设病房、门诊手术室、医生办公室、值班室等</w:t>
                  </w:r>
                </w:p>
              </w:tc>
              <w:tc>
                <w:tcPr>
                  <w:tcW w:w="501" w:type="pct"/>
                  <w:tcBorders>
                    <w:tl2br w:val="nil"/>
                    <w:tr2bl w:val="nil"/>
                  </w:tcBorders>
                  <w:noWrap w:val="0"/>
                  <w:vAlign w:val="center"/>
                </w:tcPr>
                <w:p>
                  <w:pPr>
                    <w:adjustRightInd w:val="0"/>
                    <w:snapToGrid w:val="0"/>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26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10F</w:t>
                  </w:r>
                </w:p>
              </w:tc>
              <w:tc>
                <w:tcPr>
                  <w:tcW w:w="3304" w:type="pct"/>
                  <w:tcBorders>
                    <w:tl2br w:val="nil"/>
                    <w:tr2bl w:val="nil"/>
                  </w:tcBorders>
                  <w:noWrap w:val="0"/>
                  <w:vAlign w:val="center"/>
                </w:tcPr>
                <w:p>
                  <w:pPr>
                    <w:adjustRightInd w:val="0"/>
                    <w:snapToGrid w:val="0"/>
                    <w:jc w:val="left"/>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主要布设病房、治疗室、婴儿接种室、听力筛查室、奶瓶清洗间、暖箱消毒间、监护室、婴儿洗澡间、门诊手术室、医生办公室、值班室、护士站等</w:t>
                  </w:r>
                </w:p>
              </w:tc>
              <w:tc>
                <w:tcPr>
                  <w:tcW w:w="501" w:type="pct"/>
                  <w:tcBorders>
                    <w:tl2br w:val="nil"/>
                    <w:tr2bl w:val="nil"/>
                  </w:tcBorders>
                  <w:noWrap w:val="0"/>
                  <w:vAlign w:val="center"/>
                </w:tcPr>
                <w:p>
                  <w:pPr>
                    <w:adjustRightInd w:val="0"/>
                    <w:snapToGrid w:val="0"/>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26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11F</w:t>
                  </w:r>
                </w:p>
              </w:tc>
              <w:tc>
                <w:tcPr>
                  <w:tcW w:w="3304" w:type="pct"/>
                  <w:tcBorders>
                    <w:tl2br w:val="nil"/>
                    <w:tr2bl w:val="nil"/>
                  </w:tcBorders>
                  <w:noWrap w:val="0"/>
                  <w:vAlign w:val="center"/>
                </w:tcPr>
                <w:p>
                  <w:pPr>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主要布设产房、婴儿洗浴室、待产室、配药室、医护办公室、值班室等</w:t>
                  </w:r>
                </w:p>
              </w:tc>
              <w:tc>
                <w:tcPr>
                  <w:tcW w:w="501" w:type="pct"/>
                  <w:tcBorders>
                    <w:tl2br w:val="nil"/>
                    <w:tr2bl w:val="nil"/>
                  </w:tcBorders>
                  <w:noWrap w:val="0"/>
                  <w:vAlign w:val="center"/>
                </w:tcPr>
                <w:p>
                  <w:pPr>
                    <w:adjustRightInd w:val="0"/>
                    <w:snapToGrid w:val="0"/>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26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12F</w:t>
                  </w:r>
                </w:p>
              </w:tc>
              <w:tc>
                <w:tcPr>
                  <w:tcW w:w="3304" w:type="pct"/>
                  <w:tcBorders>
                    <w:tl2br w:val="nil"/>
                    <w:tr2bl w:val="nil"/>
                  </w:tcBorders>
                  <w:noWrap w:val="0"/>
                  <w:vAlign w:val="center"/>
                </w:tcPr>
                <w:p>
                  <w:pPr>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主要布设手术室、更衣室、病房、配药室、医护办公室等</w:t>
                  </w:r>
                </w:p>
              </w:tc>
              <w:tc>
                <w:tcPr>
                  <w:tcW w:w="501" w:type="pct"/>
                  <w:tcBorders>
                    <w:tl2br w:val="nil"/>
                    <w:tr2bl w:val="nil"/>
                  </w:tcBorders>
                  <w:noWrap w:val="0"/>
                  <w:vAlign w:val="center"/>
                </w:tcPr>
                <w:p>
                  <w:pPr>
                    <w:adjustRightInd w:val="0"/>
                    <w:snapToGrid w:val="0"/>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26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13F</w:t>
                  </w:r>
                </w:p>
              </w:tc>
              <w:tc>
                <w:tcPr>
                  <w:tcW w:w="3304" w:type="pct"/>
                  <w:tcBorders>
                    <w:tl2br w:val="nil"/>
                    <w:tr2bl w:val="nil"/>
                  </w:tcBorders>
                  <w:noWrap w:val="0"/>
                  <w:vAlign w:val="center"/>
                </w:tcPr>
                <w:p>
                  <w:pPr>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主要布设治疗室、婴儿接种室、听力检查室、监护室、病房、医护值班室等</w:t>
                  </w:r>
                </w:p>
              </w:tc>
              <w:tc>
                <w:tcPr>
                  <w:tcW w:w="501" w:type="pct"/>
                  <w:tcBorders>
                    <w:tl2br w:val="nil"/>
                    <w:tr2bl w:val="nil"/>
                  </w:tcBorders>
                  <w:noWrap w:val="0"/>
                  <w:vAlign w:val="center"/>
                </w:tcPr>
                <w:p>
                  <w:pPr>
                    <w:adjustRightInd w:val="0"/>
                    <w:snapToGrid w:val="0"/>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26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14F</w:t>
                  </w:r>
                </w:p>
              </w:tc>
              <w:tc>
                <w:tcPr>
                  <w:tcW w:w="3304" w:type="pct"/>
                  <w:tcBorders>
                    <w:tl2br w:val="nil"/>
                    <w:tr2bl w:val="nil"/>
                  </w:tcBorders>
                  <w:noWrap w:val="0"/>
                  <w:vAlign w:val="center"/>
                </w:tcPr>
                <w:p>
                  <w:pPr>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主要布设产房、病房、待产室、医护值班室、门诊手术室、婴儿洗浴室等</w:t>
                  </w:r>
                </w:p>
              </w:tc>
              <w:tc>
                <w:tcPr>
                  <w:tcW w:w="501" w:type="pct"/>
                  <w:tcBorders>
                    <w:tl2br w:val="nil"/>
                    <w:tr2bl w:val="nil"/>
                  </w:tcBorders>
                  <w:noWrap w:val="0"/>
                  <w:vAlign w:val="center"/>
                </w:tcPr>
                <w:p>
                  <w:pPr>
                    <w:adjustRightInd w:val="0"/>
                    <w:snapToGrid w:val="0"/>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26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15F</w:t>
                  </w:r>
                </w:p>
              </w:tc>
              <w:tc>
                <w:tcPr>
                  <w:tcW w:w="3304" w:type="pct"/>
                  <w:tcBorders>
                    <w:tl2br w:val="nil"/>
                    <w:tr2bl w:val="nil"/>
                  </w:tcBorders>
                  <w:noWrap w:val="0"/>
                  <w:vAlign w:val="center"/>
                </w:tcPr>
                <w:p>
                  <w:pPr>
                    <w:adjustRightInd w:val="0"/>
                    <w:snapToGrid w:val="0"/>
                    <w:jc w:val="left"/>
                    <w:rPr>
                      <w:rFonts w:hint="default" w:ascii="Times New Roman" w:hAnsi="Times New Roman"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主要布设办公室、会议室、多功能厅、会客厅、值班室等</w:t>
                  </w:r>
                </w:p>
              </w:tc>
              <w:tc>
                <w:tcPr>
                  <w:tcW w:w="501" w:type="pct"/>
                  <w:tcBorders>
                    <w:tl2br w:val="nil"/>
                    <w:tr2bl w:val="nil"/>
                  </w:tcBorders>
                  <w:noWrap w:val="0"/>
                  <w:vAlign w:val="center"/>
                </w:tcPr>
                <w:p>
                  <w:pPr>
                    <w:adjustRightInd w:val="0"/>
                    <w:snapToGrid w:val="0"/>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26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p>
              </w:tc>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16F</w:t>
                  </w:r>
                </w:p>
              </w:tc>
              <w:tc>
                <w:tcPr>
                  <w:tcW w:w="3304" w:type="pct"/>
                  <w:tcBorders>
                    <w:tl2br w:val="nil"/>
                    <w:tr2bl w:val="nil"/>
                  </w:tcBorders>
                  <w:noWrap w:val="0"/>
                  <w:vAlign w:val="center"/>
                </w:tcPr>
                <w:p>
                  <w:pPr>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主要布设洗衣房、消毒间、打包间、烘烤间、清洗间、无菌库房、会议室、治疗室等</w:t>
                  </w:r>
                </w:p>
              </w:tc>
              <w:tc>
                <w:tcPr>
                  <w:tcW w:w="50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30" w:type="pct"/>
                  <w:vMerge w:val="restart"/>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辅助工程</w:t>
                  </w:r>
                </w:p>
              </w:tc>
              <w:tc>
                <w:tcPr>
                  <w:tcW w:w="763" w:type="pct"/>
                  <w:gridSpan w:val="2"/>
                  <w:tcBorders>
                    <w:tl2br w:val="nil"/>
                    <w:tr2bl w:val="nil"/>
                  </w:tcBorders>
                  <w:noWrap w:val="0"/>
                  <w:vAlign w:val="center"/>
                </w:tcPr>
                <w:p>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消毒</w:t>
                  </w:r>
                </w:p>
              </w:tc>
              <w:tc>
                <w:tcPr>
                  <w:tcW w:w="3304" w:type="pct"/>
                  <w:tcBorders>
                    <w:tl2br w:val="nil"/>
                    <w:tr2bl w:val="nil"/>
                  </w:tcBorders>
                  <w:noWrap w:val="0"/>
                  <w:vAlign w:val="center"/>
                </w:tcPr>
                <w:p>
                  <w:pPr>
                    <w:pStyle w:val="36"/>
                    <w:jc w:val="both"/>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病房采用化学消毒剂、紫外线消毒；医疗器械采用高温高压灭菌消毒</w:t>
                  </w:r>
                </w:p>
              </w:tc>
              <w:tc>
                <w:tcPr>
                  <w:tcW w:w="501"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lang w:val="en-US" w:eastAsia="zh-CN" w:bidi="ar-SA"/>
                    </w:rPr>
                  </w:pPr>
                  <w:r>
                    <w:rPr>
                      <w:rFonts w:hint="eastAsia" w:ascii="Times New Roman" w:hAnsi="Times New Roman" w:cs="Times New Roman"/>
                      <w:color w:val="auto"/>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763" w:type="pct"/>
                  <w:gridSpan w:val="2"/>
                  <w:tcBorders>
                    <w:tl2br w:val="nil"/>
                    <w:tr2bl w:val="nil"/>
                  </w:tcBorders>
                  <w:noWrap w:val="0"/>
                  <w:vAlign w:val="center"/>
                </w:tcPr>
                <w:p>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停车场</w:t>
                  </w:r>
                </w:p>
              </w:tc>
              <w:tc>
                <w:tcPr>
                  <w:tcW w:w="3304" w:type="pct"/>
                  <w:tcBorders>
                    <w:tl2br w:val="nil"/>
                    <w:tr2bl w:val="nil"/>
                  </w:tcBorders>
                  <w:noWrap w:val="0"/>
                  <w:vAlign w:val="center"/>
                </w:tcPr>
                <w:p>
                  <w:pPr>
                    <w:snapToGrid w:val="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lang w:val="en-US" w:eastAsia="zh-CN" w:bidi="ar-SA"/>
                    </w:rPr>
                    <w:t>位于医院</w:t>
                  </w:r>
                  <w:r>
                    <w:rPr>
                      <w:rFonts w:hint="eastAsia" w:ascii="Times New Roman" w:hAnsi="Times New Roman" w:eastAsia="宋体" w:cs="Times New Roman"/>
                      <w:color w:val="auto"/>
                      <w:kern w:val="2"/>
                      <w:sz w:val="21"/>
                      <w:szCs w:val="21"/>
                      <w:highlight w:val="none"/>
                      <w:lang w:val="en-US" w:eastAsia="zh-CN" w:bidi="ar-SA"/>
                    </w:rPr>
                    <w:t>东</w:t>
                  </w:r>
                  <w:r>
                    <w:rPr>
                      <w:rFonts w:hint="eastAsia" w:ascii="Times New Roman" w:hAnsi="Times New Roman" w:cs="Times New Roman"/>
                      <w:color w:val="auto"/>
                      <w:kern w:val="2"/>
                      <w:sz w:val="21"/>
                      <w:szCs w:val="21"/>
                      <w:highlight w:val="none"/>
                      <w:lang w:val="en-US" w:eastAsia="zh-CN" w:bidi="ar-SA"/>
                    </w:rPr>
                    <w:t>北侧</w:t>
                  </w:r>
                  <w:r>
                    <w:rPr>
                      <w:rFonts w:hint="default" w:ascii="Times New Roman" w:hAnsi="Times New Roman" w:eastAsia="宋体" w:cs="Times New Roman"/>
                      <w:color w:val="auto"/>
                      <w:kern w:val="2"/>
                      <w:sz w:val="21"/>
                      <w:szCs w:val="21"/>
                      <w:highlight w:val="none"/>
                      <w:lang w:val="en-US" w:eastAsia="zh-CN" w:bidi="ar-SA"/>
                    </w:rPr>
                    <w:t>，为地</w:t>
                  </w:r>
                  <w:r>
                    <w:rPr>
                      <w:rFonts w:hint="eastAsia" w:ascii="Times New Roman" w:hAnsi="Times New Roman" w:eastAsia="宋体" w:cs="Times New Roman"/>
                      <w:color w:val="auto"/>
                      <w:kern w:val="2"/>
                      <w:sz w:val="21"/>
                      <w:szCs w:val="21"/>
                      <w:highlight w:val="none"/>
                      <w:lang w:val="en-US" w:eastAsia="zh-CN" w:bidi="ar-SA"/>
                    </w:rPr>
                    <w:t>上</w:t>
                  </w:r>
                  <w:r>
                    <w:rPr>
                      <w:rFonts w:hint="default" w:ascii="Times New Roman" w:hAnsi="Times New Roman" w:eastAsia="宋体" w:cs="Times New Roman"/>
                      <w:color w:val="auto"/>
                      <w:kern w:val="2"/>
                      <w:sz w:val="21"/>
                      <w:szCs w:val="21"/>
                      <w:highlight w:val="none"/>
                      <w:lang w:val="en-US" w:eastAsia="zh-CN" w:bidi="ar-SA"/>
                    </w:rPr>
                    <w:t>停车场</w:t>
                  </w:r>
                  <w:r>
                    <w:rPr>
                      <w:rFonts w:hint="eastAsia" w:ascii="Times New Roman" w:hAnsi="Times New Roman" w:eastAsia="宋体" w:cs="Times New Roman"/>
                      <w:color w:val="auto"/>
                      <w:kern w:val="2"/>
                      <w:sz w:val="21"/>
                      <w:szCs w:val="21"/>
                      <w:highlight w:val="none"/>
                      <w:lang w:val="en-US" w:eastAsia="zh-CN" w:bidi="ar-SA"/>
                    </w:rPr>
                    <w:t>，停车位2</w:t>
                  </w:r>
                  <w:r>
                    <w:rPr>
                      <w:rFonts w:hint="eastAsia" w:ascii="Times New Roman" w:hAnsi="Times New Roman" w:cs="Times New Roman"/>
                      <w:color w:val="auto"/>
                      <w:kern w:val="2"/>
                      <w:sz w:val="21"/>
                      <w:szCs w:val="21"/>
                      <w:highlight w:val="none"/>
                      <w:lang w:val="en-US" w:eastAsia="zh-CN" w:bidi="ar-SA"/>
                    </w:rPr>
                    <w:t>0</w:t>
                  </w:r>
                  <w:r>
                    <w:rPr>
                      <w:rFonts w:hint="eastAsia" w:ascii="Times New Roman" w:hAnsi="Times New Roman" w:eastAsia="宋体" w:cs="Times New Roman"/>
                      <w:color w:val="auto"/>
                      <w:kern w:val="2"/>
                      <w:sz w:val="21"/>
                      <w:szCs w:val="21"/>
                      <w:highlight w:val="none"/>
                      <w:lang w:val="en-US" w:eastAsia="zh-CN" w:bidi="ar-SA"/>
                    </w:rPr>
                    <w:t>个</w:t>
                  </w:r>
                </w:p>
              </w:tc>
              <w:tc>
                <w:tcPr>
                  <w:tcW w:w="501"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763" w:type="pct"/>
                  <w:gridSpan w:val="2"/>
                  <w:tcBorders>
                    <w:tl2br w:val="nil"/>
                    <w:tr2bl w:val="nil"/>
                  </w:tcBorders>
                  <w:noWrap w:val="0"/>
                  <w:vAlign w:val="center"/>
                </w:tcPr>
                <w:p>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医废暂存间</w:t>
                  </w:r>
                </w:p>
              </w:tc>
              <w:tc>
                <w:tcPr>
                  <w:tcW w:w="3304" w:type="pct"/>
                  <w:tcBorders>
                    <w:tl2br w:val="nil"/>
                    <w:tr2bl w:val="nil"/>
                  </w:tcBorders>
                  <w:noWrap w:val="0"/>
                  <w:vAlign w:val="center"/>
                </w:tcPr>
                <w:p>
                  <w:pPr>
                    <w:snapToGrid w:val="0"/>
                    <w:jc w:val="both"/>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位于医院综合楼南侧，建筑面积约11.5m</w:t>
                  </w:r>
                  <w:r>
                    <w:rPr>
                      <w:rFonts w:hint="eastAsia" w:ascii="Times New Roman" w:hAnsi="Times New Roman" w:cs="Times New Roman"/>
                      <w:color w:val="auto"/>
                      <w:kern w:val="2"/>
                      <w:sz w:val="21"/>
                      <w:szCs w:val="21"/>
                      <w:highlight w:val="none"/>
                      <w:vertAlign w:val="superscript"/>
                      <w:lang w:val="en-US" w:eastAsia="zh-CN" w:bidi="ar-SA"/>
                    </w:rPr>
                    <w:t>2</w:t>
                  </w:r>
                  <w:r>
                    <w:rPr>
                      <w:rFonts w:hint="eastAsia" w:ascii="Times New Roman" w:hAnsi="Times New Roman" w:cs="Times New Roman"/>
                      <w:color w:val="auto"/>
                      <w:kern w:val="2"/>
                      <w:sz w:val="21"/>
                      <w:szCs w:val="21"/>
                      <w:highlight w:val="none"/>
                      <w:lang w:val="en-US" w:eastAsia="zh-CN" w:bidi="ar-SA"/>
                    </w:rPr>
                    <w:t>，内设医废专用容器用于储存医疗废物</w:t>
                  </w:r>
                </w:p>
              </w:tc>
              <w:tc>
                <w:tcPr>
                  <w:tcW w:w="501" w:type="pct"/>
                  <w:tcBorders>
                    <w:tl2br w:val="nil"/>
                    <w:tr2bl w:val="nil"/>
                  </w:tcBorders>
                  <w:noWrap w:val="0"/>
                  <w:vAlign w:val="center"/>
                </w:tcPr>
                <w:p>
                  <w:pPr>
                    <w:adjustRightInd w:val="0"/>
                    <w:snapToGrid w:val="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763" w:type="pct"/>
                  <w:gridSpan w:val="2"/>
                  <w:tcBorders>
                    <w:tl2br w:val="nil"/>
                    <w:tr2bl w:val="nil"/>
                  </w:tcBorders>
                  <w:noWrap w:val="0"/>
                  <w:vAlign w:val="center"/>
                </w:tcPr>
                <w:p>
                  <w:pPr>
                    <w:snapToGrid w:val="0"/>
                    <w:jc w:val="center"/>
                    <w:rPr>
                      <w:rFonts w:hint="eastAsia" w:eastAsia="宋体"/>
                      <w:color w:val="auto"/>
                      <w:highlight w:val="none"/>
                      <w:lang w:val="en-US" w:eastAsia="zh-CN"/>
                    </w:rPr>
                  </w:pPr>
                  <w:r>
                    <w:rPr>
                      <w:rFonts w:hint="eastAsia"/>
                      <w:color w:val="auto"/>
                      <w:highlight w:val="none"/>
                      <w:lang w:val="en-US" w:eastAsia="zh-CN"/>
                    </w:rPr>
                    <w:t>洗衣房</w:t>
                  </w:r>
                </w:p>
              </w:tc>
              <w:tc>
                <w:tcPr>
                  <w:tcW w:w="3304" w:type="pct"/>
                  <w:tcBorders>
                    <w:tl2br w:val="nil"/>
                    <w:tr2bl w:val="nil"/>
                  </w:tcBorders>
                  <w:noWrap w:val="0"/>
                  <w:vAlign w:val="center"/>
                </w:tcPr>
                <w:p>
                  <w:pPr>
                    <w:snapToGrid w:val="0"/>
                    <w:jc w:val="both"/>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本项目设置洗衣房，床单被罩及住院病服等在医院内部清洗</w:t>
                  </w:r>
                </w:p>
              </w:tc>
              <w:tc>
                <w:tcPr>
                  <w:tcW w:w="50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restart"/>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公用工程</w:t>
                  </w:r>
                </w:p>
              </w:tc>
              <w:tc>
                <w:tcPr>
                  <w:tcW w:w="763" w:type="pct"/>
                  <w:gridSpan w:val="2"/>
                  <w:tcBorders>
                    <w:tl2br w:val="nil"/>
                    <w:tr2bl w:val="nil"/>
                  </w:tcBorders>
                  <w:noWrap w:val="0"/>
                  <w:vAlign w:val="center"/>
                </w:tcPr>
                <w:p>
                  <w:pPr>
                    <w:pStyle w:val="71"/>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供电</w:t>
                  </w:r>
                </w:p>
              </w:tc>
              <w:tc>
                <w:tcPr>
                  <w:tcW w:w="3304" w:type="pct"/>
                  <w:tcBorders>
                    <w:tl2br w:val="nil"/>
                    <w:tr2bl w:val="nil"/>
                  </w:tcBorders>
                  <w:noWrap w:val="0"/>
                  <w:vAlign w:val="center"/>
                </w:tcPr>
                <w:p>
                  <w:pPr>
                    <w:pStyle w:val="71"/>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由市政</w:t>
                  </w:r>
                  <w:r>
                    <w:rPr>
                      <w:rFonts w:hint="eastAsia" w:ascii="Times New Roman" w:hAnsi="Times New Roman" w:cs="Times New Roman"/>
                      <w:color w:val="auto"/>
                      <w:sz w:val="21"/>
                      <w:szCs w:val="21"/>
                      <w:lang w:val="en-US" w:eastAsia="zh-CN"/>
                    </w:rPr>
                    <w:t>供电</w:t>
                  </w:r>
                </w:p>
              </w:tc>
              <w:tc>
                <w:tcPr>
                  <w:tcW w:w="501" w:type="pct"/>
                  <w:tcBorders>
                    <w:tl2br w:val="nil"/>
                    <w:tr2bl w:val="nil"/>
                  </w:tcBorders>
                  <w:noWrap w:val="0"/>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0"/>
                      <w:sz w:val="21"/>
                      <w:szCs w:val="21"/>
                      <w:lang w:val="en-US" w:eastAsia="zh-CN" w:bidi="ar-SA"/>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763" w:type="pct"/>
                  <w:gridSpan w:val="2"/>
                  <w:tcBorders>
                    <w:tl2br w:val="nil"/>
                    <w:tr2bl w:val="nil"/>
                  </w:tcBorders>
                  <w:noWrap w:val="0"/>
                  <w:vAlign w:val="center"/>
                </w:tcPr>
                <w:p>
                  <w:pPr>
                    <w:pStyle w:val="71"/>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供水</w:t>
                  </w:r>
                </w:p>
              </w:tc>
              <w:tc>
                <w:tcPr>
                  <w:tcW w:w="3304" w:type="pct"/>
                  <w:tcBorders>
                    <w:tl2br w:val="nil"/>
                    <w:tr2bl w:val="nil"/>
                  </w:tcBorders>
                  <w:noWrap w:val="0"/>
                  <w:vAlign w:val="center"/>
                </w:tcPr>
                <w:p>
                  <w:pPr>
                    <w:pStyle w:val="71"/>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highlight w:val="none"/>
                      <w:lang w:val="en-US" w:eastAsia="zh-CN"/>
                    </w:rPr>
                    <w:t>由市政给水管网保障供给</w:t>
                  </w:r>
                </w:p>
              </w:tc>
              <w:tc>
                <w:tcPr>
                  <w:tcW w:w="501" w:type="pct"/>
                  <w:tcBorders>
                    <w:tl2br w:val="nil"/>
                    <w:tr2bl w:val="nil"/>
                  </w:tcBorders>
                  <w:noWrap w:val="0"/>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763" w:type="pct"/>
                  <w:gridSpan w:val="2"/>
                  <w:tcBorders>
                    <w:tl2br w:val="nil"/>
                    <w:tr2bl w:val="nil"/>
                  </w:tcBorders>
                  <w:noWrap w:val="0"/>
                  <w:vAlign w:val="center"/>
                </w:tcPr>
                <w:p>
                  <w:pPr>
                    <w:pStyle w:val="71"/>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制冷采暖</w:t>
                  </w:r>
                </w:p>
              </w:tc>
              <w:tc>
                <w:tcPr>
                  <w:tcW w:w="3304" w:type="pct"/>
                  <w:tcBorders>
                    <w:tl2br w:val="nil"/>
                    <w:tr2bl w:val="nil"/>
                  </w:tcBorders>
                  <w:noWrap w:val="0"/>
                  <w:vAlign w:val="center"/>
                </w:tcPr>
                <w:p>
                  <w:pPr>
                    <w:pStyle w:val="71"/>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制冷</w:t>
                  </w:r>
                  <w:r>
                    <w:rPr>
                      <w:rFonts w:hint="eastAsia" w:ascii="Times New Roman" w:hAnsi="Times New Roman" w:cs="Times New Roman"/>
                      <w:color w:val="auto"/>
                      <w:sz w:val="21"/>
                      <w:szCs w:val="21"/>
                      <w:highlight w:val="none"/>
                      <w:lang w:val="en-US" w:eastAsia="zh-CN"/>
                    </w:rPr>
                    <w:t>供暖均</w:t>
                  </w:r>
                  <w:r>
                    <w:rPr>
                      <w:rFonts w:hint="default" w:ascii="Times New Roman" w:hAnsi="Times New Roman" w:cs="Times New Roman"/>
                      <w:color w:val="auto"/>
                      <w:sz w:val="21"/>
                      <w:szCs w:val="21"/>
                      <w:highlight w:val="none"/>
                      <w:lang w:val="en-US" w:eastAsia="zh-CN"/>
                    </w:rPr>
                    <w:t>采</w:t>
                  </w:r>
                  <w:r>
                    <w:rPr>
                      <w:rFonts w:hint="eastAsia" w:ascii="Times New Roman" w:hAnsi="Times New Roman" w:cs="Times New Roman"/>
                      <w:color w:val="auto"/>
                      <w:sz w:val="21"/>
                      <w:szCs w:val="21"/>
                      <w:highlight w:val="none"/>
                      <w:lang w:val="en-US" w:eastAsia="zh-CN"/>
                    </w:rPr>
                    <w:t>用</w:t>
                  </w:r>
                  <w:r>
                    <w:rPr>
                      <w:rFonts w:hint="default" w:ascii="Times New Roman" w:hAnsi="Times New Roman" w:cs="Times New Roman"/>
                      <w:color w:val="auto"/>
                      <w:sz w:val="21"/>
                      <w:szCs w:val="21"/>
                      <w:highlight w:val="none"/>
                      <w:lang w:val="en-US" w:eastAsia="zh-CN"/>
                    </w:rPr>
                    <w:t>分体式空调</w:t>
                  </w:r>
                </w:p>
              </w:tc>
              <w:tc>
                <w:tcPr>
                  <w:tcW w:w="501" w:type="pct"/>
                  <w:tcBorders>
                    <w:tl2br w:val="nil"/>
                    <w:tr2bl w:val="nil"/>
                  </w:tcBorders>
                  <w:noWrap w:val="0"/>
                  <w:vAlign w:val="center"/>
                </w:tcPr>
                <w:p>
                  <w:pPr>
                    <w:adjustRightInd w:val="0"/>
                    <w:snapToGrid w:val="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0"/>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763" w:type="pct"/>
                  <w:gridSpan w:val="2"/>
                  <w:tcBorders>
                    <w:tl2br w:val="nil"/>
                    <w:tr2bl w:val="nil"/>
                  </w:tcBorders>
                  <w:noWrap w:val="0"/>
                  <w:vAlign w:val="center"/>
                </w:tcPr>
                <w:p>
                  <w:pPr>
                    <w:pStyle w:val="71"/>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排水</w:t>
                  </w:r>
                </w:p>
              </w:tc>
              <w:tc>
                <w:tcPr>
                  <w:tcW w:w="3304" w:type="pct"/>
                  <w:tcBorders>
                    <w:tl2br w:val="nil"/>
                    <w:tr2bl w:val="nil"/>
                  </w:tcBorders>
                  <w:noWrap w:val="0"/>
                  <w:vAlign w:val="center"/>
                </w:tcPr>
                <w:p>
                  <w:pPr>
                    <w:pStyle w:val="71"/>
                    <w:jc w:val="left"/>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采</w:t>
                  </w:r>
                  <w:r>
                    <w:rPr>
                      <w:rFonts w:hint="eastAsia" w:ascii="Times New Roman" w:hAnsi="Times New Roman" w:eastAsia="宋体" w:cs="Times New Roman"/>
                      <w:color w:val="auto"/>
                      <w:sz w:val="21"/>
                      <w:szCs w:val="21"/>
                      <w:highlight w:val="none"/>
                      <w:lang w:val="en-US" w:eastAsia="zh-CN"/>
                    </w:rPr>
                    <w:t>用</w:t>
                  </w:r>
                  <w:r>
                    <w:rPr>
                      <w:rFonts w:hint="default" w:ascii="Times New Roman" w:hAnsi="Times New Roman" w:eastAsia="宋体" w:cs="Times New Roman"/>
                      <w:color w:val="auto"/>
                      <w:sz w:val="21"/>
                      <w:szCs w:val="21"/>
                      <w:highlight w:val="none"/>
                      <w:lang w:val="en-US" w:eastAsia="zh-CN"/>
                    </w:rPr>
                    <w:t>雨污分流制，</w:t>
                  </w:r>
                  <w:r>
                    <w:rPr>
                      <w:rFonts w:hint="eastAsia" w:ascii="Times New Roman" w:hAnsi="Times New Roman" w:cs="Times New Roman"/>
                      <w:color w:val="auto"/>
                      <w:sz w:val="21"/>
                      <w:szCs w:val="21"/>
                      <w:highlight w:val="none"/>
                      <w:lang w:val="en-US" w:eastAsia="zh-CN"/>
                    </w:rPr>
                    <w:t>雨水排入雨水管网；</w:t>
                  </w:r>
                  <w:r>
                    <w:rPr>
                      <w:rFonts w:hint="default" w:ascii="Times New Roman" w:hAnsi="Times New Roman" w:eastAsia="宋体" w:cs="Times New Roman"/>
                      <w:color w:val="auto"/>
                      <w:sz w:val="21"/>
                      <w:szCs w:val="21"/>
                      <w:highlight w:val="none"/>
                      <w:lang w:val="en-US" w:eastAsia="zh-CN"/>
                    </w:rPr>
                    <w:t>医院生活污水</w:t>
                  </w:r>
                  <w:r>
                    <w:rPr>
                      <w:rFonts w:hint="eastAsia" w:ascii="Times New Roman" w:hAnsi="Times New Roman" w:cs="Times New Roman"/>
                      <w:color w:val="auto"/>
                      <w:sz w:val="21"/>
                      <w:szCs w:val="21"/>
                      <w:highlight w:val="none"/>
                      <w:lang w:val="en-US" w:eastAsia="zh-CN"/>
                    </w:rPr>
                    <w:t>、医疗废水等经原有化粪池（位于污水处理站西侧，容积160m</w:t>
                  </w:r>
                  <w:r>
                    <w:rPr>
                      <w:rFonts w:hint="eastAsia" w:ascii="Times New Roman" w:hAnsi="Times New Roman" w:cs="Times New Roman"/>
                      <w:color w:val="auto"/>
                      <w:sz w:val="21"/>
                      <w:szCs w:val="21"/>
                      <w:highlight w:val="none"/>
                      <w:vertAlign w:val="superscript"/>
                      <w:lang w:val="en-US" w:eastAsia="zh-CN"/>
                    </w:rPr>
                    <w:t>3</w:t>
                  </w:r>
                  <w:r>
                    <w:rPr>
                      <w:rFonts w:hint="eastAsia" w:ascii="Times New Roman" w:hAnsi="Times New Roman" w:cs="Times New Roman"/>
                      <w:color w:val="auto"/>
                      <w:sz w:val="21"/>
                      <w:szCs w:val="21"/>
                      <w:highlight w:val="none"/>
                      <w:lang w:val="en-US" w:eastAsia="zh-CN"/>
                    </w:rPr>
                    <w:t>，长</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宽</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高=8</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4）处理后</w:t>
                  </w:r>
                  <w:r>
                    <w:rPr>
                      <w:rFonts w:hint="default" w:ascii="Times New Roman" w:hAnsi="Times New Roman" w:eastAsia="宋体" w:cs="Times New Roman"/>
                      <w:color w:val="auto"/>
                      <w:sz w:val="21"/>
                      <w:szCs w:val="21"/>
                      <w:highlight w:val="none"/>
                      <w:lang w:val="en-US" w:eastAsia="zh-CN"/>
                    </w:rPr>
                    <w:t>排入</w:t>
                  </w:r>
                  <w:r>
                    <w:rPr>
                      <w:rFonts w:hint="eastAsia" w:ascii="Times New Roman" w:hAnsi="Times New Roman"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lang w:val="en-US" w:eastAsia="zh-CN"/>
                    </w:rPr>
                    <w:t>一体化污水处理设施</w:t>
                  </w:r>
                  <w:r>
                    <w:rPr>
                      <w:rFonts w:hint="eastAsia" w:ascii="Times New Roman" w:hAnsi="Times New Roman" w:cs="Times New Roman"/>
                      <w:color w:val="auto"/>
                      <w:sz w:val="21"/>
                      <w:szCs w:val="21"/>
                      <w:highlight w:val="none"/>
                      <w:lang w:val="en-US" w:eastAsia="zh-CN"/>
                    </w:rPr>
                    <w:t>（处理规模为30m</w:t>
                  </w:r>
                  <w:r>
                    <w:rPr>
                      <w:rFonts w:hint="eastAsia" w:ascii="Times New Roman" w:hAnsi="Times New Roman" w:cs="Times New Roman"/>
                      <w:color w:val="auto"/>
                      <w:sz w:val="21"/>
                      <w:szCs w:val="21"/>
                      <w:highlight w:val="none"/>
                      <w:vertAlign w:val="superscript"/>
                      <w:lang w:val="en-US" w:eastAsia="zh-CN"/>
                    </w:rPr>
                    <w:t>3</w:t>
                  </w:r>
                  <w:r>
                    <w:rPr>
                      <w:rFonts w:hint="eastAsia" w:ascii="Times New Roman" w:hAnsi="Times New Roman" w:cs="Times New Roman"/>
                      <w:color w:val="auto"/>
                      <w:sz w:val="21"/>
                      <w:szCs w:val="21"/>
                      <w:highlight w:val="none"/>
                      <w:lang w:val="en-US" w:eastAsia="zh-CN"/>
                    </w:rPr>
                    <w:t>/d，处理工艺为：一级强化处理+二氧化氯消毒）</w:t>
                  </w:r>
                  <w:r>
                    <w:rPr>
                      <w:rFonts w:hint="default" w:ascii="Times New Roman" w:hAnsi="Times New Roman" w:eastAsia="宋体" w:cs="Times New Roman"/>
                      <w:color w:val="auto"/>
                      <w:sz w:val="21"/>
                      <w:szCs w:val="21"/>
                      <w:highlight w:val="none"/>
                      <w:lang w:val="en-US" w:eastAsia="zh-CN"/>
                    </w:rPr>
                    <w:t>处理后</w:t>
                  </w:r>
                  <w:r>
                    <w:rPr>
                      <w:rFonts w:hint="eastAsia" w:ascii="Times New Roman" w:hAnsi="Times New Roman" w:cs="Times New Roman"/>
                      <w:color w:val="auto"/>
                      <w:sz w:val="21"/>
                      <w:szCs w:val="21"/>
                      <w:highlight w:val="none"/>
                      <w:lang w:val="en-US" w:eastAsia="zh-CN"/>
                    </w:rPr>
                    <w:t>进入</w:t>
                  </w:r>
                  <w:r>
                    <w:rPr>
                      <w:rFonts w:hint="default" w:ascii="Times New Roman" w:hAnsi="Times New Roman" w:eastAsia="宋体" w:cs="Times New Roman"/>
                      <w:color w:val="auto"/>
                      <w:sz w:val="21"/>
                      <w:szCs w:val="21"/>
                      <w:highlight w:val="none"/>
                      <w:lang w:val="en-US" w:eastAsia="zh-CN"/>
                    </w:rPr>
                    <w:t>市政污水管网</w:t>
                  </w:r>
                  <w:r>
                    <w:rPr>
                      <w:rFonts w:hint="eastAsia" w:ascii="Times New Roman" w:hAnsi="Times New Roman" w:cs="Times New Roman"/>
                      <w:color w:val="auto"/>
                      <w:sz w:val="21"/>
                      <w:szCs w:val="21"/>
                      <w:highlight w:val="none"/>
                      <w:lang w:val="en-US" w:eastAsia="zh-CN"/>
                    </w:rPr>
                    <w:t>最终排入安康市江南城市污水处理厂</w:t>
                  </w:r>
                  <w:r>
                    <w:rPr>
                      <w:rFonts w:hint="eastAsia" w:ascii="Times New Roman" w:hAnsi="Times New Roman" w:eastAsia="宋体" w:cs="Times New Roman"/>
                      <w:color w:val="auto"/>
                      <w:sz w:val="21"/>
                      <w:szCs w:val="21"/>
                      <w:highlight w:val="none"/>
                      <w:lang w:val="en-US" w:eastAsia="zh-CN"/>
                    </w:rPr>
                    <w:t>集中</w:t>
                  </w:r>
                  <w:r>
                    <w:rPr>
                      <w:rFonts w:hint="default" w:ascii="Times New Roman" w:hAnsi="Times New Roman" w:eastAsia="宋体" w:cs="Times New Roman"/>
                      <w:color w:val="auto"/>
                      <w:sz w:val="21"/>
                      <w:szCs w:val="21"/>
                      <w:highlight w:val="none"/>
                      <w:lang w:val="en-US" w:eastAsia="zh-CN"/>
                    </w:rPr>
                    <w:t>处理</w:t>
                  </w:r>
                </w:p>
              </w:tc>
              <w:tc>
                <w:tcPr>
                  <w:tcW w:w="501" w:type="pct"/>
                  <w:tcBorders>
                    <w:tl2br w:val="nil"/>
                    <w:tr2bl w:val="nil"/>
                  </w:tcBorders>
                  <w:noWrap w:val="0"/>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0"/>
                      <w:sz w:val="21"/>
                      <w:szCs w:val="21"/>
                      <w:lang w:val="en-US" w:eastAsia="zh-CN"/>
                    </w:rPr>
                    <w:t>污水处理站新建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restart"/>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环保工程</w:t>
                  </w:r>
                </w:p>
              </w:tc>
              <w:tc>
                <w:tcPr>
                  <w:tcW w:w="763" w:type="pct"/>
                  <w:gridSpan w:val="2"/>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废气</w:t>
                  </w:r>
                </w:p>
              </w:tc>
              <w:tc>
                <w:tcPr>
                  <w:tcW w:w="3304" w:type="pct"/>
                  <w:tcBorders>
                    <w:tl2br w:val="nil"/>
                    <w:tr2bl w:val="nil"/>
                  </w:tcBorders>
                  <w:noWrap w:val="0"/>
                  <w:vAlign w:val="center"/>
                </w:tcPr>
                <w:p>
                  <w:pPr>
                    <w:pStyle w:val="71"/>
                    <w:jc w:val="left"/>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lang w:val="en-US" w:eastAsia="zh-CN"/>
                    </w:rPr>
                    <w:t>污水处理站恶臭，采用喷洒除臭剂处理后无组织排放</w:t>
                  </w:r>
                </w:p>
              </w:tc>
              <w:tc>
                <w:tcPr>
                  <w:tcW w:w="50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763" w:type="pct"/>
                  <w:gridSpan w:val="2"/>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废水</w:t>
                  </w:r>
                </w:p>
              </w:tc>
              <w:tc>
                <w:tcPr>
                  <w:tcW w:w="3304" w:type="pct"/>
                  <w:tcBorders>
                    <w:tl2br w:val="nil"/>
                    <w:tr2bl w:val="nil"/>
                  </w:tcBorders>
                  <w:noWrap w:val="0"/>
                  <w:vAlign w:val="center"/>
                </w:tcPr>
                <w:p>
                  <w:pPr>
                    <w:pStyle w:val="71"/>
                    <w:jc w:val="left"/>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pacing w:val="-4"/>
                      <w:sz w:val="21"/>
                      <w:szCs w:val="21"/>
                      <w:highlight w:val="none"/>
                      <w:lang w:val="en-US" w:eastAsia="zh-CN"/>
                    </w:rPr>
                    <w:t>本项目</w:t>
                  </w:r>
                  <w:r>
                    <w:rPr>
                      <w:color w:val="auto"/>
                      <w:szCs w:val="21"/>
                    </w:rPr>
                    <w:t>生活污水、医疗废水</w:t>
                  </w:r>
                  <w:r>
                    <w:rPr>
                      <w:rFonts w:hint="eastAsia"/>
                      <w:color w:val="auto"/>
                      <w:szCs w:val="21"/>
                      <w:lang w:val="en-US" w:eastAsia="zh-CN"/>
                    </w:rPr>
                    <w:t>经原有化粪池</w:t>
                  </w:r>
                  <w:r>
                    <w:rPr>
                      <w:rFonts w:hint="eastAsia" w:ascii="Times New Roman" w:hAnsi="Times New Roman" w:cs="Times New Roman"/>
                      <w:color w:val="auto"/>
                      <w:sz w:val="21"/>
                      <w:szCs w:val="21"/>
                      <w:highlight w:val="none"/>
                      <w:lang w:val="en-US" w:eastAsia="zh-CN"/>
                    </w:rPr>
                    <w:t>（位于污水处理站西侧，容积160m</w:t>
                  </w:r>
                  <w:r>
                    <w:rPr>
                      <w:rFonts w:hint="eastAsia" w:ascii="Times New Roman" w:hAnsi="Times New Roman" w:cs="Times New Roman"/>
                      <w:color w:val="auto"/>
                      <w:sz w:val="21"/>
                      <w:szCs w:val="21"/>
                      <w:highlight w:val="none"/>
                      <w:vertAlign w:val="superscript"/>
                      <w:lang w:val="en-US" w:eastAsia="zh-CN"/>
                    </w:rPr>
                    <w:t>3</w:t>
                  </w:r>
                  <w:r>
                    <w:rPr>
                      <w:rFonts w:hint="eastAsia" w:ascii="Times New Roman" w:hAnsi="Times New Roman" w:cs="Times New Roman"/>
                      <w:color w:val="auto"/>
                      <w:sz w:val="21"/>
                      <w:szCs w:val="21"/>
                      <w:highlight w:val="none"/>
                      <w:lang w:val="en-US" w:eastAsia="zh-CN"/>
                    </w:rPr>
                    <w:t>，长</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宽</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高=8</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4）</w:t>
                  </w:r>
                  <w:r>
                    <w:rPr>
                      <w:rFonts w:hint="eastAsia"/>
                      <w:color w:val="auto"/>
                      <w:szCs w:val="21"/>
                      <w:lang w:val="en-US" w:eastAsia="zh-CN"/>
                    </w:rPr>
                    <w:t>处理后排入新建</w:t>
                  </w:r>
                  <w:r>
                    <w:rPr>
                      <w:color w:val="auto"/>
                      <w:szCs w:val="21"/>
                    </w:rPr>
                    <w:t>的污水处理站</w:t>
                  </w:r>
                  <w:r>
                    <w:rPr>
                      <w:rFonts w:hint="eastAsia"/>
                      <w:color w:val="auto"/>
                      <w:szCs w:val="21"/>
                      <w:lang w:eastAsia="zh-CN"/>
                    </w:rPr>
                    <w:t>（</w:t>
                  </w:r>
                  <w:r>
                    <w:rPr>
                      <w:rFonts w:hint="eastAsia"/>
                      <w:color w:val="auto"/>
                      <w:szCs w:val="21"/>
                      <w:lang w:val="en-US" w:eastAsia="zh-CN"/>
                    </w:rPr>
                    <w:t>综合楼南侧原污水处理站附近</w:t>
                  </w:r>
                  <w:r>
                    <w:rPr>
                      <w:rFonts w:hint="eastAsia"/>
                      <w:color w:val="auto"/>
                      <w:szCs w:val="21"/>
                      <w:lang w:eastAsia="zh-CN"/>
                    </w:rPr>
                    <w:t>）</w:t>
                  </w:r>
                  <w:r>
                    <w:rPr>
                      <w:color w:val="auto"/>
                      <w:szCs w:val="21"/>
                    </w:rPr>
                    <w:t>处理达标后</w:t>
                  </w:r>
                  <w:r>
                    <w:rPr>
                      <w:rFonts w:hint="default" w:ascii="Times New Roman" w:hAnsi="Times New Roman" w:cs="Times New Roman"/>
                      <w:color w:val="auto"/>
                      <w:spacing w:val="-4"/>
                      <w:sz w:val="21"/>
                      <w:szCs w:val="21"/>
                      <w:highlight w:val="none"/>
                      <w:lang w:val="en-US" w:eastAsia="zh-CN"/>
                    </w:rPr>
                    <w:t>，纳入市政污水管网</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最终排入</w:t>
                  </w:r>
                  <w:r>
                    <w:rPr>
                      <w:rFonts w:hint="eastAsia" w:ascii="Times New Roman" w:hAnsi="Times New Roman" w:cs="Times New Roman"/>
                      <w:color w:val="auto"/>
                      <w:sz w:val="21"/>
                      <w:szCs w:val="21"/>
                      <w:highlight w:val="none"/>
                      <w:lang w:val="en-US" w:eastAsia="zh-CN"/>
                    </w:rPr>
                    <w:t>安康市江南城市污水处理厂</w:t>
                  </w:r>
                </w:p>
              </w:tc>
              <w:tc>
                <w:tcPr>
                  <w:tcW w:w="50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4"/>
                      <w:kern w:val="2"/>
                      <w:sz w:val="21"/>
                      <w:szCs w:val="21"/>
                      <w:lang w:val="en-US" w:eastAsia="zh-CN" w:bidi="ar-SA"/>
                    </w:rPr>
                  </w:pPr>
                  <w:r>
                    <w:rPr>
                      <w:rFonts w:hint="eastAsia" w:ascii="Times New Roman" w:hAnsi="Times New Roman" w:cs="Times New Roman"/>
                      <w:color w:val="auto"/>
                      <w:kern w:val="0"/>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763" w:type="pct"/>
                  <w:gridSpan w:val="2"/>
                  <w:tcBorders>
                    <w:tl2br w:val="nil"/>
                    <w:tr2bl w:val="nil"/>
                  </w:tcBorders>
                  <w:noWrap w:val="0"/>
                  <w:vAlign w:val="center"/>
                </w:tcPr>
                <w:p>
                  <w:pPr>
                    <w:pStyle w:val="71"/>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噪声</w:t>
                  </w:r>
                </w:p>
              </w:tc>
              <w:tc>
                <w:tcPr>
                  <w:tcW w:w="3304" w:type="pct"/>
                  <w:tcBorders>
                    <w:tl2br w:val="nil"/>
                    <w:tr2bl w:val="nil"/>
                  </w:tcBorders>
                  <w:noWrap w:val="0"/>
                  <w:vAlign w:val="center"/>
                </w:tcPr>
                <w:p>
                  <w:pPr>
                    <w:pStyle w:val="71"/>
                    <w:jc w:val="left"/>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新增</w:t>
                  </w:r>
                  <w:r>
                    <w:rPr>
                      <w:rFonts w:hint="default" w:ascii="Times New Roman" w:hAnsi="Times New Roman" w:cs="Times New Roman"/>
                      <w:color w:val="auto"/>
                      <w:sz w:val="21"/>
                      <w:szCs w:val="21"/>
                      <w:lang w:val="en-US" w:eastAsia="zh-CN"/>
                    </w:rPr>
                    <w:t>污水处理设备的水泵和风机、空调外机、离心机等设备，选用低噪声设备，采取减震、隔声措施</w:t>
                  </w:r>
                </w:p>
              </w:tc>
              <w:tc>
                <w:tcPr>
                  <w:tcW w:w="501" w:type="pct"/>
                  <w:tcBorders>
                    <w:tl2br w:val="nil"/>
                    <w:tr2bl w:val="nil"/>
                  </w:tcBorders>
                  <w:noWrap w:val="0"/>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0"/>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lang w:eastAsia="zh-CN"/>
                    </w:rPr>
                  </w:pPr>
                </w:p>
              </w:tc>
              <w:tc>
                <w:tcPr>
                  <w:tcW w:w="763" w:type="pct"/>
                  <w:gridSpan w:val="2"/>
                  <w:tcBorders>
                    <w:tl2br w:val="nil"/>
                    <w:tr2bl w:val="nil"/>
                  </w:tcBorders>
                  <w:noWrap w:val="0"/>
                  <w:vAlign w:val="center"/>
                </w:tcPr>
                <w:p>
                  <w:pPr>
                    <w:pStyle w:val="71"/>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固废</w:t>
                  </w:r>
                </w:p>
              </w:tc>
              <w:tc>
                <w:tcPr>
                  <w:tcW w:w="3304" w:type="pct"/>
                  <w:tcBorders>
                    <w:tl2br w:val="nil"/>
                    <w:tr2bl w:val="nil"/>
                  </w:tcBorders>
                  <w:noWrap w:val="0"/>
                  <w:vAlign w:val="center"/>
                </w:tcPr>
                <w:p>
                  <w:pPr>
                    <w:numPr>
                      <w:ilvl w:val="0"/>
                      <w:numId w:val="0"/>
                    </w:numPr>
                    <w:jc w:val="both"/>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生活垃圾分类收集</w:t>
                  </w:r>
                  <w:r>
                    <w:rPr>
                      <w:rFonts w:hint="eastAsia" w:ascii="Times New Roman" w:hAnsi="Times New Roman" w:eastAsia="宋体" w:cs="Times New Roman"/>
                      <w:color w:val="auto"/>
                      <w:sz w:val="21"/>
                      <w:szCs w:val="21"/>
                      <w:lang w:val="en-US" w:eastAsia="zh-CN"/>
                    </w:rPr>
                    <w:t>于加盖垃圾桶内</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由</w:t>
                  </w:r>
                  <w:r>
                    <w:rPr>
                      <w:rFonts w:hint="default" w:ascii="Times New Roman" w:hAnsi="Times New Roman" w:eastAsia="宋体" w:cs="Times New Roman"/>
                      <w:color w:val="auto"/>
                      <w:sz w:val="21"/>
                      <w:szCs w:val="21"/>
                      <w:lang w:val="en-US" w:eastAsia="zh-CN"/>
                    </w:rPr>
                    <w:t>当地</w:t>
                  </w:r>
                  <w:r>
                    <w:rPr>
                      <w:rFonts w:hint="default" w:ascii="Times New Roman" w:hAnsi="Times New Roman" w:eastAsia="宋体" w:cs="Times New Roman"/>
                      <w:color w:val="auto"/>
                      <w:sz w:val="21"/>
                      <w:szCs w:val="21"/>
                    </w:rPr>
                    <w:t>环卫部门统一清运</w:t>
                  </w:r>
                  <w:r>
                    <w:rPr>
                      <w:rFonts w:hint="default" w:ascii="Times New Roman" w:hAnsi="Times New Roman" w:eastAsia="宋体" w:cs="Times New Roman"/>
                      <w:color w:val="auto"/>
                      <w:sz w:val="21"/>
                      <w:szCs w:val="21"/>
                      <w:lang w:eastAsia="zh-CN"/>
                    </w:rPr>
                    <w:t>；</w:t>
                  </w:r>
                  <w:r>
                    <w:rPr>
                      <w:rFonts w:hint="eastAsia" w:ascii="Times New Roman" w:hAnsi="Times New Roman" w:cs="Times New Roman"/>
                      <w:color w:val="auto"/>
                      <w:sz w:val="21"/>
                      <w:szCs w:val="21"/>
                      <w:lang w:val="en-US" w:eastAsia="zh-CN"/>
                    </w:rPr>
                    <w:t>未被污染的废输液瓶（袋）集中收集后交安康市医疗废物处置中心处置；</w:t>
                  </w:r>
                  <w:r>
                    <w:rPr>
                      <w:rFonts w:hint="default" w:ascii="Times New Roman" w:hAnsi="Times New Roman" w:eastAsia="宋体" w:cs="Times New Roman"/>
                      <w:color w:val="auto"/>
                      <w:sz w:val="21"/>
                      <w:szCs w:val="21"/>
                      <w:lang w:eastAsia="zh-CN"/>
                    </w:rPr>
                    <w:t>医疗废物暂存于医院医疗废物暂存间定期交由</w:t>
                  </w:r>
                  <w:r>
                    <w:rPr>
                      <w:rFonts w:hint="eastAsia" w:ascii="Times New Roman" w:hAnsi="Times New Roman" w:cs="Times New Roman"/>
                      <w:color w:val="auto"/>
                      <w:sz w:val="21"/>
                      <w:szCs w:val="21"/>
                      <w:lang w:val="en-US" w:eastAsia="zh-CN"/>
                    </w:rPr>
                    <w:t>安康市医疗废物处置中心</w:t>
                  </w:r>
                  <w:r>
                    <w:rPr>
                      <w:rFonts w:hint="default" w:ascii="Times New Roman" w:hAnsi="Times New Roman" w:eastAsia="宋体" w:cs="Times New Roman"/>
                      <w:color w:val="auto"/>
                      <w:sz w:val="21"/>
                      <w:szCs w:val="21"/>
                      <w:lang w:eastAsia="zh-CN"/>
                    </w:rPr>
                    <w:t>处置</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污水处理站和化粪池</w:t>
                  </w:r>
                  <w:r>
                    <w:rPr>
                      <w:rFonts w:hint="default" w:ascii="Times New Roman" w:hAnsi="Times New Roman" w:cs="Times New Roman"/>
                      <w:color w:val="auto"/>
                      <w:sz w:val="21"/>
                      <w:szCs w:val="21"/>
                      <w:lang w:eastAsia="zh-CN"/>
                    </w:rPr>
                    <w:t>污泥</w:t>
                  </w:r>
                  <w:r>
                    <w:rPr>
                      <w:rFonts w:hint="default" w:ascii="Times New Roman" w:hAnsi="Times New Roman" w:eastAsia="宋体" w:cs="Times New Roman"/>
                      <w:color w:val="auto"/>
                      <w:kern w:val="0"/>
                      <w:sz w:val="21"/>
                      <w:szCs w:val="21"/>
                      <w:lang w:val="en-US" w:eastAsia="zh-CN" w:bidi="ar"/>
                    </w:rPr>
                    <w:t>不暂存，</w:t>
                  </w:r>
                  <w:r>
                    <w:rPr>
                      <w:rFonts w:hint="eastAsia" w:ascii="Times New Roman" w:hAnsi="Times New Roman" w:cs="Times New Roman"/>
                      <w:color w:val="auto"/>
                      <w:kern w:val="0"/>
                      <w:sz w:val="21"/>
                      <w:szCs w:val="21"/>
                      <w:lang w:val="en-US" w:eastAsia="zh-CN" w:bidi="ar"/>
                    </w:rPr>
                    <w:t>消毒后交由</w:t>
                  </w:r>
                  <w:r>
                    <w:rPr>
                      <w:rFonts w:hint="default" w:ascii="Times New Roman" w:hAnsi="Times New Roman" w:eastAsia="宋体" w:cs="Times New Roman"/>
                      <w:color w:val="auto"/>
                      <w:kern w:val="0"/>
                      <w:sz w:val="21"/>
                      <w:szCs w:val="21"/>
                      <w:lang w:val="en-US" w:eastAsia="zh-CN" w:bidi="ar"/>
                    </w:rPr>
                    <w:t>有资质的单位处置</w:t>
                  </w:r>
                </w:p>
              </w:tc>
              <w:tc>
                <w:tcPr>
                  <w:tcW w:w="50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4、主要技术经济指标</w:t>
            </w:r>
          </w:p>
          <w:p>
            <w:pPr>
              <w:pStyle w:val="52"/>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本项目主要技术经济指标见表</w:t>
            </w:r>
            <w:r>
              <w:rPr>
                <w:rFonts w:hint="default" w:ascii="Times New Roman" w:hAnsi="Times New Roman" w:cs="Times New Roman"/>
                <w:color w:val="auto"/>
                <w:sz w:val="24"/>
                <w:szCs w:val="24"/>
                <w:lang w:val="en-US" w:eastAsia="zh-CN"/>
              </w:rPr>
              <w:t>2-2</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default" w:ascii="Times New Roman" w:hAnsi="Times New Roman" w:cs="Times New Roman"/>
                <w:b/>
                <w:color w:val="auto"/>
                <w:sz w:val="24"/>
                <w:szCs w:val="24"/>
                <w:lang w:val="en-US" w:eastAsia="zh-CN"/>
              </w:rPr>
              <w:t>2-</w:t>
            </w: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SEQ 表 \* ARABIC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b/>
                <w:color w:val="auto"/>
                <w:sz w:val="24"/>
                <w:szCs w:val="24"/>
              </w:rPr>
              <w:t>2</w:t>
            </w:r>
            <w:r>
              <w:rPr>
                <w:rFonts w:hint="default" w:ascii="Times New Roman" w:hAnsi="Times New Roman" w:cs="Times New Roman"/>
                <w:b/>
                <w:color w:val="auto"/>
                <w:sz w:val="24"/>
                <w:szCs w:val="24"/>
              </w:rPr>
              <w:fldChar w:fldCharType="end"/>
            </w:r>
            <w:r>
              <w:rPr>
                <w:rFonts w:hint="eastAsia"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项目</w:t>
            </w:r>
            <w:r>
              <w:rPr>
                <w:rFonts w:hint="default" w:ascii="Times New Roman" w:hAnsi="Times New Roman" w:cs="Times New Roman"/>
                <w:b/>
                <w:color w:val="auto"/>
                <w:sz w:val="24"/>
                <w:szCs w:val="24"/>
                <w:lang w:val="en-US" w:eastAsia="zh-CN"/>
              </w:rPr>
              <w:t>经济指标</w:t>
            </w:r>
            <w:r>
              <w:rPr>
                <w:rFonts w:hint="default" w:ascii="Times New Roman" w:hAnsi="Times New Roman" w:cs="Times New Roman"/>
                <w:b/>
                <w:color w:val="auto"/>
                <w:sz w:val="24"/>
                <w:szCs w:val="24"/>
              </w:rPr>
              <w:t>一览表</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2133"/>
              <w:gridCol w:w="2156"/>
              <w:gridCol w:w="19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pct"/>
                  <w:tcBorders>
                    <w:tl2br w:val="nil"/>
                    <w:tr2bl w:val="nil"/>
                  </w:tcBorders>
                  <w:noWrap w:val="0"/>
                  <w:vAlign w:val="center"/>
                </w:tcPr>
                <w:p>
                  <w:pPr>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w:t>
                  </w:r>
                </w:p>
              </w:tc>
              <w:tc>
                <w:tcPr>
                  <w:tcW w:w="1187" w:type="pct"/>
                  <w:tcBorders>
                    <w:tl2br w:val="nil"/>
                    <w:tr2bl w:val="nil"/>
                  </w:tcBorders>
                  <w:noWrap w:val="0"/>
                  <w:vAlign w:val="center"/>
                </w:tcPr>
                <w:p>
                  <w:pPr>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单位</w:t>
                  </w:r>
                </w:p>
              </w:tc>
              <w:tc>
                <w:tcPr>
                  <w:tcW w:w="1200" w:type="pct"/>
                  <w:tcBorders>
                    <w:tl2br w:val="nil"/>
                    <w:tr2bl w:val="nil"/>
                  </w:tcBorders>
                  <w:noWrap w:val="0"/>
                  <w:vAlign w:val="center"/>
                </w:tcPr>
                <w:p>
                  <w:pPr>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指标</w:t>
                  </w:r>
                </w:p>
              </w:tc>
              <w:tc>
                <w:tcPr>
                  <w:tcW w:w="1096" w:type="pct"/>
                  <w:tcBorders>
                    <w:tl2br w:val="nil"/>
                    <w:tr2bl w:val="nil"/>
                  </w:tcBorders>
                  <w:noWrap w:val="0"/>
                  <w:vAlign w:val="center"/>
                </w:tcPr>
                <w:p>
                  <w:pPr>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床位数</w:t>
                  </w:r>
                </w:p>
              </w:tc>
              <w:tc>
                <w:tcPr>
                  <w:tcW w:w="1187" w:type="pct"/>
                  <w:tcBorders>
                    <w:tl2br w:val="nil"/>
                    <w:tr2bl w:val="nil"/>
                  </w:tcBorders>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床</w:t>
                  </w:r>
                </w:p>
              </w:tc>
              <w:tc>
                <w:tcPr>
                  <w:tcW w:w="1200"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66</w:t>
                  </w:r>
                </w:p>
              </w:tc>
              <w:tc>
                <w:tcPr>
                  <w:tcW w:w="1096" w:type="pct"/>
                  <w:tcBorders>
                    <w:tl2br w:val="nil"/>
                    <w:tr2bl w:val="nil"/>
                  </w:tcBorders>
                  <w:noWrap w:val="0"/>
                  <w:vAlign w:val="center"/>
                </w:tcPr>
                <w:p>
                  <w:pPr>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pct"/>
                  <w:tcBorders>
                    <w:tl2br w:val="nil"/>
                    <w:tr2bl w:val="nil"/>
                  </w:tcBorders>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门诊人数</w:t>
                  </w:r>
                </w:p>
              </w:tc>
              <w:tc>
                <w:tcPr>
                  <w:tcW w:w="1187" w:type="pct"/>
                  <w:tcBorders>
                    <w:tl2br w:val="nil"/>
                    <w:tr2bl w:val="nil"/>
                  </w:tcBorders>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人次/d</w:t>
                  </w:r>
                </w:p>
              </w:tc>
              <w:tc>
                <w:tcPr>
                  <w:tcW w:w="1200"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100</w:t>
                  </w:r>
                </w:p>
              </w:tc>
              <w:tc>
                <w:tcPr>
                  <w:tcW w:w="1096"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最大接诊量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医护人员数量</w:t>
                  </w:r>
                </w:p>
              </w:tc>
              <w:tc>
                <w:tcPr>
                  <w:tcW w:w="1187" w:type="pct"/>
                  <w:tcBorders>
                    <w:tl2br w:val="nil"/>
                    <w:tr2bl w:val="nil"/>
                  </w:tcBorders>
                  <w:noWrap w:val="0"/>
                  <w:vAlign w:val="center"/>
                </w:tcPr>
                <w:p>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人</w:t>
                  </w:r>
                </w:p>
              </w:tc>
              <w:tc>
                <w:tcPr>
                  <w:tcW w:w="1200" w:type="pct"/>
                  <w:tcBorders>
                    <w:tl2br w:val="nil"/>
                    <w:tr2bl w:val="nil"/>
                  </w:tcBorders>
                  <w:noWrap w:val="0"/>
                  <w:vAlign w:val="center"/>
                </w:tcPr>
                <w:p>
                  <w:pPr>
                    <w:snapToGrid w:val="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70</w:t>
                  </w:r>
                </w:p>
              </w:tc>
              <w:tc>
                <w:tcPr>
                  <w:tcW w:w="1096" w:type="pct"/>
                  <w:tcBorders>
                    <w:tl2br w:val="nil"/>
                    <w:tr2bl w:val="nil"/>
                  </w:tcBorders>
                  <w:noWrap w:val="0"/>
                  <w:vAlign w:val="center"/>
                </w:tcPr>
                <w:p>
                  <w:pPr>
                    <w:snapToGrid w:val="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bl>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5、主要设备</w:t>
            </w:r>
          </w:p>
          <w:p>
            <w:pPr>
              <w:pStyle w:val="52"/>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本</w:t>
            </w:r>
            <w:r>
              <w:rPr>
                <w:rFonts w:hint="default" w:ascii="Times New Roman" w:hAnsi="Times New Roman" w:cs="Times New Roman"/>
                <w:color w:val="auto"/>
                <w:sz w:val="24"/>
                <w:szCs w:val="24"/>
              </w:rPr>
              <w:t>项目</w:t>
            </w:r>
            <w:r>
              <w:rPr>
                <w:rFonts w:hint="default" w:ascii="Times New Roman" w:hAnsi="Times New Roman" w:cs="Times New Roman"/>
                <w:color w:val="auto"/>
                <w:sz w:val="24"/>
                <w:szCs w:val="24"/>
                <w:lang w:val="en-US" w:eastAsia="zh-CN"/>
              </w:rPr>
              <w:t>涉及的</w:t>
            </w:r>
            <w:r>
              <w:rPr>
                <w:rFonts w:hint="default" w:ascii="Times New Roman" w:hAnsi="Times New Roman" w:cs="Times New Roman"/>
                <w:color w:val="auto"/>
                <w:sz w:val="24"/>
                <w:szCs w:val="24"/>
              </w:rPr>
              <w:t>主要</w:t>
            </w:r>
            <w:r>
              <w:rPr>
                <w:rFonts w:hint="default" w:ascii="Times New Roman" w:hAnsi="Times New Roman" w:cs="Times New Roman"/>
                <w:color w:val="auto"/>
                <w:sz w:val="24"/>
                <w:szCs w:val="24"/>
                <w:lang w:val="en-US" w:eastAsia="zh-CN"/>
              </w:rPr>
              <w:t>医疗</w:t>
            </w:r>
            <w:r>
              <w:rPr>
                <w:rFonts w:hint="default" w:ascii="Times New Roman" w:hAnsi="Times New Roman" w:cs="Times New Roman"/>
                <w:color w:val="auto"/>
                <w:sz w:val="24"/>
                <w:szCs w:val="24"/>
              </w:rPr>
              <w:t>设备详见表</w:t>
            </w:r>
            <w:r>
              <w:rPr>
                <w:rFonts w:hint="default" w:ascii="Times New Roman" w:hAnsi="Times New Roman" w:cs="Times New Roman"/>
                <w:color w:val="auto"/>
                <w:sz w:val="24"/>
                <w:szCs w:val="24"/>
                <w:lang w:val="en-US" w:eastAsia="zh-CN"/>
              </w:rPr>
              <w:t>2-3</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rPr>
              <w:t>表</w:t>
            </w:r>
            <w:r>
              <w:rPr>
                <w:rFonts w:hint="default" w:ascii="Times New Roman" w:hAnsi="Times New Roman" w:cs="Times New Roman"/>
                <w:b/>
                <w:color w:val="auto"/>
                <w:sz w:val="24"/>
                <w:szCs w:val="24"/>
                <w:lang w:val="en-US" w:eastAsia="zh-CN"/>
              </w:rPr>
              <w:t>2-3</w:t>
            </w:r>
            <w:r>
              <w:rPr>
                <w:rFonts w:hint="eastAsia"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主要生产设备表</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32"/>
              <w:gridCol w:w="3109"/>
              <w:gridCol w:w="2628"/>
              <w:gridCol w:w="11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741" w:type="pct"/>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highlight w:val="none"/>
                    </w:rPr>
                  </w:pPr>
                </w:p>
              </w:tc>
              <w:tc>
                <w:tcPr>
                  <w:tcW w:w="1731" w:type="pct"/>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rPr>
                    <w:t>设备名称</w:t>
                  </w:r>
                </w:p>
              </w:tc>
              <w:tc>
                <w:tcPr>
                  <w:tcW w:w="1463" w:type="pct"/>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型号</w:t>
                  </w:r>
                </w:p>
              </w:tc>
              <w:tc>
                <w:tcPr>
                  <w:tcW w:w="623" w:type="pct"/>
                  <w:tcBorders>
                    <w:tl2br w:val="nil"/>
                    <w:tr2bl w:val="nil"/>
                  </w:tcBorders>
                  <w:noWrap w:val="0"/>
                  <w:vAlign w:val="center"/>
                </w:tcPr>
                <w:p>
                  <w:pPr>
                    <w:autoSpaceDE w:val="0"/>
                    <w:autoSpaceDN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数量</w:t>
                  </w:r>
                  <w:r>
                    <w:rPr>
                      <w:rFonts w:hint="default" w:ascii="Times New Roman" w:hAnsi="Times New Roman" w:eastAsia="宋体" w:cs="Times New Roman"/>
                      <w:b/>
                      <w:bCs/>
                      <w:color w:val="auto"/>
                      <w:kern w:val="0"/>
                      <w:sz w:val="21"/>
                      <w:szCs w:val="21"/>
                      <w:highlight w:val="none"/>
                      <w:lang w:val="en-US" w:eastAsia="zh-CN"/>
                    </w:rPr>
                    <w:t>/</w:t>
                  </w:r>
                  <w:r>
                    <w:rPr>
                      <w:rFonts w:hint="default" w:ascii="Times New Roman" w:hAnsi="Times New Roman" w:eastAsia="宋体" w:cs="Times New Roman"/>
                      <w:b/>
                      <w:bCs/>
                      <w:color w:val="auto"/>
                      <w:kern w:val="0"/>
                      <w:sz w:val="21"/>
                      <w:szCs w:val="21"/>
                      <w:highlight w:val="none"/>
                    </w:rPr>
                    <w:t>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41" w:type="pct"/>
                  <w:vMerge w:val="restar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eastAsia" w:ascii="Times New Roman" w:hAnsi="Times New Roman" w:eastAsia="宋体" w:cs="Times New Roman"/>
                      <w:b w:val="0"/>
                      <w:bCs w:val="0"/>
                      <w:kern w:val="0"/>
                      <w:sz w:val="21"/>
                      <w:szCs w:val="21"/>
                      <w:lang w:val="en-US" w:eastAsia="zh-CN" w:bidi="ar-SA"/>
                    </w:rPr>
                    <w:t>病房区</w:t>
                  </w: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eastAsia="zh-CN"/>
                    </w:rPr>
                    <w:t>产后康复治疗</w:t>
                  </w:r>
                  <w:r>
                    <w:rPr>
                      <w:rFonts w:hint="eastAsia" w:ascii="Times New Roman" w:hAnsi="Times New Roman" w:cs="Times New Roman"/>
                      <w:b w:val="0"/>
                      <w:bCs w:val="0"/>
                      <w:kern w:val="0"/>
                      <w:sz w:val="21"/>
                      <w:szCs w:val="21"/>
                      <w:lang w:val="en-US" w:eastAsia="zh-CN"/>
                    </w:rPr>
                    <w:t>仪</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eastAsia" w:ascii="Times New Roman" w:hAnsi="Times New Roman" w:eastAsia="宋体" w:cs="Times New Roman"/>
                      <w:b w:val="0"/>
                      <w:bCs w:val="0"/>
                      <w:kern w:val="0"/>
                      <w:sz w:val="21"/>
                      <w:szCs w:val="21"/>
                      <w:lang w:val="en-US" w:eastAsia="zh-CN" w:bidi="ar-SA"/>
                    </w:rPr>
                    <w:t>/</w:t>
                  </w:r>
                </w:p>
              </w:tc>
              <w:tc>
                <w:tcPr>
                  <w:tcW w:w="6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NewRomanPSMT" w:hAnsi="TimesNewRomanPSMT" w:eastAsia="TimesNewRomanPSMT"/>
                      <w:color w:val="auto"/>
                      <w:sz w:val="21"/>
                      <w:szCs w:val="24"/>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eastAsia="zh-CN"/>
                    </w:rPr>
                    <w:t>红光治疗</w:t>
                  </w:r>
                  <w:r>
                    <w:rPr>
                      <w:rFonts w:hint="eastAsia" w:ascii="Times New Roman" w:hAnsi="Times New Roman" w:cs="Times New Roman"/>
                      <w:b w:val="0"/>
                      <w:bCs w:val="0"/>
                      <w:kern w:val="0"/>
                      <w:sz w:val="21"/>
                      <w:szCs w:val="21"/>
                      <w:lang w:val="en-US" w:eastAsia="zh-CN"/>
                    </w:rPr>
                    <w:t>仪</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eastAsia" w:ascii="Times New Roman" w:hAnsi="Times New Roman" w:eastAsia="宋体" w:cs="Times New Roman"/>
                      <w:b w:val="0"/>
                      <w:bCs w:val="0"/>
                      <w:kern w:val="0"/>
                      <w:sz w:val="21"/>
                      <w:szCs w:val="21"/>
                      <w:lang w:val="en-US" w:eastAsia="zh-CN" w:bidi="ar-SA"/>
                    </w:rPr>
                    <w:t>/</w:t>
                  </w:r>
                </w:p>
              </w:tc>
              <w:tc>
                <w:tcPr>
                  <w:tcW w:w="6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NewRomanPSMT" w:hAnsi="TimesNewRomanPSMT" w:eastAsia="宋体"/>
                      <w:color w:val="auto"/>
                      <w:sz w:val="21"/>
                      <w:szCs w:val="24"/>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val="en-US" w:eastAsia="zh-CN"/>
                    </w:rPr>
                    <w:t>空气波按摩仪</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val="en-US" w:eastAsia="zh-CN"/>
                    </w:rPr>
                    <w:t>JHAM-B</w:t>
                  </w:r>
                </w:p>
              </w:tc>
              <w:tc>
                <w:tcPr>
                  <w:tcW w:w="6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eastAsia="zh-CN"/>
                    </w:rPr>
                    <w:t>心电监护</w:t>
                  </w:r>
                  <w:r>
                    <w:rPr>
                      <w:rFonts w:hint="eastAsia" w:ascii="Times New Roman" w:hAnsi="Times New Roman" w:cs="Times New Roman"/>
                      <w:b w:val="0"/>
                      <w:bCs w:val="0"/>
                      <w:kern w:val="0"/>
                      <w:sz w:val="21"/>
                      <w:szCs w:val="21"/>
                      <w:lang w:val="en-US" w:eastAsia="zh-CN"/>
                    </w:rPr>
                    <w:t>仪</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eastAsia" w:ascii="Times New Roman" w:hAnsi="Times New Roman" w:eastAsia="宋体" w:cs="Times New Roman"/>
                      <w:b w:val="0"/>
                      <w:bCs w:val="0"/>
                      <w:kern w:val="0"/>
                      <w:sz w:val="21"/>
                      <w:szCs w:val="21"/>
                      <w:lang w:val="en-US" w:eastAsia="zh-CN" w:bidi="ar-SA"/>
                    </w:rPr>
                    <w:t>/</w:t>
                  </w:r>
                </w:p>
              </w:tc>
              <w:tc>
                <w:tcPr>
                  <w:tcW w:w="623"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NewRomanPSMT" w:hAnsi="TimesNewRomanPSMT" w:eastAsia="宋体"/>
                      <w:color w:val="auto"/>
                      <w:sz w:val="21"/>
                      <w:szCs w:val="24"/>
                      <w:highlight w:val="no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胎心仪</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TY288IB</w:t>
                  </w:r>
                </w:p>
              </w:tc>
              <w:tc>
                <w:tcPr>
                  <w:tcW w:w="6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空气消毒机</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TT/DTYX-100T</w:t>
                  </w:r>
                </w:p>
              </w:tc>
              <w:tc>
                <w:tcPr>
                  <w:tcW w:w="6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雾化器</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403T</w:t>
                  </w:r>
                </w:p>
              </w:tc>
              <w:tc>
                <w:tcPr>
                  <w:tcW w:w="6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心电图机</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CMI200B</w:t>
                  </w:r>
                </w:p>
              </w:tc>
              <w:tc>
                <w:tcPr>
                  <w:tcW w:w="623"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9</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血压计</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eastAsia" w:ascii="Times New Roman" w:hAnsi="Times New Roman" w:eastAsia="宋体" w:cs="Times New Roman"/>
                      <w:b w:val="0"/>
                      <w:bCs w:val="0"/>
                      <w:kern w:val="0"/>
                      <w:sz w:val="21"/>
                      <w:szCs w:val="21"/>
                      <w:lang w:val="en-US" w:eastAsia="zh-CN" w:bidi="ar-SA"/>
                    </w:rPr>
                    <w:t>/</w:t>
                  </w:r>
                </w:p>
              </w:tc>
              <w:tc>
                <w:tcPr>
                  <w:tcW w:w="623"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水银体温计</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GB1588-2001</w:t>
                  </w:r>
                </w:p>
              </w:tc>
              <w:tc>
                <w:tcPr>
                  <w:tcW w:w="6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红外测温仪</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YHW-2</w:t>
                  </w:r>
                </w:p>
              </w:tc>
              <w:tc>
                <w:tcPr>
                  <w:tcW w:w="6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红外线体温计</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KF-HW-001</w:t>
                  </w:r>
                </w:p>
              </w:tc>
              <w:tc>
                <w:tcPr>
                  <w:tcW w:w="623"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拜安进血糖仪</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T600P</w:t>
                  </w:r>
                </w:p>
              </w:tc>
              <w:tc>
                <w:tcPr>
                  <w:tcW w:w="6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14</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血糖仪</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val="en-US" w:eastAsia="zh-CN"/>
                    </w:rPr>
                    <w:t>GA-6型</w:t>
                  </w:r>
                </w:p>
              </w:tc>
              <w:tc>
                <w:tcPr>
                  <w:tcW w:w="6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15</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低负压电动吸引器</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DYX-1A</w:t>
                  </w:r>
                </w:p>
              </w:tc>
              <w:tc>
                <w:tcPr>
                  <w:tcW w:w="6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16</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超声微机胎儿监护仪</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rPr>
                    <w:t>TS9101</w:t>
                  </w:r>
                </w:p>
              </w:tc>
              <w:tc>
                <w:tcPr>
                  <w:tcW w:w="623"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17</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eastAsia"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val="en-US" w:eastAsia="zh-CN"/>
                    </w:rPr>
                    <w:t>超声多普勒胎儿监护仪</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val="en-US" w:eastAsia="zh-CN"/>
                    </w:rPr>
                    <w:t>F2</w:t>
                  </w:r>
                </w:p>
              </w:tc>
              <w:tc>
                <w:tcPr>
                  <w:tcW w:w="623"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18</w:t>
                  </w:r>
                </w:p>
              </w:tc>
              <w:tc>
                <w:tcPr>
                  <w:tcW w:w="741" w:type="pct"/>
                  <w:vMerge w:val="continue"/>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c>
                <w:tcPr>
                  <w:tcW w:w="1731"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eastAsia="zh-CN"/>
                    </w:rPr>
                    <w:t>婴儿培养箱</w:t>
                  </w:r>
                </w:p>
              </w:tc>
              <w:tc>
                <w:tcPr>
                  <w:tcW w:w="1463" w:type="pct"/>
                  <w:tcBorders>
                    <w:tl2br w:val="nil"/>
                    <w:tr2bl w:val="nil"/>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val="en-US" w:eastAsia="zh-CN"/>
                    </w:rPr>
                    <w:t>YP-1008</w:t>
                  </w:r>
                </w:p>
              </w:tc>
              <w:tc>
                <w:tcPr>
                  <w:tcW w:w="6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19</w:t>
                  </w:r>
                </w:p>
              </w:tc>
              <w:tc>
                <w:tcPr>
                  <w:tcW w:w="741"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val="en-US" w:eastAsia="zh-CN"/>
                    </w:rPr>
                  </w:pPr>
                  <w:r>
                    <w:rPr>
                      <w:rFonts w:hint="eastAsia" w:ascii="Times New Roman" w:hAnsi="Times New Roman" w:cs="Times New Roman"/>
                      <w:b w:val="0"/>
                      <w:bCs w:val="0"/>
                      <w:kern w:val="0"/>
                      <w:sz w:val="21"/>
                      <w:szCs w:val="21"/>
                      <w:lang w:val="en-US" w:eastAsia="zh-CN"/>
                    </w:rPr>
                    <w:t>彩超室</w:t>
                  </w:r>
                </w:p>
              </w:tc>
              <w:tc>
                <w:tcPr>
                  <w:tcW w:w="1731"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超声诊断仪</w:t>
                  </w:r>
                </w:p>
              </w:tc>
              <w:tc>
                <w:tcPr>
                  <w:tcW w:w="1463"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WS80A</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20</w:t>
                  </w:r>
                </w:p>
              </w:tc>
              <w:tc>
                <w:tcPr>
                  <w:tcW w:w="741"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eastAsia="zh-CN"/>
                    </w:rPr>
                  </w:pPr>
                </w:p>
              </w:tc>
              <w:tc>
                <w:tcPr>
                  <w:tcW w:w="1731"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ERSON喷墨打印机</w:t>
                  </w:r>
                </w:p>
              </w:tc>
              <w:tc>
                <w:tcPr>
                  <w:tcW w:w="1463"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L805</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21</w:t>
                  </w:r>
                </w:p>
              </w:tc>
              <w:tc>
                <w:tcPr>
                  <w:tcW w:w="741"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eastAsia="zh-CN"/>
                    </w:rPr>
                  </w:pPr>
                </w:p>
              </w:tc>
              <w:tc>
                <w:tcPr>
                  <w:tcW w:w="1731"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空气消毒机</w:t>
                  </w:r>
                </w:p>
              </w:tc>
              <w:tc>
                <w:tcPr>
                  <w:tcW w:w="1463"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TT/DTYX-100T</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22</w:t>
                  </w:r>
                </w:p>
              </w:tc>
              <w:tc>
                <w:tcPr>
                  <w:tcW w:w="741"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eastAsia="zh-CN"/>
                    </w:rPr>
                  </w:pPr>
                </w:p>
              </w:tc>
              <w:tc>
                <w:tcPr>
                  <w:tcW w:w="1731"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数字式十二道心电图机</w:t>
                  </w:r>
                </w:p>
              </w:tc>
              <w:tc>
                <w:tcPr>
                  <w:tcW w:w="1463"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SE-1200</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23</w:t>
                  </w:r>
                </w:p>
              </w:tc>
              <w:tc>
                <w:tcPr>
                  <w:tcW w:w="741"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eastAsia="zh-CN"/>
                    </w:rPr>
                  </w:pPr>
                </w:p>
              </w:tc>
              <w:tc>
                <w:tcPr>
                  <w:tcW w:w="1731"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超声诊断系统</w:t>
                  </w:r>
                </w:p>
              </w:tc>
              <w:tc>
                <w:tcPr>
                  <w:tcW w:w="1463"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HD6</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24</w:t>
                  </w:r>
                </w:p>
              </w:tc>
              <w:tc>
                <w:tcPr>
                  <w:tcW w:w="741"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eastAsia="zh-CN"/>
                    </w:rPr>
                  </w:pPr>
                </w:p>
              </w:tc>
              <w:tc>
                <w:tcPr>
                  <w:tcW w:w="1731"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EPSON多功能一体机</w:t>
                  </w:r>
                </w:p>
              </w:tc>
              <w:tc>
                <w:tcPr>
                  <w:tcW w:w="1463"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L380</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25</w:t>
                  </w:r>
                </w:p>
              </w:tc>
              <w:tc>
                <w:tcPr>
                  <w:tcW w:w="741" w:type="pct"/>
                  <w:vMerge w:val="restart"/>
                  <w:vAlign w:val="center"/>
                </w:tcPr>
                <w:p>
                  <w:pPr>
                    <w:widowControl/>
                    <w:jc w:val="center"/>
                    <w:rPr>
                      <w:rFonts w:hint="default" w:ascii="Times New Roman" w:hAnsi="Times New Roman" w:eastAsia="宋体" w:cs="Times New Roman"/>
                      <w:b w:val="0"/>
                      <w:bCs w:val="0"/>
                      <w:kern w:val="0"/>
                      <w:sz w:val="21"/>
                      <w:szCs w:val="21"/>
                      <w:lang w:val="en-US" w:eastAsia="zh-CN"/>
                    </w:rPr>
                  </w:pPr>
                  <w:r>
                    <w:rPr>
                      <w:rFonts w:hint="eastAsia" w:ascii="Times New Roman" w:hAnsi="Times New Roman" w:cs="Times New Roman"/>
                      <w:b w:val="0"/>
                      <w:bCs w:val="0"/>
                      <w:kern w:val="0"/>
                      <w:sz w:val="21"/>
                      <w:szCs w:val="21"/>
                      <w:lang w:val="en-US" w:eastAsia="zh-CN"/>
                    </w:rPr>
                    <w:t>产房</w:t>
                  </w:r>
                </w:p>
              </w:tc>
              <w:tc>
                <w:tcPr>
                  <w:tcW w:w="1731"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上臂式电子血压计</w:t>
                  </w:r>
                </w:p>
              </w:tc>
              <w:tc>
                <w:tcPr>
                  <w:tcW w:w="1463"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BP102A</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26</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医用护理床</w:t>
                  </w:r>
                </w:p>
              </w:tc>
              <w:tc>
                <w:tcPr>
                  <w:tcW w:w="1463"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050504140146</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27</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电动产病床</w:t>
                  </w:r>
                </w:p>
              </w:tc>
              <w:tc>
                <w:tcPr>
                  <w:tcW w:w="1463"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JHDCB-B型</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28</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7E-B便携式吸痰器</w:t>
                  </w:r>
                </w:p>
              </w:tc>
              <w:tc>
                <w:tcPr>
                  <w:tcW w:w="1463"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14020108</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29</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输液泵</w:t>
                  </w:r>
                </w:p>
              </w:tc>
              <w:tc>
                <w:tcPr>
                  <w:tcW w:w="1463"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WIT-601B</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30</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胎心监护仪</w:t>
                  </w:r>
                </w:p>
              </w:tc>
              <w:tc>
                <w:tcPr>
                  <w:tcW w:w="1463"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460481-M20803730014</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31</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胎心监护仪</w:t>
                  </w:r>
                </w:p>
              </w:tc>
              <w:tc>
                <w:tcPr>
                  <w:tcW w:w="1463"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T91180609</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32</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全数字超声诊断系统</w:t>
                  </w:r>
                </w:p>
              </w:tc>
              <w:tc>
                <w:tcPr>
                  <w:tcW w:w="1463"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ZQ-6601</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33</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婴儿辐射保暖台</w:t>
                  </w:r>
                </w:p>
              </w:tc>
              <w:tc>
                <w:tcPr>
                  <w:tcW w:w="1463" w:type="pc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HKN-90</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34</w:t>
                  </w:r>
                </w:p>
              </w:tc>
              <w:tc>
                <w:tcPr>
                  <w:tcW w:w="741" w:type="pct"/>
                  <w:vMerge w:val="restart"/>
                  <w:vAlign w:val="center"/>
                </w:tcPr>
                <w:p>
                  <w:pPr>
                    <w:widowControl/>
                    <w:jc w:val="center"/>
                    <w:rPr>
                      <w:rFonts w:hint="default" w:ascii="Times New Roman" w:hAnsi="Times New Roman" w:eastAsia="宋体" w:cs="Times New Roman"/>
                      <w:b w:val="0"/>
                      <w:bCs w:val="0"/>
                      <w:kern w:val="0"/>
                      <w:sz w:val="21"/>
                      <w:szCs w:val="21"/>
                      <w:lang w:val="en-US" w:eastAsia="zh-CN"/>
                    </w:rPr>
                  </w:pPr>
                  <w:r>
                    <w:rPr>
                      <w:rFonts w:hint="eastAsia" w:ascii="Times New Roman" w:hAnsi="Times New Roman" w:cs="Times New Roman"/>
                      <w:b w:val="0"/>
                      <w:bCs w:val="0"/>
                      <w:kern w:val="0"/>
                      <w:sz w:val="21"/>
                      <w:szCs w:val="21"/>
                      <w:lang w:val="en-US" w:eastAsia="zh-CN"/>
                    </w:rPr>
                    <w:t>检验科</w:t>
                  </w:r>
                </w:p>
              </w:tc>
              <w:tc>
                <w:tcPr>
                  <w:tcW w:w="1731"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全自动血凝血分析仪</w:t>
                  </w:r>
                </w:p>
              </w:tc>
              <w:tc>
                <w:tcPr>
                  <w:tcW w:w="1463"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XL3200C</w:t>
                  </w:r>
                </w:p>
              </w:tc>
              <w:tc>
                <w:tcPr>
                  <w:tcW w:w="62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35</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全自动化学发光仪分析仪</w:t>
                  </w:r>
                </w:p>
              </w:tc>
              <w:tc>
                <w:tcPr>
                  <w:tcW w:w="1463"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A2000 PLUS</w:t>
                  </w:r>
                </w:p>
              </w:tc>
              <w:tc>
                <w:tcPr>
                  <w:tcW w:w="62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36</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血液细胞分析仪（五分类）</w:t>
                  </w:r>
                </w:p>
              </w:tc>
              <w:tc>
                <w:tcPr>
                  <w:tcW w:w="1463"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D7-CRP</w:t>
                  </w:r>
                </w:p>
              </w:tc>
              <w:tc>
                <w:tcPr>
                  <w:tcW w:w="62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37</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全自动生化分析仪</w:t>
                  </w:r>
                </w:p>
              </w:tc>
              <w:tc>
                <w:tcPr>
                  <w:tcW w:w="1463"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CS-600B</w:t>
                  </w:r>
                </w:p>
              </w:tc>
              <w:tc>
                <w:tcPr>
                  <w:tcW w:w="62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38</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显微镜</w:t>
                  </w:r>
                </w:p>
              </w:tc>
              <w:tc>
                <w:tcPr>
                  <w:tcW w:w="1463"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BX43</w:t>
                  </w:r>
                </w:p>
              </w:tc>
              <w:tc>
                <w:tcPr>
                  <w:tcW w:w="62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39</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尿液分析仪500B</w:t>
                  </w:r>
                </w:p>
              </w:tc>
              <w:tc>
                <w:tcPr>
                  <w:tcW w:w="1463"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UR-500B</w:t>
                  </w:r>
                </w:p>
              </w:tc>
              <w:tc>
                <w:tcPr>
                  <w:tcW w:w="62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40</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医用离心机</w:t>
                  </w:r>
                </w:p>
              </w:tc>
              <w:tc>
                <w:tcPr>
                  <w:tcW w:w="1463"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L3-5K</w:t>
                  </w:r>
                </w:p>
              </w:tc>
              <w:tc>
                <w:tcPr>
                  <w:tcW w:w="62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41</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电解质</w:t>
                  </w:r>
                </w:p>
              </w:tc>
              <w:tc>
                <w:tcPr>
                  <w:tcW w:w="1463"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AC9801</w:t>
                  </w:r>
                </w:p>
              </w:tc>
              <w:tc>
                <w:tcPr>
                  <w:tcW w:w="62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42</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血型卡离心机</w:t>
                  </w:r>
                </w:p>
              </w:tc>
              <w:tc>
                <w:tcPr>
                  <w:tcW w:w="1463" w:type="pct"/>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TD2-12</w:t>
                  </w:r>
                </w:p>
              </w:tc>
              <w:tc>
                <w:tcPr>
                  <w:tcW w:w="62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43</w:t>
                  </w:r>
                </w:p>
              </w:tc>
              <w:tc>
                <w:tcPr>
                  <w:tcW w:w="741" w:type="pct"/>
                  <w:vMerge w:val="restart"/>
                  <w:vAlign w:val="center"/>
                </w:tcPr>
                <w:p>
                  <w:pPr>
                    <w:widowControl/>
                    <w:jc w:val="center"/>
                    <w:rPr>
                      <w:rFonts w:hint="default" w:ascii="Times New Roman" w:hAnsi="Times New Roman" w:eastAsia="宋体" w:cs="Times New Roman"/>
                      <w:b w:val="0"/>
                      <w:bCs w:val="0"/>
                      <w:kern w:val="0"/>
                      <w:sz w:val="21"/>
                      <w:szCs w:val="21"/>
                      <w:lang w:val="en-US" w:eastAsia="zh-CN"/>
                    </w:rPr>
                  </w:pPr>
                  <w:r>
                    <w:rPr>
                      <w:rFonts w:hint="eastAsia" w:ascii="Times New Roman" w:hAnsi="Times New Roman" w:cs="Times New Roman"/>
                      <w:b w:val="0"/>
                      <w:bCs w:val="0"/>
                      <w:kern w:val="0"/>
                      <w:sz w:val="21"/>
                      <w:szCs w:val="21"/>
                      <w:lang w:val="en-US" w:eastAsia="zh-CN"/>
                    </w:rPr>
                    <w:t>手术供应室</w:t>
                  </w:r>
                </w:p>
              </w:tc>
              <w:tc>
                <w:tcPr>
                  <w:tcW w:w="173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电动吸引器</w:t>
                  </w:r>
                </w:p>
              </w:tc>
              <w:tc>
                <w:tcPr>
                  <w:tcW w:w="1463"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XDX—B1</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44</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便携式吸痰器</w:t>
                  </w:r>
                </w:p>
              </w:tc>
              <w:tc>
                <w:tcPr>
                  <w:tcW w:w="1463"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7E</w:t>
                  </w:r>
                  <w:r>
                    <w:rPr>
                      <w:rFonts w:hint="eastAsia" w:ascii="Times New Roman" w:hAnsi="Times New Roman" w:eastAsia="宋体" w:cs="Times New Roman"/>
                      <w:sz w:val="21"/>
                      <w:szCs w:val="21"/>
                    </w:rPr>
                    <w:t>—B</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45</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心电监护仪</w:t>
                  </w:r>
                </w:p>
              </w:tc>
              <w:tc>
                <w:tcPr>
                  <w:tcW w:w="1463"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飞利浦（G60）</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46</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麻醉机</w:t>
                  </w:r>
                </w:p>
              </w:tc>
              <w:tc>
                <w:tcPr>
                  <w:tcW w:w="1463"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9100</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47</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呼吸机</w:t>
                  </w:r>
                </w:p>
              </w:tc>
              <w:tc>
                <w:tcPr>
                  <w:tcW w:w="1463"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Shangrila520</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48</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湿化器（呼吸机）</w:t>
                  </w:r>
                </w:p>
              </w:tc>
              <w:tc>
                <w:tcPr>
                  <w:tcW w:w="1463"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SH330</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49</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空气消毒机</w:t>
                  </w:r>
                </w:p>
              </w:tc>
              <w:tc>
                <w:tcPr>
                  <w:tcW w:w="1463"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TT/DTYX-100B</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50</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手术无影灯</w:t>
                  </w:r>
                </w:p>
              </w:tc>
              <w:tc>
                <w:tcPr>
                  <w:tcW w:w="1463"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SDZFL700</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51</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电动流产吸引器</w:t>
                  </w:r>
                </w:p>
              </w:tc>
              <w:tc>
                <w:tcPr>
                  <w:tcW w:w="1463"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7C</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52</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注射泵</w:t>
                  </w:r>
                </w:p>
              </w:tc>
              <w:tc>
                <w:tcPr>
                  <w:tcW w:w="1463"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KL-702</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53</w:t>
                  </w:r>
                </w:p>
              </w:tc>
              <w:tc>
                <w:tcPr>
                  <w:tcW w:w="741" w:type="pct"/>
                  <w:vMerge w:val="continue"/>
                  <w:vAlign w:val="center"/>
                </w:tcPr>
                <w:p>
                  <w:pPr>
                    <w:widowControl/>
                    <w:jc w:val="center"/>
                    <w:rPr>
                      <w:rFonts w:hint="default" w:ascii="Times New Roman" w:hAnsi="Times New Roman" w:eastAsia="宋体" w:cs="Times New Roman"/>
                      <w:b w:val="0"/>
                      <w:bCs w:val="0"/>
                      <w:kern w:val="0"/>
                      <w:sz w:val="21"/>
                      <w:szCs w:val="21"/>
                      <w:lang w:eastAsia="zh-CN"/>
                    </w:rPr>
                  </w:pPr>
                </w:p>
              </w:tc>
              <w:tc>
                <w:tcPr>
                  <w:tcW w:w="173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高频电刀机</w:t>
                  </w:r>
                </w:p>
              </w:tc>
              <w:tc>
                <w:tcPr>
                  <w:tcW w:w="1463"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YZB/USA2964-2112</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54</w:t>
                  </w:r>
                </w:p>
              </w:tc>
              <w:tc>
                <w:tcPr>
                  <w:tcW w:w="741" w:type="pct"/>
                  <w:vMerge w:val="continue"/>
                </w:tcPr>
                <w:p>
                  <w:pPr>
                    <w:widowControl/>
                    <w:jc w:val="center"/>
                    <w:rPr>
                      <w:rFonts w:hint="default" w:ascii="Times New Roman" w:hAnsi="Times New Roman" w:eastAsia="宋体" w:cs="Times New Roman"/>
                      <w:b w:val="0"/>
                      <w:bCs w:val="0"/>
                      <w:kern w:val="0"/>
                      <w:sz w:val="21"/>
                      <w:szCs w:val="21"/>
                      <w:lang w:eastAsia="zh-CN"/>
                    </w:rPr>
                  </w:pP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高频电刀主机</w:t>
                  </w: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WB91051C</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55</w:t>
                  </w:r>
                </w:p>
              </w:tc>
              <w:tc>
                <w:tcPr>
                  <w:tcW w:w="741" w:type="pct"/>
                  <w:vMerge w:val="continue"/>
                </w:tcPr>
                <w:p>
                  <w:pPr>
                    <w:widowControl/>
                    <w:jc w:val="center"/>
                    <w:rPr>
                      <w:rFonts w:hint="default" w:ascii="Times New Roman" w:hAnsi="Times New Roman" w:eastAsia="宋体" w:cs="Times New Roman"/>
                      <w:b w:val="0"/>
                      <w:bCs w:val="0"/>
                      <w:kern w:val="0"/>
                      <w:sz w:val="21"/>
                      <w:szCs w:val="21"/>
                      <w:lang w:eastAsia="zh-CN"/>
                    </w:rPr>
                  </w:pP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膨宫泵</w:t>
                  </w: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H108</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56</w:t>
                  </w:r>
                </w:p>
              </w:tc>
              <w:tc>
                <w:tcPr>
                  <w:tcW w:w="741" w:type="pct"/>
                  <w:vMerge w:val="continue"/>
                </w:tcPr>
                <w:p>
                  <w:pPr>
                    <w:widowControl/>
                    <w:jc w:val="center"/>
                    <w:rPr>
                      <w:rFonts w:hint="default" w:ascii="Times New Roman" w:hAnsi="Times New Roman" w:eastAsia="宋体" w:cs="Times New Roman"/>
                      <w:b w:val="0"/>
                      <w:bCs w:val="0"/>
                      <w:kern w:val="0"/>
                      <w:sz w:val="21"/>
                      <w:szCs w:val="21"/>
                      <w:lang w:eastAsia="zh-CN"/>
                    </w:rPr>
                  </w:pP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摄像系统主机</w:t>
                  </w: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OTV-S7V</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57</w:t>
                  </w:r>
                </w:p>
              </w:tc>
              <w:tc>
                <w:tcPr>
                  <w:tcW w:w="741" w:type="pct"/>
                  <w:vMerge w:val="continue"/>
                </w:tcPr>
                <w:p>
                  <w:pPr>
                    <w:widowControl/>
                    <w:jc w:val="center"/>
                    <w:rPr>
                      <w:rFonts w:hint="default" w:ascii="Times New Roman" w:hAnsi="Times New Roman" w:eastAsia="宋体" w:cs="Times New Roman"/>
                      <w:b w:val="0"/>
                      <w:bCs w:val="0"/>
                      <w:kern w:val="0"/>
                      <w:sz w:val="21"/>
                      <w:szCs w:val="21"/>
                      <w:lang w:eastAsia="zh-CN"/>
                    </w:rPr>
                  </w:pP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内窥镜冷光源</w:t>
                  </w: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CLV-S45</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58</w:t>
                  </w:r>
                </w:p>
              </w:tc>
              <w:tc>
                <w:tcPr>
                  <w:tcW w:w="741" w:type="pct"/>
                  <w:vMerge w:val="continue"/>
                </w:tcPr>
                <w:p>
                  <w:pPr>
                    <w:widowControl/>
                    <w:jc w:val="center"/>
                    <w:rPr>
                      <w:rFonts w:hint="default" w:ascii="Times New Roman" w:hAnsi="Times New Roman" w:eastAsia="宋体" w:cs="Times New Roman"/>
                      <w:b w:val="0"/>
                      <w:bCs w:val="0"/>
                      <w:kern w:val="0"/>
                      <w:sz w:val="21"/>
                      <w:szCs w:val="21"/>
                      <w:lang w:eastAsia="zh-CN"/>
                    </w:rPr>
                  </w:pP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液晶监视器</w:t>
                  </w: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LMD-2110MC</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59</w:t>
                  </w:r>
                </w:p>
              </w:tc>
              <w:tc>
                <w:tcPr>
                  <w:tcW w:w="741" w:type="pct"/>
                  <w:vMerge w:val="continue"/>
                </w:tcPr>
                <w:p>
                  <w:pPr>
                    <w:widowControl/>
                    <w:jc w:val="center"/>
                    <w:rPr>
                      <w:rFonts w:hint="default" w:ascii="Times New Roman" w:hAnsi="Times New Roman" w:eastAsia="宋体" w:cs="Times New Roman"/>
                      <w:b w:val="0"/>
                      <w:bCs w:val="0"/>
                      <w:kern w:val="0"/>
                      <w:sz w:val="21"/>
                      <w:szCs w:val="21"/>
                      <w:lang w:eastAsia="zh-CN"/>
                    </w:rPr>
                  </w:pP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过氧化氢低温等离子灭菌器</w:t>
                  </w: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LK/MJQ-100</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60</w:t>
                  </w:r>
                </w:p>
              </w:tc>
              <w:tc>
                <w:tcPr>
                  <w:tcW w:w="741" w:type="pct"/>
                  <w:vMerge w:val="continue"/>
                </w:tcPr>
                <w:p>
                  <w:pPr>
                    <w:widowControl/>
                    <w:jc w:val="center"/>
                    <w:rPr>
                      <w:rFonts w:hint="default" w:ascii="Times New Roman" w:hAnsi="Times New Roman" w:eastAsia="宋体" w:cs="Times New Roman"/>
                      <w:b w:val="0"/>
                      <w:bCs w:val="0"/>
                      <w:kern w:val="0"/>
                      <w:sz w:val="21"/>
                      <w:szCs w:val="21"/>
                      <w:lang w:eastAsia="zh-CN"/>
                    </w:rPr>
                  </w:pP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医用数控干燥箱</w:t>
                  </w: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JK-DY1200</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61</w:t>
                  </w:r>
                </w:p>
              </w:tc>
              <w:tc>
                <w:tcPr>
                  <w:tcW w:w="741" w:type="pct"/>
                  <w:vMerge w:val="continue"/>
                </w:tcPr>
                <w:p>
                  <w:pPr>
                    <w:widowControl/>
                    <w:jc w:val="center"/>
                    <w:rPr>
                      <w:rFonts w:hint="default" w:ascii="Times New Roman" w:hAnsi="Times New Roman" w:eastAsia="宋体" w:cs="Times New Roman"/>
                      <w:b w:val="0"/>
                      <w:bCs w:val="0"/>
                      <w:kern w:val="0"/>
                      <w:sz w:val="21"/>
                      <w:szCs w:val="21"/>
                      <w:lang w:eastAsia="zh-CN"/>
                    </w:rPr>
                  </w:pP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脉动真空压力蒸汽灭菌器</w:t>
                  </w: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HSA-600ME</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62</w:t>
                  </w:r>
                </w:p>
              </w:tc>
              <w:tc>
                <w:tcPr>
                  <w:tcW w:w="741" w:type="pct"/>
                  <w:vMerge w:val="continue"/>
                </w:tcPr>
                <w:p>
                  <w:pPr>
                    <w:widowControl/>
                    <w:jc w:val="center"/>
                    <w:rPr>
                      <w:rFonts w:hint="default" w:ascii="Times New Roman" w:hAnsi="Times New Roman" w:eastAsia="宋体" w:cs="Times New Roman"/>
                      <w:b w:val="0"/>
                      <w:bCs w:val="0"/>
                      <w:kern w:val="0"/>
                      <w:sz w:val="21"/>
                      <w:szCs w:val="21"/>
                      <w:lang w:eastAsia="zh-CN"/>
                    </w:rPr>
                  </w:pP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医用数控煮沸消毒器</w:t>
                  </w: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JK-DY1200</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63</w:t>
                  </w:r>
                </w:p>
              </w:tc>
              <w:tc>
                <w:tcPr>
                  <w:tcW w:w="741" w:type="pct"/>
                  <w:vMerge w:val="continue"/>
                </w:tcPr>
                <w:p>
                  <w:pPr>
                    <w:widowControl/>
                    <w:jc w:val="center"/>
                    <w:rPr>
                      <w:rFonts w:hint="default" w:ascii="Times New Roman" w:hAnsi="Times New Roman" w:eastAsia="宋体" w:cs="Times New Roman"/>
                      <w:b w:val="0"/>
                      <w:bCs w:val="0"/>
                      <w:kern w:val="0"/>
                      <w:sz w:val="21"/>
                      <w:szCs w:val="21"/>
                      <w:lang w:eastAsia="zh-CN"/>
                    </w:rPr>
                  </w:pP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低频脉冲综合治疗仪</w:t>
                  </w: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GB-800型</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64</w:t>
                  </w:r>
                </w:p>
              </w:tc>
              <w:tc>
                <w:tcPr>
                  <w:tcW w:w="741" w:type="pct"/>
                  <w:vMerge w:val="continue"/>
                </w:tcPr>
                <w:p>
                  <w:pPr>
                    <w:widowControl/>
                    <w:jc w:val="center"/>
                    <w:rPr>
                      <w:rFonts w:hint="default" w:ascii="Times New Roman" w:hAnsi="Times New Roman" w:eastAsia="宋体" w:cs="Times New Roman"/>
                      <w:b w:val="0"/>
                      <w:bCs w:val="0"/>
                      <w:kern w:val="0"/>
                      <w:sz w:val="21"/>
                      <w:szCs w:val="21"/>
                      <w:lang w:eastAsia="zh-CN"/>
                    </w:rPr>
                  </w:pP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妇产科电子治疗仪</w:t>
                  </w:r>
                </w:p>
              </w:tc>
              <w:tc>
                <w:tcPr>
                  <w:tcW w:w="0" w:type="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TBK-01B</w:t>
                  </w:r>
                </w:p>
              </w:tc>
              <w:tc>
                <w:tcPr>
                  <w:tcW w:w="0" w:type="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w:t>
                  </w:r>
                </w:p>
              </w:tc>
            </w:tr>
          </w:tbl>
          <w:p>
            <w:pPr>
              <w:pStyle w:val="52"/>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注：DR机、CT机、X射线机属于Ⅲ类射线装置，本次评价不包含辐射的评价内容，需另行办理环评手续。</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6、劳动定员</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宋体" w:cs="Times New Roman"/>
                <w:bCs/>
                <w:color w:val="auto"/>
                <w:sz w:val="24"/>
                <w:szCs w:val="24"/>
                <w:lang w:eastAsia="zh-CN"/>
              </w:rPr>
            </w:pPr>
            <w:r>
              <w:rPr>
                <w:rFonts w:hint="default" w:ascii="Times New Roman" w:hAnsi="Times New Roman" w:cs="Times New Roman"/>
                <w:bCs/>
                <w:color w:val="auto"/>
                <w:sz w:val="24"/>
                <w:szCs w:val="24"/>
                <w:lang w:val="en-US" w:eastAsia="zh-CN"/>
              </w:rPr>
              <w:t>本项目</w:t>
            </w:r>
            <w:r>
              <w:rPr>
                <w:rFonts w:hint="default" w:ascii="Times New Roman" w:hAnsi="Times New Roman" w:cs="Times New Roman"/>
                <w:bCs/>
                <w:color w:val="auto"/>
                <w:sz w:val="24"/>
                <w:szCs w:val="24"/>
              </w:rPr>
              <w:t>劳动定员</w:t>
            </w:r>
            <w:r>
              <w:rPr>
                <w:rFonts w:hint="eastAsia" w:ascii="Times New Roman" w:hAnsi="Times New Roman" w:cs="Times New Roman"/>
                <w:bCs/>
                <w:color w:val="auto"/>
                <w:sz w:val="24"/>
                <w:szCs w:val="24"/>
                <w:lang w:val="en-US" w:eastAsia="zh-CN"/>
              </w:rPr>
              <w:t>7</w:t>
            </w:r>
            <w:r>
              <w:rPr>
                <w:rFonts w:hint="default" w:ascii="Times New Roman" w:hAnsi="Times New Roman" w:cs="Times New Roman"/>
                <w:bCs/>
                <w:color w:val="auto"/>
                <w:sz w:val="24"/>
                <w:szCs w:val="24"/>
                <w:lang w:val="en-US" w:eastAsia="zh-CN"/>
              </w:rPr>
              <w:t>0</w:t>
            </w:r>
            <w:r>
              <w:rPr>
                <w:rFonts w:hint="default" w:ascii="Times New Roman" w:hAnsi="Times New Roman" w:cs="Times New Roman"/>
                <w:bCs/>
                <w:color w:val="auto"/>
                <w:sz w:val="24"/>
                <w:szCs w:val="24"/>
              </w:rPr>
              <w:t>人</w:t>
            </w:r>
            <w:r>
              <w:rPr>
                <w:rFonts w:hint="default" w:ascii="Times New Roman" w:hAnsi="Times New Roman" w:cs="Times New Roman"/>
                <w:bCs/>
                <w:color w:val="auto"/>
                <w:sz w:val="24"/>
                <w:szCs w:val="24"/>
                <w:lang w:val="en-US" w:eastAsia="zh-CN"/>
              </w:rPr>
              <w:t>，</w:t>
            </w:r>
            <w:r>
              <w:rPr>
                <w:rFonts w:hint="eastAsia" w:ascii="Times New Roman" w:hAnsi="Times New Roman" w:cs="Times New Roman"/>
                <w:bCs/>
                <w:color w:val="auto"/>
                <w:sz w:val="24"/>
                <w:szCs w:val="24"/>
                <w:lang w:val="en-US" w:eastAsia="zh-CN"/>
              </w:rPr>
              <w:t>其中医护人员35人，</w:t>
            </w:r>
            <w:r>
              <w:rPr>
                <w:rFonts w:hint="default" w:ascii="Times New Roman" w:hAnsi="Times New Roman" w:cs="Times New Roman"/>
                <w:bCs/>
                <w:color w:val="auto"/>
                <w:sz w:val="24"/>
                <w:szCs w:val="24"/>
                <w:highlight w:val="none"/>
              </w:rPr>
              <w:t>实行</w:t>
            </w:r>
            <w:r>
              <w:rPr>
                <w:rFonts w:hint="default" w:ascii="Times New Roman" w:hAnsi="Times New Roman" w:cs="Times New Roman"/>
                <w:bCs/>
                <w:color w:val="auto"/>
                <w:sz w:val="24"/>
                <w:szCs w:val="24"/>
                <w:highlight w:val="none"/>
                <w:lang w:val="en-US" w:eastAsia="zh-CN"/>
              </w:rPr>
              <w:t>3</w:t>
            </w:r>
            <w:r>
              <w:rPr>
                <w:rFonts w:hint="default" w:ascii="Times New Roman" w:hAnsi="Times New Roman" w:cs="Times New Roman"/>
                <w:bCs/>
                <w:color w:val="auto"/>
                <w:sz w:val="24"/>
                <w:szCs w:val="24"/>
                <w:highlight w:val="none"/>
              </w:rPr>
              <w:t>班工作制</w:t>
            </w:r>
            <w:r>
              <w:rPr>
                <w:rFonts w:hint="default"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每</w:t>
            </w:r>
            <w:r>
              <w:rPr>
                <w:rFonts w:hint="eastAsia" w:ascii="Times New Roman" w:hAnsi="Times New Roman" w:cs="Times New Roman"/>
                <w:bCs/>
                <w:color w:val="auto"/>
                <w:sz w:val="24"/>
                <w:szCs w:val="24"/>
                <w:lang w:val="en-US" w:eastAsia="zh-CN"/>
              </w:rPr>
              <w:t>班8小时。后勤人员35人，每天8小时，白班工作制，</w:t>
            </w:r>
            <w:r>
              <w:rPr>
                <w:rFonts w:hint="default" w:ascii="Times New Roman" w:hAnsi="Times New Roman" w:cs="Times New Roman"/>
                <w:bCs/>
                <w:color w:val="auto"/>
                <w:sz w:val="24"/>
                <w:szCs w:val="24"/>
              </w:rPr>
              <w:t>年营业3</w:t>
            </w:r>
            <w:r>
              <w:rPr>
                <w:rFonts w:hint="eastAsia" w:ascii="Times New Roman" w:hAnsi="Times New Roman" w:cs="Times New Roman"/>
                <w:bCs/>
                <w:color w:val="auto"/>
                <w:sz w:val="24"/>
                <w:szCs w:val="24"/>
                <w:lang w:val="en-US" w:eastAsia="zh-CN"/>
              </w:rPr>
              <w:t>65</w:t>
            </w:r>
            <w:r>
              <w:rPr>
                <w:rFonts w:hint="default" w:ascii="Times New Roman" w:hAnsi="Times New Roman" w:cs="Times New Roman"/>
                <w:bCs/>
                <w:color w:val="auto"/>
                <w:sz w:val="24"/>
                <w:szCs w:val="24"/>
              </w:rPr>
              <w:t>天</w:t>
            </w:r>
            <w:r>
              <w:rPr>
                <w:rFonts w:hint="default" w:ascii="Times New Roman" w:hAnsi="Times New Roman" w:cs="Times New Roman"/>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7、主要</w:t>
            </w:r>
            <w:r>
              <w:rPr>
                <w:rFonts w:hint="eastAsia" w:ascii="Times New Roman" w:hAnsi="Times New Roman" w:eastAsia="宋体" w:cs="Times New Roman"/>
                <w:b/>
                <w:bCs/>
                <w:color w:val="auto"/>
                <w:sz w:val="24"/>
                <w:szCs w:val="24"/>
                <w:lang w:val="en-US" w:eastAsia="zh-CN"/>
              </w:rPr>
              <w:t>原辅材料</w:t>
            </w:r>
          </w:p>
          <w:p>
            <w:pPr>
              <w:pStyle w:val="52"/>
              <w:keepNext w:val="0"/>
              <w:keepLines w:val="0"/>
              <w:pageBreakBefore w:val="0"/>
              <w:widowControl/>
              <w:kinsoku/>
              <w:wordWrap/>
              <w:overflowPunct/>
              <w:topLinePunct w:val="0"/>
              <w:autoSpaceDE/>
              <w:autoSpaceDN/>
              <w:bidi w:val="0"/>
              <w:adjustRightInd w:val="0"/>
              <w:snapToGrid w:val="0"/>
              <w:spacing w:line="240" w:lineRule="auto"/>
              <w:ind w:firstLine="42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本</w:t>
            </w:r>
            <w:r>
              <w:rPr>
                <w:rFonts w:hint="default" w:ascii="Times New Roman" w:hAnsi="Times New Roman" w:cs="Times New Roman"/>
                <w:color w:val="auto"/>
                <w:sz w:val="24"/>
                <w:szCs w:val="24"/>
              </w:rPr>
              <w:t>项目</w:t>
            </w:r>
            <w:r>
              <w:rPr>
                <w:rFonts w:hint="default" w:ascii="Times New Roman" w:hAnsi="Times New Roman" w:cs="Times New Roman"/>
                <w:color w:val="auto"/>
                <w:sz w:val="24"/>
                <w:szCs w:val="24"/>
                <w:lang w:eastAsia="zh-CN"/>
              </w:rPr>
              <w:t>主要</w:t>
            </w:r>
            <w:r>
              <w:rPr>
                <w:rFonts w:hint="eastAsia" w:ascii="Times New Roman" w:hAnsi="Times New Roman" w:cs="Times New Roman"/>
                <w:color w:val="auto"/>
                <w:sz w:val="24"/>
                <w:szCs w:val="24"/>
                <w:lang w:val="en-US" w:eastAsia="zh-CN"/>
              </w:rPr>
              <w:t>原辅材料</w:t>
            </w:r>
            <w:r>
              <w:rPr>
                <w:rFonts w:hint="default" w:ascii="Times New Roman" w:hAnsi="Times New Roman" w:cs="Times New Roman"/>
                <w:color w:val="auto"/>
                <w:sz w:val="24"/>
                <w:szCs w:val="24"/>
                <w:lang w:val="en-US" w:eastAsia="zh-CN"/>
              </w:rPr>
              <w:t>消耗情况详见表2-4。</w:t>
            </w:r>
          </w:p>
          <w:p>
            <w:pPr>
              <w:keepNext w:val="0"/>
              <w:keepLines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default" w:ascii="Times New Roman" w:hAnsi="Times New Roman" w:cs="Times New Roman"/>
                <w:b/>
                <w:color w:val="auto"/>
                <w:sz w:val="24"/>
                <w:szCs w:val="24"/>
                <w:lang w:val="en-US" w:eastAsia="zh-CN"/>
              </w:rPr>
              <w:t>2-</w:t>
            </w: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SEQ 表 \* ARABIC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b/>
                <w:color w:val="auto"/>
                <w:sz w:val="24"/>
                <w:szCs w:val="24"/>
              </w:rPr>
              <w:t>4</w:t>
            </w:r>
            <w:r>
              <w:rPr>
                <w:rFonts w:hint="default" w:ascii="Times New Roman" w:hAnsi="Times New Roman" w:cs="Times New Roman"/>
                <w:b/>
                <w:color w:val="auto"/>
                <w:sz w:val="24"/>
                <w:szCs w:val="24"/>
              </w:rPr>
              <w:fldChar w:fldCharType="end"/>
            </w:r>
            <w:r>
              <w:rPr>
                <w:rFonts w:hint="eastAsia"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主要</w:t>
            </w:r>
            <w:r>
              <w:rPr>
                <w:rFonts w:hint="eastAsia" w:ascii="Times New Roman" w:hAnsi="Times New Roman" w:cs="Times New Roman"/>
                <w:b/>
                <w:color w:val="auto"/>
                <w:sz w:val="24"/>
                <w:szCs w:val="24"/>
                <w:lang w:val="en-US" w:eastAsia="zh-CN"/>
              </w:rPr>
              <w:t>原辅材料</w:t>
            </w:r>
            <w:r>
              <w:rPr>
                <w:rFonts w:hint="default" w:ascii="Times New Roman" w:hAnsi="Times New Roman" w:cs="Times New Roman"/>
                <w:b/>
                <w:color w:val="auto"/>
                <w:sz w:val="24"/>
                <w:szCs w:val="24"/>
              </w:rPr>
              <w:t>一览表</w:t>
            </w:r>
          </w:p>
          <w:tbl>
            <w:tblPr>
              <w:tblStyle w:val="27"/>
              <w:tblW w:w="492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347"/>
              <w:gridCol w:w="3324"/>
              <w:gridCol w:w="831"/>
              <w:gridCol w:w="16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序号</w:t>
                  </w:r>
                </w:p>
              </w:tc>
              <w:tc>
                <w:tcPr>
                  <w:tcW w:w="132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名称</w:t>
                  </w:r>
                </w:p>
              </w:tc>
              <w:tc>
                <w:tcPr>
                  <w:tcW w:w="187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规格</w:t>
                  </w:r>
                </w:p>
              </w:tc>
              <w:tc>
                <w:tcPr>
                  <w:tcW w:w="46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单位</w:t>
                  </w:r>
                </w:p>
              </w:tc>
              <w:tc>
                <w:tcPr>
                  <w:tcW w:w="92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年耗量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电子输注泵</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RJ-BF-3  10个药盒配控制器1个</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320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静脉留置针</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蓝  粉</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2300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大棉棒</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20CM  20支/袋</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2500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单指检查手套</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50只/100只包</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3000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PE手套</w:t>
                  </w:r>
                </w:p>
              </w:tc>
              <w:tc>
                <w:tcPr>
                  <w:tcW w:w="187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非可吸收线</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7</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备皮刀</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eastAsia="zh-CN"/>
                    </w:rPr>
                  </w:pPr>
                  <w:r>
                    <w:rPr>
                      <w:rFonts w:hint="default" w:ascii="Times New Roman" w:hAnsi="Times New Roman" w:eastAsia="宋体" w:cs="Times New Roman"/>
                      <w:i w:val="0"/>
                      <w:iCs w:val="0"/>
                      <w:color w:val="auto"/>
                      <w:kern w:val="0"/>
                      <w:sz w:val="21"/>
                      <w:szCs w:val="21"/>
                      <w:u w:val="none"/>
                      <w:lang w:val="en-US" w:eastAsia="zh-CN" w:bidi="ar"/>
                    </w:rPr>
                    <w:t>100个/盒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8</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鼻氧管</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eastAsia="zh-CN"/>
                    </w:rPr>
                  </w:pPr>
                  <w:r>
                    <w:rPr>
                      <w:rFonts w:hint="default" w:ascii="Times New Roman" w:hAnsi="Times New Roman" w:eastAsia="宋体" w:cs="Times New Roman"/>
                      <w:i w:val="0"/>
                      <w:iCs w:val="0"/>
                      <w:color w:val="auto"/>
                      <w:kern w:val="0"/>
                      <w:sz w:val="21"/>
                      <w:szCs w:val="21"/>
                      <w:u w:val="none"/>
                      <w:lang w:val="en-US" w:eastAsia="zh-CN" w:bidi="ar"/>
                    </w:rPr>
                    <w:t>鼻架</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2325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9</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静脉输液针</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100支/包</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可吸收性缝合线</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12包/盒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11</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联合麻醉包</w:t>
                  </w:r>
                </w:p>
              </w:tc>
              <w:tc>
                <w:tcPr>
                  <w:tcW w:w="187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12</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留置针敷贴</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100片/盒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2280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13</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耦合剂</w:t>
                  </w:r>
                </w:p>
              </w:tc>
              <w:tc>
                <w:tcPr>
                  <w:tcW w:w="187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14</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脐带保护包</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50个/包</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15</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气管插管</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2.5 3.0 7.0#</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16</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湿化鼻氧管</w:t>
                  </w:r>
                </w:p>
              </w:tc>
              <w:tc>
                <w:tcPr>
                  <w:tcW w:w="187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17</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手术刀片</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100片/盒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18</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双腔导尿包</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乳管型</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19</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显影棉纱</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30*30*4P 25块/包</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20</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橡胶检查手套</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中号</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3000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21</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小儿吸痰器</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25个/包</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22</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一次性电极片</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50片/袋</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23</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一次性拭子</w:t>
                  </w:r>
                </w:p>
              </w:tc>
              <w:tc>
                <w:tcPr>
                  <w:tcW w:w="187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24</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一次性手术包</w:t>
                  </w:r>
                </w:p>
              </w:tc>
              <w:tc>
                <w:tcPr>
                  <w:tcW w:w="187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25</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医用口罩</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系带式200个/包</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26</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阴道扩张器</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300个/箱</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8700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27</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真空采血器配套用针（100T）</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7#  黑色</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28</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注射器</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 200支/盒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29</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注射器</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100支/盒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30</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棉签</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12cm</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31</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灭菌外科手套</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50副/盒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32</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配药注射器</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50ml 45支/25支/盒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33</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切口贴</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10*25</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34</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输液器</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25支/包</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35</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小儿头皮针贴</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2.5cm*100cm</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36</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一次性使用无菌注射器</w:t>
                  </w:r>
                </w:p>
              </w:tc>
              <w:tc>
                <w:tcPr>
                  <w:tcW w:w="18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2.5</w:t>
                  </w:r>
                  <w:r>
                    <w:rPr>
                      <w:rFonts w:hint="eastAsia" w:ascii="Times New Roman" w:hAnsi="Times New Roman"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lang w:val="en-US" w:eastAsia="zh-CN" w:bidi="ar"/>
                    </w:rPr>
                    <w:t>L</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37</w:t>
                  </w:r>
                </w:p>
              </w:tc>
              <w:tc>
                <w:tcPr>
                  <w:tcW w:w="13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一次性手术衣</w:t>
                  </w:r>
                </w:p>
              </w:tc>
              <w:tc>
                <w:tcPr>
                  <w:tcW w:w="187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38</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医疗器械防护罩</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20*200</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39</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医用胶带</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PE透气膜</w:t>
                  </w:r>
                  <w:r>
                    <w:rPr>
                      <w:rFonts w:hint="eastAsia" w:ascii="Times New Roman" w:hAnsi="Times New Roman" w:cs="Times New Roman"/>
                      <w:i w:val="0"/>
                      <w:iCs w:val="0"/>
                      <w:color w:val="auto"/>
                      <w:kern w:val="0"/>
                      <w:sz w:val="21"/>
                      <w:szCs w:val="21"/>
                      <w:u w:val="none"/>
                      <w:lang w:val="en-US" w:eastAsia="zh-CN" w:bidi="ar"/>
                    </w:rPr>
                    <w:t>）</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24卷/盒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卷</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40</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医用输液贴（无纺布基材）</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100片/盒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41</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易佳血糖试纸</w:t>
                  </w:r>
                </w:p>
              </w:tc>
              <w:tc>
                <w:tcPr>
                  <w:tcW w:w="1876" w:type="pct"/>
                  <w:tcBorders>
                    <w:tl2br w:val="nil"/>
                    <w:tr2bl w:val="nil"/>
                  </w:tcBorders>
                  <w:noWrap w:val="0"/>
                  <w:vAlign w:val="center"/>
                </w:tcPr>
                <w:p>
                  <w:pPr>
                    <w:jc w:val="center"/>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42</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粘贴手术巾B-P型</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45*45</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43</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真空采血管（黄色）</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600分离胶-促凝管</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44</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真空采血管（紫色）</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100T</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45</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真空采血管（蓝色)</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100T</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46</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真空采血管</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红色）</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100T</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47</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可吸收线</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4-0 12包/盒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48</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可吸收线</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  12包/盒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49</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可吸收线</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6-0 12小包/盒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50</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配药注射器</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20ml 100支/盒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51</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121灭菌指示卡</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200片/盒</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52</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成人输氧面罩</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大号</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53</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成人吸痰管/包</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14#/Fr16</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54</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医用垫单</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100*140  2条/包</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条</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55</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小儿输氧面罩</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小号</w:t>
                  </w:r>
                </w:p>
              </w:tc>
              <w:tc>
                <w:tcPr>
                  <w:tcW w:w="469" w:type="pct"/>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56</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碘伏</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500ml</w:t>
                  </w:r>
                </w:p>
              </w:tc>
              <w:tc>
                <w:tcPr>
                  <w:tcW w:w="469" w:type="pct"/>
                  <w:tcBorders>
                    <w:tl2br w:val="nil"/>
                    <w:tr2bl w:val="nil"/>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57</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75%酒精</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500ml</w:t>
                  </w:r>
                </w:p>
              </w:tc>
              <w:tc>
                <w:tcPr>
                  <w:tcW w:w="469" w:type="pct"/>
                  <w:tcBorders>
                    <w:tl2br w:val="nil"/>
                    <w:tr2bl w:val="nil"/>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58</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84消毒泡腾片</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100片/瓶</w:t>
                  </w:r>
                </w:p>
              </w:tc>
              <w:tc>
                <w:tcPr>
                  <w:tcW w:w="469" w:type="pct"/>
                  <w:tcBorders>
                    <w:tl2br w:val="nil"/>
                    <w:tr2bl w:val="nil"/>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59</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小酒精</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100ml</w:t>
                  </w:r>
                </w:p>
              </w:tc>
              <w:tc>
                <w:tcPr>
                  <w:tcW w:w="469" w:type="pct"/>
                  <w:tcBorders>
                    <w:tl2br w:val="nil"/>
                    <w:tr2bl w:val="nil"/>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60</w:t>
                  </w:r>
                </w:p>
              </w:tc>
              <w:tc>
                <w:tcPr>
                  <w:tcW w:w="1325"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小碘伏</w:t>
                  </w:r>
                </w:p>
              </w:tc>
              <w:tc>
                <w:tcPr>
                  <w:tcW w:w="1876"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100ml</w:t>
                  </w:r>
                </w:p>
              </w:tc>
              <w:tc>
                <w:tcPr>
                  <w:tcW w:w="469" w:type="pct"/>
                  <w:tcBorders>
                    <w:tl2br w:val="nil"/>
                    <w:tr2bl w:val="nil"/>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920"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130</w:t>
                  </w:r>
                </w:p>
              </w:tc>
            </w:tr>
          </w:tbl>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8、总平面布置</w:t>
            </w:r>
          </w:p>
          <w:p>
            <w:pPr>
              <w:autoSpaceDE w:val="0"/>
              <w:autoSpaceDN w:val="0"/>
              <w:adjustRightInd w:val="0"/>
              <w:snapToGrid w:val="0"/>
              <w:spacing w:line="360" w:lineRule="auto"/>
              <w:ind w:firstLine="480" w:firstLineChars="200"/>
              <w:jc w:val="both"/>
              <w:rPr>
                <w:rFonts w:hint="eastAsia"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w:t>
            </w:r>
            <w:r>
              <w:rPr>
                <w:rFonts w:hint="eastAsia" w:ascii="Times New Roman" w:hAnsi="Times New Roman" w:cs="Times New Roman"/>
                <w:color w:val="auto"/>
                <w:sz w:val="24"/>
                <w:szCs w:val="24"/>
                <w:highlight w:val="none"/>
                <w:lang w:val="en-US" w:eastAsia="zh-CN"/>
              </w:rPr>
              <w:t>位于安康市满意建材路与香溪路交汇处，租用安康市老干部活动中心综合楼</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综合楼-1-16层（除3、4、5层外）均为本医院，项目医院综合楼一栋呈矩形，位于场地中间，医院停车场位于医院综合楼东北侧，污水处理设施位于医院综合楼南侧，医废暂存间位于医院综合楼南侧。</w:t>
            </w:r>
          </w:p>
          <w:p>
            <w:pPr>
              <w:autoSpaceDE w:val="0"/>
              <w:autoSpaceDN w:val="0"/>
              <w:adjustRightInd w:val="0"/>
              <w:snapToGrid w:val="0"/>
              <w:spacing w:line="360" w:lineRule="auto"/>
              <w:ind w:firstLine="480" w:firstLineChars="200"/>
              <w:jc w:val="both"/>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cs="Times New Roman"/>
                <w:color w:val="auto"/>
                <w:sz w:val="24"/>
                <w:szCs w:val="24"/>
                <w:highlight w:val="none"/>
                <w:lang w:val="en-US" w:eastAsia="zh-CN"/>
              </w:rPr>
              <w:t>医院综合楼</w:t>
            </w:r>
            <w:r>
              <w:rPr>
                <w:rFonts w:hint="eastAsia" w:ascii="Times New Roman" w:hAnsi="Times New Roman" w:eastAsia="宋体" w:cs="Times New Roman"/>
                <w:color w:val="auto"/>
                <w:kern w:val="0"/>
                <w:sz w:val="24"/>
                <w:highlight w:val="none"/>
                <w:lang w:val="en-US" w:eastAsia="zh-CN"/>
              </w:rPr>
              <w:t>分层布置门诊各科室、</w:t>
            </w:r>
            <w:r>
              <w:rPr>
                <w:rFonts w:hint="eastAsia" w:ascii="Times New Roman" w:hAnsi="Times New Roman" w:cs="Times New Roman"/>
                <w:color w:val="auto"/>
                <w:kern w:val="0"/>
                <w:sz w:val="24"/>
                <w:highlight w:val="none"/>
                <w:lang w:val="en-US" w:eastAsia="zh-CN"/>
              </w:rPr>
              <w:t>产房、</w:t>
            </w:r>
            <w:r>
              <w:rPr>
                <w:rFonts w:hint="eastAsia" w:ascii="Times New Roman" w:hAnsi="Times New Roman" w:eastAsia="宋体" w:cs="Times New Roman"/>
                <w:color w:val="auto"/>
                <w:kern w:val="0"/>
                <w:sz w:val="24"/>
                <w:highlight w:val="none"/>
                <w:lang w:val="en-US" w:eastAsia="zh-CN"/>
              </w:rPr>
              <w:t>病房及配套的公用、辅助、环保设施</w:t>
            </w:r>
            <w:r>
              <w:rPr>
                <w:rFonts w:hint="eastAsia" w:ascii="Times New Roman" w:hAnsi="Times New Roman" w:cs="Times New Roman"/>
                <w:color w:val="auto"/>
                <w:kern w:val="0"/>
                <w:sz w:val="24"/>
                <w:highlight w:val="none"/>
                <w:lang w:val="en-US" w:eastAsia="zh-CN"/>
              </w:rPr>
              <w:t>等</w:t>
            </w:r>
            <w:r>
              <w:rPr>
                <w:rFonts w:hint="eastAsia" w:ascii="Times New Roman" w:hAnsi="Times New Roman" w:eastAsia="宋体" w:cs="Times New Roman"/>
                <w:color w:val="auto"/>
                <w:kern w:val="0"/>
                <w:sz w:val="24"/>
                <w:highlight w:val="none"/>
                <w:lang w:val="en-US" w:eastAsia="zh-CN"/>
              </w:rPr>
              <w:t>。</w:t>
            </w:r>
          </w:p>
          <w:p>
            <w:pPr>
              <w:autoSpaceDE w:val="0"/>
              <w:autoSpaceDN w:val="0"/>
              <w:adjustRightInd w:val="0"/>
              <w:snapToGrid w:val="0"/>
              <w:spacing w:line="360" w:lineRule="auto"/>
              <w:ind w:firstLine="480" w:firstLineChars="200"/>
              <w:jc w:val="both"/>
              <w:rPr>
                <w:rFonts w:hint="default" w:ascii="Times New Roman" w:hAnsi="Times New Roman" w:eastAsia="宋体" w:cs="Times New Roman"/>
                <w:color w:val="auto"/>
                <w:kern w:val="0"/>
                <w:sz w:val="24"/>
                <w:highlight w:val="yellow"/>
                <w:lang w:val="en-US" w:eastAsia="zh-CN"/>
              </w:rPr>
            </w:pPr>
            <w:r>
              <w:rPr>
                <w:rFonts w:hint="default" w:ascii="Times New Roman" w:hAnsi="Times New Roman" w:cs="Times New Roman"/>
                <w:color w:val="auto"/>
                <w:kern w:val="0"/>
                <w:sz w:val="24"/>
                <w:szCs w:val="24"/>
              </w:rPr>
              <w:t>本项目西侧紧邻</w:t>
            </w:r>
            <w:r>
              <w:rPr>
                <w:rFonts w:hint="eastAsia" w:ascii="Times New Roman" w:hAnsi="Times New Roman" w:cs="Times New Roman"/>
                <w:color w:val="auto"/>
                <w:kern w:val="0"/>
                <w:sz w:val="24"/>
                <w:szCs w:val="24"/>
                <w:lang w:val="en-US" w:eastAsia="zh-CN"/>
              </w:rPr>
              <w:t>老干部活动中心</w:t>
            </w:r>
            <w:r>
              <w:rPr>
                <w:rFonts w:hint="default" w:ascii="Times New Roman" w:hAnsi="Times New Roman" w:cs="Times New Roman"/>
                <w:color w:val="auto"/>
                <w:kern w:val="0"/>
                <w:sz w:val="24"/>
                <w:szCs w:val="24"/>
              </w:rPr>
              <w:t>，北侧为</w:t>
            </w:r>
            <w:r>
              <w:rPr>
                <w:rFonts w:hint="eastAsia" w:ascii="Times New Roman" w:hAnsi="Times New Roman" w:cs="Times New Roman"/>
                <w:color w:val="auto"/>
                <w:kern w:val="0"/>
                <w:sz w:val="24"/>
                <w:szCs w:val="24"/>
                <w:lang w:val="en-US" w:eastAsia="zh-CN"/>
              </w:rPr>
              <w:t>香溪路</w:t>
            </w:r>
            <w:r>
              <w:rPr>
                <w:rFonts w:hint="default" w:ascii="Times New Roman" w:hAnsi="Times New Roman" w:cs="Times New Roman"/>
                <w:color w:val="auto"/>
                <w:kern w:val="0"/>
                <w:sz w:val="24"/>
                <w:szCs w:val="24"/>
              </w:rPr>
              <w:t>、东侧</w:t>
            </w:r>
            <w:r>
              <w:rPr>
                <w:rFonts w:hint="eastAsia" w:ascii="Times New Roman" w:hAnsi="Times New Roman" w:cs="Times New Roman"/>
                <w:color w:val="auto"/>
                <w:kern w:val="0"/>
                <w:sz w:val="24"/>
                <w:szCs w:val="24"/>
                <w:lang w:val="en-US" w:eastAsia="zh-CN"/>
              </w:rPr>
              <w:t>17</w:t>
            </w:r>
            <w:r>
              <w:rPr>
                <w:rFonts w:hint="default" w:ascii="Times New Roman" w:hAnsi="Times New Roman" w:cs="Times New Roman"/>
                <w:color w:val="auto"/>
                <w:kern w:val="0"/>
                <w:sz w:val="24"/>
                <w:szCs w:val="24"/>
              </w:rPr>
              <w:t>m为</w:t>
            </w:r>
            <w:r>
              <w:rPr>
                <w:rFonts w:hint="eastAsia" w:ascii="Times New Roman" w:hAnsi="Times New Roman" w:cs="Times New Roman"/>
                <w:color w:val="auto"/>
                <w:kern w:val="0"/>
                <w:sz w:val="24"/>
                <w:szCs w:val="24"/>
                <w:lang w:val="en-US" w:eastAsia="zh-CN"/>
              </w:rPr>
              <w:t>公路一处家属院</w:t>
            </w:r>
            <w:r>
              <w:rPr>
                <w:rFonts w:hint="default" w:ascii="Times New Roman" w:hAnsi="Times New Roman" w:cs="Times New Roman"/>
                <w:color w:val="auto"/>
                <w:kern w:val="0"/>
                <w:sz w:val="24"/>
                <w:szCs w:val="24"/>
              </w:rPr>
              <w:t>、南侧</w:t>
            </w:r>
            <w:r>
              <w:rPr>
                <w:rFonts w:hint="eastAsia" w:ascii="Times New Roman" w:hAnsi="Times New Roman" w:cs="Times New Roman"/>
                <w:color w:val="auto"/>
                <w:kern w:val="0"/>
                <w:sz w:val="24"/>
                <w:szCs w:val="24"/>
                <w:lang w:val="en-US" w:eastAsia="zh-CN"/>
              </w:rPr>
              <w:t>12m为香溪路竹园</w:t>
            </w:r>
            <w:r>
              <w:rPr>
                <w:rFonts w:hint="default" w:ascii="Times New Roman" w:hAnsi="Times New Roman" w:cs="Times New Roman"/>
                <w:color w:val="auto"/>
                <w:kern w:val="0"/>
                <w:sz w:val="24"/>
                <w:szCs w:val="24"/>
              </w:rPr>
              <w:t>小区</w:t>
            </w:r>
            <w:r>
              <w:rPr>
                <w:rFonts w:hint="eastAsia" w:ascii="Times New Roman" w:hAnsi="Times New Roman" w:eastAsia="宋体" w:cs="Times New Roman"/>
                <w:color w:val="auto"/>
                <w:kern w:val="0"/>
                <w:sz w:val="24"/>
                <w:highlight w:val="none"/>
                <w:lang w:val="en-US" w:eastAsia="zh-CN"/>
              </w:rPr>
              <w:t>，</w:t>
            </w:r>
            <w:r>
              <w:rPr>
                <w:rFonts w:hint="default" w:ascii="Times New Roman" w:hAnsi="Times New Roman" w:cs="Times New Roman"/>
                <w:color w:val="auto"/>
                <w:sz w:val="24"/>
                <w:szCs w:val="24"/>
                <w:highlight w:val="none"/>
              </w:rPr>
              <w:t>为附近居民就医提供了便利条件</w:t>
            </w:r>
            <w:r>
              <w:rPr>
                <w:rFonts w:hint="eastAsia" w:ascii="Times New Roman" w:hAnsi="Times New Roman"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医院楼共设</w:t>
            </w:r>
            <w:r>
              <w:rPr>
                <w:rFonts w:hint="eastAsia" w:ascii="Times New Roman" w:hAnsi="Times New Roman" w:cs="Times New Roman"/>
                <w:color w:val="auto"/>
                <w:kern w:val="0"/>
                <w:sz w:val="24"/>
                <w:highlight w:val="none"/>
                <w:lang w:val="en-US" w:eastAsia="zh-CN"/>
              </w:rPr>
              <w:t>1</w:t>
            </w:r>
            <w:r>
              <w:rPr>
                <w:rFonts w:hint="eastAsia" w:ascii="Times New Roman" w:hAnsi="Times New Roman" w:eastAsia="宋体" w:cs="Times New Roman"/>
                <w:color w:val="auto"/>
                <w:kern w:val="0"/>
                <w:sz w:val="24"/>
                <w:highlight w:val="none"/>
                <w:lang w:val="en-US" w:eastAsia="zh-CN"/>
              </w:rPr>
              <w:t>个出入口，项目</w:t>
            </w:r>
            <w:r>
              <w:rPr>
                <w:rFonts w:hint="eastAsia" w:ascii="Times New Roman" w:hAnsi="Times New Roman" w:cs="Times New Roman"/>
                <w:color w:val="auto"/>
                <w:kern w:val="0"/>
                <w:sz w:val="24"/>
                <w:highlight w:val="none"/>
                <w:lang w:val="en-US" w:eastAsia="zh-CN"/>
              </w:rPr>
              <w:t>北</w:t>
            </w:r>
            <w:r>
              <w:rPr>
                <w:rFonts w:hint="eastAsia" w:ascii="Times New Roman" w:hAnsi="Times New Roman" w:eastAsia="宋体" w:cs="Times New Roman"/>
                <w:color w:val="auto"/>
                <w:kern w:val="0"/>
                <w:sz w:val="24"/>
                <w:highlight w:val="none"/>
                <w:lang w:val="en-US" w:eastAsia="zh-CN"/>
              </w:rPr>
              <w:t>侧紧邻</w:t>
            </w:r>
            <w:r>
              <w:rPr>
                <w:rFonts w:hint="eastAsia" w:ascii="Times New Roman" w:hAnsi="Times New Roman" w:cs="Times New Roman"/>
                <w:color w:val="auto"/>
                <w:kern w:val="0"/>
                <w:sz w:val="24"/>
                <w:highlight w:val="none"/>
                <w:lang w:val="en-US" w:eastAsia="zh-CN"/>
              </w:rPr>
              <w:t>香溪</w:t>
            </w:r>
            <w:r>
              <w:rPr>
                <w:rFonts w:hint="eastAsia" w:ascii="Times New Roman" w:hAnsi="Times New Roman" w:eastAsia="宋体" w:cs="Times New Roman"/>
                <w:color w:val="auto"/>
                <w:kern w:val="0"/>
                <w:sz w:val="24"/>
                <w:highlight w:val="none"/>
                <w:lang w:val="en-US" w:eastAsia="zh-CN"/>
              </w:rPr>
              <w:t>路一侧入口为医院</w:t>
            </w:r>
            <w:r>
              <w:rPr>
                <w:rFonts w:hint="eastAsia" w:ascii="Times New Roman" w:hAnsi="Times New Roman" w:cs="Times New Roman"/>
                <w:color w:val="auto"/>
                <w:kern w:val="0"/>
                <w:sz w:val="24"/>
                <w:highlight w:val="none"/>
                <w:lang w:val="en-US" w:eastAsia="zh-CN"/>
              </w:rPr>
              <w:t>出</w:t>
            </w:r>
            <w:r>
              <w:rPr>
                <w:rFonts w:hint="eastAsia" w:ascii="Times New Roman" w:hAnsi="Times New Roman" w:eastAsia="宋体" w:cs="Times New Roman"/>
                <w:color w:val="auto"/>
                <w:kern w:val="0"/>
                <w:sz w:val="24"/>
                <w:highlight w:val="none"/>
                <w:lang w:val="en-US" w:eastAsia="zh-CN"/>
              </w:rPr>
              <w:t>入口；污水处理站</w:t>
            </w:r>
            <w:r>
              <w:rPr>
                <w:rFonts w:hint="eastAsia" w:ascii="Times New Roman" w:hAnsi="Times New Roman" w:cs="Times New Roman"/>
                <w:color w:val="auto"/>
                <w:kern w:val="0"/>
                <w:sz w:val="24"/>
                <w:highlight w:val="none"/>
                <w:lang w:val="en-US" w:eastAsia="zh-CN"/>
              </w:rPr>
              <w:t>和医疗废物暂存间</w:t>
            </w:r>
            <w:r>
              <w:rPr>
                <w:rFonts w:hint="eastAsia" w:ascii="Times New Roman" w:hAnsi="Times New Roman" w:eastAsia="宋体" w:cs="Times New Roman"/>
                <w:color w:val="auto"/>
                <w:kern w:val="0"/>
                <w:sz w:val="24"/>
                <w:highlight w:val="none"/>
                <w:lang w:val="en-US" w:eastAsia="zh-CN"/>
              </w:rPr>
              <w:t>在医院综合楼外，对门诊住院影响较小；</w:t>
            </w:r>
            <w:r>
              <w:rPr>
                <w:rFonts w:hint="eastAsia" w:ascii="Times New Roman" w:hAnsi="Times New Roman" w:cs="Times New Roman"/>
                <w:color w:val="auto"/>
                <w:kern w:val="0"/>
                <w:sz w:val="24"/>
                <w:highlight w:val="none"/>
                <w:lang w:val="en-US" w:eastAsia="zh-CN"/>
              </w:rPr>
              <w:t>医疗废物暂存间</w:t>
            </w:r>
            <w:r>
              <w:rPr>
                <w:rFonts w:hint="eastAsia" w:ascii="Times New Roman" w:hAnsi="Times New Roman" w:eastAsia="宋体" w:cs="Times New Roman"/>
                <w:color w:val="auto"/>
                <w:kern w:val="0"/>
                <w:sz w:val="24"/>
                <w:highlight w:val="none"/>
                <w:lang w:val="en-US" w:eastAsia="zh-CN"/>
              </w:rPr>
              <w:t>临近污染物运输通道，便于废物运输。</w:t>
            </w:r>
            <w:r>
              <w:rPr>
                <w:rFonts w:hint="default" w:ascii="Times New Roman" w:hAnsi="Times New Roman" w:eastAsia="宋体" w:cs="Times New Roman"/>
                <w:color w:val="auto"/>
                <w:kern w:val="2"/>
                <w:sz w:val="24"/>
                <w:szCs w:val="24"/>
                <w:highlight w:val="none"/>
                <w:lang w:val="en-US" w:eastAsia="zh-CN" w:bidi="ar-SA"/>
              </w:rPr>
              <w:t>本项目</w:t>
            </w:r>
            <w:r>
              <w:rPr>
                <w:rFonts w:hint="eastAsia" w:ascii="Times New Roman" w:hAnsi="Times New Roman" w:eastAsia="宋体" w:cs="Times New Roman"/>
                <w:color w:val="auto"/>
                <w:kern w:val="2"/>
                <w:sz w:val="24"/>
                <w:szCs w:val="24"/>
                <w:highlight w:val="none"/>
                <w:lang w:val="en-US" w:eastAsia="zh-CN" w:bidi="ar-SA"/>
              </w:rPr>
              <w:t>总</w:t>
            </w:r>
            <w:r>
              <w:rPr>
                <w:rFonts w:hint="default" w:ascii="Times New Roman" w:hAnsi="Times New Roman" w:eastAsia="宋体" w:cs="Times New Roman"/>
                <w:color w:val="auto"/>
                <w:kern w:val="2"/>
                <w:sz w:val="24"/>
                <w:szCs w:val="24"/>
                <w:highlight w:val="none"/>
                <w:lang w:val="en-US" w:eastAsia="zh-CN" w:bidi="ar-SA"/>
              </w:rPr>
              <w:t>平面布置图（详见附图</w:t>
            </w:r>
            <w:r>
              <w:rPr>
                <w:rFonts w:hint="eastAsia" w:ascii="Times New Roman" w:hAnsi="Times New Roman" w:eastAsia="宋体"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功能分区合理，各种流线组织清晰；交通便捷，管理方便</w:t>
            </w:r>
            <w:r>
              <w:rPr>
                <w:rFonts w:hint="default" w:ascii="Times New Roman" w:hAnsi="Times New Roman" w:cs="Times New Roman"/>
                <w:color w:val="auto"/>
                <w:sz w:val="24"/>
                <w:szCs w:val="24"/>
                <w:highlight w:val="none"/>
              </w:rPr>
              <w:t>。综上所述，</w:t>
            </w:r>
            <w:r>
              <w:rPr>
                <w:rFonts w:hint="default" w:ascii="Times New Roman" w:hAnsi="Times New Roman" w:cs="Times New Roman"/>
                <w:color w:val="auto"/>
                <w:sz w:val="24"/>
                <w:szCs w:val="24"/>
                <w:highlight w:val="none"/>
                <w:lang w:val="en-US" w:eastAsia="zh-CN"/>
              </w:rPr>
              <w:t>本</w:t>
            </w:r>
            <w:r>
              <w:rPr>
                <w:rFonts w:hint="default" w:ascii="Times New Roman" w:hAnsi="Times New Roman" w:cs="Times New Roman"/>
                <w:color w:val="auto"/>
                <w:sz w:val="24"/>
                <w:szCs w:val="24"/>
                <w:highlight w:val="none"/>
              </w:rPr>
              <w:t>项目总平面布置较为合理。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9、公用工程</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snapToGrid w:val="0"/>
                <w:color w:val="auto"/>
                <w:sz w:val="24"/>
                <w:szCs w:val="24"/>
                <w:lang w:val="en-US" w:eastAsia="zh-CN"/>
              </w:rPr>
            </w:pPr>
            <w:r>
              <w:rPr>
                <w:rFonts w:hint="default" w:ascii="Times New Roman" w:hAnsi="Times New Roman" w:cs="Times New Roman"/>
                <w:snapToGrid w:val="0"/>
                <w:color w:val="auto"/>
                <w:sz w:val="24"/>
                <w:szCs w:val="24"/>
                <w:lang w:eastAsia="zh-CN"/>
              </w:rPr>
              <w:t>（</w:t>
            </w:r>
            <w:r>
              <w:rPr>
                <w:rFonts w:hint="default" w:ascii="Times New Roman" w:hAnsi="Times New Roman" w:cs="Times New Roman"/>
                <w:snapToGrid w:val="0"/>
                <w:color w:val="auto"/>
                <w:sz w:val="24"/>
                <w:szCs w:val="24"/>
                <w:lang w:val="en-US" w:eastAsia="zh-CN"/>
              </w:rPr>
              <w:t>1</w:t>
            </w:r>
            <w:r>
              <w:rPr>
                <w:rFonts w:hint="default" w:ascii="Times New Roman" w:hAnsi="Times New Roman" w:cs="Times New Roman"/>
                <w:snapToGrid w:val="0"/>
                <w:color w:val="auto"/>
                <w:sz w:val="24"/>
                <w:szCs w:val="24"/>
                <w:lang w:eastAsia="zh-CN"/>
              </w:rPr>
              <w:t>）</w:t>
            </w:r>
            <w:r>
              <w:rPr>
                <w:rFonts w:hint="default" w:ascii="Times New Roman" w:hAnsi="Times New Roman" w:cs="Times New Roman"/>
                <w:snapToGrid w:val="0"/>
                <w:color w:val="auto"/>
                <w:sz w:val="24"/>
                <w:szCs w:val="24"/>
                <w:lang w:val="en-US" w:eastAsia="zh-CN"/>
              </w:rPr>
              <w:t>给水</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lang w:val="en-US" w:eastAsia="zh-CN"/>
              </w:rPr>
              <w:t>本项目</w:t>
            </w:r>
            <w:r>
              <w:rPr>
                <w:rFonts w:hint="default" w:ascii="Times New Roman" w:hAnsi="Times New Roman" w:eastAsia="宋体" w:cs="Times New Roman"/>
                <w:snapToGrid w:val="0"/>
                <w:color w:val="auto"/>
                <w:sz w:val="24"/>
                <w:szCs w:val="24"/>
              </w:rPr>
              <w:t>用水</w:t>
            </w:r>
            <w:r>
              <w:rPr>
                <w:rFonts w:hint="default" w:ascii="Times New Roman" w:hAnsi="Times New Roman" w:eastAsia="宋体" w:cs="Times New Roman"/>
                <w:snapToGrid w:val="0"/>
                <w:color w:val="auto"/>
                <w:sz w:val="24"/>
                <w:szCs w:val="24"/>
                <w:lang w:val="en-US" w:eastAsia="zh-CN"/>
              </w:rPr>
              <w:t>主要</w:t>
            </w:r>
            <w:r>
              <w:rPr>
                <w:rFonts w:hint="default" w:ascii="Times New Roman" w:hAnsi="Times New Roman" w:eastAsia="宋体" w:cs="Times New Roman"/>
                <w:snapToGrid w:val="0"/>
                <w:color w:val="auto"/>
                <w:sz w:val="24"/>
                <w:szCs w:val="24"/>
              </w:rPr>
              <w:t>包括医疗用水</w:t>
            </w:r>
            <w:r>
              <w:rPr>
                <w:rFonts w:hint="default" w:ascii="Times New Roman" w:hAnsi="Times New Roman" w:eastAsia="宋体" w:cs="Times New Roman"/>
                <w:snapToGrid w:val="0"/>
                <w:color w:val="auto"/>
                <w:sz w:val="24"/>
                <w:szCs w:val="24"/>
                <w:lang w:val="en-US" w:eastAsia="zh-CN"/>
              </w:rPr>
              <w:t>和</w:t>
            </w:r>
            <w:r>
              <w:rPr>
                <w:rFonts w:hint="default" w:ascii="Times New Roman" w:hAnsi="Times New Roman" w:eastAsia="宋体" w:cs="Times New Roman"/>
                <w:snapToGrid w:val="0"/>
                <w:color w:val="auto"/>
                <w:sz w:val="24"/>
                <w:szCs w:val="24"/>
              </w:rPr>
              <w:t>生活用水，</w:t>
            </w:r>
            <w:r>
              <w:rPr>
                <w:rFonts w:hint="default" w:ascii="Times New Roman" w:hAnsi="Times New Roman" w:eastAsia="宋体" w:cs="Times New Roman"/>
                <w:snapToGrid w:val="0"/>
                <w:color w:val="auto"/>
                <w:sz w:val="24"/>
                <w:szCs w:val="24"/>
                <w:lang w:val="en-US" w:eastAsia="zh-CN"/>
              </w:rPr>
              <w:t>均由</w:t>
            </w:r>
            <w:r>
              <w:rPr>
                <w:rFonts w:hint="default" w:ascii="Times New Roman" w:hAnsi="Times New Roman" w:eastAsia="宋体" w:cs="Times New Roman"/>
                <w:snapToGrid w:val="0"/>
                <w:color w:val="auto"/>
                <w:sz w:val="24"/>
                <w:szCs w:val="24"/>
              </w:rPr>
              <w:t>市政供水管网</w:t>
            </w:r>
            <w:r>
              <w:rPr>
                <w:rFonts w:hint="default" w:ascii="Times New Roman" w:hAnsi="Times New Roman" w:eastAsia="宋体" w:cs="Times New Roman"/>
                <w:snapToGrid w:val="0"/>
                <w:color w:val="auto"/>
                <w:sz w:val="24"/>
                <w:szCs w:val="24"/>
                <w:lang w:val="en-US" w:eastAsia="zh-CN"/>
              </w:rPr>
              <w:t>保障</w:t>
            </w:r>
            <w:r>
              <w:rPr>
                <w:rFonts w:hint="default" w:ascii="Times New Roman" w:hAnsi="Times New Roman" w:eastAsia="宋体" w:cs="Times New Roman"/>
                <w:snapToGrid w:val="0"/>
                <w:color w:val="auto"/>
                <w:sz w:val="24"/>
                <w:szCs w:val="24"/>
              </w:rPr>
              <w:t>供给</w:t>
            </w:r>
            <w:r>
              <w:rPr>
                <w:rFonts w:hint="default" w:ascii="Times New Roman" w:hAnsi="Times New Roman" w:eastAsia="宋体" w:cs="Times New Roman"/>
                <w:snapToGrid w:val="0"/>
                <w:color w:val="auto"/>
                <w:sz w:val="24"/>
                <w:szCs w:val="24"/>
                <w:lang w:eastAsia="zh-CN"/>
              </w:rPr>
              <w:t>。</w:t>
            </w:r>
            <w:r>
              <w:rPr>
                <w:rFonts w:hint="eastAsia" w:ascii="Times New Roman" w:hAnsi="Times New Roman" w:eastAsia="宋体" w:cs="Times New Roman"/>
                <w:snapToGrid w:val="0"/>
                <w:color w:val="auto"/>
                <w:sz w:val="24"/>
                <w:szCs w:val="24"/>
                <w:lang w:val="en-US" w:eastAsia="zh-CN"/>
              </w:rPr>
              <w:t>项目设洗衣房，病人病服、床单、被罩等</w:t>
            </w:r>
            <w:r>
              <w:rPr>
                <w:rFonts w:hint="eastAsia" w:ascii="Times New Roman" w:hAnsi="Times New Roman" w:cs="Times New Roman"/>
                <w:snapToGrid w:val="0"/>
                <w:color w:val="auto"/>
                <w:sz w:val="24"/>
                <w:szCs w:val="24"/>
                <w:lang w:val="en-US" w:eastAsia="zh-CN"/>
              </w:rPr>
              <w:t>医院内部</w:t>
            </w:r>
            <w:r>
              <w:rPr>
                <w:rFonts w:hint="eastAsia" w:ascii="Times New Roman" w:hAnsi="Times New Roman" w:eastAsia="宋体" w:cs="Times New Roman"/>
                <w:snapToGrid w:val="0"/>
                <w:color w:val="auto"/>
                <w:sz w:val="24"/>
                <w:szCs w:val="24"/>
                <w:lang w:val="en-US" w:eastAsia="zh-CN"/>
              </w:rPr>
              <w:t>处置。</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snapToGrid w:val="0"/>
                <w:color w:val="auto"/>
                <w:sz w:val="24"/>
                <w:szCs w:val="24"/>
              </w:rPr>
            </w:pPr>
            <w:r>
              <w:rPr>
                <w:rFonts w:hint="eastAsia" w:ascii="Times New Roman" w:hAnsi="Times New Roman" w:eastAsia="宋体" w:cs="Times New Roman"/>
                <w:snapToGrid w:val="0"/>
                <w:color w:val="auto"/>
                <w:sz w:val="24"/>
                <w:szCs w:val="24"/>
                <w:lang w:val="en-US" w:eastAsia="zh-CN"/>
              </w:rPr>
              <w:t>项目用水量参考</w:t>
            </w:r>
            <w:r>
              <w:rPr>
                <w:rFonts w:hint="default" w:ascii="Times New Roman" w:hAnsi="Times New Roman" w:eastAsia="宋体" w:cs="Times New Roman"/>
                <w:snapToGrid w:val="0"/>
                <w:color w:val="auto"/>
                <w:sz w:val="24"/>
                <w:szCs w:val="24"/>
                <w:lang w:val="en-US" w:eastAsia="zh-CN"/>
              </w:rPr>
              <w:t>《陕西省行业用水定额》（DB61/T943-2020）</w:t>
            </w:r>
            <w:r>
              <w:rPr>
                <w:rFonts w:hint="eastAsia" w:ascii="Times New Roman" w:hAnsi="Times New Roman" w:eastAsia="宋体" w:cs="Times New Roman"/>
                <w:snapToGrid w:val="0"/>
                <w:color w:val="auto"/>
                <w:sz w:val="24"/>
                <w:szCs w:val="24"/>
                <w:lang w:val="en-US" w:eastAsia="zh-CN"/>
              </w:rPr>
              <w:t>和</w:t>
            </w:r>
            <w:r>
              <w:rPr>
                <w:rFonts w:hint="default" w:ascii="Times New Roman" w:hAnsi="Times New Roman" w:eastAsia="宋体" w:cs="Times New Roman"/>
                <w:snapToGrid w:val="0"/>
                <w:color w:val="auto"/>
                <w:sz w:val="24"/>
                <w:szCs w:val="24"/>
                <w:lang w:val="en-US" w:eastAsia="zh-CN"/>
              </w:rPr>
              <w:t>《</w:t>
            </w:r>
            <w:r>
              <w:rPr>
                <w:rFonts w:hint="eastAsia" w:ascii="Times New Roman" w:hAnsi="Times New Roman" w:eastAsia="宋体" w:cs="Times New Roman"/>
                <w:snapToGrid w:val="0"/>
                <w:color w:val="auto"/>
                <w:sz w:val="24"/>
                <w:szCs w:val="24"/>
                <w:lang w:val="en-US" w:eastAsia="zh-CN"/>
              </w:rPr>
              <w:t>综合医院建筑设计规范</w:t>
            </w:r>
            <w:r>
              <w:rPr>
                <w:rFonts w:hint="default" w:ascii="Times New Roman" w:hAnsi="Times New Roman" w:eastAsia="宋体" w:cs="Times New Roman"/>
                <w:snapToGrid w:val="0"/>
                <w:color w:val="auto"/>
                <w:sz w:val="24"/>
                <w:szCs w:val="24"/>
                <w:lang w:val="en-US" w:eastAsia="zh-CN"/>
              </w:rPr>
              <w:t>》（GB5</w:t>
            </w:r>
            <w:r>
              <w:rPr>
                <w:rFonts w:hint="eastAsia" w:ascii="Times New Roman" w:hAnsi="Times New Roman" w:eastAsia="宋体" w:cs="Times New Roman"/>
                <w:snapToGrid w:val="0"/>
                <w:color w:val="auto"/>
                <w:sz w:val="24"/>
                <w:szCs w:val="24"/>
                <w:lang w:val="en-US" w:eastAsia="zh-CN"/>
              </w:rPr>
              <w:t>1039</w:t>
            </w:r>
            <w:r>
              <w:rPr>
                <w:rFonts w:hint="default" w:ascii="Times New Roman" w:hAnsi="Times New Roman" w:eastAsia="宋体" w:cs="Times New Roman"/>
                <w:snapToGrid w:val="0"/>
                <w:color w:val="auto"/>
                <w:sz w:val="24"/>
                <w:szCs w:val="24"/>
                <w:lang w:val="en-US" w:eastAsia="zh-CN"/>
              </w:rPr>
              <w:t>-201</w:t>
            </w:r>
            <w:r>
              <w:rPr>
                <w:rFonts w:hint="eastAsia" w:ascii="Times New Roman" w:hAnsi="Times New Roman" w:eastAsia="宋体" w:cs="Times New Roman"/>
                <w:snapToGrid w:val="0"/>
                <w:color w:val="auto"/>
                <w:sz w:val="24"/>
                <w:szCs w:val="24"/>
                <w:lang w:val="en-US" w:eastAsia="zh-CN"/>
              </w:rPr>
              <w:t>4</w:t>
            </w:r>
            <w:r>
              <w:rPr>
                <w:rFonts w:hint="default" w:ascii="Times New Roman" w:hAnsi="Times New Roman" w:eastAsia="宋体" w:cs="Times New Roman"/>
                <w:snapToGrid w:val="0"/>
                <w:color w:val="auto"/>
                <w:sz w:val="24"/>
                <w:szCs w:val="24"/>
                <w:lang w:val="en-US" w:eastAsia="zh-CN"/>
              </w:rPr>
              <w:t>）有关规定，进行本项目用水量估算，具体如下：</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lang w:val="en-US" w:eastAsia="zh-CN"/>
              </w:rPr>
              <w:t>①门诊用水</w:t>
            </w:r>
          </w:p>
          <w:p>
            <w:pPr>
              <w:pStyle w:val="5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lang w:val="en-US" w:eastAsia="zh-CN"/>
              </w:rPr>
              <w:t>本项目门诊最大接待量为</w:t>
            </w:r>
            <w:r>
              <w:rPr>
                <w:rFonts w:hint="default" w:ascii="Times New Roman" w:hAnsi="Times New Roman" w:eastAsia="宋体" w:cs="Times New Roman"/>
                <w:snapToGrid w:val="0"/>
                <w:color w:val="auto"/>
                <w:sz w:val="24"/>
                <w:szCs w:val="24"/>
                <w:highlight w:val="none"/>
                <w:lang w:val="en-US" w:eastAsia="zh-CN"/>
              </w:rPr>
              <w:t>100人/d</w:t>
            </w:r>
            <w:r>
              <w:rPr>
                <w:rFonts w:hint="default" w:ascii="Times New Roman" w:hAnsi="Times New Roman" w:eastAsia="宋体" w:cs="Times New Roman"/>
                <w:snapToGrid w:val="0"/>
                <w:color w:val="auto"/>
                <w:sz w:val="24"/>
                <w:szCs w:val="24"/>
                <w:lang w:val="en-US" w:eastAsia="zh-CN"/>
              </w:rPr>
              <w:t>，用水定额以1</w:t>
            </w:r>
            <w:r>
              <w:rPr>
                <w:rFonts w:hint="eastAsia" w:ascii="Times New Roman" w:hAnsi="Times New Roman" w:eastAsia="宋体" w:cs="Times New Roman"/>
                <w:snapToGrid w:val="0"/>
                <w:color w:val="auto"/>
                <w:sz w:val="24"/>
                <w:szCs w:val="24"/>
                <w:lang w:val="en-US" w:eastAsia="zh-CN"/>
              </w:rPr>
              <w:t>5</w:t>
            </w:r>
            <w:r>
              <w:rPr>
                <w:rFonts w:hint="default" w:ascii="Times New Roman" w:hAnsi="Times New Roman" w:eastAsia="宋体" w:cs="Times New Roman"/>
                <w:snapToGrid w:val="0"/>
                <w:color w:val="auto"/>
                <w:sz w:val="24"/>
                <w:szCs w:val="24"/>
                <w:lang w:val="en-US" w:eastAsia="zh-CN"/>
              </w:rPr>
              <w:t>L/</w:t>
            </w:r>
            <w:r>
              <w:rPr>
                <w:rFonts w:hint="eastAsia" w:ascii="Times New Roman" w:hAnsi="Times New Roman" w:eastAsia="宋体" w:cs="Times New Roman"/>
                <w:snapToGrid w:val="0"/>
                <w:color w:val="auto"/>
                <w:sz w:val="24"/>
                <w:szCs w:val="24"/>
                <w:lang w:val="en-US" w:eastAsia="zh-CN"/>
              </w:rPr>
              <w:t>（</w:t>
            </w:r>
            <w:r>
              <w:rPr>
                <w:rFonts w:hint="default" w:ascii="Times New Roman" w:hAnsi="Times New Roman" w:eastAsia="宋体" w:cs="Times New Roman"/>
                <w:snapToGrid w:val="0"/>
                <w:color w:val="auto"/>
                <w:sz w:val="24"/>
                <w:szCs w:val="24"/>
                <w:lang w:val="en-US" w:eastAsia="zh-CN"/>
              </w:rPr>
              <w:t>人·次</w:t>
            </w:r>
            <w:r>
              <w:rPr>
                <w:rFonts w:hint="eastAsia" w:ascii="Times New Roman" w:hAnsi="Times New Roman" w:eastAsia="宋体" w:cs="Times New Roman"/>
                <w:snapToGrid w:val="0"/>
                <w:color w:val="auto"/>
                <w:sz w:val="24"/>
                <w:szCs w:val="24"/>
                <w:lang w:val="en-US" w:eastAsia="zh-CN"/>
              </w:rPr>
              <w:t>）</w:t>
            </w:r>
            <w:r>
              <w:rPr>
                <w:rFonts w:hint="default" w:ascii="Times New Roman" w:hAnsi="Times New Roman" w:eastAsia="宋体" w:cs="Times New Roman"/>
                <w:snapToGrid w:val="0"/>
                <w:color w:val="auto"/>
                <w:sz w:val="24"/>
                <w:szCs w:val="24"/>
                <w:lang w:val="en-US" w:eastAsia="zh-CN"/>
              </w:rPr>
              <w:t>计，则门诊用水用水量为</w:t>
            </w:r>
            <w:r>
              <w:rPr>
                <w:rFonts w:hint="default" w:ascii="Times New Roman" w:hAnsi="Times New Roman" w:eastAsia="宋体" w:cs="Times New Roman"/>
                <w:snapToGrid w:val="0"/>
                <w:color w:val="auto"/>
                <w:sz w:val="24"/>
                <w:szCs w:val="24"/>
                <w:highlight w:val="none"/>
                <w:lang w:val="en-US" w:eastAsia="zh-CN"/>
              </w:rPr>
              <w:t>1.</w:t>
            </w:r>
            <w:r>
              <w:rPr>
                <w:rFonts w:hint="eastAsia" w:ascii="Times New Roman" w:hAnsi="Times New Roman" w:eastAsia="宋体" w:cs="Times New Roman"/>
                <w:snapToGrid w:val="0"/>
                <w:color w:val="auto"/>
                <w:sz w:val="24"/>
                <w:szCs w:val="24"/>
                <w:highlight w:val="none"/>
                <w:lang w:val="en-US" w:eastAsia="zh-CN"/>
              </w:rPr>
              <w:t>5</w:t>
            </w:r>
            <w:r>
              <w:rPr>
                <w:rFonts w:hint="default" w:ascii="Times New Roman" w:hAnsi="Times New Roman" w:eastAsia="宋体" w:cs="Times New Roman"/>
                <w:snapToGrid w:val="0"/>
                <w:color w:val="auto"/>
                <w:sz w:val="24"/>
                <w:szCs w:val="24"/>
                <w:highlight w:val="none"/>
                <w:lang w:val="en-US" w:eastAsia="zh-CN"/>
              </w:rPr>
              <w:t>0m</w:t>
            </w:r>
            <w:r>
              <w:rPr>
                <w:rFonts w:hint="default" w:ascii="Times New Roman" w:hAnsi="Times New Roman" w:eastAsia="宋体" w:cs="Times New Roman"/>
                <w:snapToGrid w:val="0"/>
                <w:color w:val="auto"/>
                <w:sz w:val="24"/>
                <w:szCs w:val="24"/>
                <w:highlight w:val="none"/>
                <w:vertAlign w:val="superscript"/>
                <w:lang w:val="en-US" w:eastAsia="zh-CN"/>
              </w:rPr>
              <w:t>3</w:t>
            </w:r>
            <w:r>
              <w:rPr>
                <w:rFonts w:hint="default" w:ascii="Times New Roman" w:hAnsi="Times New Roman" w:eastAsia="宋体" w:cs="Times New Roman"/>
                <w:snapToGrid w:val="0"/>
                <w:color w:val="auto"/>
                <w:sz w:val="24"/>
                <w:szCs w:val="24"/>
                <w:highlight w:val="none"/>
                <w:lang w:val="en-US" w:eastAsia="zh-CN"/>
              </w:rPr>
              <w:t>/d</w:t>
            </w:r>
            <w:r>
              <w:rPr>
                <w:rFonts w:hint="default" w:ascii="Times New Roman" w:hAnsi="Times New Roman" w:eastAsia="宋体" w:cs="Times New Roman"/>
                <w:snapToGrid w:val="0"/>
                <w:color w:val="auto"/>
                <w:sz w:val="24"/>
                <w:szCs w:val="24"/>
                <w:lang w:val="en-US" w:eastAsia="zh-CN"/>
              </w:rPr>
              <w:t>。</w:t>
            </w:r>
          </w:p>
          <w:p>
            <w:pPr>
              <w:pStyle w:val="5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lang w:val="en-US" w:eastAsia="zh-CN"/>
              </w:rPr>
              <w:t>②</w:t>
            </w:r>
            <w:r>
              <w:rPr>
                <w:rFonts w:hint="eastAsia" w:ascii="Times New Roman" w:hAnsi="Times New Roman" w:eastAsia="宋体" w:cs="Times New Roman"/>
                <w:snapToGrid w:val="0"/>
                <w:color w:val="auto"/>
                <w:sz w:val="24"/>
                <w:szCs w:val="24"/>
                <w:lang w:val="en-US" w:eastAsia="zh-CN"/>
              </w:rPr>
              <w:t>病房用水</w:t>
            </w:r>
          </w:p>
          <w:p>
            <w:pPr>
              <w:pStyle w:val="5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lang w:val="en-US" w:eastAsia="zh-CN"/>
              </w:rPr>
              <w:t>本项目病房共设置床位</w:t>
            </w:r>
            <w:r>
              <w:rPr>
                <w:rFonts w:hint="eastAsia" w:ascii="Times New Roman" w:hAnsi="Times New Roman" w:cs="Times New Roman"/>
                <w:snapToGrid w:val="0"/>
                <w:color w:val="auto"/>
                <w:sz w:val="24"/>
                <w:szCs w:val="24"/>
                <w:lang w:val="en-US" w:eastAsia="zh-CN"/>
              </w:rPr>
              <w:t>66</w:t>
            </w:r>
            <w:r>
              <w:rPr>
                <w:rFonts w:hint="default" w:ascii="Times New Roman" w:hAnsi="Times New Roman" w:eastAsia="宋体" w:cs="Times New Roman"/>
                <w:snapToGrid w:val="0"/>
                <w:color w:val="auto"/>
                <w:sz w:val="24"/>
                <w:szCs w:val="24"/>
                <w:lang w:val="en-US" w:eastAsia="zh-CN"/>
              </w:rPr>
              <w:t>张，用水定额以2</w:t>
            </w:r>
            <w:r>
              <w:rPr>
                <w:rFonts w:hint="eastAsia" w:ascii="Times New Roman" w:hAnsi="Times New Roman" w:eastAsia="宋体" w:cs="Times New Roman"/>
                <w:snapToGrid w:val="0"/>
                <w:color w:val="auto"/>
                <w:sz w:val="24"/>
                <w:szCs w:val="24"/>
                <w:lang w:val="en-US" w:eastAsia="zh-CN"/>
              </w:rPr>
              <w:t>5</w:t>
            </w:r>
            <w:r>
              <w:rPr>
                <w:rFonts w:hint="default" w:ascii="Times New Roman" w:hAnsi="Times New Roman" w:eastAsia="宋体" w:cs="Times New Roman"/>
                <w:snapToGrid w:val="0"/>
                <w:color w:val="auto"/>
                <w:sz w:val="24"/>
                <w:szCs w:val="24"/>
                <w:lang w:val="en-US" w:eastAsia="zh-CN"/>
              </w:rPr>
              <w:t>0L/</w:t>
            </w:r>
            <w:r>
              <w:rPr>
                <w:rFonts w:hint="eastAsia" w:ascii="Times New Roman" w:hAnsi="Times New Roman" w:eastAsia="宋体" w:cs="Times New Roman"/>
                <w:snapToGrid w:val="0"/>
                <w:color w:val="auto"/>
                <w:sz w:val="24"/>
                <w:szCs w:val="24"/>
                <w:lang w:val="en-US" w:eastAsia="zh-CN"/>
              </w:rPr>
              <w:t>（</w:t>
            </w:r>
            <w:r>
              <w:rPr>
                <w:rFonts w:hint="default" w:ascii="Times New Roman" w:hAnsi="Times New Roman" w:eastAsia="宋体" w:cs="Times New Roman"/>
                <w:snapToGrid w:val="0"/>
                <w:color w:val="auto"/>
                <w:sz w:val="24"/>
                <w:szCs w:val="24"/>
                <w:lang w:val="en-US" w:eastAsia="zh-CN"/>
              </w:rPr>
              <w:t>床·d</w:t>
            </w:r>
            <w:r>
              <w:rPr>
                <w:rFonts w:hint="eastAsia" w:ascii="Times New Roman" w:hAnsi="Times New Roman" w:eastAsia="宋体" w:cs="Times New Roman"/>
                <w:snapToGrid w:val="0"/>
                <w:color w:val="auto"/>
                <w:sz w:val="24"/>
                <w:szCs w:val="24"/>
                <w:lang w:val="en-US" w:eastAsia="zh-CN"/>
              </w:rPr>
              <w:t>）</w:t>
            </w:r>
            <w:r>
              <w:rPr>
                <w:rFonts w:hint="default" w:ascii="Times New Roman" w:hAnsi="Times New Roman" w:eastAsia="宋体" w:cs="Times New Roman"/>
                <w:snapToGrid w:val="0"/>
                <w:color w:val="auto"/>
                <w:sz w:val="24"/>
                <w:szCs w:val="24"/>
                <w:lang w:val="en-US" w:eastAsia="zh-CN"/>
              </w:rPr>
              <w:t>计，则病房用水量为</w:t>
            </w:r>
            <w:r>
              <w:rPr>
                <w:rFonts w:hint="eastAsia" w:ascii="Times New Roman" w:hAnsi="Times New Roman" w:cs="Times New Roman"/>
                <w:snapToGrid w:val="0"/>
                <w:color w:val="auto"/>
                <w:sz w:val="24"/>
                <w:szCs w:val="24"/>
                <w:highlight w:val="none"/>
                <w:lang w:val="en-US" w:eastAsia="zh-CN"/>
              </w:rPr>
              <w:t>16</w:t>
            </w:r>
            <w:r>
              <w:rPr>
                <w:rFonts w:hint="eastAsia" w:ascii="Times New Roman" w:hAnsi="Times New Roman" w:eastAsia="宋体" w:cs="Times New Roman"/>
                <w:snapToGrid w:val="0"/>
                <w:color w:val="auto"/>
                <w:sz w:val="24"/>
                <w:szCs w:val="24"/>
                <w:highlight w:val="none"/>
                <w:lang w:val="en-US" w:eastAsia="zh-CN"/>
              </w:rPr>
              <w:t>.50</w:t>
            </w:r>
            <w:r>
              <w:rPr>
                <w:rFonts w:hint="default" w:ascii="Times New Roman" w:hAnsi="Times New Roman" w:eastAsia="宋体" w:cs="Times New Roman"/>
                <w:snapToGrid w:val="0"/>
                <w:color w:val="auto"/>
                <w:sz w:val="24"/>
                <w:szCs w:val="24"/>
                <w:highlight w:val="none"/>
                <w:lang w:val="en-US" w:eastAsia="zh-CN"/>
              </w:rPr>
              <w:t>m</w:t>
            </w:r>
            <w:r>
              <w:rPr>
                <w:rFonts w:hint="default" w:ascii="Times New Roman" w:hAnsi="Times New Roman" w:eastAsia="宋体" w:cs="Times New Roman"/>
                <w:snapToGrid w:val="0"/>
                <w:color w:val="auto"/>
                <w:sz w:val="24"/>
                <w:szCs w:val="24"/>
                <w:highlight w:val="none"/>
                <w:vertAlign w:val="superscript"/>
                <w:lang w:val="en-US" w:eastAsia="zh-CN"/>
              </w:rPr>
              <w:t>3</w:t>
            </w:r>
            <w:r>
              <w:rPr>
                <w:rFonts w:hint="default" w:ascii="Times New Roman" w:hAnsi="Times New Roman" w:eastAsia="宋体" w:cs="Times New Roman"/>
                <w:snapToGrid w:val="0"/>
                <w:color w:val="auto"/>
                <w:sz w:val="24"/>
                <w:szCs w:val="24"/>
                <w:highlight w:val="none"/>
                <w:lang w:val="en-US" w:eastAsia="zh-CN"/>
              </w:rPr>
              <w:t>/d。</w:t>
            </w:r>
          </w:p>
          <w:p>
            <w:pPr>
              <w:pStyle w:val="5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snapToGrid w:val="0"/>
                <w:color w:val="auto"/>
                <w:sz w:val="24"/>
                <w:szCs w:val="24"/>
                <w:lang w:val="en-US" w:eastAsia="zh-CN"/>
              </w:rPr>
            </w:pPr>
            <w:r>
              <w:rPr>
                <w:rFonts w:hint="default" w:ascii="Times New Roman" w:hAnsi="Times New Roman" w:cs="Times New Roman"/>
                <w:color w:val="auto"/>
                <w:sz w:val="24"/>
                <w:szCs w:val="24"/>
                <w:lang w:val="en-US" w:eastAsia="zh-CN"/>
              </w:rPr>
              <w:t>③</w:t>
            </w:r>
            <w:r>
              <w:rPr>
                <w:rFonts w:hint="eastAsia" w:ascii="Times New Roman" w:hAnsi="Times New Roman" w:eastAsia="宋体" w:cs="Times New Roman"/>
                <w:snapToGrid w:val="0"/>
                <w:color w:val="auto"/>
                <w:sz w:val="24"/>
                <w:szCs w:val="24"/>
                <w:lang w:val="en-US" w:eastAsia="zh-CN"/>
              </w:rPr>
              <w:t>医务人员</w:t>
            </w:r>
            <w:r>
              <w:rPr>
                <w:rFonts w:hint="default" w:ascii="Times New Roman" w:hAnsi="Times New Roman" w:eastAsia="宋体" w:cs="Times New Roman"/>
                <w:snapToGrid w:val="0"/>
                <w:color w:val="auto"/>
                <w:sz w:val="24"/>
                <w:szCs w:val="24"/>
                <w:lang w:val="en-US" w:eastAsia="zh-CN"/>
              </w:rPr>
              <w:t>用水</w:t>
            </w:r>
          </w:p>
          <w:p>
            <w:pPr>
              <w:pStyle w:val="5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lang w:val="en-US" w:eastAsia="zh-CN"/>
              </w:rPr>
              <w:t>医护人员生活用水量按照1</w:t>
            </w:r>
            <w:r>
              <w:rPr>
                <w:rFonts w:hint="eastAsia" w:ascii="Times New Roman" w:hAnsi="Times New Roman" w:eastAsia="宋体" w:cs="Times New Roman"/>
                <w:snapToGrid w:val="0"/>
                <w:color w:val="auto"/>
                <w:sz w:val="24"/>
                <w:szCs w:val="24"/>
                <w:lang w:val="en-US" w:eastAsia="zh-CN"/>
              </w:rPr>
              <w:t>5</w:t>
            </w:r>
            <w:r>
              <w:rPr>
                <w:rFonts w:hint="default" w:ascii="Times New Roman" w:hAnsi="Times New Roman" w:eastAsia="宋体" w:cs="Times New Roman"/>
                <w:snapToGrid w:val="0"/>
                <w:color w:val="auto"/>
                <w:sz w:val="24"/>
                <w:szCs w:val="24"/>
                <w:lang w:val="en-US" w:eastAsia="zh-CN"/>
              </w:rPr>
              <w:t>0L/（人·班）计，医护人员约为</w:t>
            </w:r>
            <w:r>
              <w:rPr>
                <w:rFonts w:hint="eastAsia" w:ascii="Times New Roman" w:hAnsi="Times New Roman" w:cs="Times New Roman"/>
                <w:snapToGrid w:val="0"/>
                <w:color w:val="auto"/>
                <w:sz w:val="24"/>
                <w:szCs w:val="24"/>
                <w:lang w:val="en-US" w:eastAsia="zh-CN"/>
              </w:rPr>
              <w:t>35</w:t>
            </w:r>
            <w:r>
              <w:rPr>
                <w:rFonts w:hint="default" w:ascii="Times New Roman" w:hAnsi="Times New Roman" w:eastAsia="宋体" w:cs="Times New Roman"/>
                <w:snapToGrid w:val="0"/>
                <w:color w:val="auto"/>
                <w:sz w:val="24"/>
                <w:szCs w:val="24"/>
                <w:lang w:val="en-US" w:eastAsia="zh-CN"/>
              </w:rPr>
              <w:t>人，则项目</w:t>
            </w:r>
            <w:r>
              <w:rPr>
                <w:rFonts w:hint="eastAsia" w:ascii="Times New Roman" w:hAnsi="Times New Roman" w:eastAsia="宋体" w:cs="Times New Roman"/>
                <w:snapToGrid w:val="0"/>
                <w:color w:val="auto"/>
                <w:sz w:val="24"/>
                <w:szCs w:val="24"/>
                <w:lang w:val="en-US" w:eastAsia="zh-CN"/>
              </w:rPr>
              <w:t>医务</w:t>
            </w:r>
            <w:r>
              <w:rPr>
                <w:rFonts w:hint="default" w:ascii="Times New Roman" w:hAnsi="Times New Roman" w:eastAsia="宋体" w:cs="Times New Roman"/>
                <w:snapToGrid w:val="0"/>
                <w:color w:val="auto"/>
                <w:sz w:val="24"/>
                <w:szCs w:val="24"/>
                <w:lang w:val="en-US" w:eastAsia="zh-CN"/>
              </w:rPr>
              <w:t>人员用水量为</w:t>
            </w:r>
            <w:r>
              <w:rPr>
                <w:rFonts w:hint="eastAsia" w:ascii="Times New Roman" w:hAnsi="Times New Roman" w:cs="Times New Roman"/>
                <w:snapToGrid w:val="0"/>
                <w:color w:val="auto"/>
                <w:sz w:val="24"/>
                <w:szCs w:val="24"/>
                <w:lang w:val="en-US" w:eastAsia="zh-CN"/>
              </w:rPr>
              <w:t>5.25</w:t>
            </w:r>
            <w:r>
              <w:rPr>
                <w:rFonts w:hint="default" w:ascii="Times New Roman" w:hAnsi="Times New Roman" w:eastAsia="宋体" w:cs="Times New Roman"/>
                <w:snapToGrid w:val="0"/>
                <w:color w:val="auto"/>
                <w:sz w:val="24"/>
                <w:szCs w:val="24"/>
                <w:lang w:val="en-US" w:eastAsia="zh-CN"/>
              </w:rPr>
              <w:t>m</w:t>
            </w:r>
            <w:r>
              <w:rPr>
                <w:rFonts w:hint="default" w:ascii="Times New Roman" w:hAnsi="Times New Roman" w:eastAsia="宋体" w:cs="Times New Roman"/>
                <w:snapToGrid w:val="0"/>
                <w:color w:val="auto"/>
                <w:sz w:val="24"/>
                <w:szCs w:val="24"/>
                <w:vertAlign w:val="superscript"/>
                <w:lang w:val="en-US" w:eastAsia="zh-CN"/>
              </w:rPr>
              <w:t>3</w:t>
            </w:r>
            <w:r>
              <w:rPr>
                <w:rFonts w:hint="default" w:ascii="Times New Roman" w:hAnsi="Times New Roman" w:eastAsia="宋体" w:cs="Times New Roman"/>
                <w:snapToGrid w:val="0"/>
                <w:color w:val="auto"/>
                <w:sz w:val="24"/>
                <w:szCs w:val="24"/>
                <w:lang w:val="en-US" w:eastAsia="zh-CN"/>
              </w:rPr>
              <w:t>/d。</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④</w:t>
            </w:r>
            <w:r>
              <w:rPr>
                <w:rFonts w:hint="eastAsia" w:ascii="宋体" w:hAnsi="宋体" w:cs="宋体"/>
                <w:snapToGrid w:val="0"/>
                <w:color w:val="auto"/>
                <w:sz w:val="24"/>
                <w:szCs w:val="24"/>
                <w:highlight w:val="none"/>
                <w:lang w:val="en-US" w:eastAsia="zh-CN"/>
              </w:rPr>
              <w:t>行政人员用水</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行政人员用水量按</w:t>
            </w:r>
            <w:r>
              <w:rPr>
                <w:rFonts w:hint="default" w:ascii="Times New Roman" w:hAnsi="Times New Roman" w:cs="Times New Roman"/>
                <w:snapToGrid w:val="0"/>
                <w:color w:val="auto"/>
                <w:sz w:val="24"/>
                <w:szCs w:val="24"/>
                <w:highlight w:val="none"/>
                <w:lang w:val="en-US" w:eastAsia="zh-CN"/>
              </w:rPr>
              <w:t>照25m</w:t>
            </w:r>
            <w:r>
              <w:rPr>
                <w:rFonts w:hint="default" w:ascii="Times New Roman" w:hAnsi="Times New Roman" w:cs="Times New Roman"/>
                <w:snapToGrid w:val="0"/>
                <w:color w:val="auto"/>
                <w:sz w:val="24"/>
                <w:szCs w:val="24"/>
                <w:highlight w:val="none"/>
                <w:vertAlign w:val="superscript"/>
                <w:lang w:val="en-US" w:eastAsia="zh-CN"/>
              </w:rPr>
              <w:t>3</w:t>
            </w:r>
            <w:r>
              <w:rPr>
                <w:rFonts w:hint="eastAsia" w:ascii="宋体" w:hAnsi="宋体" w:cs="宋体"/>
                <w:snapToGrid w:val="0"/>
                <w:color w:val="auto"/>
                <w:sz w:val="24"/>
                <w:szCs w:val="24"/>
                <w:highlight w:val="none"/>
                <w:lang w:val="en-US" w:eastAsia="zh-CN"/>
              </w:rPr>
              <w:t>/</w:t>
            </w:r>
            <w:r>
              <w:rPr>
                <w:rFonts w:hint="eastAsia" w:ascii="Times New Roman" w:hAnsi="Times New Roman" w:cs="Times New Roman"/>
                <w:snapToGrid w:val="0"/>
                <w:color w:val="auto"/>
                <w:sz w:val="24"/>
                <w:szCs w:val="24"/>
                <w:lang w:val="en-US" w:eastAsia="zh-CN"/>
              </w:rPr>
              <w:t>（</w:t>
            </w:r>
            <w:r>
              <w:rPr>
                <w:rFonts w:hint="eastAsia" w:ascii="宋体" w:hAnsi="宋体" w:cs="宋体"/>
                <w:snapToGrid w:val="0"/>
                <w:color w:val="auto"/>
                <w:sz w:val="24"/>
                <w:szCs w:val="24"/>
                <w:highlight w:val="none"/>
                <w:lang w:val="en-US" w:eastAsia="zh-CN"/>
              </w:rPr>
              <w:t>人</w:t>
            </w:r>
            <w:r>
              <w:rPr>
                <w:rFonts w:hint="default" w:ascii="Times New Roman" w:hAnsi="Times New Roman" w:eastAsia="宋体" w:cs="Times New Roman"/>
                <w:snapToGrid w:val="0"/>
                <w:color w:val="auto"/>
                <w:sz w:val="24"/>
                <w:szCs w:val="24"/>
                <w:lang w:val="en-US" w:eastAsia="zh-CN"/>
              </w:rPr>
              <w:t>·</w:t>
            </w:r>
            <w:r>
              <w:rPr>
                <w:rFonts w:hint="eastAsia" w:ascii="Times New Roman" w:hAnsi="Times New Roman" w:cs="Times New Roman"/>
                <w:snapToGrid w:val="0"/>
                <w:color w:val="auto"/>
                <w:sz w:val="24"/>
                <w:szCs w:val="24"/>
                <w:lang w:val="en-US" w:eastAsia="zh-CN"/>
              </w:rPr>
              <w:t>a）计，行政人员约35人，则项目行政人员用水量为2.4m</w:t>
            </w:r>
            <w:r>
              <w:rPr>
                <w:rFonts w:hint="eastAsia" w:ascii="Times New Roman" w:hAnsi="Times New Roman" w:cs="Times New Roman"/>
                <w:snapToGrid w:val="0"/>
                <w:color w:val="auto"/>
                <w:sz w:val="24"/>
                <w:szCs w:val="24"/>
                <w:vertAlign w:val="superscript"/>
                <w:lang w:val="en-US" w:eastAsia="zh-CN"/>
              </w:rPr>
              <w:t>3</w:t>
            </w:r>
            <w:r>
              <w:rPr>
                <w:rFonts w:hint="eastAsia" w:ascii="Times New Roman" w:hAnsi="Times New Roman" w:cs="Times New Roman"/>
                <w:snapToGrid w:val="0"/>
                <w:color w:val="auto"/>
                <w:sz w:val="24"/>
                <w:szCs w:val="24"/>
                <w:lang w:val="en-US" w:eastAsia="zh-CN"/>
              </w:rPr>
              <w:t>/d。</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eastAsia" w:ascii="宋体" w:hAnsi="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⑤</w:t>
            </w:r>
            <w:r>
              <w:rPr>
                <w:rFonts w:hint="eastAsia" w:ascii="宋体" w:hAnsi="宋体" w:cs="宋体"/>
                <w:snapToGrid w:val="0"/>
                <w:color w:val="auto"/>
                <w:sz w:val="24"/>
                <w:szCs w:val="24"/>
                <w:highlight w:val="none"/>
                <w:lang w:val="en-US" w:eastAsia="zh-CN"/>
              </w:rPr>
              <w:t>洗衣房用水</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宋体" w:hAnsi="宋体" w:cs="宋体"/>
                <w:snapToGrid w:val="0"/>
                <w:color w:val="auto"/>
                <w:sz w:val="24"/>
                <w:szCs w:val="24"/>
                <w:highlight w:val="none"/>
                <w:lang w:val="en-US" w:eastAsia="zh-CN"/>
              </w:rPr>
            </w:pPr>
            <w:r>
              <w:rPr>
                <w:rFonts w:hint="default" w:ascii="Times New Roman" w:hAnsi="Times New Roman" w:eastAsia="宋体" w:cs="Times New Roman"/>
                <w:snapToGrid w:val="0"/>
                <w:color w:val="auto"/>
                <w:sz w:val="24"/>
                <w:szCs w:val="24"/>
                <w:highlight w:val="none"/>
                <w:lang w:val="en-US" w:eastAsia="zh-CN"/>
              </w:rPr>
              <w:t>参照《医院管理学~医院建筑分册》，本项目需洗衣用品产生量按2kg/床·d，洗衣用水量按40L/kg计，</w:t>
            </w:r>
            <w:r>
              <w:rPr>
                <w:rFonts w:hint="eastAsia" w:ascii="Times New Roman" w:hAnsi="Times New Roman" w:cs="Times New Roman"/>
                <w:snapToGrid w:val="0"/>
                <w:color w:val="auto"/>
                <w:sz w:val="24"/>
                <w:szCs w:val="24"/>
                <w:highlight w:val="none"/>
                <w:lang w:val="en-US" w:eastAsia="zh-CN"/>
              </w:rPr>
              <w:t>项目病床</w:t>
            </w:r>
            <w:r>
              <w:rPr>
                <w:rFonts w:hint="default" w:ascii="Times New Roman" w:hAnsi="Times New Roman" w:eastAsia="宋体" w:cs="Times New Roman"/>
                <w:snapToGrid w:val="0"/>
                <w:color w:val="auto"/>
                <w:sz w:val="24"/>
                <w:szCs w:val="24"/>
                <w:highlight w:val="none"/>
                <w:lang w:val="en-US" w:eastAsia="zh-CN"/>
              </w:rPr>
              <w:t>数</w:t>
            </w:r>
            <w:r>
              <w:rPr>
                <w:rFonts w:hint="eastAsia" w:ascii="Times New Roman" w:hAnsi="Times New Roman" w:cs="Times New Roman"/>
                <w:snapToGrid w:val="0"/>
                <w:color w:val="auto"/>
                <w:sz w:val="24"/>
                <w:szCs w:val="24"/>
                <w:highlight w:val="none"/>
                <w:lang w:val="en-US" w:eastAsia="zh-CN"/>
              </w:rPr>
              <w:t>共66</w:t>
            </w:r>
            <w:r>
              <w:rPr>
                <w:rFonts w:hint="default" w:ascii="Times New Roman" w:hAnsi="Times New Roman" w:eastAsia="宋体" w:cs="Times New Roman"/>
                <w:snapToGrid w:val="0"/>
                <w:color w:val="auto"/>
                <w:sz w:val="24"/>
                <w:szCs w:val="24"/>
                <w:highlight w:val="none"/>
                <w:lang w:val="en-US" w:eastAsia="zh-CN"/>
              </w:rPr>
              <w:t>张，则洗衣用水量为</w:t>
            </w:r>
            <w:r>
              <w:rPr>
                <w:rFonts w:hint="eastAsia" w:ascii="Times New Roman" w:hAnsi="Times New Roman" w:cs="Times New Roman"/>
                <w:snapToGrid w:val="0"/>
                <w:color w:val="auto"/>
                <w:sz w:val="24"/>
                <w:szCs w:val="24"/>
                <w:highlight w:val="none"/>
                <w:lang w:val="en-US" w:eastAsia="zh-CN"/>
              </w:rPr>
              <w:t>5.28</w:t>
            </w:r>
            <w:r>
              <w:rPr>
                <w:rFonts w:hint="default" w:ascii="Times New Roman" w:hAnsi="Times New Roman" w:eastAsia="宋体" w:cs="Times New Roman"/>
                <w:snapToGrid w:val="0"/>
                <w:color w:val="auto"/>
                <w:sz w:val="24"/>
                <w:szCs w:val="24"/>
                <w:highlight w:val="none"/>
                <w:lang w:val="en-US" w:eastAsia="zh-CN"/>
              </w:rPr>
              <w:t>m</w:t>
            </w:r>
            <w:r>
              <w:rPr>
                <w:rFonts w:hint="default" w:ascii="Times New Roman" w:hAnsi="Times New Roman" w:eastAsia="宋体" w:cs="Times New Roman"/>
                <w:snapToGrid w:val="0"/>
                <w:color w:val="auto"/>
                <w:sz w:val="24"/>
                <w:szCs w:val="24"/>
                <w:highlight w:val="none"/>
                <w:vertAlign w:val="superscript"/>
                <w:lang w:val="en-US" w:eastAsia="zh-CN"/>
              </w:rPr>
              <w:t>3</w:t>
            </w:r>
            <w:r>
              <w:rPr>
                <w:rFonts w:hint="default" w:ascii="Times New Roman" w:hAnsi="Times New Roman" w:eastAsia="宋体" w:cs="Times New Roman"/>
                <w:snapToGrid w:val="0"/>
                <w:color w:val="auto"/>
                <w:sz w:val="24"/>
                <w:szCs w:val="24"/>
                <w:highlight w:val="none"/>
                <w:lang w:val="en-US" w:eastAsia="zh-CN"/>
              </w:rPr>
              <w:t>/d，</w:t>
            </w:r>
            <w:r>
              <w:rPr>
                <w:rFonts w:hint="eastAsia" w:ascii="Times New Roman" w:hAnsi="Times New Roman" w:cs="Times New Roman"/>
                <w:snapToGrid w:val="0"/>
                <w:color w:val="auto"/>
                <w:sz w:val="24"/>
                <w:szCs w:val="24"/>
                <w:highlight w:val="none"/>
                <w:lang w:val="en-US" w:eastAsia="zh-CN"/>
              </w:rPr>
              <w:t>1927.2</w:t>
            </w:r>
            <w:r>
              <w:rPr>
                <w:rFonts w:hint="default" w:ascii="Times New Roman" w:hAnsi="Times New Roman" w:eastAsia="宋体" w:cs="Times New Roman"/>
                <w:snapToGrid w:val="0"/>
                <w:color w:val="auto"/>
                <w:sz w:val="24"/>
                <w:szCs w:val="24"/>
                <w:highlight w:val="none"/>
                <w:lang w:val="en-US" w:eastAsia="zh-CN"/>
              </w:rPr>
              <w:t>m</w:t>
            </w:r>
            <w:r>
              <w:rPr>
                <w:rFonts w:hint="default" w:ascii="Times New Roman" w:hAnsi="Times New Roman" w:eastAsia="宋体" w:cs="Times New Roman"/>
                <w:snapToGrid w:val="0"/>
                <w:color w:val="auto"/>
                <w:sz w:val="24"/>
                <w:szCs w:val="24"/>
                <w:highlight w:val="none"/>
                <w:vertAlign w:val="superscript"/>
                <w:lang w:val="en-US" w:eastAsia="zh-CN"/>
              </w:rPr>
              <w:t>3</w:t>
            </w:r>
            <w:r>
              <w:rPr>
                <w:rFonts w:hint="default" w:ascii="Times New Roman" w:hAnsi="Times New Roman" w:eastAsia="宋体" w:cs="Times New Roman"/>
                <w:snapToGrid w:val="0"/>
                <w:color w:val="auto"/>
                <w:sz w:val="24"/>
                <w:szCs w:val="24"/>
                <w:highlight w:val="none"/>
                <w:lang w:val="en-US" w:eastAsia="zh-CN"/>
              </w:rPr>
              <w:t>/a。排放系数取0.8，则洗衣废水量为</w:t>
            </w:r>
            <w:r>
              <w:rPr>
                <w:rFonts w:hint="eastAsia" w:ascii="Times New Roman" w:hAnsi="Times New Roman" w:cs="Times New Roman"/>
                <w:snapToGrid w:val="0"/>
                <w:color w:val="auto"/>
                <w:sz w:val="24"/>
                <w:szCs w:val="24"/>
                <w:highlight w:val="none"/>
                <w:lang w:val="en-US" w:eastAsia="zh-CN"/>
              </w:rPr>
              <w:t>4.224</w:t>
            </w:r>
            <w:r>
              <w:rPr>
                <w:rFonts w:hint="default" w:ascii="Times New Roman" w:hAnsi="Times New Roman" w:eastAsia="宋体" w:cs="Times New Roman"/>
                <w:snapToGrid w:val="0"/>
                <w:color w:val="auto"/>
                <w:sz w:val="24"/>
                <w:szCs w:val="24"/>
                <w:highlight w:val="none"/>
                <w:lang w:val="en-US" w:eastAsia="zh-CN"/>
              </w:rPr>
              <w:t>m</w:t>
            </w:r>
            <w:r>
              <w:rPr>
                <w:rFonts w:hint="default" w:ascii="Times New Roman" w:hAnsi="Times New Roman" w:eastAsia="宋体" w:cs="Times New Roman"/>
                <w:snapToGrid w:val="0"/>
                <w:color w:val="auto"/>
                <w:sz w:val="24"/>
                <w:szCs w:val="24"/>
                <w:highlight w:val="none"/>
                <w:vertAlign w:val="superscript"/>
                <w:lang w:val="en-US" w:eastAsia="zh-CN"/>
              </w:rPr>
              <w:t>3</w:t>
            </w:r>
            <w:r>
              <w:rPr>
                <w:rFonts w:hint="default" w:ascii="Times New Roman" w:hAnsi="Times New Roman" w:eastAsia="宋体" w:cs="Times New Roman"/>
                <w:snapToGrid w:val="0"/>
                <w:color w:val="auto"/>
                <w:sz w:val="24"/>
                <w:szCs w:val="24"/>
                <w:highlight w:val="none"/>
                <w:lang w:val="en-US" w:eastAsia="zh-CN"/>
              </w:rPr>
              <w:t>/d，</w:t>
            </w:r>
            <w:r>
              <w:rPr>
                <w:rFonts w:hint="eastAsia" w:ascii="Times New Roman" w:hAnsi="Times New Roman" w:cs="Times New Roman"/>
                <w:snapToGrid w:val="0"/>
                <w:color w:val="auto"/>
                <w:sz w:val="24"/>
                <w:szCs w:val="24"/>
                <w:highlight w:val="none"/>
                <w:lang w:val="en-US" w:eastAsia="zh-CN"/>
              </w:rPr>
              <w:t>1541.76</w:t>
            </w:r>
            <w:r>
              <w:rPr>
                <w:rFonts w:hint="default" w:ascii="Times New Roman" w:hAnsi="Times New Roman" w:eastAsia="宋体" w:cs="Times New Roman"/>
                <w:snapToGrid w:val="0"/>
                <w:color w:val="auto"/>
                <w:sz w:val="24"/>
                <w:szCs w:val="24"/>
                <w:highlight w:val="none"/>
                <w:lang w:val="en-US" w:eastAsia="zh-CN"/>
              </w:rPr>
              <w:t>m</w:t>
            </w:r>
            <w:r>
              <w:rPr>
                <w:rFonts w:hint="default" w:ascii="Times New Roman" w:hAnsi="Times New Roman" w:eastAsia="宋体" w:cs="Times New Roman"/>
                <w:snapToGrid w:val="0"/>
                <w:color w:val="auto"/>
                <w:sz w:val="24"/>
                <w:szCs w:val="24"/>
                <w:highlight w:val="none"/>
                <w:vertAlign w:val="superscript"/>
                <w:lang w:val="en-US" w:eastAsia="zh-CN"/>
              </w:rPr>
              <w:t>3</w:t>
            </w:r>
            <w:r>
              <w:rPr>
                <w:rFonts w:hint="default" w:ascii="Times New Roman" w:hAnsi="Times New Roman" w:eastAsia="宋体" w:cs="Times New Roman"/>
                <w:snapToGrid w:val="0"/>
                <w:color w:val="auto"/>
                <w:sz w:val="24"/>
                <w:szCs w:val="24"/>
                <w:highlight w:val="none"/>
                <w:lang w:val="en-US" w:eastAsia="zh-CN"/>
              </w:rPr>
              <w:t>/a。</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eastAsia" w:ascii="Times New Roman" w:hAnsi="Times New Roman" w:cs="Times New Roman"/>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⑥</w:t>
            </w:r>
            <w:r>
              <w:rPr>
                <w:rFonts w:hint="default" w:ascii="Times New Roman" w:hAnsi="Times New Roman" w:eastAsia="宋体" w:cs="Times New Roman"/>
                <w:snapToGrid w:val="0"/>
                <w:color w:val="auto"/>
                <w:sz w:val="24"/>
                <w:szCs w:val="24"/>
                <w:highlight w:val="none"/>
                <w:lang w:val="en-US" w:eastAsia="zh-CN"/>
              </w:rPr>
              <w:t>检验</w:t>
            </w:r>
            <w:r>
              <w:rPr>
                <w:rFonts w:hint="eastAsia" w:ascii="Times New Roman" w:hAnsi="Times New Roman" w:cs="Times New Roman"/>
                <w:snapToGrid w:val="0"/>
                <w:color w:val="auto"/>
                <w:sz w:val="24"/>
                <w:szCs w:val="24"/>
                <w:highlight w:val="none"/>
                <w:lang w:val="en-US" w:eastAsia="zh-CN"/>
              </w:rPr>
              <w:t>用水</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宋体" w:cs="Times New Roman"/>
                <w:snapToGrid w:val="0"/>
                <w:color w:val="auto"/>
                <w:sz w:val="24"/>
                <w:szCs w:val="24"/>
                <w:highlight w:val="none"/>
                <w:lang w:val="en-US" w:eastAsia="zh-CN"/>
              </w:rPr>
            </w:pPr>
            <w:r>
              <w:rPr>
                <w:rFonts w:hint="eastAsia" w:ascii="Times New Roman" w:hAnsi="Times New Roman" w:cs="Times New Roman"/>
                <w:snapToGrid w:val="0"/>
                <w:color w:val="auto"/>
                <w:sz w:val="24"/>
                <w:szCs w:val="24"/>
                <w:highlight w:val="none"/>
                <w:lang w:val="en-US" w:eastAsia="zh-CN"/>
              </w:rPr>
              <w:t>化验室</w:t>
            </w:r>
            <w:r>
              <w:rPr>
                <w:rFonts w:hint="default" w:ascii="Times New Roman" w:hAnsi="Times New Roman" w:eastAsia="宋体" w:cs="Times New Roman"/>
                <w:snapToGrid w:val="0"/>
                <w:color w:val="auto"/>
                <w:sz w:val="24"/>
                <w:szCs w:val="24"/>
                <w:highlight w:val="none"/>
                <w:lang w:val="en-US" w:eastAsia="zh-CN"/>
              </w:rPr>
              <w:t>采用外购的成套试剂盒，试剂盒内配有分析和测定所需的全部试剂，使用时直接加入检验设备中，不需自制检验试剂。本项目绝大多数耗材（试管、滴管、量杯等）均为一次性用品，用过直接作为医疗废物处置，无重复利用。化验室用水主要是对化验室用过的非一次性容器、托盘及诊疗仪器设备进行清洗消毒，根据其他医院经验，用水量0.1m</w:t>
            </w:r>
            <w:r>
              <w:rPr>
                <w:rFonts w:hint="default" w:ascii="Times New Roman" w:hAnsi="Times New Roman" w:eastAsia="宋体" w:cs="Times New Roman"/>
                <w:snapToGrid w:val="0"/>
                <w:color w:val="auto"/>
                <w:sz w:val="24"/>
                <w:szCs w:val="24"/>
                <w:highlight w:val="none"/>
                <w:vertAlign w:val="superscript"/>
                <w:lang w:val="en-US" w:eastAsia="zh-CN"/>
              </w:rPr>
              <w:t>3</w:t>
            </w:r>
            <w:r>
              <w:rPr>
                <w:rFonts w:hint="default" w:ascii="Times New Roman" w:hAnsi="Times New Roman" w:eastAsia="宋体" w:cs="Times New Roman"/>
                <w:snapToGrid w:val="0"/>
                <w:color w:val="auto"/>
                <w:sz w:val="24"/>
                <w:szCs w:val="24"/>
                <w:highlight w:val="none"/>
                <w:lang w:val="en-US" w:eastAsia="zh-CN"/>
              </w:rPr>
              <w:t>/d（36.5m</w:t>
            </w:r>
            <w:r>
              <w:rPr>
                <w:rFonts w:hint="default" w:ascii="Times New Roman" w:hAnsi="Times New Roman" w:eastAsia="宋体" w:cs="Times New Roman"/>
                <w:snapToGrid w:val="0"/>
                <w:color w:val="auto"/>
                <w:sz w:val="24"/>
                <w:szCs w:val="24"/>
                <w:highlight w:val="none"/>
                <w:vertAlign w:val="superscript"/>
                <w:lang w:val="en-US" w:eastAsia="zh-CN"/>
              </w:rPr>
              <w:t>3</w:t>
            </w:r>
            <w:r>
              <w:rPr>
                <w:rFonts w:hint="default" w:ascii="Times New Roman" w:hAnsi="Times New Roman" w:eastAsia="宋体" w:cs="Times New Roman"/>
                <w:snapToGrid w:val="0"/>
                <w:color w:val="auto"/>
                <w:sz w:val="24"/>
                <w:szCs w:val="24"/>
                <w:highlight w:val="none"/>
                <w:lang w:val="en-US" w:eastAsia="zh-CN"/>
              </w:rPr>
              <w:t>/a）。</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宋体" w:cs="Times New Roman"/>
                <w:snapToGrid w:val="0"/>
                <w:color w:val="auto"/>
                <w:sz w:val="24"/>
                <w:szCs w:val="24"/>
                <w:highlight w:val="none"/>
                <w:lang w:val="en-US" w:eastAsia="zh-CN"/>
              </w:rPr>
            </w:pPr>
            <w:r>
              <w:rPr>
                <w:rFonts w:hint="default" w:ascii="Times New Roman" w:hAnsi="Times New Roman" w:eastAsia="宋体" w:cs="Times New Roman"/>
                <w:snapToGrid w:val="0"/>
                <w:color w:val="auto"/>
                <w:sz w:val="24"/>
                <w:szCs w:val="24"/>
                <w:highlight w:val="none"/>
                <w:lang w:val="en-US" w:eastAsia="zh-CN"/>
              </w:rPr>
              <w:t>注：医院采用电脑洗相，不使用显影液、定影液等溶剂，因此不产生洗片废液。</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排水</w:t>
            </w:r>
          </w:p>
          <w:p>
            <w:pPr>
              <w:pStyle w:val="52"/>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Times New Roman" w:hAnsi="Times New Roman"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lang w:val="en-US" w:eastAsia="zh-CN"/>
              </w:rPr>
              <w:t>本项目</w:t>
            </w:r>
            <w:r>
              <w:rPr>
                <w:rFonts w:hint="eastAsia" w:ascii="Times New Roman" w:hAnsi="Times New Roman" w:cs="Times New Roman"/>
                <w:snapToGrid w:val="0"/>
                <w:color w:val="auto"/>
                <w:sz w:val="24"/>
                <w:szCs w:val="24"/>
                <w:lang w:val="en-US" w:eastAsia="zh-CN"/>
              </w:rPr>
              <w:t>排水实行雨污分流制。雨水经雨水管道排入市政雨水管网。项目</w:t>
            </w:r>
            <w:r>
              <w:rPr>
                <w:rFonts w:hint="default" w:ascii="Times New Roman" w:hAnsi="Times New Roman" w:eastAsia="宋体" w:cs="Times New Roman"/>
                <w:snapToGrid w:val="0"/>
                <w:color w:val="auto"/>
                <w:sz w:val="24"/>
                <w:szCs w:val="24"/>
                <w:lang w:val="en-US" w:eastAsia="zh-CN"/>
              </w:rPr>
              <w:t>运营过程中产生的废水主要为医疗废水和生活污水</w:t>
            </w:r>
            <w:r>
              <w:rPr>
                <w:rFonts w:hint="eastAsia" w:ascii="Times New Roman" w:hAnsi="Times New Roman" w:eastAsia="宋体" w:cs="Times New Roman"/>
                <w:snapToGrid w:val="0"/>
                <w:color w:val="auto"/>
                <w:sz w:val="24"/>
                <w:szCs w:val="24"/>
                <w:lang w:val="en-US" w:eastAsia="zh-CN"/>
              </w:rPr>
              <w:t>。</w:t>
            </w:r>
            <w:r>
              <w:rPr>
                <w:rFonts w:hint="eastAsia" w:ascii="Times New Roman" w:hAnsi="Times New Roman" w:cs="Times New Roman"/>
                <w:snapToGrid w:val="0"/>
                <w:color w:val="auto"/>
                <w:sz w:val="24"/>
                <w:szCs w:val="24"/>
                <w:lang w:val="en-US" w:eastAsia="zh-CN"/>
              </w:rPr>
              <w:t>医院人员生活污水和医疗废水无法分开，故行政人员生活污水、医护人员生活污水、医疗废水经化粪池处理后进入新建污水处理站处理。经处理各污染物浓度低于《医疗机构水污染物排放标准》（GB18466-2005）标准及《污水排入城镇下水道水质标准》（GB/T31962-2015）B级标准限值后排入市政污水管网。</w:t>
            </w:r>
          </w:p>
          <w:p>
            <w:pPr>
              <w:pStyle w:val="52"/>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snapToGrid w:val="0"/>
                <w:color w:val="auto"/>
                <w:sz w:val="24"/>
                <w:szCs w:val="24"/>
                <w:lang w:val="en-US" w:eastAsia="zh-CN"/>
              </w:rPr>
            </w:pPr>
            <w:r>
              <w:rPr>
                <w:rFonts w:hint="eastAsia" w:ascii="Times New Roman" w:hAnsi="Times New Roman" w:eastAsia="宋体" w:cs="Times New Roman"/>
                <w:snapToGrid w:val="0"/>
                <w:color w:val="auto"/>
                <w:sz w:val="24"/>
                <w:szCs w:val="24"/>
                <w:lang w:val="en-US" w:eastAsia="zh-CN"/>
              </w:rPr>
              <w:t>废水排放量按用水量的80%计算，</w:t>
            </w:r>
            <w:r>
              <w:rPr>
                <w:rFonts w:hint="default" w:ascii="Times New Roman" w:hAnsi="Times New Roman" w:eastAsia="宋体" w:cs="Times New Roman"/>
                <w:snapToGrid w:val="0"/>
                <w:color w:val="auto"/>
                <w:sz w:val="24"/>
                <w:szCs w:val="24"/>
                <w:lang w:val="en-US" w:eastAsia="zh-CN"/>
              </w:rPr>
              <w:t>根据核算结果，本项目总排水量为</w:t>
            </w:r>
            <w:r>
              <w:rPr>
                <w:rFonts w:hint="eastAsia" w:ascii="Times New Roman" w:hAnsi="Times New Roman" w:cs="Times New Roman"/>
                <w:snapToGrid w:val="0"/>
                <w:color w:val="auto"/>
                <w:sz w:val="24"/>
                <w:szCs w:val="24"/>
                <w:lang w:val="en-US" w:eastAsia="zh-CN"/>
              </w:rPr>
              <w:t>24.724</w:t>
            </w:r>
            <w:r>
              <w:rPr>
                <w:rFonts w:hint="default" w:ascii="Times New Roman" w:hAnsi="Times New Roman" w:eastAsia="宋体" w:cs="Times New Roman"/>
                <w:snapToGrid w:val="0"/>
                <w:color w:val="auto"/>
                <w:sz w:val="24"/>
                <w:szCs w:val="24"/>
                <w:lang w:val="en-US" w:eastAsia="zh-CN"/>
              </w:rPr>
              <w:t>m</w:t>
            </w:r>
            <w:r>
              <w:rPr>
                <w:rFonts w:hint="default" w:ascii="Times New Roman" w:hAnsi="Times New Roman" w:eastAsia="宋体" w:cs="Times New Roman"/>
                <w:snapToGrid w:val="0"/>
                <w:color w:val="auto"/>
                <w:sz w:val="24"/>
                <w:szCs w:val="24"/>
                <w:vertAlign w:val="superscript"/>
                <w:lang w:val="en-US" w:eastAsia="zh-CN"/>
              </w:rPr>
              <w:t>3</w:t>
            </w:r>
            <w:r>
              <w:rPr>
                <w:rFonts w:hint="default" w:ascii="Times New Roman" w:hAnsi="Times New Roman" w:eastAsia="宋体" w:cs="Times New Roman"/>
                <w:snapToGrid w:val="0"/>
                <w:color w:val="auto"/>
                <w:sz w:val="24"/>
                <w:szCs w:val="24"/>
                <w:lang w:val="en-US" w:eastAsia="zh-CN"/>
              </w:rPr>
              <w:t>/d。本项目给排水情况详见表2-</w:t>
            </w:r>
            <w:r>
              <w:rPr>
                <w:rFonts w:hint="eastAsia" w:ascii="Times New Roman" w:hAnsi="Times New Roman" w:eastAsia="宋体" w:cs="Times New Roman"/>
                <w:snapToGrid w:val="0"/>
                <w:color w:val="auto"/>
                <w:sz w:val="24"/>
                <w:szCs w:val="24"/>
                <w:lang w:val="en-US" w:eastAsia="zh-CN"/>
              </w:rPr>
              <w:t>5</w:t>
            </w:r>
            <w:r>
              <w:rPr>
                <w:rFonts w:hint="default" w:ascii="Times New Roman" w:hAnsi="Times New Roman" w:eastAsia="宋体" w:cs="Times New Roman"/>
                <w:snapToGrid w:val="0"/>
                <w:color w:val="auto"/>
                <w:sz w:val="24"/>
                <w:szCs w:val="24"/>
                <w:lang w:val="en-US" w:eastAsia="zh-CN"/>
              </w:rPr>
              <w:t>，水平衡详见图2-1。</w:t>
            </w:r>
          </w:p>
          <w:p>
            <w:pPr>
              <w:pStyle w:val="74"/>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本</w:t>
            </w:r>
            <w:r>
              <w:rPr>
                <w:rFonts w:hint="default" w:ascii="Times New Roman" w:hAnsi="Times New Roman" w:cs="Times New Roman"/>
                <w:color w:val="auto"/>
                <w:sz w:val="24"/>
                <w:szCs w:val="24"/>
              </w:rPr>
              <w:t>项目用</w:t>
            </w:r>
            <w:r>
              <w:rPr>
                <w:rFonts w:hint="eastAsia" w:ascii="Times New Roman" w:hAnsi="Times New Roman" w:cs="Times New Roman"/>
                <w:color w:val="auto"/>
                <w:sz w:val="24"/>
                <w:szCs w:val="24"/>
                <w:lang w:val="en-US" w:eastAsia="zh-CN"/>
              </w:rPr>
              <w:t>排</w:t>
            </w:r>
            <w:r>
              <w:rPr>
                <w:rFonts w:hint="default" w:ascii="Times New Roman" w:hAnsi="Times New Roman" w:cs="Times New Roman"/>
                <w:color w:val="auto"/>
                <w:sz w:val="24"/>
                <w:szCs w:val="24"/>
              </w:rPr>
              <w:t>水情况一览表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18"/>
              <w:gridCol w:w="1257"/>
              <w:gridCol w:w="1178"/>
              <w:gridCol w:w="1208"/>
              <w:gridCol w:w="1275"/>
              <w:gridCol w:w="25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tcBorders>
                    <w:tl2br w:val="nil"/>
                    <w:tr2bl w:val="nil"/>
                  </w:tcBorders>
                  <w:noWrap w:val="0"/>
                  <w:vAlign w:val="center"/>
                </w:tcPr>
                <w:p>
                  <w:pPr>
                    <w:spacing w:before="12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154" w:type="pct"/>
                  <w:gridSpan w:val="2"/>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产生源</w:t>
                  </w:r>
                </w:p>
              </w:tc>
              <w:tc>
                <w:tcPr>
                  <w:tcW w:w="655"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总用水量</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/d）</w:t>
                  </w:r>
                </w:p>
              </w:tc>
              <w:tc>
                <w:tcPr>
                  <w:tcW w:w="672"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损耗量</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/d）</w:t>
                  </w:r>
                </w:p>
              </w:tc>
              <w:tc>
                <w:tcPr>
                  <w:tcW w:w="709"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排水量</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/d）</w:t>
                  </w:r>
                </w:p>
              </w:tc>
              <w:tc>
                <w:tcPr>
                  <w:tcW w:w="1444" w:type="pct"/>
                  <w:tcBorders>
                    <w:tl2br w:val="nil"/>
                    <w:tr2bl w:val="nil"/>
                  </w:tcBorders>
                  <w:noWrap w:val="0"/>
                  <w:vAlign w:val="center"/>
                </w:tcPr>
                <w:p>
                  <w:pPr>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restar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55" w:type="pct"/>
                  <w:vMerge w:val="restar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default" w:ascii="Times New Roman" w:hAnsi="Times New Roman" w:eastAsia="宋体" w:cs="Times New Roman"/>
                      <w:snapToGrid w:val="0"/>
                      <w:color w:val="auto"/>
                      <w:sz w:val="21"/>
                      <w:szCs w:val="21"/>
                      <w:lang w:val="en-US" w:eastAsia="zh-CN"/>
                    </w:rPr>
                    <w:t>医疗</w:t>
                  </w:r>
                </w:p>
              </w:tc>
              <w:tc>
                <w:tcPr>
                  <w:tcW w:w="699"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default" w:ascii="Times New Roman" w:hAnsi="Times New Roman" w:eastAsia="宋体" w:cs="Times New Roman"/>
                      <w:snapToGrid w:val="0"/>
                      <w:color w:val="auto"/>
                      <w:sz w:val="21"/>
                      <w:szCs w:val="21"/>
                      <w:lang w:val="en-US" w:eastAsia="zh-CN"/>
                    </w:rPr>
                    <w:t>门诊</w:t>
                  </w:r>
                </w:p>
              </w:tc>
              <w:tc>
                <w:tcPr>
                  <w:tcW w:w="655"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val="en-US" w:eastAsia="zh-CN"/>
                    </w:rPr>
                    <w:t>1.</w:t>
                  </w:r>
                  <w:r>
                    <w:rPr>
                      <w:rFonts w:hint="eastAsia" w:ascii="Times New Roman" w:hAnsi="Times New Roman" w:eastAsia="宋体" w:cs="Times New Roman"/>
                      <w:snapToGrid w:val="0"/>
                      <w:color w:val="auto"/>
                      <w:sz w:val="21"/>
                      <w:szCs w:val="21"/>
                      <w:highlight w:val="none"/>
                      <w:lang w:val="en-US" w:eastAsia="zh-CN"/>
                    </w:rPr>
                    <w:t>50</w:t>
                  </w:r>
                </w:p>
              </w:tc>
              <w:tc>
                <w:tcPr>
                  <w:tcW w:w="672"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eastAsia="宋体" w:cs="Times New Roman"/>
                      <w:snapToGrid w:val="0"/>
                      <w:color w:val="auto"/>
                      <w:sz w:val="21"/>
                      <w:szCs w:val="21"/>
                      <w:lang w:val="en-US" w:eastAsia="zh-CN"/>
                    </w:rPr>
                    <w:t>0.30</w:t>
                  </w:r>
                </w:p>
              </w:tc>
              <w:tc>
                <w:tcPr>
                  <w:tcW w:w="709" w:type="pct"/>
                  <w:tcBorders>
                    <w:tl2br w:val="nil"/>
                    <w:tr2bl w:val="nil"/>
                  </w:tcBorders>
                  <w:noWrap w:val="0"/>
                  <w:vAlign w:val="center"/>
                </w:tcPr>
                <w:p>
                  <w:pPr>
                    <w:jc w:val="center"/>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snapToGrid w:val="0"/>
                      <w:color w:val="auto"/>
                      <w:kern w:val="2"/>
                      <w:sz w:val="21"/>
                      <w:szCs w:val="21"/>
                      <w:lang w:val="en-US" w:eastAsia="zh-CN" w:bidi="ar-SA"/>
                    </w:rPr>
                    <w:t>1.20</w:t>
                  </w:r>
                </w:p>
              </w:tc>
              <w:tc>
                <w:tcPr>
                  <w:tcW w:w="1444" w:type="pct"/>
                  <w:vMerge w:val="restar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ascii="Times New Roman" w:hAnsi="Times New Roman"/>
                      <w:color w:val="auto"/>
                      <w:kern w:val="0"/>
                      <w:szCs w:val="21"/>
                    </w:rPr>
                    <w:t>生活污水、医疗废水</w:t>
                  </w:r>
                  <w:r>
                    <w:rPr>
                      <w:rFonts w:hint="eastAsia" w:ascii="Times New Roman" w:hAnsi="Times New Roman"/>
                      <w:color w:val="auto"/>
                      <w:kern w:val="0"/>
                      <w:szCs w:val="21"/>
                      <w:lang w:val="en-US" w:eastAsia="zh-CN"/>
                    </w:rPr>
                    <w:t>等</w:t>
                  </w:r>
                  <w:r>
                    <w:rPr>
                      <w:rFonts w:ascii="Times New Roman" w:hAnsi="Times New Roman"/>
                      <w:color w:val="auto"/>
                      <w:kern w:val="0"/>
                      <w:szCs w:val="21"/>
                    </w:rPr>
                    <w:t>经</w:t>
                  </w:r>
                  <w:r>
                    <w:rPr>
                      <w:rFonts w:hint="eastAsia" w:ascii="Times New Roman" w:hAnsi="Times New Roman"/>
                      <w:color w:val="auto"/>
                      <w:kern w:val="0"/>
                      <w:szCs w:val="21"/>
                      <w:lang w:val="en-US" w:eastAsia="zh-CN"/>
                    </w:rPr>
                    <w:t>原有</w:t>
                  </w:r>
                  <w:r>
                    <w:rPr>
                      <w:rFonts w:ascii="Times New Roman" w:hAnsi="Times New Roman"/>
                      <w:color w:val="auto"/>
                      <w:kern w:val="0"/>
                      <w:szCs w:val="21"/>
                    </w:rPr>
                    <w:t>化粪池</w:t>
                  </w:r>
                  <w:r>
                    <w:rPr>
                      <w:rFonts w:hint="eastAsia" w:ascii="Times New Roman" w:hAnsi="Times New Roman" w:cs="Times New Roman"/>
                      <w:color w:val="auto"/>
                      <w:sz w:val="21"/>
                      <w:szCs w:val="21"/>
                      <w:highlight w:val="none"/>
                      <w:lang w:val="en-US" w:eastAsia="zh-CN"/>
                    </w:rPr>
                    <w:t>（位于污水处理站西侧，容积160m</w:t>
                  </w:r>
                  <w:r>
                    <w:rPr>
                      <w:rFonts w:hint="eastAsia" w:ascii="Times New Roman" w:hAnsi="Times New Roman" w:cs="Times New Roman"/>
                      <w:color w:val="auto"/>
                      <w:sz w:val="21"/>
                      <w:szCs w:val="21"/>
                      <w:highlight w:val="none"/>
                      <w:vertAlign w:val="superscript"/>
                      <w:lang w:val="en-US" w:eastAsia="zh-CN"/>
                    </w:rPr>
                    <w:t>3</w:t>
                  </w:r>
                  <w:r>
                    <w:rPr>
                      <w:rFonts w:hint="eastAsia" w:ascii="Times New Roman" w:hAnsi="Times New Roman" w:cs="Times New Roman"/>
                      <w:color w:val="auto"/>
                      <w:sz w:val="21"/>
                      <w:szCs w:val="21"/>
                      <w:highlight w:val="none"/>
                      <w:lang w:val="en-US" w:eastAsia="zh-CN"/>
                    </w:rPr>
                    <w:t>，长</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宽</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高=8</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4）</w:t>
                  </w:r>
                  <w:r>
                    <w:rPr>
                      <w:rFonts w:ascii="Times New Roman" w:hAnsi="Times New Roman"/>
                      <w:color w:val="auto"/>
                      <w:kern w:val="0"/>
                      <w:szCs w:val="21"/>
                    </w:rPr>
                    <w:t>处理后进入新建的污水处理站处理</w:t>
                  </w:r>
                  <w:r>
                    <w:rPr>
                      <w:rFonts w:hint="eastAsia" w:ascii="Times New Roman" w:hAnsi="Times New Roman"/>
                      <w:color w:val="auto"/>
                      <w:kern w:val="0"/>
                      <w:szCs w:val="21"/>
                      <w:lang w:val="en-US" w:eastAsia="zh-CN"/>
                    </w:rPr>
                    <w:t>达标</w:t>
                  </w:r>
                  <w:r>
                    <w:rPr>
                      <w:rFonts w:ascii="Times New Roman" w:hAnsi="Times New Roman"/>
                      <w:color w:val="auto"/>
                      <w:kern w:val="0"/>
                      <w:szCs w:val="21"/>
                    </w:rPr>
                    <w:t>后排入市政污水管网</w:t>
                  </w:r>
                  <w:r>
                    <w:rPr>
                      <w:rFonts w:hint="default" w:ascii="Times New Roman" w:hAnsi="Times New Roman" w:eastAsia="宋体" w:cs="Times New Roman"/>
                      <w:snapToGrid w:val="0"/>
                      <w:color w:val="auto"/>
                      <w:sz w:val="21"/>
                      <w:szCs w:val="21"/>
                      <w:highlight w:val="none"/>
                      <w:lang w:val="en-US" w:eastAsia="zh-CN"/>
                    </w:rPr>
                    <w:t>，并最终进入</w:t>
                  </w:r>
                  <w:r>
                    <w:rPr>
                      <w:rFonts w:hint="eastAsia" w:ascii="Times New Roman" w:hAnsi="Times New Roman" w:cs="Times New Roman"/>
                      <w:color w:val="auto"/>
                      <w:sz w:val="21"/>
                      <w:szCs w:val="21"/>
                      <w:highlight w:val="none"/>
                      <w:lang w:val="en-US" w:eastAsia="zh-CN"/>
                    </w:rPr>
                    <w:t>安康市江南城市污水处理厂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455" w:type="pct"/>
                  <w:vMerge w:val="continue"/>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p>
              </w:tc>
              <w:tc>
                <w:tcPr>
                  <w:tcW w:w="699"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default" w:ascii="Times New Roman" w:hAnsi="Times New Roman" w:eastAsia="宋体" w:cs="Times New Roman"/>
                      <w:snapToGrid w:val="0"/>
                      <w:color w:val="auto"/>
                      <w:sz w:val="21"/>
                      <w:szCs w:val="21"/>
                      <w:lang w:val="en-US" w:eastAsia="zh-CN"/>
                    </w:rPr>
                    <w:t>病房</w:t>
                  </w:r>
                </w:p>
              </w:tc>
              <w:tc>
                <w:tcPr>
                  <w:tcW w:w="655"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cs="Times New Roman"/>
                      <w:snapToGrid w:val="0"/>
                      <w:color w:val="auto"/>
                      <w:sz w:val="21"/>
                      <w:szCs w:val="21"/>
                      <w:highlight w:val="none"/>
                      <w:lang w:val="en-US" w:eastAsia="zh-CN"/>
                    </w:rPr>
                    <w:t>16.50</w:t>
                  </w:r>
                </w:p>
              </w:tc>
              <w:tc>
                <w:tcPr>
                  <w:tcW w:w="672"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3.3</w:t>
                  </w:r>
                </w:p>
              </w:tc>
              <w:tc>
                <w:tcPr>
                  <w:tcW w:w="709" w:type="pct"/>
                  <w:tcBorders>
                    <w:tl2br w:val="nil"/>
                    <w:tr2bl w:val="nil"/>
                  </w:tcBorders>
                  <w:noWrap w:val="0"/>
                  <w:vAlign w:val="center"/>
                </w:tcPr>
                <w:p>
                  <w:pPr>
                    <w:jc w:val="center"/>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cs="Times New Roman"/>
                      <w:snapToGrid w:val="0"/>
                      <w:color w:val="auto"/>
                      <w:kern w:val="2"/>
                      <w:sz w:val="21"/>
                      <w:szCs w:val="21"/>
                      <w:lang w:val="en-US" w:eastAsia="zh-CN" w:bidi="ar-SA"/>
                    </w:rPr>
                    <w:t>13.2</w:t>
                  </w:r>
                </w:p>
              </w:tc>
              <w:tc>
                <w:tcPr>
                  <w:tcW w:w="1444" w:type="pct"/>
                  <w:vMerge w:val="continue"/>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455" w:type="pct"/>
                  <w:vMerge w:val="continue"/>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p>
              </w:tc>
              <w:tc>
                <w:tcPr>
                  <w:tcW w:w="699" w:type="pct"/>
                  <w:tcBorders>
                    <w:tl2br w:val="nil"/>
                    <w:tr2bl w:val="nil"/>
                  </w:tcBorders>
                  <w:noWrap w:val="0"/>
                  <w:vAlign w:val="center"/>
                </w:tcPr>
                <w:p>
                  <w:pPr>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洗衣房</w:t>
                  </w:r>
                </w:p>
              </w:tc>
              <w:tc>
                <w:tcPr>
                  <w:tcW w:w="655" w:type="pct"/>
                  <w:tcBorders>
                    <w:tl2br w:val="nil"/>
                    <w:tr2bl w:val="nil"/>
                  </w:tcBorders>
                  <w:noWrap w:val="0"/>
                  <w:vAlign w:val="center"/>
                </w:tcPr>
                <w:p>
                  <w:pPr>
                    <w:jc w:val="center"/>
                    <w:rPr>
                      <w:rFonts w:hint="default" w:ascii="Times New Roman" w:hAnsi="Times New Roman" w:cs="Times New Roman"/>
                      <w:snapToGrid w:val="0"/>
                      <w:color w:val="auto"/>
                      <w:sz w:val="21"/>
                      <w:szCs w:val="21"/>
                      <w:highlight w:val="none"/>
                      <w:lang w:val="en-US" w:eastAsia="zh-CN"/>
                    </w:rPr>
                  </w:pPr>
                  <w:r>
                    <w:rPr>
                      <w:rFonts w:hint="eastAsia" w:ascii="Times New Roman" w:hAnsi="Times New Roman" w:cs="Times New Roman"/>
                      <w:snapToGrid w:val="0"/>
                      <w:color w:val="auto"/>
                      <w:sz w:val="21"/>
                      <w:szCs w:val="21"/>
                      <w:highlight w:val="none"/>
                      <w:lang w:val="en-US" w:eastAsia="zh-CN"/>
                    </w:rPr>
                    <w:t>5.28</w:t>
                  </w:r>
                </w:p>
              </w:tc>
              <w:tc>
                <w:tcPr>
                  <w:tcW w:w="672" w:type="pct"/>
                  <w:tcBorders>
                    <w:tl2br w:val="nil"/>
                    <w:tr2bl w:val="nil"/>
                  </w:tcBorders>
                  <w:noWrap w:val="0"/>
                  <w:vAlign w:val="center"/>
                </w:tcPr>
                <w:p>
                  <w:pPr>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1.056</w:t>
                  </w:r>
                </w:p>
              </w:tc>
              <w:tc>
                <w:tcPr>
                  <w:tcW w:w="709" w:type="pct"/>
                  <w:tcBorders>
                    <w:tl2br w:val="nil"/>
                    <w:tr2bl w:val="nil"/>
                  </w:tcBorders>
                  <w:noWrap w:val="0"/>
                  <w:vAlign w:val="center"/>
                </w:tcPr>
                <w:p>
                  <w:pPr>
                    <w:jc w:val="center"/>
                    <w:rPr>
                      <w:rFonts w:hint="default" w:ascii="Times New Roman" w:hAnsi="Times New Roman" w:cs="Times New Roman"/>
                      <w:snapToGrid w:val="0"/>
                      <w:color w:val="auto"/>
                      <w:kern w:val="2"/>
                      <w:sz w:val="21"/>
                      <w:szCs w:val="21"/>
                      <w:lang w:val="en-US" w:eastAsia="zh-CN" w:bidi="ar-SA"/>
                    </w:rPr>
                  </w:pPr>
                  <w:r>
                    <w:rPr>
                      <w:rFonts w:hint="eastAsia" w:ascii="Times New Roman" w:hAnsi="Times New Roman" w:cs="Times New Roman"/>
                      <w:snapToGrid w:val="0"/>
                      <w:color w:val="auto"/>
                      <w:kern w:val="2"/>
                      <w:sz w:val="21"/>
                      <w:szCs w:val="21"/>
                      <w:lang w:val="en-US" w:eastAsia="zh-CN" w:bidi="ar-SA"/>
                    </w:rPr>
                    <w:t>4.224</w:t>
                  </w:r>
                </w:p>
              </w:tc>
              <w:tc>
                <w:tcPr>
                  <w:tcW w:w="1444" w:type="pct"/>
                  <w:vMerge w:val="continue"/>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455" w:type="pct"/>
                  <w:vMerge w:val="continue"/>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p>
              </w:tc>
              <w:tc>
                <w:tcPr>
                  <w:tcW w:w="699"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检验</w:t>
                  </w:r>
                </w:p>
              </w:tc>
              <w:tc>
                <w:tcPr>
                  <w:tcW w:w="655"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cs="Times New Roman"/>
                      <w:snapToGrid w:val="0"/>
                      <w:color w:val="auto"/>
                      <w:sz w:val="21"/>
                      <w:szCs w:val="21"/>
                      <w:highlight w:val="none"/>
                      <w:lang w:val="en-US" w:eastAsia="zh-CN"/>
                    </w:rPr>
                    <w:t>0.10</w:t>
                  </w:r>
                </w:p>
              </w:tc>
              <w:tc>
                <w:tcPr>
                  <w:tcW w:w="672"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0.02</w:t>
                  </w:r>
                </w:p>
              </w:tc>
              <w:tc>
                <w:tcPr>
                  <w:tcW w:w="709" w:type="pct"/>
                  <w:tcBorders>
                    <w:tl2br w:val="nil"/>
                    <w:tr2bl w:val="nil"/>
                  </w:tcBorders>
                  <w:noWrap w:val="0"/>
                  <w:vAlign w:val="center"/>
                </w:tcPr>
                <w:p>
                  <w:pPr>
                    <w:jc w:val="center"/>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cs="Times New Roman"/>
                      <w:snapToGrid w:val="0"/>
                      <w:color w:val="auto"/>
                      <w:kern w:val="2"/>
                      <w:sz w:val="21"/>
                      <w:szCs w:val="21"/>
                      <w:lang w:val="en-US" w:eastAsia="zh-CN" w:bidi="ar-SA"/>
                    </w:rPr>
                    <w:t>0.08</w:t>
                  </w:r>
                </w:p>
              </w:tc>
              <w:tc>
                <w:tcPr>
                  <w:tcW w:w="1444" w:type="pct"/>
                  <w:vMerge w:val="continue"/>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restar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55" w:type="pct"/>
                  <w:vMerge w:val="restar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default" w:ascii="Times New Roman" w:hAnsi="Times New Roman" w:eastAsia="宋体" w:cs="Times New Roman"/>
                      <w:snapToGrid w:val="0"/>
                      <w:color w:val="auto"/>
                      <w:sz w:val="21"/>
                      <w:szCs w:val="21"/>
                      <w:lang w:val="en-US" w:eastAsia="zh-CN"/>
                    </w:rPr>
                    <w:t>生活</w:t>
                  </w:r>
                </w:p>
              </w:tc>
              <w:tc>
                <w:tcPr>
                  <w:tcW w:w="699"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eastAsia="宋体" w:cs="Times New Roman"/>
                      <w:snapToGrid w:val="0"/>
                      <w:color w:val="auto"/>
                      <w:sz w:val="21"/>
                      <w:szCs w:val="21"/>
                      <w:lang w:val="en-US" w:eastAsia="zh-CN"/>
                    </w:rPr>
                    <w:t>医务</w:t>
                  </w:r>
                  <w:r>
                    <w:rPr>
                      <w:rFonts w:hint="default" w:ascii="Times New Roman" w:hAnsi="Times New Roman" w:eastAsia="宋体" w:cs="Times New Roman"/>
                      <w:snapToGrid w:val="0"/>
                      <w:color w:val="auto"/>
                      <w:sz w:val="21"/>
                      <w:szCs w:val="21"/>
                      <w:lang w:val="en-US" w:eastAsia="zh-CN"/>
                    </w:rPr>
                    <w:t>人员</w:t>
                  </w:r>
                </w:p>
              </w:tc>
              <w:tc>
                <w:tcPr>
                  <w:tcW w:w="655"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cs="Times New Roman"/>
                      <w:snapToGrid w:val="0"/>
                      <w:color w:val="auto"/>
                      <w:sz w:val="21"/>
                      <w:szCs w:val="21"/>
                      <w:highlight w:val="none"/>
                      <w:lang w:val="en-US" w:eastAsia="zh-CN"/>
                    </w:rPr>
                    <w:t>5.25</w:t>
                  </w:r>
                </w:p>
              </w:tc>
              <w:tc>
                <w:tcPr>
                  <w:tcW w:w="672"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eastAsia="宋体" w:cs="Times New Roman"/>
                      <w:snapToGrid w:val="0"/>
                      <w:color w:val="auto"/>
                      <w:sz w:val="21"/>
                      <w:szCs w:val="21"/>
                      <w:lang w:val="en-US" w:eastAsia="zh-CN"/>
                    </w:rPr>
                    <w:t>1.</w:t>
                  </w:r>
                  <w:r>
                    <w:rPr>
                      <w:rFonts w:hint="eastAsia" w:ascii="Times New Roman" w:hAnsi="Times New Roman" w:cs="Times New Roman"/>
                      <w:snapToGrid w:val="0"/>
                      <w:color w:val="auto"/>
                      <w:sz w:val="21"/>
                      <w:szCs w:val="21"/>
                      <w:lang w:val="en-US" w:eastAsia="zh-CN"/>
                    </w:rPr>
                    <w:t>05</w:t>
                  </w:r>
                </w:p>
              </w:tc>
              <w:tc>
                <w:tcPr>
                  <w:tcW w:w="709" w:type="pct"/>
                  <w:tcBorders>
                    <w:tl2br w:val="nil"/>
                    <w:tr2bl w:val="nil"/>
                  </w:tcBorders>
                  <w:noWrap w:val="0"/>
                  <w:vAlign w:val="center"/>
                </w:tcPr>
                <w:p>
                  <w:pPr>
                    <w:jc w:val="center"/>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snapToGrid w:val="0"/>
                      <w:color w:val="auto"/>
                      <w:kern w:val="2"/>
                      <w:sz w:val="21"/>
                      <w:szCs w:val="21"/>
                      <w:lang w:val="en-US" w:eastAsia="zh-CN" w:bidi="ar-SA"/>
                    </w:rPr>
                    <w:t>4.</w:t>
                  </w:r>
                  <w:r>
                    <w:rPr>
                      <w:rFonts w:hint="eastAsia" w:ascii="Times New Roman" w:hAnsi="Times New Roman" w:cs="Times New Roman"/>
                      <w:snapToGrid w:val="0"/>
                      <w:color w:val="auto"/>
                      <w:kern w:val="2"/>
                      <w:sz w:val="21"/>
                      <w:szCs w:val="21"/>
                      <w:lang w:val="en-US" w:eastAsia="zh-CN" w:bidi="ar-SA"/>
                    </w:rPr>
                    <w:t>1</w:t>
                  </w:r>
                  <w:r>
                    <w:rPr>
                      <w:rFonts w:hint="eastAsia" w:ascii="Times New Roman" w:hAnsi="Times New Roman" w:eastAsia="宋体" w:cs="Times New Roman"/>
                      <w:snapToGrid w:val="0"/>
                      <w:color w:val="auto"/>
                      <w:kern w:val="2"/>
                      <w:sz w:val="21"/>
                      <w:szCs w:val="21"/>
                      <w:lang w:val="en-US" w:eastAsia="zh-CN" w:bidi="ar-SA"/>
                    </w:rPr>
                    <w:t>0</w:t>
                  </w:r>
                </w:p>
              </w:tc>
              <w:tc>
                <w:tcPr>
                  <w:tcW w:w="1444" w:type="pct"/>
                  <w:vMerge w:val="continue"/>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455" w:type="pct"/>
                  <w:vMerge w:val="continue"/>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p>
              </w:tc>
              <w:tc>
                <w:tcPr>
                  <w:tcW w:w="699"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行政人员</w:t>
                  </w:r>
                </w:p>
              </w:tc>
              <w:tc>
                <w:tcPr>
                  <w:tcW w:w="655"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cs="Times New Roman"/>
                      <w:snapToGrid w:val="0"/>
                      <w:color w:val="auto"/>
                      <w:sz w:val="21"/>
                      <w:szCs w:val="21"/>
                      <w:highlight w:val="none"/>
                      <w:lang w:val="en-US" w:eastAsia="zh-CN"/>
                    </w:rPr>
                    <w:t>2.40</w:t>
                  </w:r>
                </w:p>
              </w:tc>
              <w:tc>
                <w:tcPr>
                  <w:tcW w:w="672"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0.48</w:t>
                  </w:r>
                </w:p>
              </w:tc>
              <w:tc>
                <w:tcPr>
                  <w:tcW w:w="709" w:type="pct"/>
                  <w:tcBorders>
                    <w:tl2br w:val="nil"/>
                    <w:tr2bl w:val="nil"/>
                  </w:tcBorders>
                  <w:noWrap w:val="0"/>
                  <w:vAlign w:val="center"/>
                </w:tcPr>
                <w:p>
                  <w:pPr>
                    <w:jc w:val="center"/>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cs="Times New Roman"/>
                      <w:snapToGrid w:val="0"/>
                      <w:color w:val="auto"/>
                      <w:kern w:val="2"/>
                      <w:sz w:val="21"/>
                      <w:szCs w:val="21"/>
                      <w:lang w:val="en-US" w:eastAsia="zh-CN" w:bidi="ar-SA"/>
                    </w:rPr>
                    <w:t>1.92</w:t>
                  </w:r>
                </w:p>
              </w:tc>
              <w:tc>
                <w:tcPr>
                  <w:tcW w:w="1444" w:type="pct"/>
                  <w:vMerge w:val="continue"/>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7" w:type="pct"/>
                  <w:gridSpan w:val="3"/>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default" w:ascii="Times New Roman" w:hAnsi="Times New Roman" w:eastAsia="宋体" w:cs="Times New Roman"/>
                      <w:snapToGrid w:val="0"/>
                      <w:color w:val="auto"/>
                      <w:sz w:val="21"/>
                      <w:szCs w:val="21"/>
                      <w:lang w:val="en-US" w:eastAsia="zh-CN"/>
                    </w:rPr>
                    <w:t>合计</w:t>
                  </w:r>
                </w:p>
              </w:tc>
              <w:tc>
                <w:tcPr>
                  <w:tcW w:w="655"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31.03</w:t>
                  </w:r>
                </w:p>
              </w:tc>
              <w:tc>
                <w:tcPr>
                  <w:tcW w:w="672"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6.206</w:t>
                  </w:r>
                </w:p>
              </w:tc>
              <w:tc>
                <w:tcPr>
                  <w:tcW w:w="709" w:type="pct"/>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24.724</w:t>
                  </w:r>
                </w:p>
              </w:tc>
              <w:tc>
                <w:tcPr>
                  <w:tcW w:w="1444" w:type="pct"/>
                  <w:vMerge w:val="continue"/>
                  <w:tcBorders>
                    <w:tl2br w:val="nil"/>
                    <w:tr2bl w:val="nil"/>
                  </w:tcBorders>
                  <w:noWrap w:val="0"/>
                  <w:vAlign w:val="center"/>
                </w:tcPr>
                <w:p>
                  <w:pPr>
                    <w:jc w:val="center"/>
                    <w:rPr>
                      <w:rFonts w:hint="default" w:ascii="Times New Roman" w:hAnsi="Times New Roman" w:eastAsia="宋体" w:cs="Times New Roman"/>
                      <w:snapToGrid w:val="0"/>
                      <w:color w:val="auto"/>
                      <w:sz w:val="21"/>
                      <w:szCs w:val="21"/>
                      <w:lang w:val="en-US" w:eastAsia="zh-CN"/>
                    </w:rPr>
                  </w:pPr>
                </w:p>
              </w:tc>
            </w:tr>
          </w:tbl>
          <w:p>
            <w:pPr>
              <w:pStyle w:val="52"/>
              <w:keepNext w:val="0"/>
              <w:keepLines w:val="0"/>
              <w:pageBreakBefore w:val="0"/>
              <w:widowControl/>
              <w:kinsoku/>
              <w:wordWrap/>
              <w:overflowPunct/>
              <w:topLinePunct w:val="0"/>
              <w:autoSpaceDE/>
              <w:autoSpaceDN/>
              <w:bidi w:val="0"/>
              <w:adjustRightInd w:val="0"/>
              <w:snapToGrid w:val="0"/>
              <w:spacing w:before="95" w:beforeLines="30"/>
              <w:ind w:firstLine="0" w:firstLineChars="0"/>
              <w:jc w:val="center"/>
              <w:textAlignment w:val="auto"/>
              <w:rPr>
                <w:rFonts w:hint="default" w:ascii="Times New Roman" w:hAnsi="Times New Roman" w:cs="Times New Roman"/>
                <w:color w:val="auto"/>
                <w:sz w:val="22"/>
                <w:szCs w:val="32"/>
                <w:lang w:val="en-US" w:eastAsia="zh-CN"/>
              </w:rPr>
            </w:pPr>
            <w:r>
              <w:rPr>
                <w:rFonts w:hint="default" w:ascii="Times New Roman" w:hAnsi="Times New Roman" w:cs="Times New Roman"/>
                <w:color w:val="auto"/>
                <w:sz w:val="22"/>
                <w:szCs w:val="32"/>
                <w:lang w:val="en-US" w:eastAsia="zh-CN"/>
              </w:rPr>
              <w:object>
                <v:shape id="_x0000_i1025" o:spt="75" type="#_x0000_t75" style="height:213pt;width:305.25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pPr>
              <w:pStyle w:val="52"/>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 xml:space="preserve">图2-1  </w:t>
            </w:r>
            <w:r>
              <w:rPr>
                <w:rFonts w:hint="default" w:ascii="Times New Roman" w:hAnsi="Times New Roman" w:cs="Times New Roman"/>
                <w:b/>
                <w:bCs/>
                <w:color w:val="auto"/>
                <w:sz w:val="24"/>
                <w:szCs w:val="24"/>
                <w:highlight w:val="none"/>
                <w:lang w:val="en-US" w:eastAsia="zh-CN"/>
              </w:rPr>
              <w:t xml:space="preserve"> 本项目用水平衡图  </w:t>
            </w:r>
            <w:r>
              <w:rPr>
                <w:rFonts w:hint="default" w:ascii="Times New Roman" w:hAnsi="Times New Roman" w:cs="Times New Roman"/>
                <w:b/>
                <w:bCs/>
                <w:color w:val="auto"/>
                <w:sz w:val="24"/>
                <w:szCs w:val="24"/>
                <w:lang w:val="en-US" w:eastAsia="zh-CN"/>
              </w:rPr>
              <w:t xml:space="preserve">    单位：m</w:t>
            </w:r>
            <w:r>
              <w:rPr>
                <w:rFonts w:hint="default" w:ascii="Times New Roman" w:hAnsi="Times New Roman" w:cs="Times New Roman"/>
                <w:b/>
                <w:bCs/>
                <w:color w:val="auto"/>
                <w:sz w:val="24"/>
                <w:szCs w:val="24"/>
                <w:vertAlign w:val="superscript"/>
                <w:lang w:val="en-US" w:eastAsia="zh-CN"/>
              </w:rPr>
              <w:t>3</w:t>
            </w:r>
            <w:r>
              <w:rPr>
                <w:rFonts w:hint="default" w:ascii="Times New Roman" w:hAnsi="Times New Roman" w:cs="Times New Roman"/>
                <w:b/>
                <w:bCs/>
                <w:color w:val="auto"/>
                <w:sz w:val="24"/>
                <w:szCs w:val="24"/>
                <w:lang w:val="en-US" w:eastAsia="zh-CN"/>
              </w:rPr>
              <w:t>/d</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供电</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本项目供电由市政电网保障供给，能够满足本项目运营需求。</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）供暖</w:t>
            </w:r>
            <w:r>
              <w:rPr>
                <w:rFonts w:hint="default" w:ascii="Times New Roman" w:hAnsi="Times New Roman" w:cs="Times New Roman"/>
                <w:color w:val="auto"/>
                <w:sz w:val="24"/>
                <w:szCs w:val="24"/>
                <w:lang w:val="en-US" w:eastAsia="zh-CN"/>
              </w:rPr>
              <w:t>制冷</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w:t>
            </w:r>
            <w:r>
              <w:rPr>
                <w:rFonts w:hint="eastAsia" w:ascii="Times New Roman" w:hAnsi="Times New Roman" w:cs="Times New Roman"/>
                <w:color w:val="auto"/>
                <w:sz w:val="24"/>
                <w:szCs w:val="24"/>
                <w:lang w:val="en-US" w:eastAsia="zh-CN"/>
              </w:rPr>
              <w:t>位于秦岭以南区域</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年平均气温较高，不属于强制冬季供热地区，因此项目不考虑自建供暖锅炉供暖，夏季</w:t>
            </w:r>
            <w:r>
              <w:rPr>
                <w:rFonts w:hint="default" w:ascii="Times New Roman" w:hAnsi="Times New Roman" w:cs="Times New Roman"/>
                <w:color w:val="auto"/>
                <w:sz w:val="24"/>
                <w:szCs w:val="24"/>
                <w:lang w:val="en-US" w:eastAsia="zh-CN"/>
              </w:rPr>
              <w:t>制冷</w:t>
            </w:r>
            <w:r>
              <w:rPr>
                <w:rFonts w:hint="eastAsia" w:ascii="Times New Roman" w:hAnsi="Times New Roman" w:cs="Times New Roman"/>
                <w:color w:val="auto"/>
                <w:sz w:val="24"/>
                <w:szCs w:val="24"/>
                <w:lang w:val="en-US" w:eastAsia="zh-CN"/>
              </w:rPr>
              <w:t>和冬季供暖均</w:t>
            </w:r>
            <w:r>
              <w:rPr>
                <w:rFonts w:hint="default" w:ascii="Times New Roman" w:hAnsi="Times New Roman" w:cs="Times New Roman"/>
                <w:color w:val="auto"/>
                <w:sz w:val="24"/>
                <w:szCs w:val="24"/>
                <w:lang w:val="en-US" w:eastAsia="zh-CN"/>
              </w:rPr>
              <w:t>采用</w:t>
            </w:r>
            <w:r>
              <w:rPr>
                <w:rFonts w:hint="eastAsia" w:ascii="Times New Roman" w:hAnsi="Times New Roman" w:cs="Times New Roman"/>
                <w:color w:val="auto"/>
                <w:sz w:val="24"/>
                <w:szCs w:val="24"/>
                <w:lang w:val="en-US" w:eastAsia="zh-CN"/>
              </w:rPr>
              <w:t>模块式中央</w:t>
            </w:r>
            <w:r>
              <w:rPr>
                <w:rFonts w:hint="default" w:ascii="Times New Roman" w:hAnsi="Times New Roman" w:cs="Times New Roman"/>
                <w:color w:val="auto"/>
                <w:sz w:val="24"/>
                <w:szCs w:val="24"/>
                <w:lang w:val="en-US" w:eastAsia="zh-CN"/>
              </w:rPr>
              <w:t>空调</w:t>
            </w:r>
            <w:r>
              <w:rPr>
                <w:rFonts w:hint="eastAsia" w:ascii="Times New Roman" w:hAnsi="Times New Roman" w:cs="Times New Roman"/>
                <w:color w:val="auto"/>
                <w:sz w:val="24"/>
                <w:szCs w:val="24"/>
                <w:lang w:val="en-US" w:eastAsia="zh-CN"/>
              </w:rPr>
              <w:t>系统</w:t>
            </w:r>
            <w:r>
              <w:rPr>
                <w:rFonts w:hint="default" w:ascii="Times New Roman" w:hAnsi="Times New Roman" w:cs="Times New Roman"/>
                <w:color w:val="auto"/>
                <w:sz w:val="24"/>
                <w:szCs w:val="24"/>
                <w:lang w:eastAsia="zh-CN"/>
              </w:rPr>
              <w:t>。</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eastAsia="zh-CN"/>
              </w:rPr>
              <w:t>）消毒</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医院病房采用的消毒方式为化学消毒剂、紫外线消毒；医疗器械消毒方式采用的是高温高压灭菌。</w:t>
            </w:r>
          </w:p>
          <w:p>
            <w:pPr>
              <w:pStyle w:val="52"/>
              <w:keepNext w:val="0"/>
              <w:keepLines w:val="0"/>
              <w:pageBreakBefore w:val="0"/>
              <w:widowControl/>
              <w:numPr>
                <w:ilvl w:val="0"/>
                <w:numId w:val="8"/>
              </w:numPr>
              <w:kinsoku/>
              <w:wordWrap/>
              <w:overflowPunct/>
              <w:topLinePunct w:val="0"/>
              <w:autoSpaceDE/>
              <w:autoSpaceDN/>
              <w:bidi w:val="0"/>
              <w:adjustRightInd w:val="0"/>
              <w:snapToGrid w:val="0"/>
              <w:spacing w:line="360" w:lineRule="auto"/>
              <w:ind w:firstLine="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热水供应</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本项目在各层均设电热水器，供应热水。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4" w:hRule="atLeast"/>
          <w:jc w:val="center"/>
        </w:trPr>
        <w:tc>
          <w:tcPr>
            <w:tcW w:w="382" w:type="pct"/>
            <w:tcBorders>
              <w:tl2br w:val="nil"/>
              <w:tr2bl w:val="nil"/>
            </w:tcBorders>
            <w:noWrap w:val="0"/>
            <w:vAlign w:val="center"/>
          </w:tcPr>
          <w:p>
            <w:pPr>
              <w:pStyle w:val="22"/>
              <w:adjustRightInd w:val="0"/>
              <w:snapToGrid w:val="0"/>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4"/>
                <w:szCs w:val="24"/>
              </w:rPr>
              <w:t>工艺流程和产排污环节</w:t>
            </w:r>
          </w:p>
        </w:tc>
        <w:tc>
          <w:tcPr>
            <w:tcW w:w="4617"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1、施工期</w:t>
            </w:r>
          </w:p>
          <w:p>
            <w:pPr>
              <w:adjustRightInd w:val="0"/>
              <w:snapToGrid w:val="0"/>
              <w:spacing w:line="360" w:lineRule="auto"/>
              <w:ind w:firstLine="499" w:firstLineChars="208"/>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根据现场踏勘，环境影响评价工作开始时，项目已建成，补办环评手续，后期仅对污水处理设施进行整改，新建一体化污水处理设施，处理规模为30m</w:t>
            </w:r>
            <w:r>
              <w:rPr>
                <w:rFonts w:hint="eastAsia" w:ascii="Times New Roman" w:hAnsi="Times New Roman" w:cs="Times New Roman"/>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lang w:val="en-US" w:eastAsia="zh-CN"/>
              </w:rPr>
              <w:t>/d，处理工艺为一级强化+消毒</w:t>
            </w:r>
            <w:r>
              <w:rPr>
                <w:rFonts w:hint="default" w:ascii="Times New Roman" w:hAnsi="Times New Roman" w:eastAsia="宋体" w:cs="Times New Roman"/>
                <w:b w:val="0"/>
                <w:bCs w:val="0"/>
                <w:color w:val="auto"/>
                <w:sz w:val="24"/>
                <w:szCs w:val="24"/>
                <w:lang w:val="en-US" w:eastAsia="zh-CN"/>
              </w:rPr>
              <w:t>。</w:t>
            </w:r>
          </w:p>
          <w:p>
            <w:pPr>
              <w:adjustRightInd w:val="0"/>
              <w:snapToGrid w:val="0"/>
              <w:spacing w:line="360" w:lineRule="auto"/>
              <w:ind w:firstLine="499" w:firstLineChars="208"/>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施工期环境影响主要为施工机械噪声和施工场地扬尘，其次为施工废水、施工人员的生活污水以及施工过程产生的建筑垃圾、装修垃圾、生活垃圾等。</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2、运营期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2.1 工艺流程及产污环节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本项目为医院建设项目，其运营期的工艺流程及产污环节详见图2-3。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2082800</wp:posOffset>
                      </wp:positionH>
                      <wp:positionV relativeFrom="paragraph">
                        <wp:posOffset>1278255</wp:posOffset>
                      </wp:positionV>
                      <wp:extent cx="611505" cy="209550"/>
                      <wp:effectExtent l="0" t="0" r="17145" b="0"/>
                      <wp:wrapNone/>
                      <wp:docPr id="11" name="文本框 11"/>
                      <wp:cNvGraphicFramePr/>
                      <a:graphic xmlns:a="http://schemas.openxmlformats.org/drawingml/2006/main">
                        <a:graphicData uri="http://schemas.microsoft.com/office/word/2010/wordprocessingShape">
                          <wps:wsp>
                            <wps:cNvSpPr txBox="1"/>
                            <wps:spPr>
                              <a:xfrm>
                                <a:off x="3252470" y="4918710"/>
                                <a:ext cx="61150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pt;margin-top:100.65pt;height:16.5pt;width:48.15pt;z-index:251662336;mso-width-relative:page;mso-height-relative:page;" fillcolor="#FFFFFF [3201]" filled="t" stroked="f" coordsize="21600,21600" o:gfxdata="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q4MTtUA&#10;AAALAQAADwAAAAAAAAABACAAAAAiAAAAZHJzL2Rvd25yZXYueG1sUEsBAhQAFAAAAAgAh07iQE1N&#10;chNbAgAAnAQAAA4AAAAAAAAAAQAgAAAAJAEAAGRycy9lMm9Eb2MueG1sUEsFBgAAAAAGAAYAWQEA&#10;APEFAAAAAA==&#10;">
                      <v:fill on="t" focussize="0,0"/>
                      <v:stroke on="f" weight="0.5pt"/>
                      <v:imagedata o:title=""/>
                      <o:lock v:ext="edit" aspectratio="f"/>
                      <v:textbox>
                        <w:txbxContent>
                          <w:p/>
                        </w:txbxContent>
                      </v:textbox>
                    </v:shape>
                  </w:pict>
                </mc:Fallback>
              </mc:AlternateContent>
            </w:r>
            <w:r>
              <w:drawing>
                <wp:inline distT="0" distB="0" distL="114300" distR="114300">
                  <wp:extent cx="5148580" cy="2802255"/>
                  <wp:effectExtent l="0" t="0" r="13970" b="171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5148580" cy="28022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图2-3  本项目运营期工艺流程及产污环节图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eastAsia="zh-CN"/>
              </w:rPr>
              <w:t>就诊的患者</w:t>
            </w:r>
            <w:r>
              <w:rPr>
                <w:rFonts w:hint="eastAsia" w:ascii="Times New Roman" w:hAnsi="Times New Roman" w:cs="Times New Roman"/>
                <w:color w:val="auto"/>
                <w:sz w:val="24"/>
                <w:szCs w:val="24"/>
                <w:lang w:val="en-US" w:eastAsia="zh-CN"/>
              </w:rPr>
              <w:t>入院后，</w:t>
            </w:r>
            <w:r>
              <w:rPr>
                <w:rFonts w:hint="default" w:ascii="Times New Roman" w:hAnsi="Times New Roman" w:cs="Times New Roman"/>
                <w:color w:val="auto"/>
                <w:sz w:val="24"/>
                <w:szCs w:val="24"/>
                <w:lang w:eastAsia="zh-CN"/>
              </w:rPr>
              <w:t>经</w:t>
            </w:r>
            <w:r>
              <w:rPr>
                <w:rFonts w:hint="eastAsia" w:ascii="Times New Roman" w:hAnsi="Times New Roman" w:cs="Times New Roman"/>
                <w:color w:val="auto"/>
                <w:sz w:val="24"/>
                <w:szCs w:val="24"/>
                <w:lang w:val="en-US" w:eastAsia="zh-CN"/>
              </w:rPr>
              <w:t>门诊</w:t>
            </w:r>
            <w:r>
              <w:rPr>
                <w:rFonts w:hint="default" w:ascii="Times New Roman" w:hAnsi="Times New Roman" w:cs="Times New Roman"/>
                <w:color w:val="auto"/>
                <w:sz w:val="24"/>
                <w:szCs w:val="24"/>
                <w:lang w:eastAsia="zh-CN"/>
              </w:rPr>
              <w:t>医生初步诊断后，进行检查，后由医生诊断，</w:t>
            </w:r>
            <w:r>
              <w:rPr>
                <w:rFonts w:hint="eastAsia" w:ascii="Times New Roman" w:hAnsi="Times New Roman" w:cs="Times New Roman"/>
                <w:color w:val="auto"/>
                <w:sz w:val="24"/>
                <w:szCs w:val="24"/>
                <w:lang w:val="en-US" w:eastAsia="zh-CN"/>
              </w:rPr>
              <w:t>门诊治疗随后出院</w:t>
            </w:r>
            <w:r>
              <w:rPr>
                <w:rFonts w:hint="default" w:ascii="Times New Roman" w:hAnsi="Times New Roman" w:cs="Times New Roman"/>
                <w:color w:val="auto"/>
                <w:sz w:val="24"/>
                <w:szCs w:val="24"/>
                <w:lang w:eastAsia="zh-CN"/>
              </w:rPr>
              <w:t>或住院治疗</w:t>
            </w:r>
            <w:r>
              <w:rPr>
                <w:rFonts w:hint="eastAsia" w:ascii="Times New Roman" w:hAnsi="Times New Roman" w:cs="Times New Roman"/>
                <w:color w:val="auto"/>
                <w:sz w:val="24"/>
                <w:szCs w:val="24"/>
                <w:lang w:val="en-US" w:eastAsia="zh-CN"/>
              </w:rPr>
              <w:t>之后康复出院</w:t>
            </w:r>
            <w:r>
              <w:rPr>
                <w:rFonts w:hint="default" w:ascii="Times New Roman" w:hAnsi="Times New Roman" w:cs="Times New Roman"/>
                <w:color w:val="auto"/>
                <w:sz w:val="24"/>
                <w:szCs w:val="24"/>
                <w:lang w:eastAsia="zh-CN"/>
              </w:rPr>
              <w:t>，检查、化验、住院过程中会有</w:t>
            </w:r>
            <w:r>
              <w:rPr>
                <w:rFonts w:hint="eastAsia" w:ascii="Times New Roman" w:hAnsi="Times New Roman" w:cs="Times New Roman"/>
                <w:color w:val="auto"/>
                <w:sz w:val="24"/>
                <w:szCs w:val="24"/>
                <w:lang w:val="en-US" w:eastAsia="zh-CN"/>
              </w:rPr>
              <w:t>检验废液、</w:t>
            </w:r>
            <w:r>
              <w:rPr>
                <w:rFonts w:hint="default" w:ascii="Times New Roman" w:hAnsi="Times New Roman" w:cs="Times New Roman"/>
                <w:color w:val="auto"/>
                <w:sz w:val="24"/>
                <w:szCs w:val="24"/>
                <w:lang w:eastAsia="zh-CN"/>
              </w:rPr>
              <w:t>医疗废物、生活垃圾和医疗废水产生；运营期主要污染物为污水处理站恶臭、医疗废水、医疗废物、生活垃圾等。</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b/>
                <w:bCs/>
                <w:color w:val="auto"/>
                <w:sz w:val="24"/>
                <w:szCs w:val="24"/>
                <w:lang w:val="en-US" w:eastAsia="zh-CN"/>
              </w:rPr>
              <w:t xml:space="preserve">2 </w:t>
            </w:r>
            <w:r>
              <w:rPr>
                <w:rFonts w:hint="default" w:ascii="Times New Roman" w:hAnsi="Times New Roman" w:eastAsia="宋体" w:cs="Times New Roman"/>
                <w:b/>
                <w:bCs/>
                <w:color w:val="auto"/>
                <w:sz w:val="24"/>
                <w:szCs w:val="24"/>
                <w:lang w:val="en-US" w:eastAsia="zh-CN"/>
              </w:rPr>
              <w:t>项目运营期产污情况汇总</w:t>
            </w:r>
          </w:p>
          <w:p>
            <w:pPr>
              <w:spacing w:line="360" w:lineRule="auto"/>
              <w:ind w:firstLine="480" w:firstLineChars="200"/>
              <w:contextualSpacing/>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本项目运营过程中产污情况汇总详见表2-</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w:t>
            </w:r>
          </w:p>
          <w:p>
            <w:pPr>
              <w:pStyle w:val="65"/>
              <w:keepNext w:val="0"/>
              <w:keepLines w:val="0"/>
              <w:pageBreakBefore w:val="0"/>
              <w:widowControl w:val="0"/>
              <w:kinsoku/>
              <w:wordWrap/>
              <w:overflowPunct/>
              <w:topLinePunct w:val="0"/>
              <w:autoSpaceDE/>
              <w:autoSpaceDN/>
              <w:bidi w:val="0"/>
              <w:adjustRightInd/>
              <w:snapToGrid/>
              <w:spacing w:before="0" w:after="0" w:line="240" w:lineRule="auto"/>
              <w:ind w:right="0" w:firstLine="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eastAsia="zh-CN"/>
              </w:rPr>
              <w:t>本项目运营过程中产污情况汇总</w:t>
            </w:r>
            <w:r>
              <w:rPr>
                <w:rFonts w:hint="default" w:ascii="Times New Roman" w:hAnsi="Times New Roman" w:eastAsia="宋体" w:cs="Times New Roman"/>
                <w:b/>
                <w:bCs/>
                <w:color w:val="auto"/>
                <w:sz w:val="24"/>
                <w:szCs w:val="24"/>
                <w:highlight w:val="none"/>
              </w:rPr>
              <w:t>一览表</w:t>
            </w:r>
          </w:p>
          <w:tbl>
            <w:tblPr>
              <w:tblStyle w:val="27"/>
              <w:tblW w:w="499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22"/>
              <w:gridCol w:w="3245"/>
              <w:gridCol w:w="2924"/>
              <w:gridCol w:w="13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21"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color w:val="auto"/>
                      <w:sz w:val="21"/>
                      <w:highlight w:val="none"/>
                    </w:rPr>
                  </w:pPr>
                  <w:r>
                    <w:rPr>
                      <w:rFonts w:hint="default" w:ascii="Times New Roman" w:hAnsi="Times New Roman" w:eastAsia="宋体" w:cs="Times New Roman"/>
                      <w:color w:val="auto"/>
                      <w:sz w:val="21"/>
                      <w:highlight w:val="none"/>
                    </w:rPr>
                    <w:t>污染类别</w:t>
                  </w: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color w:val="auto"/>
                      <w:sz w:val="21"/>
                      <w:highlight w:val="none"/>
                    </w:rPr>
                  </w:pPr>
                  <w:r>
                    <w:rPr>
                      <w:rFonts w:hint="default" w:ascii="Times New Roman" w:hAnsi="Times New Roman" w:eastAsia="宋体" w:cs="Times New Roman"/>
                      <w:color w:val="auto"/>
                      <w:sz w:val="21"/>
                      <w:highlight w:val="none"/>
                    </w:rPr>
                    <w:t>编号</w:t>
                  </w:r>
                </w:p>
              </w:tc>
              <w:tc>
                <w:tcPr>
                  <w:tcW w:w="1808"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color w:val="auto"/>
                      <w:sz w:val="21"/>
                      <w:highlight w:val="none"/>
                    </w:rPr>
                  </w:pPr>
                  <w:r>
                    <w:rPr>
                      <w:rFonts w:hint="default" w:ascii="Times New Roman" w:hAnsi="Times New Roman" w:eastAsia="宋体" w:cs="Times New Roman"/>
                      <w:color w:val="auto"/>
                      <w:sz w:val="21"/>
                      <w:highlight w:val="none"/>
                    </w:rPr>
                    <w:t>污染源</w:t>
                  </w:r>
                </w:p>
              </w:tc>
              <w:tc>
                <w:tcPr>
                  <w:tcW w:w="1629"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污染</w:t>
                  </w:r>
                  <w:r>
                    <w:rPr>
                      <w:rFonts w:hint="default" w:ascii="Times New Roman" w:hAnsi="Times New Roman" w:eastAsia="宋体" w:cs="Times New Roman"/>
                      <w:color w:val="auto"/>
                      <w:sz w:val="21"/>
                      <w:highlight w:val="none"/>
                      <w:lang w:val="en-US" w:eastAsia="zh-CN"/>
                    </w:rPr>
                    <w:t>因子</w:t>
                  </w:r>
                </w:p>
              </w:tc>
              <w:tc>
                <w:tcPr>
                  <w:tcW w:w="737"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color w:val="auto"/>
                      <w:sz w:val="21"/>
                      <w:highlight w:val="none"/>
                    </w:rPr>
                  </w:pPr>
                  <w:r>
                    <w:rPr>
                      <w:rFonts w:hint="default" w:ascii="Times New Roman" w:hAnsi="Times New Roman" w:eastAsia="宋体" w:cs="Times New Roman"/>
                      <w:color w:val="auto"/>
                      <w:sz w:val="21"/>
                      <w:highlight w:val="none"/>
                    </w:rPr>
                    <w:t>排放规律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restar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r>
                    <w:rPr>
                      <w:rFonts w:hint="default" w:ascii="Times New Roman" w:hAnsi="Times New Roman" w:eastAsia="宋体" w:cs="Times New Roman"/>
                      <w:b w:val="0"/>
                      <w:color w:val="auto"/>
                      <w:sz w:val="21"/>
                      <w:highlight w:val="none"/>
                    </w:rPr>
                    <w:t>废气</w:t>
                  </w: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r>
                    <w:rPr>
                      <w:rFonts w:hint="default" w:ascii="Times New Roman" w:hAnsi="Times New Roman" w:eastAsia="宋体" w:cs="Times New Roman"/>
                      <w:b w:val="0"/>
                      <w:color w:val="auto"/>
                      <w:sz w:val="21"/>
                      <w:highlight w:val="none"/>
                    </w:rPr>
                    <w:t>G1</w:t>
                  </w:r>
                </w:p>
              </w:tc>
              <w:tc>
                <w:tcPr>
                  <w:tcW w:w="1808"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lang w:val="en-US" w:eastAsia="zh-CN"/>
                    </w:rPr>
                    <w:t>污水处理站</w:t>
                  </w:r>
                </w:p>
              </w:tc>
              <w:tc>
                <w:tcPr>
                  <w:tcW w:w="1629" w:type="pct"/>
                  <w:vMerge w:val="restar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Calibri"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lang w:val="en-US" w:eastAsia="zh-CN"/>
                    </w:rPr>
                    <w:t>氨、硫化氢、臭气浓度</w:t>
                  </w:r>
                </w:p>
              </w:tc>
              <w:tc>
                <w:tcPr>
                  <w:tcW w:w="737"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r>
                    <w:rPr>
                      <w:rFonts w:hint="default" w:ascii="Times New Roman" w:hAnsi="Times New Roman" w:eastAsia="宋体" w:cs="Times New Roman"/>
                      <w:b w:val="0"/>
                      <w:color w:val="auto"/>
                      <w:sz w:val="21"/>
                      <w:highlight w:val="none"/>
                    </w:rPr>
                    <w:t>连续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rPr>
                  </w:pP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val="en-US" w:eastAsia="zh-CN"/>
                    </w:rPr>
                  </w:pPr>
                  <w:r>
                    <w:rPr>
                      <w:rFonts w:hint="eastAsia" w:ascii="Times New Roman" w:hAnsi="Times New Roman" w:cs="Times New Roman"/>
                      <w:b w:val="0"/>
                      <w:color w:val="auto"/>
                      <w:sz w:val="21"/>
                      <w:highlight w:val="none"/>
                      <w:lang w:val="en-US" w:eastAsia="zh-CN"/>
                    </w:rPr>
                    <w:t>G2</w:t>
                  </w:r>
                </w:p>
              </w:tc>
              <w:tc>
                <w:tcPr>
                  <w:tcW w:w="1808"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val="en-US" w:eastAsia="zh-CN"/>
                    </w:rPr>
                  </w:pPr>
                  <w:r>
                    <w:rPr>
                      <w:rFonts w:hint="eastAsia" w:ascii="Times New Roman" w:hAnsi="Times New Roman" w:cs="Times New Roman"/>
                      <w:b w:val="0"/>
                      <w:color w:val="auto"/>
                      <w:sz w:val="21"/>
                      <w:highlight w:val="none"/>
                      <w:lang w:val="en-US" w:eastAsia="zh-CN"/>
                    </w:rPr>
                    <w:t>医疗废物暂存间</w:t>
                  </w:r>
                </w:p>
              </w:tc>
              <w:tc>
                <w:tcPr>
                  <w:tcW w:w="1629"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val="en-US" w:eastAsia="zh-CN"/>
                    </w:rPr>
                  </w:pPr>
                </w:p>
              </w:tc>
              <w:tc>
                <w:tcPr>
                  <w:tcW w:w="737"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Times New Roman" w:hAnsi="Times New Roman" w:eastAsia="宋体" w:cs="Times New Roman"/>
                      <w:b w:val="0"/>
                      <w:color w:val="auto"/>
                      <w:sz w:val="21"/>
                      <w:highlight w:val="none"/>
                      <w:lang w:val="en-US" w:eastAsia="zh-CN"/>
                    </w:rPr>
                  </w:pPr>
                  <w:r>
                    <w:rPr>
                      <w:rFonts w:hint="eastAsia" w:ascii="Times New Roman" w:hAnsi="Times New Roman" w:cs="Times New Roman"/>
                      <w:b w:val="0"/>
                      <w:color w:val="auto"/>
                      <w:sz w:val="21"/>
                      <w:highlight w:val="none"/>
                      <w:lang w:val="en-US" w:eastAsia="zh-CN"/>
                    </w:rPr>
                    <w:t>连续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rPr>
                  </w:pP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color w:val="auto"/>
                      <w:sz w:val="21"/>
                      <w:highlight w:val="none"/>
                      <w:lang w:val="en-US" w:eastAsia="zh-CN"/>
                    </w:rPr>
                    <w:t>G3</w:t>
                  </w:r>
                </w:p>
              </w:tc>
              <w:tc>
                <w:tcPr>
                  <w:tcW w:w="1808"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color w:val="auto"/>
                      <w:sz w:val="21"/>
                      <w:highlight w:val="none"/>
                      <w:lang w:val="en-US" w:eastAsia="zh-CN"/>
                    </w:rPr>
                    <w:t>备用发电机</w:t>
                  </w:r>
                </w:p>
              </w:tc>
              <w:tc>
                <w:tcPr>
                  <w:tcW w:w="1629"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color w:val="auto"/>
                      <w:sz w:val="21"/>
                      <w:highlight w:val="none"/>
                      <w:lang w:val="en-US" w:eastAsia="zh-CN"/>
                    </w:rPr>
                    <w:t>颗粒物、SO</w:t>
                  </w:r>
                  <w:r>
                    <w:rPr>
                      <w:rFonts w:hint="eastAsia" w:ascii="Times New Roman" w:hAnsi="Times New Roman" w:cs="Times New Roman"/>
                      <w:b w:val="0"/>
                      <w:color w:val="auto"/>
                      <w:sz w:val="21"/>
                      <w:highlight w:val="none"/>
                      <w:vertAlign w:val="subscript"/>
                      <w:lang w:val="en-US" w:eastAsia="zh-CN"/>
                    </w:rPr>
                    <w:t>2</w:t>
                  </w:r>
                  <w:r>
                    <w:rPr>
                      <w:rFonts w:hint="eastAsia" w:ascii="Times New Roman" w:hAnsi="Times New Roman" w:cs="Times New Roman"/>
                      <w:b w:val="0"/>
                      <w:color w:val="auto"/>
                      <w:sz w:val="21"/>
                      <w:highlight w:val="none"/>
                      <w:lang w:val="en-US" w:eastAsia="zh-CN"/>
                    </w:rPr>
                    <w:t>、NO</w:t>
                  </w:r>
                  <w:r>
                    <w:rPr>
                      <w:rFonts w:hint="eastAsia" w:ascii="Times New Roman" w:hAnsi="Times New Roman" w:cs="Times New Roman"/>
                      <w:b w:val="0"/>
                      <w:color w:val="auto"/>
                      <w:sz w:val="21"/>
                      <w:highlight w:val="none"/>
                      <w:vertAlign w:val="subscript"/>
                      <w:lang w:val="en-US" w:eastAsia="zh-CN"/>
                    </w:rPr>
                    <w:t>X</w:t>
                  </w:r>
                </w:p>
              </w:tc>
              <w:tc>
                <w:tcPr>
                  <w:tcW w:w="737"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color w:val="auto"/>
                      <w:sz w:val="21"/>
                      <w:highlight w:val="none"/>
                      <w:lang w:val="en-US" w:eastAsia="zh-CN"/>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rPr>
                  </w:pP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val="en-US" w:eastAsia="zh-CN"/>
                    </w:rPr>
                  </w:pPr>
                  <w:r>
                    <w:rPr>
                      <w:rFonts w:hint="eastAsia" w:ascii="Times New Roman" w:hAnsi="Times New Roman" w:cs="Times New Roman"/>
                      <w:b w:val="0"/>
                      <w:color w:val="auto"/>
                      <w:sz w:val="21"/>
                      <w:highlight w:val="none"/>
                      <w:lang w:val="en-US" w:eastAsia="zh-CN"/>
                    </w:rPr>
                    <w:t>G4</w:t>
                  </w:r>
                </w:p>
              </w:tc>
              <w:tc>
                <w:tcPr>
                  <w:tcW w:w="1808"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val="en-US" w:eastAsia="zh-CN"/>
                    </w:rPr>
                  </w:pPr>
                  <w:r>
                    <w:rPr>
                      <w:rFonts w:hint="eastAsia" w:ascii="Times New Roman" w:hAnsi="Times New Roman" w:cs="Times New Roman"/>
                      <w:b w:val="0"/>
                      <w:color w:val="auto"/>
                      <w:sz w:val="21"/>
                      <w:highlight w:val="none"/>
                      <w:lang w:val="en-US" w:eastAsia="zh-CN"/>
                    </w:rPr>
                    <w:t>化验室废气</w:t>
                  </w:r>
                </w:p>
              </w:tc>
              <w:tc>
                <w:tcPr>
                  <w:tcW w:w="1629"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val="en-US" w:eastAsia="zh-CN"/>
                    </w:rPr>
                  </w:pPr>
                  <w:r>
                    <w:rPr>
                      <w:rFonts w:hint="eastAsia" w:ascii="Times New Roman" w:hAnsi="Times New Roman" w:cs="Times New Roman"/>
                      <w:b w:val="0"/>
                      <w:color w:val="auto"/>
                      <w:sz w:val="21"/>
                      <w:highlight w:val="none"/>
                      <w:lang w:val="en-US" w:eastAsia="zh-CN"/>
                    </w:rPr>
                    <w:t>非甲烷总烃</w:t>
                  </w:r>
                </w:p>
              </w:tc>
              <w:tc>
                <w:tcPr>
                  <w:tcW w:w="737"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val="en-US" w:eastAsia="zh-CN"/>
                    </w:rPr>
                  </w:pPr>
                  <w:r>
                    <w:rPr>
                      <w:rFonts w:hint="eastAsia" w:ascii="Times New Roman" w:hAnsi="Times New Roman" w:cs="Times New Roman"/>
                      <w:b w:val="0"/>
                      <w:color w:val="auto"/>
                      <w:sz w:val="21"/>
                      <w:highlight w:val="none"/>
                      <w:lang w:val="en-US" w:eastAsia="zh-CN"/>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21" w:type="pct"/>
                  <w:vMerge w:val="restar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r>
                    <w:rPr>
                      <w:rFonts w:hint="default" w:ascii="Times New Roman" w:hAnsi="Times New Roman" w:eastAsia="宋体" w:cs="Times New Roman"/>
                      <w:b w:val="0"/>
                      <w:color w:val="auto"/>
                      <w:sz w:val="21"/>
                      <w:highlight w:val="none"/>
                    </w:rPr>
                    <w:t>废水</w:t>
                  </w: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r>
                    <w:rPr>
                      <w:rFonts w:hint="default" w:ascii="Times New Roman" w:hAnsi="Times New Roman" w:eastAsia="宋体" w:cs="Times New Roman"/>
                      <w:b w:val="0"/>
                      <w:color w:val="auto"/>
                      <w:sz w:val="21"/>
                      <w:highlight w:val="none"/>
                    </w:rPr>
                    <w:t>W1</w:t>
                  </w:r>
                </w:p>
              </w:tc>
              <w:tc>
                <w:tcPr>
                  <w:tcW w:w="1808"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lang w:val="en-US" w:eastAsia="zh-CN"/>
                    </w:rPr>
                    <w:t>医疗废水</w:t>
                  </w:r>
                </w:p>
              </w:tc>
              <w:tc>
                <w:tcPr>
                  <w:tcW w:w="1629" w:type="pct"/>
                  <w:vMerge w:val="restar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rPr>
                    <w:t>COD、BOD</w:t>
                  </w:r>
                  <w:r>
                    <w:rPr>
                      <w:rFonts w:hint="default" w:ascii="Times New Roman" w:hAnsi="Times New Roman" w:eastAsia="宋体" w:cs="Times New Roman"/>
                      <w:b w:val="0"/>
                      <w:color w:val="auto"/>
                      <w:sz w:val="21"/>
                      <w:highlight w:val="none"/>
                      <w:vertAlign w:val="subscript"/>
                    </w:rPr>
                    <w:t>5</w:t>
                  </w:r>
                  <w:r>
                    <w:rPr>
                      <w:rFonts w:hint="default" w:ascii="Times New Roman" w:hAnsi="Times New Roman" w:eastAsia="宋体" w:cs="Times New Roman"/>
                      <w:b w:val="0"/>
                      <w:color w:val="auto"/>
                      <w:sz w:val="21"/>
                      <w:highlight w:val="none"/>
                    </w:rPr>
                    <w:t>、氨氮、SS</w:t>
                  </w:r>
                  <w:r>
                    <w:rPr>
                      <w:rFonts w:hint="default" w:ascii="Times New Roman" w:hAnsi="Times New Roman" w:eastAsia="宋体" w:cs="Times New Roman"/>
                      <w:b w:val="0"/>
                      <w:color w:val="auto"/>
                      <w:sz w:val="21"/>
                      <w:highlight w:val="none"/>
                      <w:lang w:eastAsia="zh-CN"/>
                    </w:rPr>
                    <w:t>、</w:t>
                  </w:r>
                  <w:r>
                    <w:rPr>
                      <w:rFonts w:hint="eastAsia" w:ascii="Times New Roman" w:hAnsi="Times New Roman" w:cs="Times New Roman"/>
                      <w:b w:val="0"/>
                      <w:color w:val="auto"/>
                      <w:sz w:val="21"/>
                      <w:highlight w:val="none"/>
                      <w:lang w:val="en-US" w:eastAsia="zh-CN"/>
                    </w:rPr>
                    <w:t>总余氯、动植物油、阴离子表面活性剂、</w:t>
                  </w:r>
                  <w:r>
                    <w:rPr>
                      <w:rFonts w:hint="default" w:ascii="Times New Roman" w:hAnsi="Times New Roman" w:cs="Times New Roman"/>
                      <w:b w:val="0"/>
                      <w:bCs w:val="0"/>
                      <w:color w:val="auto"/>
                      <w:sz w:val="21"/>
                      <w:szCs w:val="21"/>
                      <w:highlight w:val="none"/>
                      <w:lang w:val="en-US" w:eastAsia="zh-CN"/>
                    </w:rPr>
                    <w:t>粪大肠菌群</w:t>
                  </w:r>
                </w:p>
              </w:tc>
              <w:tc>
                <w:tcPr>
                  <w:tcW w:w="737"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eastAsia="zh-CN"/>
                    </w:rPr>
                  </w:pPr>
                  <w:r>
                    <w:rPr>
                      <w:rFonts w:hint="default" w:ascii="Times New Roman" w:hAnsi="Times New Roman" w:eastAsia="宋体" w:cs="Times New Roman"/>
                      <w:b w:val="0"/>
                      <w:color w:val="auto"/>
                      <w:sz w:val="21"/>
                      <w:highlight w:val="none"/>
                      <w:lang w:eastAsia="zh-CN"/>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Calibri" w:cs="Times New Roman"/>
                      <w:b w:val="0"/>
                      <w:bCs/>
                      <w:color w:val="auto"/>
                      <w:kern w:val="2"/>
                      <w:sz w:val="21"/>
                      <w:szCs w:val="21"/>
                      <w:highlight w:val="none"/>
                      <w:lang w:val="en-US" w:eastAsia="zh-CN" w:bidi="ar-SA"/>
                    </w:rPr>
                  </w:pPr>
                  <w:r>
                    <w:rPr>
                      <w:rFonts w:hint="default" w:ascii="Times New Roman" w:hAnsi="Times New Roman" w:eastAsia="宋体" w:cs="Times New Roman"/>
                      <w:b w:val="0"/>
                      <w:color w:val="auto"/>
                      <w:sz w:val="21"/>
                      <w:highlight w:val="none"/>
                      <w:lang w:val="en-US" w:eastAsia="zh-CN"/>
                    </w:rPr>
                    <w:t>W2</w:t>
                  </w:r>
                </w:p>
              </w:tc>
              <w:tc>
                <w:tcPr>
                  <w:tcW w:w="1808"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bCs/>
                      <w:color w:val="auto"/>
                      <w:kern w:val="2"/>
                      <w:sz w:val="21"/>
                      <w:szCs w:val="21"/>
                      <w:highlight w:val="none"/>
                      <w:lang w:val="en-US" w:eastAsia="zh-CN" w:bidi="ar-SA"/>
                    </w:rPr>
                  </w:pPr>
                  <w:r>
                    <w:rPr>
                      <w:rFonts w:hint="default" w:ascii="Times New Roman" w:hAnsi="Times New Roman" w:eastAsia="宋体" w:cs="Times New Roman"/>
                      <w:b w:val="0"/>
                      <w:color w:val="auto"/>
                      <w:sz w:val="21"/>
                      <w:highlight w:val="none"/>
                    </w:rPr>
                    <w:t>生活污水</w:t>
                  </w:r>
                </w:p>
              </w:tc>
              <w:tc>
                <w:tcPr>
                  <w:tcW w:w="1629"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737"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bCs/>
                      <w:color w:val="auto"/>
                      <w:kern w:val="2"/>
                      <w:sz w:val="21"/>
                      <w:szCs w:val="21"/>
                      <w:highlight w:val="none"/>
                      <w:lang w:val="en-US" w:eastAsia="zh-CN" w:bidi="ar-SA"/>
                    </w:rPr>
                  </w:pPr>
                  <w:r>
                    <w:rPr>
                      <w:rFonts w:hint="default" w:ascii="Times New Roman" w:hAnsi="Times New Roman" w:eastAsia="宋体" w:cs="Times New Roman"/>
                      <w:b w:val="0"/>
                      <w:color w:val="auto"/>
                      <w:sz w:val="21"/>
                      <w:highlight w:val="none"/>
                    </w:rPr>
                    <w:t>间</w:t>
                  </w:r>
                  <w:r>
                    <w:rPr>
                      <w:rFonts w:hint="default" w:ascii="Times New Roman" w:hAnsi="Times New Roman" w:eastAsia="宋体" w:cs="Times New Roman"/>
                      <w:b w:val="0"/>
                      <w:color w:val="auto"/>
                      <w:sz w:val="21"/>
                      <w:highlight w:val="none"/>
                      <w:lang w:eastAsia="zh-CN"/>
                    </w:rPr>
                    <w:t>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restar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eastAsia="zh-CN"/>
                    </w:rPr>
                  </w:pPr>
                  <w:r>
                    <w:rPr>
                      <w:rFonts w:hint="default" w:ascii="Times New Roman" w:hAnsi="Times New Roman" w:eastAsia="宋体" w:cs="Times New Roman"/>
                      <w:b w:val="0"/>
                      <w:color w:val="auto"/>
                      <w:sz w:val="21"/>
                      <w:highlight w:val="none"/>
                      <w:lang w:eastAsia="zh-CN"/>
                    </w:rPr>
                    <w:t>固废</w:t>
                  </w: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Calibri"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lang w:val="en-US" w:eastAsia="zh-CN"/>
                    </w:rPr>
                    <w:t>S1</w:t>
                  </w:r>
                </w:p>
              </w:tc>
              <w:tc>
                <w:tcPr>
                  <w:tcW w:w="1808" w:type="pct"/>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color w:val="auto"/>
                      <w:sz w:val="21"/>
                      <w:highlight w:val="none"/>
                      <w:lang w:val="en-US" w:eastAsia="zh-CN"/>
                    </w:rPr>
                    <w:t>医疗活动</w:t>
                  </w:r>
                </w:p>
              </w:tc>
              <w:tc>
                <w:tcPr>
                  <w:tcW w:w="1629"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lang w:val="en-US" w:eastAsia="zh-CN"/>
                    </w:rPr>
                    <w:t>医疗废物</w:t>
                  </w:r>
                </w:p>
              </w:tc>
              <w:tc>
                <w:tcPr>
                  <w:tcW w:w="737"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eastAsia="zh-CN"/>
                    </w:rPr>
                  </w:pPr>
                  <w:r>
                    <w:rPr>
                      <w:rFonts w:hint="default" w:ascii="Times New Roman" w:hAnsi="Times New Roman" w:eastAsia="宋体" w:cs="Times New Roman"/>
                      <w:b w:val="0"/>
                      <w:color w:val="auto"/>
                      <w:sz w:val="21"/>
                      <w:highlight w:val="none"/>
                      <w:lang w:eastAsia="zh-CN"/>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eastAsia="zh-CN"/>
                    </w:rPr>
                  </w:pP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Calibri"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lang w:val="en-US" w:eastAsia="zh-CN"/>
                    </w:rPr>
                    <w:t>S2</w:t>
                  </w:r>
                </w:p>
              </w:tc>
              <w:tc>
                <w:tcPr>
                  <w:tcW w:w="1808" w:type="pct"/>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lang w:val="en-US" w:eastAsia="zh-CN"/>
                    </w:rPr>
                    <w:t>医护人员及患者生活</w:t>
                  </w:r>
                </w:p>
              </w:tc>
              <w:tc>
                <w:tcPr>
                  <w:tcW w:w="1629"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lang w:val="en-US" w:eastAsia="zh-CN"/>
                    </w:rPr>
                    <w:t>生活垃圾</w:t>
                  </w:r>
                </w:p>
              </w:tc>
              <w:tc>
                <w:tcPr>
                  <w:tcW w:w="737"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eastAsia="zh-CN"/>
                    </w:rPr>
                  </w:pPr>
                  <w:r>
                    <w:rPr>
                      <w:rFonts w:hint="default" w:ascii="Times New Roman" w:hAnsi="Times New Roman" w:eastAsia="宋体" w:cs="Times New Roman"/>
                      <w:b w:val="0"/>
                      <w:color w:val="auto"/>
                      <w:sz w:val="21"/>
                      <w:highlight w:val="none"/>
                      <w:lang w:eastAsia="zh-CN"/>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eastAsia="zh-CN"/>
                    </w:rPr>
                  </w:pP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lang w:val="en-US" w:eastAsia="zh-CN"/>
                    </w:rPr>
                    <w:t>S</w:t>
                  </w:r>
                  <w:r>
                    <w:rPr>
                      <w:rFonts w:hint="eastAsia" w:ascii="Times New Roman" w:hAnsi="Times New Roman" w:cs="Times New Roman"/>
                      <w:b w:val="0"/>
                      <w:color w:val="auto"/>
                      <w:sz w:val="21"/>
                      <w:highlight w:val="none"/>
                      <w:lang w:val="en-US" w:eastAsia="zh-CN"/>
                    </w:rPr>
                    <w:t>3</w:t>
                  </w:r>
                </w:p>
              </w:tc>
              <w:tc>
                <w:tcPr>
                  <w:tcW w:w="1808" w:type="pct"/>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val="en-US" w:eastAsia="zh-CN"/>
                    </w:rPr>
                  </w:pPr>
                  <w:r>
                    <w:rPr>
                      <w:rFonts w:hint="eastAsia" w:ascii="Times New Roman" w:hAnsi="Times New Roman" w:cs="Times New Roman"/>
                      <w:b w:val="0"/>
                      <w:color w:val="auto"/>
                      <w:sz w:val="21"/>
                      <w:highlight w:val="none"/>
                      <w:lang w:val="en-US" w:eastAsia="zh-CN"/>
                    </w:rPr>
                    <w:t>医疗活动</w:t>
                  </w:r>
                </w:p>
              </w:tc>
              <w:tc>
                <w:tcPr>
                  <w:tcW w:w="1629"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val="en-US" w:eastAsia="zh-CN"/>
                    </w:rPr>
                  </w:pPr>
                  <w:r>
                    <w:rPr>
                      <w:rFonts w:hint="eastAsia" w:ascii="Times New Roman" w:hAnsi="Times New Roman" w:cs="Times New Roman"/>
                      <w:b w:val="0"/>
                      <w:color w:val="auto"/>
                      <w:sz w:val="21"/>
                      <w:highlight w:val="none"/>
                      <w:lang w:val="en-US" w:eastAsia="zh-CN"/>
                    </w:rPr>
                    <w:t>未被污染的输液瓶（袋）</w:t>
                  </w:r>
                </w:p>
              </w:tc>
              <w:tc>
                <w:tcPr>
                  <w:tcW w:w="737"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val="en-US" w:eastAsia="zh-CN"/>
                    </w:rPr>
                  </w:pPr>
                  <w:r>
                    <w:rPr>
                      <w:rFonts w:hint="eastAsia" w:ascii="Times New Roman" w:hAnsi="Times New Roman" w:cs="Times New Roman"/>
                      <w:b w:val="0"/>
                      <w:color w:val="auto"/>
                      <w:sz w:val="21"/>
                      <w:highlight w:val="none"/>
                      <w:lang w:val="en-US" w:eastAsia="zh-CN"/>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eastAsia="zh-CN"/>
                    </w:rPr>
                  </w:pP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Calibri" w:cs="Times New Roman"/>
                      <w:b w:val="0"/>
                      <w:bCs/>
                      <w:color w:val="auto"/>
                      <w:kern w:val="2"/>
                      <w:sz w:val="21"/>
                      <w:szCs w:val="21"/>
                      <w:highlight w:val="none"/>
                      <w:lang w:val="en-US" w:eastAsia="zh-CN" w:bidi="ar-SA"/>
                    </w:rPr>
                  </w:pPr>
                  <w:r>
                    <w:rPr>
                      <w:rFonts w:hint="eastAsia" w:ascii="Times New Roman" w:hAnsi="Times New Roman" w:eastAsia="Calibri" w:cs="Times New Roman"/>
                      <w:b w:val="0"/>
                      <w:bCs/>
                      <w:color w:val="auto"/>
                      <w:kern w:val="2"/>
                      <w:sz w:val="21"/>
                      <w:szCs w:val="21"/>
                      <w:highlight w:val="none"/>
                      <w:lang w:val="en-US" w:eastAsia="zh-CN" w:bidi="ar-SA"/>
                    </w:rPr>
                    <w:t>S4</w:t>
                  </w:r>
                </w:p>
              </w:tc>
              <w:tc>
                <w:tcPr>
                  <w:tcW w:w="1808" w:type="pct"/>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lang w:val="en-US" w:eastAsia="zh-CN"/>
                    </w:rPr>
                    <w:t>废水处理过程</w:t>
                  </w:r>
                </w:p>
              </w:tc>
              <w:tc>
                <w:tcPr>
                  <w:tcW w:w="1629"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color w:val="auto"/>
                      <w:kern w:val="2"/>
                      <w:sz w:val="21"/>
                      <w:szCs w:val="21"/>
                      <w:highlight w:val="none"/>
                      <w:lang w:val="en-US" w:eastAsia="zh-CN" w:bidi="ar-SA"/>
                    </w:rPr>
                  </w:pPr>
                  <w:r>
                    <w:rPr>
                      <w:rFonts w:hint="default" w:ascii="Times New Roman" w:hAnsi="Times New Roman" w:eastAsia="宋体" w:cs="Times New Roman"/>
                      <w:b w:val="0"/>
                      <w:color w:val="auto"/>
                      <w:sz w:val="21"/>
                      <w:highlight w:val="none"/>
                      <w:lang w:val="en-US" w:eastAsia="zh-CN"/>
                    </w:rPr>
                    <w:t>污泥</w:t>
                  </w:r>
                </w:p>
              </w:tc>
              <w:tc>
                <w:tcPr>
                  <w:tcW w:w="737"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eastAsia="zh-CN"/>
                    </w:rPr>
                  </w:pPr>
                  <w:r>
                    <w:rPr>
                      <w:rFonts w:hint="default" w:ascii="Times New Roman" w:hAnsi="Times New Roman" w:eastAsia="宋体" w:cs="Times New Roman"/>
                      <w:b w:val="0"/>
                      <w:color w:val="auto"/>
                      <w:sz w:val="21"/>
                      <w:highlight w:val="none"/>
                      <w:lang w:eastAsia="zh-CN"/>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restar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r>
                    <w:rPr>
                      <w:rFonts w:hint="default" w:ascii="Times New Roman" w:hAnsi="Times New Roman" w:eastAsia="宋体" w:cs="Times New Roman"/>
                      <w:b w:val="0"/>
                      <w:color w:val="auto"/>
                      <w:sz w:val="21"/>
                      <w:highlight w:val="none"/>
                    </w:rPr>
                    <w:t>噪声</w:t>
                  </w: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rPr>
                    <w:t>N</w:t>
                  </w:r>
                  <w:r>
                    <w:rPr>
                      <w:rFonts w:hint="default" w:ascii="Times New Roman" w:hAnsi="Times New Roman" w:eastAsia="宋体" w:cs="Times New Roman"/>
                      <w:b w:val="0"/>
                      <w:color w:val="auto"/>
                      <w:sz w:val="21"/>
                      <w:highlight w:val="none"/>
                      <w:lang w:val="en-US" w:eastAsia="zh-CN"/>
                    </w:rPr>
                    <w:t>1</w:t>
                  </w:r>
                </w:p>
              </w:tc>
              <w:tc>
                <w:tcPr>
                  <w:tcW w:w="1808"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lang w:val="en-US" w:eastAsia="zh-CN"/>
                    </w:rPr>
                    <w:t>设备设施</w:t>
                  </w:r>
                  <w:r>
                    <w:rPr>
                      <w:rFonts w:hint="default" w:ascii="Times New Roman" w:hAnsi="Times New Roman" w:eastAsia="宋体" w:cs="Times New Roman"/>
                      <w:b w:val="0"/>
                      <w:color w:val="auto"/>
                      <w:sz w:val="21"/>
                      <w:highlight w:val="none"/>
                      <w:lang w:eastAsia="zh-CN"/>
                    </w:rPr>
                    <w:t>运行</w:t>
                  </w:r>
                  <w:r>
                    <w:rPr>
                      <w:rFonts w:hint="default" w:ascii="Times New Roman" w:hAnsi="Times New Roman" w:eastAsia="宋体" w:cs="Times New Roman"/>
                      <w:b w:val="0"/>
                      <w:color w:val="auto"/>
                      <w:sz w:val="21"/>
                      <w:highlight w:val="none"/>
                      <w:lang w:val="en-US" w:eastAsia="zh-CN"/>
                    </w:rPr>
                    <w:t>噪声</w:t>
                  </w:r>
                </w:p>
              </w:tc>
              <w:tc>
                <w:tcPr>
                  <w:tcW w:w="1629"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r>
                    <w:rPr>
                      <w:rFonts w:hint="default" w:ascii="Times New Roman" w:hAnsi="Times New Roman" w:eastAsia="宋体" w:cs="Times New Roman"/>
                      <w:b w:val="0"/>
                      <w:color w:val="auto"/>
                      <w:sz w:val="21"/>
                      <w:highlight w:val="none"/>
                    </w:rPr>
                    <w:t>等效A声级</w:t>
                  </w:r>
                </w:p>
              </w:tc>
              <w:tc>
                <w:tcPr>
                  <w:tcW w:w="737"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r>
                    <w:rPr>
                      <w:rFonts w:hint="default" w:ascii="Times New Roman" w:hAnsi="Times New Roman" w:eastAsia="宋体" w:cs="Times New Roman"/>
                      <w:b w:val="0"/>
                      <w:color w:val="auto"/>
                      <w:sz w:val="21"/>
                      <w:highlight w:val="none"/>
                    </w:rPr>
                    <w:t>连续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r>
                    <w:rPr>
                      <w:rFonts w:hint="default" w:ascii="Times New Roman" w:hAnsi="Times New Roman" w:eastAsia="宋体" w:cs="Times New Roman"/>
                      <w:b w:val="0"/>
                      <w:color w:val="auto"/>
                      <w:sz w:val="21"/>
                      <w:highlight w:val="none"/>
                    </w:rPr>
                    <w:t>N2</w:t>
                  </w:r>
                </w:p>
              </w:tc>
              <w:tc>
                <w:tcPr>
                  <w:tcW w:w="1808"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lang w:val="en-US" w:eastAsia="zh-CN"/>
                    </w:rPr>
                    <w:t>就诊病人产生的社会生活噪声</w:t>
                  </w:r>
                </w:p>
              </w:tc>
              <w:tc>
                <w:tcPr>
                  <w:tcW w:w="1629"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r>
                    <w:rPr>
                      <w:rFonts w:hint="default" w:ascii="Times New Roman" w:hAnsi="Times New Roman" w:eastAsia="宋体" w:cs="Times New Roman"/>
                      <w:b w:val="0"/>
                      <w:color w:val="auto"/>
                      <w:sz w:val="21"/>
                      <w:highlight w:val="none"/>
                    </w:rPr>
                    <w:t>等效A声级</w:t>
                  </w:r>
                </w:p>
              </w:tc>
              <w:tc>
                <w:tcPr>
                  <w:tcW w:w="737"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highlight w:val="none"/>
                      <w:lang w:val="en-US" w:eastAsia="zh-CN"/>
                    </w:rPr>
                  </w:pPr>
                  <w:r>
                    <w:rPr>
                      <w:rFonts w:hint="eastAsia" w:ascii="Times New Roman" w:hAnsi="Times New Roman" w:cs="Times New Roman"/>
                      <w:b w:val="0"/>
                      <w:color w:val="auto"/>
                      <w:sz w:val="21"/>
                      <w:highlight w:val="none"/>
                      <w:lang w:val="en-US" w:eastAsia="zh-CN"/>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p>
              </w:tc>
              <w:tc>
                <w:tcPr>
                  <w:tcW w:w="402"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r>
                    <w:rPr>
                      <w:rFonts w:hint="default" w:ascii="Times New Roman" w:hAnsi="Times New Roman" w:eastAsia="宋体" w:cs="Times New Roman"/>
                      <w:b w:val="0"/>
                      <w:color w:val="auto"/>
                      <w:sz w:val="21"/>
                      <w:highlight w:val="none"/>
                    </w:rPr>
                    <w:t>N3</w:t>
                  </w:r>
                </w:p>
              </w:tc>
              <w:tc>
                <w:tcPr>
                  <w:tcW w:w="1808"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highlight w:val="none"/>
                      <w:lang w:val="en-US" w:eastAsia="zh-CN"/>
                    </w:rPr>
                  </w:pPr>
                  <w:r>
                    <w:rPr>
                      <w:rFonts w:hint="default" w:ascii="Times New Roman" w:hAnsi="Times New Roman" w:eastAsia="宋体" w:cs="Times New Roman"/>
                      <w:b w:val="0"/>
                      <w:color w:val="auto"/>
                      <w:sz w:val="21"/>
                      <w:highlight w:val="none"/>
                      <w:lang w:val="en-US" w:eastAsia="zh-CN"/>
                    </w:rPr>
                    <w:t>车辆产生的交通噪声</w:t>
                  </w:r>
                </w:p>
              </w:tc>
              <w:tc>
                <w:tcPr>
                  <w:tcW w:w="1629"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rPr>
                  </w:pPr>
                  <w:r>
                    <w:rPr>
                      <w:rFonts w:hint="default" w:ascii="Times New Roman" w:hAnsi="Times New Roman" w:eastAsia="宋体" w:cs="Times New Roman"/>
                      <w:b w:val="0"/>
                      <w:color w:val="auto"/>
                      <w:sz w:val="21"/>
                      <w:highlight w:val="none"/>
                    </w:rPr>
                    <w:t>等效A声级</w:t>
                  </w:r>
                </w:p>
              </w:tc>
              <w:tc>
                <w:tcPr>
                  <w:tcW w:w="737"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b w:val="0"/>
                      <w:color w:val="auto"/>
                      <w:sz w:val="21"/>
                      <w:highlight w:val="none"/>
                      <w:lang w:eastAsia="zh-CN"/>
                    </w:rPr>
                  </w:pPr>
                  <w:r>
                    <w:rPr>
                      <w:rFonts w:hint="eastAsia" w:ascii="Times New Roman" w:hAnsi="Times New Roman" w:cs="Times New Roman"/>
                      <w:b w:val="0"/>
                      <w:color w:val="auto"/>
                      <w:sz w:val="21"/>
                      <w:highlight w:val="none"/>
                      <w:lang w:val="en-US" w:eastAsia="zh-CN"/>
                    </w:rPr>
                    <w:t>间断</w:t>
                  </w:r>
                </w:p>
              </w:tc>
            </w:tr>
          </w:tbl>
          <w:p>
            <w:pPr>
              <w:pStyle w:val="56"/>
              <w:keepNext w:val="0"/>
              <w:keepLines w:val="0"/>
              <w:numPr>
                <w:ilvl w:val="0"/>
                <w:numId w:val="0"/>
              </w:numPr>
              <w:kinsoku/>
              <w:wordWrap/>
              <w:overflowPunct/>
              <w:topLinePunct w:val="0"/>
              <w:bidi w:val="0"/>
              <w:spacing w:line="440" w:lineRule="exact"/>
              <w:textAlignment w:val="auto"/>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3" w:hRule="atLeast"/>
          <w:jc w:val="center"/>
        </w:trPr>
        <w:tc>
          <w:tcPr>
            <w:tcW w:w="382" w:type="pct"/>
            <w:tcBorders>
              <w:tl2br w:val="nil"/>
              <w:tr2bl w:val="nil"/>
            </w:tcBorders>
            <w:noWrap w:val="0"/>
            <w:vAlign w:val="center"/>
          </w:tcPr>
          <w:p>
            <w:pPr>
              <w:pStyle w:val="22"/>
              <w:adjustRightInd w:val="0"/>
              <w:snapToGrid w:val="0"/>
              <w:spacing w:before="0" w:beforeAutospacing="0" w:after="0" w:afterAutospacing="0"/>
              <w:jc w:val="center"/>
              <w:rPr>
                <w:rFonts w:hint="default" w:ascii="Times New Roman" w:hAnsi="Times New Roman" w:eastAsia="宋体" w:cs="Times New Roman"/>
                <w:b w:val="0"/>
                <w:bCs/>
                <w:snapToGrid w:val="0"/>
                <w:color w:val="auto"/>
                <w:kern w:val="2"/>
                <w:sz w:val="22"/>
                <w:szCs w:val="22"/>
                <w:lang w:val="en-US" w:eastAsia="zh-CN" w:bidi="ar-SA"/>
              </w:rPr>
            </w:pPr>
            <w:r>
              <w:rPr>
                <w:rFonts w:hint="default" w:ascii="Times New Roman" w:hAnsi="Times New Roman" w:eastAsia="宋体" w:cs="Times New Roman"/>
                <w:b w:val="0"/>
                <w:bCs/>
                <w:snapToGrid w:val="0"/>
                <w:color w:val="auto"/>
                <w:kern w:val="2"/>
                <w:sz w:val="24"/>
                <w:szCs w:val="24"/>
                <w:lang w:val="en-US" w:eastAsia="zh-CN" w:bidi="ar-SA"/>
              </w:rPr>
              <w:t>与项目有关的原有环境污染问题</w:t>
            </w:r>
          </w:p>
        </w:tc>
        <w:tc>
          <w:tcPr>
            <w:tcW w:w="4617" w:type="pct"/>
            <w:tcBorders>
              <w:tl2br w:val="nil"/>
              <w:tr2bl w:val="nil"/>
            </w:tcBorders>
            <w:noWrap w:val="0"/>
            <w:vAlign w:val="center"/>
          </w:tcPr>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目前本</w:t>
            </w:r>
            <w:r>
              <w:rPr>
                <w:rFonts w:hint="eastAsia" w:ascii="Times New Roman" w:hAnsi="Times New Roman" w:eastAsia="宋体" w:cs="Times New Roman"/>
                <w:color w:val="auto"/>
                <w:sz w:val="24"/>
                <w:szCs w:val="24"/>
                <w:lang w:val="en-US" w:eastAsia="zh-CN"/>
              </w:rPr>
              <w:t>项目</w:t>
            </w:r>
            <w:r>
              <w:rPr>
                <w:rFonts w:hint="eastAsia" w:ascii="Times New Roman" w:hAnsi="Times New Roman" w:cs="Times New Roman"/>
                <w:color w:val="auto"/>
                <w:sz w:val="24"/>
                <w:szCs w:val="24"/>
                <w:lang w:val="en-US" w:eastAsia="zh-CN"/>
              </w:rPr>
              <w:t>已建设完成，并犹如运营，目前补办环评手续。</w:t>
            </w:r>
          </w:p>
          <w:p>
            <w:pPr>
              <w:pStyle w:val="52"/>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firstLine="42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现有工程污染物排放情况及污染防治措施</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pacing w:val="-5"/>
                <w:sz w:val="24"/>
                <w:highlight w:val="none"/>
                <w:lang w:eastAsia="zh-CN"/>
              </w:rPr>
            </w:pPr>
            <w:r>
              <w:rPr>
                <w:rFonts w:hint="eastAsia" w:ascii="Times New Roman" w:hAnsi="Times New Roman" w:eastAsia="宋体" w:cs="Times New Roman"/>
                <w:color w:val="auto"/>
                <w:sz w:val="24"/>
                <w:highlight w:val="none"/>
                <w:lang w:eastAsia="zh-CN"/>
              </w:rPr>
              <w:t>根据现场调查、收集的技术资料和污染源监测结果，现有工程主要污染物产生及排放情况如下</w:t>
            </w:r>
            <w:r>
              <w:rPr>
                <w:rFonts w:hint="eastAsia" w:ascii="Times New Roman" w:hAnsi="Times New Roman" w:eastAsia="宋体" w:cs="Times New Roman"/>
                <w:color w:val="auto"/>
                <w:spacing w:val="-5"/>
                <w:sz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eastAsia"/>
                <w:bCs/>
                <w:color w:val="auto"/>
                <w:sz w:val="24"/>
                <w:highlight w:val="none"/>
              </w:rPr>
            </w:pPr>
            <w:r>
              <w:rPr>
                <w:rFonts w:hint="eastAsia"/>
                <w:bCs/>
                <w:color w:val="auto"/>
                <w:sz w:val="24"/>
                <w:highlight w:val="none"/>
              </w:rPr>
              <w:t>（1）废气</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①</w:t>
            </w:r>
            <w:r>
              <w:rPr>
                <w:rFonts w:hint="default" w:ascii="Times New Roman" w:hAnsi="Times New Roman" w:cs="Times New Roman"/>
                <w:color w:val="auto"/>
                <w:sz w:val="24"/>
                <w:highlight w:val="none"/>
                <w:lang w:eastAsia="zh-CN"/>
              </w:rPr>
              <w:t>污水处理站恶臭：现有项目</w:t>
            </w:r>
            <w:r>
              <w:rPr>
                <w:rFonts w:hint="default" w:ascii="Times New Roman" w:hAnsi="Times New Roman" w:eastAsia="宋体" w:cs="Times New Roman"/>
                <w:color w:val="auto"/>
                <w:sz w:val="24"/>
                <w:highlight w:val="none"/>
                <w:lang w:eastAsia="zh-CN"/>
              </w:rPr>
              <w:t>污水处理站</w:t>
            </w:r>
            <w:r>
              <w:rPr>
                <w:rFonts w:hint="eastAsia" w:ascii="Times New Roman" w:hAnsi="Times New Roman" w:cs="Times New Roman"/>
                <w:color w:val="auto"/>
                <w:sz w:val="24"/>
                <w:highlight w:val="none"/>
                <w:lang w:val="en-US" w:eastAsia="zh-CN"/>
              </w:rPr>
              <w:t>废水主要为部分医疗废水，生活污水和洗衣房废水均排入化粪池。污水处理站</w:t>
            </w:r>
            <w:r>
              <w:rPr>
                <w:rFonts w:hint="default" w:ascii="Times New Roman" w:hAnsi="Times New Roman" w:eastAsia="宋体" w:cs="Times New Roman"/>
                <w:color w:val="auto"/>
                <w:sz w:val="24"/>
                <w:highlight w:val="none"/>
                <w:lang w:eastAsia="zh-CN"/>
              </w:rPr>
              <w:t>运行期间主要产生H</w:t>
            </w:r>
            <w:r>
              <w:rPr>
                <w:rFonts w:hint="default" w:ascii="Times New Roman" w:hAnsi="Times New Roman" w:eastAsia="宋体" w:cs="Times New Roman"/>
                <w:color w:val="auto"/>
                <w:sz w:val="24"/>
                <w:highlight w:val="none"/>
                <w:vertAlign w:val="subscript"/>
                <w:lang w:eastAsia="zh-CN"/>
              </w:rPr>
              <w:t>2</w:t>
            </w:r>
            <w:r>
              <w:rPr>
                <w:rFonts w:hint="default" w:ascii="Times New Roman" w:hAnsi="Times New Roman" w:eastAsia="宋体" w:cs="Times New Roman"/>
                <w:color w:val="auto"/>
                <w:sz w:val="24"/>
                <w:highlight w:val="none"/>
                <w:lang w:eastAsia="zh-CN"/>
              </w:rPr>
              <w:t>S、NH</w:t>
            </w:r>
            <w:r>
              <w:rPr>
                <w:rFonts w:hint="default" w:ascii="Times New Roman" w:hAnsi="Times New Roman" w:eastAsia="宋体" w:cs="Times New Roman"/>
                <w:color w:val="auto"/>
                <w:sz w:val="24"/>
                <w:highlight w:val="none"/>
                <w:vertAlign w:val="subscript"/>
                <w:lang w:eastAsia="zh-CN"/>
              </w:rPr>
              <w:t>3</w:t>
            </w:r>
            <w:r>
              <w:rPr>
                <w:rFonts w:hint="default" w:ascii="Times New Roman" w:hAnsi="Times New Roman" w:eastAsia="宋体" w:cs="Times New Roman"/>
                <w:color w:val="auto"/>
                <w:sz w:val="24"/>
                <w:highlight w:val="none"/>
                <w:lang w:eastAsia="zh-CN"/>
              </w:rPr>
              <w:t>、臭气浓度。污水处理站采用</w:t>
            </w:r>
            <w:r>
              <w:rPr>
                <w:rFonts w:hint="default" w:ascii="Times New Roman" w:hAnsi="Times New Roman" w:cs="Times New Roman"/>
                <w:color w:val="auto"/>
                <w:sz w:val="24"/>
                <w:highlight w:val="none"/>
                <w:lang w:eastAsia="zh-CN"/>
              </w:rPr>
              <w:t>封闭结构</w:t>
            </w:r>
            <w:r>
              <w:rPr>
                <w:rFonts w:hint="default" w:ascii="Times New Roman" w:hAnsi="Times New Roman" w:eastAsia="宋体" w:cs="Times New Roman"/>
                <w:color w:val="auto"/>
                <w:sz w:val="24"/>
                <w:highlight w:val="none"/>
                <w:lang w:eastAsia="zh-CN"/>
              </w:rPr>
              <w:t>，</w:t>
            </w:r>
            <w:r>
              <w:rPr>
                <w:rFonts w:hint="default" w:ascii="Times New Roman" w:hAnsi="Times New Roman" w:cs="Times New Roman"/>
                <w:color w:val="auto"/>
                <w:sz w:val="24"/>
                <w:highlight w:val="none"/>
                <w:lang w:eastAsia="zh-CN"/>
              </w:rPr>
              <w:t>恶臭气体采用</w:t>
            </w:r>
            <w:r>
              <w:rPr>
                <w:rFonts w:hint="eastAsia" w:ascii="Times New Roman" w:hAnsi="Times New Roman" w:cs="Times New Roman"/>
                <w:color w:val="auto"/>
                <w:sz w:val="24"/>
                <w:highlight w:val="none"/>
                <w:lang w:val="en-US" w:eastAsia="zh-CN"/>
              </w:rPr>
              <w:t>定期喷洒除臭剂</w:t>
            </w:r>
            <w:r>
              <w:rPr>
                <w:rFonts w:hint="default" w:ascii="Times New Roman" w:hAnsi="Times New Roman" w:cs="Times New Roman"/>
                <w:color w:val="auto"/>
                <w:sz w:val="24"/>
                <w:highlight w:val="none"/>
                <w:lang w:eastAsia="zh-CN"/>
              </w:rPr>
              <w:t>。</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color w:val="auto"/>
                <w:sz w:val="24"/>
                <w:szCs w:val="24"/>
                <w:highlight w:val="yellow"/>
                <w:lang w:val="en-US" w:eastAsia="zh-CN"/>
              </w:rPr>
            </w:pPr>
            <w:r>
              <w:rPr>
                <w:rFonts w:hint="eastAsia" w:ascii="Times New Roman" w:hAnsi="Times New Roman" w:cs="Times New Roman"/>
                <w:color w:val="auto"/>
                <w:sz w:val="24"/>
                <w:szCs w:val="24"/>
                <w:lang w:val="en-US" w:eastAsia="zh-CN"/>
              </w:rPr>
              <w:t>2024年5月，陕西华康检验检测有限责任公司对安康华兴妇产医院污水处理站四周废气进行监测，监测因子：氨、硫化氢，由监测结果可知，下风向氨最大浓度为</w:t>
            </w:r>
            <w:r>
              <w:rPr>
                <w:rFonts w:hint="eastAsia" w:ascii="Times New Roman" w:hAnsi="Times New Roman" w:cs="Times New Roman"/>
                <w:color w:val="auto"/>
                <w:sz w:val="24"/>
                <w:szCs w:val="24"/>
                <w:highlight w:val="none"/>
                <w:lang w:val="en-US" w:eastAsia="zh-CN"/>
              </w:rPr>
              <w:t>0.07</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eastAsia" w:cs="Times New Roman"/>
                <w:color w:val="auto"/>
                <w:sz w:val="24"/>
                <w:szCs w:val="24"/>
                <w:highlight w:val="none"/>
                <w:vertAlign w:val="baseline"/>
                <w:lang w:eastAsia="zh-CN"/>
              </w:rPr>
              <w:t>，</w:t>
            </w:r>
            <w:r>
              <w:rPr>
                <w:rFonts w:hint="eastAsia"/>
                <w:color w:val="auto"/>
                <w:sz w:val="24"/>
                <w:highlight w:val="none"/>
                <w:lang w:val="en-US" w:eastAsia="zh-CN"/>
              </w:rPr>
              <w:t>硫化氢</w:t>
            </w:r>
            <w:r>
              <w:rPr>
                <w:rFonts w:hint="eastAsia"/>
                <w:color w:val="auto"/>
                <w:sz w:val="24"/>
                <w:highlight w:val="none"/>
                <w:lang w:eastAsia="zh-CN"/>
              </w:rPr>
              <w:t>最大浓度</w:t>
            </w:r>
            <w:r>
              <w:rPr>
                <w:rFonts w:hint="eastAsia" w:ascii="宋体" w:hAnsi="宋体" w:cs="宋体"/>
                <w:color w:val="auto"/>
                <w:sz w:val="24"/>
                <w:highlight w:val="none"/>
                <w:lang w:val="en-US" w:eastAsia="zh-CN"/>
              </w:rPr>
              <w:t>为未检出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均符合</w:t>
            </w:r>
            <w:r>
              <w:rPr>
                <w:rFonts w:hint="eastAsia" w:ascii="宋体" w:hAnsi="宋体" w:cs="宋体"/>
                <w:color w:val="auto"/>
                <w:sz w:val="24"/>
                <w:highlight w:val="none"/>
                <w:lang w:eastAsia="zh-CN"/>
              </w:rPr>
              <w:t>《医疗机构水污</w:t>
            </w:r>
            <w:r>
              <w:rPr>
                <w:rFonts w:hint="default" w:ascii="Times New Roman" w:hAnsi="Times New Roman" w:cs="Times New Roman"/>
                <w:color w:val="auto"/>
                <w:sz w:val="24"/>
                <w:highlight w:val="none"/>
                <w:lang w:eastAsia="zh-CN"/>
              </w:rPr>
              <w:t>染物排放标准》（GB18466-2005）表3中的排放限值。</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lang w:val="en-US" w:eastAsia="zh-CN"/>
              </w:rPr>
            </w:pPr>
            <w:r>
              <w:rPr>
                <w:rFonts w:hint="default" w:ascii="Times New Roman" w:hAnsi="Times New Roman" w:cs="Times New Roman"/>
                <w:bCs/>
                <w:color w:val="auto"/>
                <w:sz w:val="24"/>
                <w:highlight w:val="none"/>
                <w:lang w:val="en-US" w:eastAsia="zh-CN"/>
              </w:rPr>
              <w:t>（2）废水</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color w:val="auto"/>
                <w:sz w:val="24"/>
                <w:highlight w:val="none"/>
              </w:rPr>
            </w:pPr>
            <w:r>
              <w:rPr>
                <w:rFonts w:hint="eastAsia" w:ascii="Times New Roman" w:hAnsi="Times New Roman" w:cs="Times New Roman"/>
                <w:color w:val="auto"/>
                <w:sz w:val="24"/>
                <w:lang w:val="en-US" w:eastAsia="zh-CN"/>
              </w:rPr>
              <w:t>2023年7月20日，安康市华兴妇产医院委托陕西正为环境检测股份有限公司对医院废水进行监测，由监测结果可知，pH值为6.8（25.1℃，无量纲）、化学需氧量浓度为218mg/L、五日生化需氧量浓度为45.8mg/L、悬浮物浓度为10mg/L、氨氮浓度为0.589mg/L、粪大肠菌群未检出MPN/L、动植物油类0.06NDmg/L、总余氯为0.004NDmg/L，以上指标均符合</w:t>
            </w:r>
            <w:r>
              <w:rPr>
                <w:rFonts w:hint="eastAsia"/>
                <w:color w:val="auto"/>
                <w:sz w:val="24"/>
                <w:highlight w:val="none"/>
              </w:rPr>
              <w:t>《</w:t>
            </w:r>
            <w:r>
              <w:rPr>
                <w:rFonts w:hint="eastAsia"/>
                <w:color w:val="auto"/>
                <w:sz w:val="24"/>
                <w:highlight w:val="none"/>
                <w:lang w:eastAsia="zh-CN"/>
              </w:rPr>
              <w:t>医疗机构水污染物排放标准</w:t>
            </w:r>
            <w:r>
              <w:rPr>
                <w:rFonts w:hint="default" w:ascii="Times New Roman" w:hAnsi="Times New Roman" w:cs="Times New Roman"/>
                <w:color w:val="auto"/>
                <w:sz w:val="24"/>
                <w:highlight w:val="none"/>
              </w:rPr>
              <w:t>》（GB1</w:t>
            </w:r>
            <w:r>
              <w:rPr>
                <w:rFonts w:hint="default" w:ascii="Times New Roman" w:hAnsi="Times New Roman" w:cs="Times New Roman"/>
                <w:color w:val="auto"/>
                <w:sz w:val="24"/>
                <w:highlight w:val="none"/>
                <w:lang w:val="en-US" w:eastAsia="zh-CN"/>
              </w:rPr>
              <w:t>8466</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2005</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表</w:t>
            </w:r>
            <w:r>
              <w:rPr>
                <w:rFonts w:hint="default" w:ascii="Times New Roman" w:hAnsi="Times New Roman" w:cs="Times New Roman"/>
                <w:color w:val="auto"/>
                <w:sz w:val="24"/>
                <w:highlight w:val="none"/>
                <w:lang w:val="en-US" w:eastAsia="zh-CN"/>
              </w:rPr>
              <w:t>2中</w:t>
            </w:r>
            <w:r>
              <w:rPr>
                <w:rFonts w:hint="eastAsia"/>
                <w:color w:val="auto"/>
                <w:sz w:val="24"/>
                <w:highlight w:val="none"/>
                <w:lang w:val="en-US" w:eastAsia="zh-CN"/>
              </w:rPr>
              <w:t>预处理标准限值要求</w:t>
            </w:r>
            <w:r>
              <w:rPr>
                <w:color w:val="auto"/>
                <w:sz w:val="24"/>
                <w:highlight w:val="none"/>
              </w:rPr>
              <w:t>。</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噪声</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噪声主要为水泵、备用发电机、中央空调机组等运行噪声，声源在80~95dB（A）。高噪声设备大多安装在地下室内，并采取减振、隔声、距离衰减等措施降噪，因此噪声对周围声环境影响较小。</w:t>
            </w:r>
            <w:r>
              <w:rPr>
                <w:rFonts w:hint="eastAsia" w:ascii="Times New Roman" w:hAnsi="Times New Roman" w:cs="Times New Roman"/>
                <w:color w:val="auto"/>
                <w:kern w:val="2"/>
                <w:sz w:val="24"/>
                <w:szCs w:val="24"/>
                <w:highlight w:val="none"/>
                <w:lang w:val="en-US" w:eastAsia="zh-CN" w:bidi="ar-SA"/>
              </w:rPr>
              <w:t>医院自身作为敏感目标，</w:t>
            </w:r>
            <w:r>
              <w:rPr>
                <w:rFonts w:hint="eastAsia" w:ascii="Times New Roman" w:hAnsi="Times New Roman" w:eastAsia="宋体" w:cs="Times New Roman"/>
                <w:color w:val="auto"/>
                <w:kern w:val="2"/>
                <w:sz w:val="24"/>
                <w:szCs w:val="24"/>
                <w:highlight w:val="none"/>
                <w:lang w:val="en-US" w:eastAsia="zh-CN" w:bidi="ar-SA"/>
              </w:rPr>
              <w:t>建设时采取对临路建筑设置必要的防护距离和绿化带，安装隔声建筑外窗等措施减少外界噪声对医院的影响。</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2024年5月，</w:t>
            </w:r>
            <w:r>
              <w:rPr>
                <w:rFonts w:hint="eastAsia" w:ascii="Times New Roman" w:hAnsi="Times New Roman" w:cs="Times New Roman"/>
                <w:color w:val="auto"/>
                <w:sz w:val="24"/>
                <w:szCs w:val="24"/>
                <w:lang w:val="en-US" w:eastAsia="zh-CN"/>
              </w:rPr>
              <w:t>陕西华康检验检测有限责任公司对安康华兴妇产医院厂界噪声进行监测，各厂界昼夜噪声均符合《工业企业厂界环境噪声排放标准》（GB12348-2008）中2类排放限值。</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（4）固体废物</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highlight w:val="none"/>
                <w:lang w:val="en-US" w:eastAsia="zh-CN" w:bidi="ar-SA"/>
              </w:rPr>
              <w:t>固体废物主要有生活垃圾、医疗废物及</w:t>
            </w:r>
            <w:r>
              <w:rPr>
                <w:rFonts w:hint="eastAsia" w:ascii="Times New Roman" w:hAnsi="Times New Roman" w:eastAsia="宋体" w:cs="Times New Roman"/>
                <w:color w:val="auto"/>
                <w:kern w:val="2"/>
                <w:sz w:val="24"/>
                <w:szCs w:val="24"/>
                <w:highlight w:val="none"/>
                <w:lang w:val="en-US" w:eastAsia="zh-CN" w:bidi="ar-SA"/>
              </w:rPr>
              <w:t>废水处理</w:t>
            </w:r>
            <w:r>
              <w:rPr>
                <w:rFonts w:hint="default" w:ascii="Times New Roman" w:hAnsi="Times New Roman" w:eastAsia="宋体" w:cs="Times New Roman"/>
                <w:color w:val="auto"/>
                <w:kern w:val="2"/>
                <w:sz w:val="24"/>
                <w:szCs w:val="24"/>
                <w:highlight w:val="none"/>
                <w:lang w:val="en-US" w:eastAsia="zh-CN" w:bidi="ar-SA"/>
              </w:rPr>
              <w:t>产生的污泥（栅渣、化粪池及污水处理站污泥）</w:t>
            </w:r>
            <w:r>
              <w:rPr>
                <w:rFonts w:hint="eastAsia" w:ascii="Times New Roman" w:hAnsi="Times New Roman" w:eastAsia="宋体" w:cs="Times New Roman"/>
                <w:color w:val="auto"/>
                <w:kern w:val="2"/>
                <w:sz w:val="24"/>
                <w:szCs w:val="24"/>
                <w:highlight w:val="none"/>
                <w:lang w:val="en-US" w:eastAsia="zh-CN" w:bidi="ar-SA"/>
              </w:rPr>
              <w:t>、未被污染输液瓶（袋）</w:t>
            </w:r>
            <w:r>
              <w:rPr>
                <w:rFonts w:hint="eastAsia" w:ascii="Times New Roman" w:hAnsi="Times New Roman" w:cs="Times New Roman"/>
                <w:color w:val="auto"/>
                <w:kern w:val="2"/>
                <w:sz w:val="24"/>
                <w:szCs w:val="24"/>
                <w:highlight w:val="none"/>
                <w:lang w:val="en-US" w:eastAsia="zh-CN" w:bidi="ar-SA"/>
              </w:rPr>
              <w:t>等</w:t>
            </w:r>
            <w:r>
              <w:rPr>
                <w:rFonts w:hint="default" w:ascii="Times New Roman" w:hAnsi="Times New Roman" w:eastAsia="宋体" w:cs="Times New Roman"/>
                <w:color w:val="auto"/>
                <w:kern w:val="2"/>
                <w:sz w:val="24"/>
                <w:szCs w:val="24"/>
                <w:highlight w:val="none"/>
                <w:lang w:val="en-US" w:eastAsia="zh-CN" w:bidi="ar-SA"/>
              </w:rPr>
              <w:t>。生活垃圾收集后交市政环卫部门统一清运处置。医疗垃圾分类收集</w:t>
            </w:r>
            <w:r>
              <w:rPr>
                <w:rFonts w:hint="eastAsia" w:ascii="Times New Roman" w:hAnsi="Times New Roman" w:cs="Times New Roman"/>
                <w:color w:val="auto"/>
                <w:kern w:val="2"/>
                <w:sz w:val="24"/>
                <w:szCs w:val="24"/>
                <w:highlight w:val="none"/>
                <w:lang w:val="en-US" w:eastAsia="zh-CN" w:bidi="ar-SA"/>
              </w:rPr>
              <w:t>暂存于医疗废物暂存间后</w:t>
            </w:r>
            <w:r>
              <w:rPr>
                <w:rFonts w:hint="default" w:ascii="Times New Roman" w:hAnsi="Times New Roman" w:eastAsia="宋体" w:cs="Times New Roman"/>
                <w:color w:val="auto"/>
                <w:kern w:val="2"/>
                <w:sz w:val="24"/>
                <w:szCs w:val="24"/>
                <w:highlight w:val="none"/>
                <w:lang w:val="en-US" w:eastAsia="zh-CN" w:bidi="ar-SA"/>
              </w:rPr>
              <w:t>交</w:t>
            </w:r>
            <w:r>
              <w:rPr>
                <w:rFonts w:hint="eastAsia" w:ascii="Times New Roman" w:hAnsi="Times New Roman" w:cs="Times New Roman"/>
                <w:color w:val="auto"/>
                <w:kern w:val="2"/>
                <w:sz w:val="24"/>
                <w:szCs w:val="24"/>
                <w:highlight w:val="none"/>
                <w:lang w:val="en-US" w:eastAsia="zh-CN" w:bidi="ar-SA"/>
              </w:rPr>
              <w:t>安康市医疗废物处置中心</w:t>
            </w:r>
            <w:r>
              <w:rPr>
                <w:rFonts w:hint="default" w:ascii="Times New Roman" w:hAnsi="Times New Roman" w:eastAsia="宋体" w:cs="Times New Roman"/>
                <w:color w:val="auto"/>
                <w:kern w:val="2"/>
                <w:sz w:val="24"/>
                <w:szCs w:val="24"/>
                <w:highlight w:val="none"/>
                <w:lang w:val="en-US" w:eastAsia="zh-CN" w:bidi="ar-SA"/>
              </w:rPr>
              <w:t>处置</w:t>
            </w:r>
            <w:r>
              <w:rPr>
                <w:rFonts w:hint="eastAsia" w:ascii="Times New Roman" w:hAnsi="Times New Roman" w:eastAsia="宋体" w:cs="Times New Roman"/>
                <w:color w:val="auto"/>
                <w:kern w:val="2"/>
                <w:sz w:val="24"/>
                <w:szCs w:val="24"/>
                <w:highlight w:val="none"/>
                <w:lang w:val="en-US" w:eastAsia="zh-CN" w:bidi="ar-SA"/>
              </w:rPr>
              <w:t>；</w:t>
            </w:r>
            <w:r>
              <w:rPr>
                <w:rFonts w:hint="eastAsia"/>
                <w:color w:val="auto"/>
                <w:sz w:val="24"/>
                <w:highlight w:val="none"/>
              </w:rPr>
              <w:t>污水处理</w:t>
            </w:r>
            <w:r>
              <w:rPr>
                <w:rFonts w:hint="eastAsia"/>
                <w:color w:val="auto"/>
                <w:sz w:val="24"/>
                <w:highlight w:val="none"/>
                <w:lang w:val="en-US" w:eastAsia="zh-CN"/>
              </w:rPr>
              <w:t>站</w:t>
            </w:r>
            <w:r>
              <w:rPr>
                <w:rFonts w:hint="eastAsia"/>
                <w:color w:val="auto"/>
                <w:sz w:val="24"/>
                <w:highlight w:val="none"/>
              </w:rPr>
              <w:t>污泥</w:t>
            </w:r>
            <w:r>
              <w:rPr>
                <w:rFonts w:hint="eastAsia"/>
                <w:color w:val="auto"/>
                <w:sz w:val="24"/>
                <w:highlight w:val="none"/>
                <w:lang w:val="en-US" w:eastAsia="zh-CN"/>
              </w:rPr>
              <w:t>暂存于污泥池，后委托有资质单位定期处理。</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根据现场踏勘及建设单位提供资料，企业采取的污染防治措施见表</w:t>
            </w:r>
            <w:r>
              <w:rPr>
                <w:rFonts w:hint="eastAsia" w:ascii="Times New Roman" w:hAnsi="Times New Roman" w:eastAsia="宋体" w:cs="Times New Roman"/>
                <w:color w:val="auto"/>
                <w:sz w:val="24"/>
                <w:szCs w:val="24"/>
                <w:lang w:val="en-US" w:eastAsia="zh-CN"/>
              </w:rPr>
              <w:t>2-7。</w:t>
            </w:r>
          </w:p>
          <w:p>
            <w:pPr>
              <w:pStyle w:val="5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表2-7  企业现有的污染防治措施</w:t>
            </w:r>
          </w:p>
          <w:tbl>
            <w:tblPr>
              <w:tblStyle w:val="27"/>
              <w:tblW w:w="493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2536"/>
              <w:gridCol w:w="50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96"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color w:val="auto"/>
                      <w:sz w:val="21"/>
                    </w:rPr>
                  </w:pPr>
                  <w:r>
                    <w:rPr>
                      <w:rFonts w:hint="default" w:ascii="Times New Roman" w:hAnsi="Times New Roman" w:eastAsia="宋体" w:cs="Times New Roman"/>
                      <w:color w:val="auto"/>
                      <w:sz w:val="21"/>
                    </w:rPr>
                    <w:t>污染类别</w:t>
                  </w:r>
                </w:p>
              </w:tc>
              <w:tc>
                <w:tcPr>
                  <w:tcW w:w="1430"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rPr>
                    <w:t>污染</w:t>
                  </w:r>
                  <w:r>
                    <w:rPr>
                      <w:rFonts w:hint="eastAsia" w:ascii="Times New Roman" w:hAnsi="Times New Roman" w:eastAsia="宋体" w:cs="Times New Roman"/>
                      <w:color w:val="auto"/>
                      <w:sz w:val="21"/>
                      <w:lang w:val="en-US" w:eastAsia="zh-CN"/>
                    </w:rPr>
                    <w:t>物名称</w:t>
                  </w:r>
                </w:p>
              </w:tc>
              <w:tc>
                <w:tcPr>
                  <w:tcW w:w="2873"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企业现有的污染防治措施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96"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lang w:val="en-US" w:eastAsia="zh-CN"/>
                    </w:rPr>
                  </w:pPr>
                  <w:r>
                    <w:rPr>
                      <w:rFonts w:hint="eastAsia" w:ascii="Times New Roman" w:hAnsi="Times New Roman" w:cs="Times New Roman"/>
                      <w:b w:val="0"/>
                      <w:color w:val="auto"/>
                      <w:sz w:val="21"/>
                      <w:lang w:val="en-US" w:eastAsia="zh-CN"/>
                    </w:rPr>
                    <w:t>废气</w:t>
                  </w:r>
                </w:p>
              </w:tc>
              <w:tc>
                <w:tcPr>
                  <w:tcW w:w="1430"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lang w:val="en-US" w:eastAsia="zh-CN"/>
                    </w:rPr>
                  </w:pPr>
                  <w:r>
                    <w:rPr>
                      <w:rFonts w:hint="eastAsia" w:ascii="Times New Roman" w:hAnsi="Times New Roman" w:cs="Times New Roman"/>
                      <w:b w:val="0"/>
                      <w:color w:val="auto"/>
                      <w:sz w:val="21"/>
                      <w:lang w:val="en-US" w:eastAsia="zh-CN"/>
                    </w:rPr>
                    <w:t>污水处理站恶臭</w:t>
                  </w:r>
                </w:p>
              </w:tc>
              <w:tc>
                <w:tcPr>
                  <w:tcW w:w="2873"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lang w:val="en-US" w:eastAsia="zh-CN"/>
                    </w:rPr>
                  </w:pPr>
                  <w:r>
                    <w:rPr>
                      <w:rFonts w:hint="eastAsia" w:ascii="Times New Roman" w:hAnsi="Times New Roman" w:cs="Times New Roman"/>
                      <w:b w:val="0"/>
                      <w:color w:val="auto"/>
                      <w:sz w:val="21"/>
                      <w:lang w:val="en-US" w:eastAsia="zh-CN"/>
                    </w:rPr>
                    <w:t>定期喷洒除臭剂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Times New Roman" w:hAnsi="Times New Roman" w:eastAsia="宋体" w:cs="Times New Roman"/>
                      <w:b w:val="0"/>
                      <w:color w:val="auto"/>
                      <w:sz w:val="21"/>
                      <w:lang w:val="en-US" w:eastAsia="zh-CN"/>
                    </w:rPr>
                  </w:pPr>
                  <w:r>
                    <w:rPr>
                      <w:rFonts w:hint="eastAsia" w:ascii="Times New Roman" w:hAnsi="Times New Roman" w:eastAsia="宋体" w:cs="Times New Roman"/>
                      <w:b w:val="0"/>
                      <w:color w:val="auto"/>
                      <w:sz w:val="21"/>
                      <w:lang w:val="en-US" w:eastAsia="zh-CN"/>
                    </w:rPr>
                    <w:t>废水</w:t>
                  </w:r>
                </w:p>
              </w:tc>
              <w:tc>
                <w:tcPr>
                  <w:tcW w:w="1430"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lang w:val="en-US" w:eastAsia="zh-CN"/>
                    </w:rPr>
                  </w:pPr>
                  <w:r>
                    <w:rPr>
                      <w:rFonts w:hint="eastAsia" w:ascii="Times New Roman" w:hAnsi="Times New Roman" w:eastAsia="宋体" w:cs="Times New Roman"/>
                      <w:b w:val="0"/>
                      <w:color w:val="auto"/>
                      <w:sz w:val="21"/>
                      <w:lang w:val="en-US" w:eastAsia="zh-CN"/>
                    </w:rPr>
                    <w:t>生活污水、医疗废水</w:t>
                  </w:r>
                </w:p>
              </w:tc>
              <w:tc>
                <w:tcPr>
                  <w:tcW w:w="2873"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lang w:val="en-US" w:eastAsia="zh-CN"/>
                    </w:rPr>
                  </w:pPr>
                  <w:r>
                    <w:rPr>
                      <w:rFonts w:hint="eastAsia" w:ascii="Times New Roman" w:hAnsi="Times New Roman" w:eastAsia="宋体" w:cs="Times New Roman"/>
                      <w:b w:val="0"/>
                      <w:color w:val="auto"/>
                      <w:sz w:val="21"/>
                      <w:highlight w:val="none"/>
                      <w:lang w:val="en-US" w:eastAsia="zh-CN"/>
                    </w:rPr>
                    <w:t>医院</w:t>
                  </w:r>
                  <w:r>
                    <w:rPr>
                      <w:rFonts w:hint="default" w:ascii="Times New Roman" w:hAnsi="Times New Roman" w:eastAsia="宋体" w:cs="Times New Roman"/>
                      <w:b w:val="0"/>
                      <w:color w:val="auto"/>
                      <w:sz w:val="21"/>
                      <w:highlight w:val="none"/>
                      <w:lang w:val="en-US" w:eastAsia="zh-CN"/>
                    </w:rPr>
                    <w:t>生活污水</w:t>
                  </w:r>
                  <w:r>
                    <w:rPr>
                      <w:rFonts w:hint="eastAsia" w:ascii="Times New Roman" w:hAnsi="Times New Roman" w:eastAsia="宋体" w:cs="Times New Roman"/>
                      <w:b w:val="0"/>
                      <w:color w:val="auto"/>
                      <w:sz w:val="21"/>
                      <w:highlight w:val="none"/>
                      <w:lang w:val="en-US" w:eastAsia="zh-CN"/>
                    </w:rPr>
                    <w:t>排入化粪池，</w:t>
                  </w:r>
                  <w:r>
                    <w:rPr>
                      <w:rFonts w:hint="eastAsia" w:ascii="Times New Roman" w:hAnsi="Times New Roman" w:cs="Times New Roman"/>
                      <w:b w:val="0"/>
                      <w:color w:val="auto"/>
                      <w:sz w:val="21"/>
                      <w:highlight w:val="none"/>
                      <w:lang w:val="en-US" w:eastAsia="zh-CN"/>
                    </w:rPr>
                    <w:t>医疗废水进入</w:t>
                  </w:r>
                  <w:r>
                    <w:rPr>
                      <w:rFonts w:hint="eastAsia" w:ascii="Times New Roman" w:hAnsi="Times New Roman" w:eastAsia="宋体" w:cs="Times New Roman"/>
                      <w:b w:val="0"/>
                      <w:color w:val="auto"/>
                      <w:sz w:val="21"/>
                      <w:highlight w:val="none"/>
                      <w:lang w:val="en-US" w:eastAsia="zh-CN"/>
                    </w:rPr>
                    <w:t>负压自吸式</w:t>
                  </w:r>
                  <w:r>
                    <w:rPr>
                      <w:rFonts w:hint="default" w:ascii="Times New Roman" w:hAnsi="Times New Roman" w:eastAsia="宋体" w:cs="Times New Roman"/>
                      <w:b w:val="0"/>
                      <w:color w:val="auto"/>
                      <w:sz w:val="21"/>
                      <w:highlight w:val="none"/>
                      <w:lang w:val="en-US" w:eastAsia="zh-CN"/>
                    </w:rPr>
                    <w:t>污水处理设施</w:t>
                  </w:r>
                  <w:r>
                    <w:rPr>
                      <w:rFonts w:hint="eastAsia" w:ascii="Times New Roman" w:hAnsi="Times New Roman" w:eastAsia="宋体" w:cs="Times New Roman"/>
                      <w:b w:val="0"/>
                      <w:color w:val="auto"/>
                      <w:sz w:val="21"/>
                      <w:highlight w:val="none"/>
                      <w:lang w:val="en-US" w:eastAsia="zh-CN"/>
                    </w:rPr>
                    <w:t>（沉淀+臭氧消毒，规模</w:t>
                  </w:r>
                  <w:r>
                    <w:rPr>
                      <w:rFonts w:hint="eastAsia" w:ascii="Times New Roman" w:hAnsi="Times New Roman" w:cs="Times New Roman"/>
                      <w:b w:val="0"/>
                      <w:color w:val="auto"/>
                      <w:sz w:val="21"/>
                      <w:highlight w:val="none"/>
                      <w:lang w:val="en-US" w:eastAsia="zh-CN"/>
                    </w:rPr>
                    <w:t>15m</w:t>
                  </w:r>
                  <w:r>
                    <w:rPr>
                      <w:rFonts w:hint="eastAsia" w:ascii="Times New Roman" w:hAnsi="Times New Roman" w:cs="Times New Roman"/>
                      <w:b w:val="0"/>
                      <w:color w:val="auto"/>
                      <w:sz w:val="21"/>
                      <w:highlight w:val="none"/>
                      <w:vertAlign w:val="superscript"/>
                      <w:lang w:val="en-US" w:eastAsia="zh-CN"/>
                    </w:rPr>
                    <w:t>3</w:t>
                  </w:r>
                  <w:r>
                    <w:rPr>
                      <w:rFonts w:hint="eastAsia" w:ascii="Times New Roman" w:hAnsi="Times New Roman" w:cs="Times New Roman"/>
                      <w:b w:val="0"/>
                      <w:color w:val="auto"/>
                      <w:sz w:val="21"/>
                      <w:highlight w:val="none"/>
                      <w:lang w:val="en-US" w:eastAsia="zh-CN"/>
                    </w:rPr>
                    <w:t>/d</w:t>
                  </w:r>
                  <w:r>
                    <w:rPr>
                      <w:rFonts w:hint="eastAsia" w:ascii="Times New Roman" w:hAnsi="Times New Roman" w:eastAsia="宋体" w:cs="Times New Roman"/>
                      <w:b w:val="0"/>
                      <w:color w:val="auto"/>
                      <w:sz w:val="21"/>
                      <w:highlight w:val="none"/>
                      <w:lang w:val="en-US" w:eastAsia="zh-CN"/>
                    </w:rPr>
                    <w:t>）</w:t>
                  </w:r>
                  <w:r>
                    <w:rPr>
                      <w:rFonts w:hint="default" w:ascii="Times New Roman" w:hAnsi="Times New Roman" w:eastAsia="宋体" w:cs="Times New Roman"/>
                      <w:b w:val="0"/>
                      <w:color w:val="auto"/>
                      <w:sz w:val="21"/>
                      <w:lang w:val="en-US" w:eastAsia="zh-CN"/>
                    </w:rPr>
                    <w:t>处理后排入市政管网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Times New Roman" w:hAnsi="Times New Roman" w:eastAsia="宋体" w:cs="Times New Roman"/>
                      <w:b w:val="0"/>
                      <w:color w:val="auto"/>
                      <w:sz w:val="21"/>
                      <w:lang w:val="en-US" w:eastAsia="zh-CN"/>
                    </w:rPr>
                  </w:pPr>
                  <w:r>
                    <w:rPr>
                      <w:rFonts w:hint="eastAsia" w:ascii="Times New Roman" w:hAnsi="Times New Roman" w:eastAsia="宋体" w:cs="Times New Roman"/>
                      <w:b w:val="0"/>
                      <w:color w:val="auto"/>
                      <w:sz w:val="21"/>
                      <w:lang w:val="en-US" w:eastAsia="zh-CN"/>
                    </w:rPr>
                    <w:t>噪声</w:t>
                  </w:r>
                </w:p>
              </w:tc>
              <w:tc>
                <w:tcPr>
                  <w:tcW w:w="1430"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设备噪声</w:t>
                  </w:r>
                </w:p>
              </w:tc>
              <w:tc>
                <w:tcPr>
                  <w:tcW w:w="2873"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低噪声设备、隔声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96" w:type="pct"/>
                  <w:vMerge w:val="restar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Times New Roman" w:hAnsi="Times New Roman" w:eastAsia="宋体" w:cs="Times New Roman"/>
                      <w:b w:val="0"/>
                      <w:color w:val="auto"/>
                      <w:sz w:val="21"/>
                      <w:lang w:val="en-US" w:eastAsia="zh-CN"/>
                    </w:rPr>
                  </w:pPr>
                  <w:r>
                    <w:rPr>
                      <w:rFonts w:hint="eastAsia" w:ascii="Times New Roman" w:hAnsi="Times New Roman" w:cs="Times New Roman"/>
                      <w:b w:val="0"/>
                      <w:color w:val="auto"/>
                      <w:sz w:val="21"/>
                      <w:lang w:val="en-US" w:eastAsia="zh-CN"/>
                    </w:rPr>
                    <w:t>固废</w:t>
                  </w:r>
                </w:p>
              </w:tc>
              <w:tc>
                <w:tcPr>
                  <w:tcW w:w="1430"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highlight w:val="none"/>
                      <w:lang w:val="en-US" w:eastAsia="zh-CN"/>
                    </w:rPr>
                  </w:pPr>
                  <w:r>
                    <w:rPr>
                      <w:rFonts w:hint="eastAsia" w:ascii="Times New Roman" w:hAnsi="Times New Roman" w:cs="Times New Roman"/>
                      <w:b w:val="0"/>
                      <w:color w:val="auto"/>
                      <w:sz w:val="21"/>
                      <w:highlight w:val="none"/>
                      <w:lang w:val="en-US" w:eastAsia="zh-CN"/>
                    </w:rPr>
                    <w:t>生活垃圾</w:t>
                  </w:r>
                </w:p>
              </w:tc>
              <w:tc>
                <w:tcPr>
                  <w:tcW w:w="2873"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color w:val="auto"/>
                      <w:sz w:val="21"/>
                      <w:lang w:val="en-US" w:eastAsia="zh-CN"/>
                    </w:rPr>
                  </w:pPr>
                  <w:r>
                    <w:rPr>
                      <w:rFonts w:hint="eastAsia" w:ascii="Times New Roman" w:hAnsi="Times New Roman" w:eastAsia="宋体" w:cs="Times New Roman"/>
                      <w:b w:val="0"/>
                      <w:color w:val="auto"/>
                      <w:sz w:val="21"/>
                      <w:lang w:val="en-US" w:eastAsia="zh-CN"/>
                    </w:rPr>
                    <w:t>设垃圾收集桶，定期收集后交环卫部门处理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rPr>
                  </w:pPr>
                </w:p>
              </w:tc>
              <w:tc>
                <w:tcPr>
                  <w:tcW w:w="1430"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医疗废物</w:t>
                  </w:r>
                </w:p>
              </w:tc>
              <w:tc>
                <w:tcPr>
                  <w:tcW w:w="2873"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已建一座医废暂存间，占地面积约11.5m</w:t>
                  </w:r>
                  <w:r>
                    <w:rPr>
                      <w:rFonts w:hint="eastAsia" w:ascii="Times New Roman" w:hAnsi="Times New Roman" w:cs="Times New Roman"/>
                      <w:b w:val="0"/>
                      <w:bCs/>
                      <w:color w:val="auto"/>
                      <w:kern w:val="2"/>
                      <w:sz w:val="21"/>
                      <w:szCs w:val="21"/>
                      <w:vertAlign w:val="superscript"/>
                      <w:lang w:val="en-US" w:eastAsia="zh-CN" w:bidi="ar-SA"/>
                    </w:rPr>
                    <w:t>2</w:t>
                  </w:r>
                  <w:r>
                    <w:rPr>
                      <w:rFonts w:hint="eastAsia" w:ascii="Times New Roman" w:hAnsi="Times New Roman" w:cs="Times New Roman"/>
                      <w:b w:val="0"/>
                      <w:bCs/>
                      <w:color w:val="auto"/>
                      <w:kern w:val="2"/>
                      <w:sz w:val="21"/>
                      <w:szCs w:val="21"/>
                      <w:vertAlign w:val="baseline"/>
                      <w:lang w:val="en-US" w:eastAsia="zh-CN" w:bidi="ar-SA"/>
                    </w:rPr>
                    <w:t>。医疗废物暂存后交由</w:t>
                  </w:r>
                  <w:r>
                    <w:rPr>
                      <w:rFonts w:hint="eastAsia" w:ascii="Times New Roman" w:hAnsi="Times New Roman" w:cs="Times New Roman"/>
                      <w:b w:val="0"/>
                      <w:bCs/>
                      <w:color w:val="auto"/>
                      <w:kern w:val="2"/>
                      <w:sz w:val="21"/>
                      <w:szCs w:val="21"/>
                      <w:highlight w:val="none"/>
                      <w:vertAlign w:val="baseline"/>
                      <w:lang w:val="en-US" w:eastAsia="zh-CN" w:bidi="ar-SA"/>
                    </w:rPr>
                    <w:t>安康市医疗废物处理中心</w:t>
                  </w:r>
                  <w:r>
                    <w:rPr>
                      <w:rFonts w:hint="eastAsia" w:ascii="Times New Roman" w:hAnsi="Times New Roman" w:cs="Times New Roman"/>
                      <w:b w:val="0"/>
                      <w:bCs/>
                      <w:color w:val="auto"/>
                      <w:kern w:val="2"/>
                      <w:sz w:val="21"/>
                      <w:szCs w:val="21"/>
                      <w:vertAlign w:val="baseline"/>
                      <w:lang w:val="en-US" w:eastAsia="zh-CN" w:bidi="ar-SA"/>
                    </w:rPr>
                    <w:t>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rPr>
                  </w:pPr>
                </w:p>
              </w:tc>
              <w:tc>
                <w:tcPr>
                  <w:tcW w:w="1430"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未被污染的废输液袋（瓶）</w:t>
                  </w:r>
                </w:p>
              </w:tc>
              <w:tc>
                <w:tcPr>
                  <w:tcW w:w="2873"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集中收集后交由</w:t>
                  </w:r>
                  <w:r>
                    <w:rPr>
                      <w:rFonts w:hint="eastAsia" w:ascii="Times New Roman" w:hAnsi="Times New Roman" w:cs="Times New Roman"/>
                      <w:b w:val="0"/>
                      <w:bCs/>
                      <w:color w:val="auto"/>
                      <w:kern w:val="2"/>
                      <w:sz w:val="21"/>
                      <w:szCs w:val="21"/>
                      <w:highlight w:val="none"/>
                      <w:vertAlign w:val="baseline"/>
                      <w:lang w:val="en-US" w:eastAsia="zh-CN" w:bidi="ar-SA"/>
                    </w:rPr>
                    <w:t>安康市医疗废物处理中心</w:t>
                  </w:r>
                  <w:r>
                    <w:rPr>
                      <w:rFonts w:hint="eastAsia" w:ascii="Times New Roman" w:hAnsi="Times New Roman" w:cs="Times New Roman"/>
                      <w:b w:val="0"/>
                      <w:bCs/>
                      <w:color w:val="auto"/>
                      <w:kern w:val="2"/>
                      <w:sz w:val="21"/>
                      <w:szCs w:val="21"/>
                      <w:lang w:val="en-US" w:eastAsia="zh-CN" w:bidi="ar-SA"/>
                    </w:rPr>
                    <w:t>进行处置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vMerge w:val="continue"/>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b w:val="0"/>
                      <w:color w:val="auto"/>
                      <w:sz w:val="21"/>
                    </w:rPr>
                  </w:pPr>
                </w:p>
              </w:tc>
              <w:tc>
                <w:tcPr>
                  <w:tcW w:w="1430"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污水处理站污泥</w:t>
                  </w:r>
                </w:p>
              </w:tc>
              <w:tc>
                <w:tcPr>
                  <w:tcW w:w="2873" w:type="pct"/>
                  <w:tcBorders>
                    <w:tl2br w:val="nil"/>
                    <w:tr2bl w:val="nil"/>
                  </w:tcBorders>
                  <w:noWrap w:val="0"/>
                  <w:vAlign w:val="center"/>
                </w:tcPr>
                <w:p>
                  <w:pPr>
                    <w:pStyle w:val="77"/>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污泥暂存于污泥池，后委托</w:t>
                  </w:r>
                  <w:r>
                    <w:rPr>
                      <w:rFonts w:hint="eastAsia" w:ascii="Times New Roman" w:hAnsi="Times New Roman" w:cs="Times New Roman"/>
                      <w:b w:val="0"/>
                      <w:bCs/>
                      <w:color w:val="auto"/>
                      <w:kern w:val="2"/>
                      <w:sz w:val="21"/>
                      <w:szCs w:val="21"/>
                      <w:highlight w:val="none"/>
                      <w:lang w:val="en-US" w:eastAsia="zh-CN" w:bidi="ar-SA"/>
                    </w:rPr>
                    <w:t>有资质单位</w:t>
                  </w:r>
                  <w:r>
                    <w:rPr>
                      <w:rFonts w:hint="eastAsia" w:ascii="Times New Roman" w:hAnsi="Times New Roman" w:cs="Times New Roman"/>
                      <w:b w:val="0"/>
                      <w:bCs/>
                      <w:color w:val="auto"/>
                      <w:kern w:val="2"/>
                      <w:sz w:val="21"/>
                      <w:szCs w:val="21"/>
                      <w:lang w:val="en-US" w:eastAsia="zh-CN" w:bidi="ar-SA"/>
                    </w:rPr>
                    <w:t>定期处理</w:t>
                  </w:r>
                </w:p>
              </w:tc>
            </w:tr>
          </w:tbl>
          <w:p>
            <w:pPr>
              <w:pStyle w:val="52"/>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存在问题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kern w:val="2"/>
                <w:sz w:val="24"/>
                <w:szCs w:val="24"/>
                <w:lang w:val="en-US" w:eastAsia="zh-CN" w:bidi="ar-SA"/>
              </w:rPr>
            </w:pPr>
            <w:r>
              <w:rPr>
                <w:rFonts w:hint="default" w:ascii="Times New Roman" w:hAnsi="Times New Roman" w:eastAsia="宋体" w:cs="Times New Roman"/>
                <w:b w:val="0"/>
                <w:bCs/>
                <w:snapToGrid w:val="0"/>
                <w:color w:val="auto"/>
                <w:kern w:val="2"/>
                <w:sz w:val="24"/>
                <w:szCs w:val="24"/>
                <w:lang w:val="en-US" w:eastAsia="zh-CN" w:bidi="ar-SA"/>
              </w:rPr>
              <w:t>根据现场踏勘，本项目针对所存在的环境问题基本都采取了相应的环保措施，但是项目依然存在以下问题：</w:t>
            </w:r>
          </w:p>
          <w:p>
            <w:pPr>
              <w:pStyle w:val="52"/>
              <w:keepNext w:val="0"/>
              <w:keepLines w:val="0"/>
              <w:pageBreakBefore w:val="0"/>
              <w:widowControl/>
              <w:numPr>
                <w:ilvl w:val="0"/>
                <w:numId w:val="10"/>
              </w:numPr>
              <w:kinsoku/>
              <w:wordWrap/>
              <w:overflowPunct/>
              <w:topLinePunct w:val="0"/>
              <w:autoSpaceDE/>
              <w:autoSpaceDN/>
              <w:bidi w:val="0"/>
              <w:adjustRightInd w:val="0"/>
              <w:snapToGrid w:val="0"/>
              <w:spacing w:line="360" w:lineRule="auto"/>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尚未和有资质的污泥处置单位签订污泥处置协议；</w:t>
            </w:r>
          </w:p>
          <w:p>
            <w:pPr>
              <w:pStyle w:val="52"/>
              <w:keepNext w:val="0"/>
              <w:keepLines w:val="0"/>
              <w:pageBreakBefore w:val="0"/>
              <w:widowControl/>
              <w:numPr>
                <w:ilvl w:val="0"/>
                <w:numId w:val="10"/>
              </w:numPr>
              <w:kinsoku/>
              <w:wordWrap/>
              <w:overflowPunct/>
              <w:topLinePunct w:val="0"/>
              <w:autoSpaceDE/>
              <w:autoSpaceDN/>
              <w:bidi w:val="0"/>
              <w:adjustRightInd w:val="0"/>
              <w:snapToGrid w:val="0"/>
              <w:spacing w:line="360" w:lineRule="auto"/>
              <w:jc w:val="both"/>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医院现状污水处理站仅处理部分医疗废水，生活污水等排入园区公用化粪池。根据《医院污水处理工程技术规范》（HJ2029-2013）中的要求，新（改、扩）建医院，在设计医院污水处理系统时应考虑将医院病区、非病区、传染病房、非传染病房污水分别收集。特殊性质污水应单独收集，经预处理后与医院污水合并处理，不得将特殊性质污水随意排入下水道。故本环评要求新建一座化粪池以及一体化处理设备一套，生活污水与医疗废水一并经化粪池处理后排入污水处理站处理。</w:t>
            </w:r>
          </w:p>
          <w:p>
            <w:pPr>
              <w:pStyle w:val="52"/>
              <w:keepNext w:val="0"/>
              <w:keepLines w:val="0"/>
              <w:pageBreakBefore w:val="0"/>
              <w:widowControl/>
              <w:numPr>
                <w:ilvl w:val="0"/>
                <w:numId w:val="10"/>
              </w:numPr>
              <w:kinsoku/>
              <w:wordWrap/>
              <w:overflowPunct/>
              <w:topLinePunct w:val="0"/>
              <w:autoSpaceDE/>
              <w:autoSpaceDN/>
              <w:bidi w:val="0"/>
              <w:adjustRightInd w:val="0"/>
              <w:snapToGrid w:val="0"/>
              <w:spacing w:line="360" w:lineRule="auto"/>
              <w:jc w:val="both"/>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经计算，生活污水和医疗废水总量约为24.724m</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/d。原有污水处理站规模为</w:t>
            </w:r>
            <w:r>
              <w:rPr>
                <w:rFonts w:hint="eastAsia" w:ascii="Times New Roman" w:hAnsi="Times New Roman" w:cs="Times New Roman"/>
                <w:color w:val="auto"/>
                <w:sz w:val="24"/>
                <w:szCs w:val="24"/>
                <w:highlight w:val="none"/>
                <w:lang w:val="en-US" w:eastAsia="zh-CN"/>
              </w:rPr>
              <w:t>15m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/a，</w:t>
            </w:r>
            <w:r>
              <w:rPr>
                <w:rFonts w:hint="eastAsia" w:ascii="Times New Roman" w:hAnsi="Times New Roman" w:cs="Times New Roman"/>
                <w:color w:val="auto"/>
                <w:sz w:val="24"/>
                <w:szCs w:val="24"/>
                <w:lang w:val="en-US" w:eastAsia="zh-CN"/>
              </w:rPr>
              <w:t>不能满足废水量处理需求，本环评要求对原有污水处理站进行改扩建，规模建设为30m</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/d，工艺为“一级强化处理+消毒（二氧化氯）”</w:t>
            </w:r>
          </w:p>
        </w:tc>
      </w:tr>
    </w:tbl>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snapToGrid w:val="0"/>
          <w:color w:val="auto"/>
          <w:sz w:val="30"/>
          <w:szCs w:val="30"/>
        </w:rPr>
      </w:pPr>
      <w:r>
        <w:rPr>
          <w:rFonts w:ascii="Times New Roman" w:hAnsi="Times New Roman"/>
          <w:snapToGrid w:val="0"/>
          <w:color w:val="auto"/>
          <w:sz w:val="30"/>
          <w:szCs w:val="30"/>
        </w:rPr>
        <w:br w:type="page"/>
      </w:r>
      <w:r>
        <w:rPr>
          <w:rFonts w:hint="eastAsia" w:ascii="Times New Roman" w:hAnsi="Times New Roman"/>
          <w:snapToGrid w:val="0"/>
          <w:color w:val="auto"/>
          <w:sz w:val="30"/>
          <w:szCs w:val="30"/>
        </w:rPr>
        <w:t>三、区域环境质量现状、环境保护目标及评价标准</w:t>
      </w:r>
    </w:p>
    <w:tbl>
      <w:tblPr>
        <w:tblStyle w:val="2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94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34" w:type="pct"/>
            <w:tcBorders>
              <w:tl2br w:val="nil"/>
              <w:tr2bl w:val="nil"/>
            </w:tcBorders>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区域</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质量</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szCs w:val="24"/>
              </w:rPr>
              <w:t>现状</w:t>
            </w:r>
          </w:p>
        </w:tc>
        <w:tc>
          <w:tcPr>
            <w:tcW w:w="4765" w:type="pct"/>
            <w:tcBorders>
              <w:tl2br w:val="nil"/>
              <w:tr2bl w:val="nil"/>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482" w:firstLineChars="200"/>
              <w:textAlignment w:val="auto"/>
              <w:rPr>
                <w:rFonts w:hint="default" w:ascii="Times New Roman" w:hAnsi="Times New Roman" w:eastAsia="宋体" w:cs="Times New Roman"/>
                <w:color w:val="auto"/>
                <w:szCs w:val="28"/>
                <w:lang w:val="en-US" w:eastAsia="zh-CN"/>
              </w:rPr>
            </w:pPr>
            <w:r>
              <w:rPr>
                <w:rFonts w:hint="default" w:ascii="Times New Roman" w:hAnsi="Times New Roman" w:eastAsia="宋体" w:cs="Times New Roman"/>
                <w:color w:val="auto"/>
                <w:szCs w:val="28"/>
                <w:lang w:val="en-US" w:eastAsia="zh-CN"/>
              </w:rPr>
              <w:t>1、环境</w:t>
            </w:r>
            <w:r>
              <w:rPr>
                <w:rFonts w:hint="eastAsia" w:ascii="Times New Roman" w:hAnsi="Times New Roman" w:eastAsia="宋体" w:cs="Times New Roman"/>
                <w:color w:val="auto"/>
                <w:szCs w:val="28"/>
                <w:lang w:val="en-US" w:eastAsia="zh-CN"/>
              </w:rPr>
              <w:t>空气</w:t>
            </w:r>
            <w:r>
              <w:rPr>
                <w:rFonts w:hint="default" w:ascii="Times New Roman" w:hAnsi="Times New Roman" w:eastAsia="宋体" w:cs="Times New Roman"/>
                <w:color w:val="auto"/>
                <w:szCs w:val="28"/>
                <w:lang w:val="en-US" w:eastAsia="zh-CN"/>
              </w:rPr>
              <w:t>质量现状</w:t>
            </w:r>
          </w:p>
          <w:p>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宋体" w:cs="Times New Roman"/>
                <w:b/>
                <w:bCs/>
                <w:color w:val="auto"/>
                <w:sz w:val="24"/>
                <w:szCs w:val="22"/>
                <w:lang w:val="en-US" w:eastAsia="zh-CN"/>
              </w:rPr>
            </w:pPr>
            <w:r>
              <w:rPr>
                <w:rFonts w:hint="default" w:ascii="Times New Roman" w:hAnsi="Times New Roman" w:eastAsia="宋体" w:cs="Times New Roman"/>
                <w:b/>
                <w:bCs/>
                <w:color w:val="auto"/>
                <w:sz w:val="24"/>
                <w:szCs w:val="22"/>
                <w:lang w:val="en-US" w:eastAsia="zh-CN"/>
              </w:rPr>
              <w:t xml:space="preserve">1.1 </w:t>
            </w:r>
            <w:r>
              <w:rPr>
                <w:rFonts w:hint="eastAsia" w:ascii="Times New Roman" w:hAnsi="Times New Roman" w:eastAsia="宋体" w:cs="Times New Roman"/>
                <w:b/>
                <w:bCs/>
                <w:color w:val="auto"/>
                <w:sz w:val="24"/>
                <w:szCs w:val="22"/>
                <w:lang w:val="en-US" w:eastAsia="zh-CN"/>
              </w:rPr>
              <w:t>区域环境治理状况</w:t>
            </w:r>
          </w:p>
          <w:p>
            <w:pPr>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项目位于</w:t>
            </w:r>
            <w:r>
              <w:rPr>
                <w:rFonts w:hint="eastAsia" w:ascii="Times New Roman" w:hAnsi="Times New Roman" w:eastAsia="宋体" w:cs="Times New Roman"/>
                <w:color w:val="auto"/>
                <w:kern w:val="0"/>
                <w:sz w:val="24"/>
                <w:szCs w:val="24"/>
                <w:highlight w:val="none"/>
                <w:lang w:val="en-US" w:eastAsia="zh-CN"/>
              </w:rPr>
              <w:t>陕西省</w:t>
            </w:r>
            <w:r>
              <w:rPr>
                <w:rFonts w:hint="eastAsia" w:ascii="Times New Roman" w:hAnsi="Times New Roman" w:cs="Times New Roman"/>
                <w:color w:val="auto"/>
                <w:kern w:val="0"/>
                <w:sz w:val="24"/>
                <w:szCs w:val="24"/>
                <w:highlight w:val="none"/>
                <w:lang w:val="en-US" w:eastAsia="zh-CN"/>
              </w:rPr>
              <w:t>安康市汉滨区</w:t>
            </w:r>
            <w:r>
              <w:rPr>
                <w:rFonts w:hint="default" w:ascii="Times New Roman" w:hAnsi="Times New Roman" w:eastAsia="宋体" w:cs="Times New Roman"/>
                <w:color w:val="auto"/>
                <w:kern w:val="0"/>
                <w:sz w:val="24"/>
                <w:szCs w:val="24"/>
                <w:highlight w:val="none"/>
                <w:lang w:val="en-US" w:eastAsia="zh-CN"/>
              </w:rPr>
              <w:t>，根据环境功能区进行划分，项目所在地为二类功能区，环境空气执行《环境空气质量标准》（GB3095-2012）（含2018第1号修改单）二级标准。根据陕西省生态环境厅办公室202</w:t>
            </w:r>
            <w:r>
              <w:rPr>
                <w:rFonts w:hint="eastAsia" w:ascii="Times New Roman" w:hAnsi="Times New Roman"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年1月1</w:t>
            </w:r>
            <w:r>
              <w:rPr>
                <w:rFonts w:hint="eastAsia" w:ascii="Times New Roman" w:hAnsi="Times New Roman"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lang w:val="en-US" w:eastAsia="zh-CN"/>
              </w:rPr>
              <w:t>日发布的《202</w:t>
            </w:r>
            <w:r>
              <w:rPr>
                <w:rFonts w:hint="eastAsia" w:ascii="Times New Roman" w:hAnsi="Times New Roman"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年12月及1~12月全省环境空气质量状况》，</w:t>
            </w:r>
            <w:r>
              <w:rPr>
                <w:rFonts w:hint="eastAsia" w:ascii="Times New Roman" w:hAnsi="Times New Roman" w:cs="Times New Roman"/>
                <w:color w:val="auto"/>
                <w:kern w:val="0"/>
                <w:sz w:val="24"/>
                <w:szCs w:val="24"/>
                <w:highlight w:val="none"/>
                <w:lang w:val="en-US" w:eastAsia="zh-CN"/>
              </w:rPr>
              <w:t>汉滨区</w:t>
            </w:r>
            <w:r>
              <w:rPr>
                <w:rFonts w:hint="default" w:ascii="Times New Roman" w:hAnsi="Times New Roman" w:eastAsia="宋体" w:cs="Times New Roman"/>
                <w:color w:val="auto"/>
                <w:kern w:val="0"/>
                <w:sz w:val="24"/>
                <w:szCs w:val="24"/>
                <w:highlight w:val="none"/>
                <w:lang w:val="en-US" w:eastAsia="zh-CN"/>
              </w:rPr>
              <w:t>区域环境质量现状评价见表3-1。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rPr>
              <w:t>表3-1</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lang w:eastAsia="zh-CN"/>
              </w:rPr>
              <w:t>区域环境</w:t>
            </w:r>
            <w:r>
              <w:rPr>
                <w:rFonts w:hint="default" w:ascii="Times New Roman" w:hAnsi="Times New Roman" w:eastAsia="宋体" w:cs="Times New Roman"/>
                <w:b/>
                <w:color w:val="auto"/>
                <w:sz w:val="24"/>
                <w:szCs w:val="24"/>
              </w:rPr>
              <w:t>空气质量现状统计表</w:t>
            </w:r>
            <w:r>
              <w:rPr>
                <w:rFonts w:hint="default" w:ascii="Times New Roman" w:hAnsi="Times New Roman" w:eastAsia="宋体" w:cs="Times New Roman"/>
                <w:b/>
                <w:color w:val="auto"/>
                <w:sz w:val="24"/>
                <w:szCs w:val="24"/>
                <w:lang w:eastAsia="zh-CN"/>
              </w:rPr>
              <w:t>（</w:t>
            </w:r>
            <w:r>
              <w:rPr>
                <w:rFonts w:hint="default" w:ascii="Times New Roman" w:hAnsi="Times New Roman" w:eastAsia="宋体" w:cs="Times New Roman"/>
                <w:b/>
                <w:color w:val="auto"/>
                <w:sz w:val="24"/>
                <w:szCs w:val="24"/>
                <w:lang w:val="en-US" w:eastAsia="zh-CN"/>
              </w:rPr>
              <w:t>202</w:t>
            </w:r>
            <w:r>
              <w:rPr>
                <w:rFonts w:hint="eastAsia" w:ascii="Times New Roman" w:hAnsi="Times New Roman" w:eastAsia="宋体" w:cs="Times New Roman"/>
                <w:b/>
                <w:color w:val="auto"/>
                <w:sz w:val="24"/>
                <w:szCs w:val="24"/>
                <w:lang w:val="en-US" w:eastAsia="zh-CN"/>
              </w:rPr>
              <w:t>1</w:t>
            </w:r>
            <w:r>
              <w:rPr>
                <w:rFonts w:hint="default" w:ascii="Times New Roman" w:hAnsi="Times New Roman" w:eastAsia="宋体" w:cs="Times New Roman"/>
                <w:b/>
                <w:color w:val="auto"/>
                <w:sz w:val="24"/>
                <w:szCs w:val="24"/>
                <w:lang w:val="en-US" w:eastAsia="zh-CN"/>
              </w:rPr>
              <w:t>年</w:t>
            </w:r>
            <w:r>
              <w:rPr>
                <w:rFonts w:hint="default" w:ascii="Times New Roman" w:hAnsi="Times New Roman" w:eastAsia="宋体" w:cs="Times New Roman"/>
                <w:b/>
                <w:color w:val="auto"/>
                <w:sz w:val="24"/>
                <w:szCs w:val="24"/>
                <w:lang w:eastAsia="zh-CN"/>
              </w:rPr>
              <w:t>）</w:t>
            </w:r>
            <w:r>
              <w:rPr>
                <w:rFonts w:hint="default" w:ascii="Times New Roman" w:hAnsi="Times New Roman" w:eastAsia="宋体" w:cs="Times New Roman"/>
                <w:b/>
                <w:color w:val="auto"/>
                <w:sz w:val="24"/>
                <w:szCs w:val="24"/>
                <w:lang w:val="en-US" w:eastAsia="zh-CN"/>
              </w:rPr>
              <w:t xml:space="preserve"> 单位</w:t>
            </w:r>
            <w:r>
              <w:rPr>
                <w:rFonts w:hint="default" w:ascii="Times New Roman" w:hAnsi="Times New Roman" w:eastAsia="宋体" w:cs="Times New Roman"/>
                <w:b/>
                <w:color w:val="auto"/>
                <w:sz w:val="24"/>
                <w:szCs w:val="24"/>
                <w:highlight w:val="none"/>
                <w:lang w:val="en-US" w:eastAsia="zh-CN"/>
              </w:rPr>
              <w:t>：</w:t>
            </w:r>
            <w:r>
              <w:rPr>
                <w:rFonts w:hint="default" w:ascii="Times New Roman" w:hAnsi="Times New Roman" w:eastAsia="宋体" w:cs="Times New Roman"/>
                <w:b/>
                <w:bCs w:val="0"/>
                <w:color w:val="auto"/>
                <w:kern w:val="0"/>
                <w:sz w:val="24"/>
                <w:szCs w:val="24"/>
                <w:highlight w:val="none"/>
                <w:lang w:bidi="ar"/>
              </w:rPr>
              <w:t>μg/m</w:t>
            </w:r>
            <w:r>
              <w:rPr>
                <w:rFonts w:hint="default" w:ascii="Times New Roman" w:hAnsi="Times New Roman" w:eastAsia="宋体" w:cs="Times New Roman"/>
                <w:b/>
                <w:bCs w:val="0"/>
                <w:color w:val="auto"/>
                <w:kern w:val="0"/>
                <w:sz w:val="24"/>
                <w:szCs w:val="24"/>
                <w:highlight w:val="none"/>
                <w:vertAlign w:val="superscript"/>
                <w:lang w:bidi="ar"/>
              </w:rPr>
              <w:t>3</w:t>
            </w:r>
          </w:p>
          <w:tbl>
            <w:tblPr>
              <w:tblStyle w:val="27"/>
              <w:tblW w:w="496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40"/>
              <w:gridCol w:w="3491"/>
              <w:gridCol w:w="1142"/>
              <w:gridCol w:w="911"/>
              <w:gridCol w:w="1476"/>
              <w:gridCol w:w="11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val="0"/>
                      <w:color w:val="auto"/>
                      <w:kern w:val="0"/>
                      <w:sz w:val="21"/>
                      <w:szCs w:val="21"/>
                      <w:highlight w:val="none"/>
                      <w:lang w:bidi="ar"/>
                    </w:rPr>
                  </w:pPr>
                  <w:r>
                    <w:rPr>
                      <w:rFonts w:hint="default" w:ascii="Times New Roman" w:hAnsi="Times New Roman" w:eastAsia="宋体" w:cs="Times New Roman"/>
                      <w:b/>
                      <w:bCs w:val="0"/>
                      <w:color w:val="auto"/>
                      <w:kern w:val="0"/>
                      <w:sz w:val="21"/>
                      <w:szCs w:val="21"/>
                      <w:highlight w:val="none"/>
                      <w:lang w:bidi="ar"/>
                    </w:rPr>
                    <w:t>污染物</w:t>
                  </w:r>
                </w:p>
              </w:tc>
              <w:tc>
                <w:tcPr>
                  <w:tcW w:w="18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val="0"/>
                      <w:color w:val="auto"/>
                      <w:kern w:val="0"/>
                      <w:sz w:val="21"/>
                      <w:szCs w:val="21"/>
                      <w:highlight w:val="none"/>
                      <w:lang w:bidi="ar"/>
                    </w:rPr>
                  </w:pPr>
                  <w:r>
                    <w:rPr>
                      <w:rFonts w:hint="default" w:ascii="Times New Roman" w:hAnsi="Times New Roman" w:eastAsia="宋体" w:cs="Times New Roman"/>
                      <w:b/>
                      <w:bCs w:val="0"/>
                      <w:color w:val="auto"/>
                      <w:kern w:val="0"/>
                      <w:sz w:val="21"/>
                      <w:szCs w:val="21"/>
                      <w:highlight w:val="none"/>
                      <w:lang w:bidi="ar"/>
                    </w:rPr>
                    <w:t>年评价指标</w:t>
                  </w:r>
                </w:p>
              </w:tc>
              <w:tc>
                <w:tcPr>
                  <w:tcW w:w="6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val="0"/>
                      <w:color w:val="auto"/>
                      <w:kern w:val="0"/>
                      <w:sz w:val="21"/>
                      <w:szCs w:val="21"/>
                      <w:highlight w:val="none"/>
                      <w:lang w:bidi="ar"/>
                    </w:rPr>
                  </w:pPr>
                  <w:r>
                    <w:rPr>
                      <w:rFonts w:hint="default" w:ascii="Times New Roman" w:hAnsi="Times New Roman" w:eastAsia="宋体" w:cs="Times New Roman"/>
                      <w:b/>
                      <w:bCs w:val="0"/>
                      <w:color w:val="auto"/>
                      <w:kern w:val="0"/>
                      <w:sz w:val="21"/>
                      <w:szCs w:val="21"/>
                      <w:highlight w:val="none"/>
                      <w:lang w:bidi="ar"/>
                    </w:rPr>
                    <w:t>现状浓度</w:t>
                  </w:r>
                </w:p>
              </w:tc>
              <w:tc>
                <w:tcPr>
                  <w:tcW w:w="4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val="0"/>
                      <w:color w:val="auto"/>
                      <w:kern w:val="0"/>
                      <w:sz w:val="21"/>
                      <w:szCs w:val="21"/>
                      <w:highlight w:val="none"/>
                      <w:lang w:bidi="ar"/>
                    </w:rPr>
                  </w:pPr>
                  <w:r>
                    <w:rPr>
                      <w:rFonts w:hint="default" w:ascii="Times New Roman" w:hAnsi="Times New Roman" w:eastAsia="宋体" w:cs="Times New Roman"/>
                      <w:b/>
                      <w:bCs w:val="0"/>
                      <w:color w:val="auto"/>
                      <w:kern w:val="0"/>
                      <w:sz w:val="21"/>
                      <w:szCs w:val="21"/>
                      <w:highlight w:val="none"/>
                      <w:lang w:bidi="ar"/>
                    </w:rPr>
                    <w:t>标准值</w:t>
                  </w:r>
                </w:p>
              </w:tc>
              <w:tc>
                <w:tcPr>
                  <w:tcW w:w="8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val="0"/>
                      <w:color w:val="auto"/>
                      <w:kern w:val="0"/>
                      <w:sz w:val="21"/>
                      <w:szCs w:val="21"/>
                      <w:highlight w:val="none"/>
                      <w:lang w:bidi="ar"/>
                    </w:rPr>
                  </w:pPr>
                  <w:r>
                    <w:rPr>
                      <w:rFonts w:hint="default" w:ascii="Times New Roman" w:hAnsi="Times New Roman" w:eastAsia="宋体" w:cs="Times New Roman"/>
                      <w:b/>
                      <w:bCs w:val="0"/>
                      <w:color w:val="auto"/>
                      <w:kern w:val="0"/>
                      <w:sz w:val="21"/>
                      <w:szCs w:val="21"/>
                      <w:highlight w:val="none"/>
                      <w:lang w:bidi="ar"/>
                    </w:rPr>
                    <w:t>占标率%</w:t>
                  </w:r>
                </w:p>
              </w:tc>
              <w:tc>
                <w:tcPr>
                  <w:tcW w:w="62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val="0"/>
                      <w:color w:val="auto"/>
                      <w:kern w:val="0"/>
                      <w:sz w:val="21"/>
                      <w:szCs w:val="21"/>
                      <w:highlight w:val="none"/>
                      <w:lang w:bidi="ar"/>
                    </w:rPr>
                  </w:pPr>
                  <w:r>
                    <w:rPr>
                      <w:rFonts w:hint="default" w:ascii="Times New Roman" w:hAnsi="Times New Roman" w:eastAsia="宋体" w:cs="Times New Roman"/>
                      <w:b/>
                      <w:bCs w:val="0"/>
                      <w:color w:val="auto"/>
                      <w:kern w:val="0"/>
                      <w:sz w:val="21"/>
                      <w:szCs w:val="21"/>
                      <w:highlight w:val="none"/>
                      <w:lang w:bidi="ar"/>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SO</w:t>
                  </w:r>
                  <w:r>
                    <w:rPr>
                      <w:rFonts w:hint="default" w:ascii="Times New Roman" w:hAnsi="Times New Roman" w:eastAsia="宋体" w:cs="Times New Roman"/>
                      <w:bCs/>
                      <w:color w:val="auto"/>
                      <w:kern w:val="0"/>
                      <w:sz w:val="21"/>
                      <w:szCs w:val="21"/>
                      <w:highlight w:val="none"/>
                      <w:vertAlign w:val="subscript"/>
                      <w:lang w:bidi="ar"/>
                    </w:rPr>
                    <w:t>2</w:t>
                  </w:r>
                </w:p>
              </w:tc>
              <w:tc>
                <w:tcPr>
                  <w:tcW w:w="18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年平均质量浓度</w:t>
                  </w:r>
                </w:p>
              </w:tc>
              <w:tc>
                <w:tcPr>
                  <w:tcW w:w="6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eastAsia" w:ascii="Times New Roman" w:hAnsi="Times New Roman" w:cs="Times New Roman"/>
                      <w:bCs/>
                      <w:color w:val="auto"/>
                      <w:kern w:val="0"/>
                      <w:sz w:val="21"/>
                      <w:szCs w:val="21"/>
                      <w:highlight w:val="none"/>
                      <w:lang w:val="en-US" w:eastAsia="zh-CN" w:bidi="ar"/>
                    </w:rPr>
                    <w:t>8</w:t>
                  </w:r>
                </w:p>
              </w:tc>
              <w:tc>
                <w:tcPr>
                  <w:tcW w:w="4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60</w:t>
                  </w:r>
                </w:p>
              </w:tc>
              <w:tc>
                <w:tcPr>
                  <w:tcW w:w="14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eastAsia" w:ascii="Times New Roman" w:hAnsi="Times New Roman" w:eastAsia="宋体" w:cs="Times New Roman"/>
                      <w:bCs/>
                      <w:color w:val="auto"/>
                      <w:kern w:val="0"/>
                      <w:sz w:val="21"/>
                      <w:szCs w:val="21"/>
                      <w:highlight w:val="none"/>
                      <w:lang w:val="en-US" w:eastAsia="zh-CN" w:bidi="ar"/>
                    </w:rPr>
                    <w:t xml:space="preserve">13.33 </w:t>
                  </w:r>
                </w:p>
              </w:tc>
              <w:tc>
                <w:tcPr>
                  <w:tcW w:w="62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NO</w:t>
                  </w:r>
                  <w:r>
                    <w:rPr>
                      <w:rFonts w:hint="default" w:ascii="Times New Roman" w:hAnsi="Times New Roman" w:eastAsia="宋体" w:cs="Times New Roman"/>
                      <w:bCs/>
                      <w:color w:val="auto"/>
                      <w:kern w:val="0"/>
                      <w:sz w:val="21"/>
                      <w:szCs w:val="21"/>
                      <w:highlight w:val="none"/>
                      <w:vertAlign w:val="subscript"/>
                      <w:lang w:bidi="ar"/>
                    </w:rPr>
                    <w:t>2</w:t>
                  </w:r>
                </w:p>
              </w:tc>
              <w:tc>
                <w:tcPr>
                  <w:tcW w:w="18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年平均质量浓度</w:t>
                  </w:r>
                </w:p>
              </w:tc>
              <w:tc>
                <w:tcPr>
                  <w:tcW w:w="6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eastAsia" w:ascii="Times New Roman" w:hAnsi="Times New Roman" w:cs="Times New Roman"/>
                      <w:bCs/>
                      <w:color w:val="auto"/>
                      <w:kern w:val="0"/>
                      <w:sz w:val="21"/>
                      <w:szCs w:val="21"/>
                      <w:highlight w:val="none"/>
                      <w:lang w:val="en-US" w:eastAsia="zh-CN" w:bidi="ar"/>
                    </w:rPr>
                    <w:t>15</w:t>
                  </w:r>
                </w:p>
              </w:tc>
              <w:tc>
                <w:tcPr>
                  <w:tcW w:w="4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40</w:t>
                  </w:r>
                </w:p>
              </w:tc>
              <w:tc>
                <w:tcPr>
                  <w:tcW w:w="14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eastAsia" w:ascii="Times New Roman" w:hAnsi="Times New Roman" w:eastAsia="宋体" w:cs="Times New Roman"/>
                      <w:bCs/>
                      <w:color w:val="auto"/>
                      <w:kern w:val="0"/>
                      <w:sz w:val="21"/>
                      <w:szCs w:val="21"/>
                      <w:highlight w:val="none"/>
                      <w:lang w:val="en-US" w:eastAsia="zh-CN" w:bidi="ar"/>
                    </w:rPr>
                    <w:t xml:space="preserve">37.50 </w:t>
                  </w:r>
                </w:p>
              </w:tc>
              <w:tc>
                <w:tcPr>
                  <w:tcW w:w="62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PM</w:t>
                  </w:r>
                  <w:r>
                    <w:rPr>
                      <w:rFonts w:hint="default" w:ascii="Times New Roman" w:hAnsi="Times New Roman" w:eastAsia="宋体" w:cs="Times New Roman"/>
                      <w:bCs/>
                      <w:color w:val="auto"/>
                      <w:kern w:val="0"/>
                      <w:sz w:val="21"/>
                      <w:szCs w:val="21"/>
                      <w:highlight w:val="none"/>
                      <w:vertAlign w:val="subscript"/>
                      <w:lang w:bidi="ar"/>
                    </w:rPr>
                    <w:t>10</w:t>
                  </w:r>
                </w:p>
              </w:tc>
              <w:tc>
                <w:tcPr>
                  <w:tcW w:w="18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年平均质量浓度</w:t>
                  </w:r>
                </w:p>
              </w:tc>
              <w:tc>
                <w:tcPr>
                  <w:tcW w:w="6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eastAsia" w:ascii="Times New Roman" w:hAnsi="Times New Roman" w:cs="Times New Roman"/>
                      <w:bCs/>
                      <w:color w:val="auto"/>
                      <w:kern w:val="0"/>
                      <w:sz w:val="21"/>
                      <w:szCs w:val="21"/>
                      <w:highlight w:val="none"/>
                      <w:lang w:val="en-US" w:eastAsia="zh-CN" w:bidi="ar"/>
                    </w:rPr>
                    <w:t>45</w:t>
                  </w:r>
                </w:p>
              </w:tc>
              <w:tc>
                <w:tcPr>
                  <w:tcW w:w="4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70</w:t>
                  </w:r>
                </w:p>
              </w:tc>
              <w:tc>
                <w:tcPr>
                  <w:tcW w:w="14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eastAsia" w:ascii="Times New Roman" w:hAnsi="Times New Roman" w:eastAsia="宋体" w:cs="Times New Roman"/>
                      <w:bCs/>
                      <w:color w:val="auto"/>
                      <w:kern w:val="0"/>
                      <w:sz w:val="21"/>
                      <w:szCs w:val="21"/>
                      <w:highlight w:val="none"/>
                      <w:lang w:val="en-US" w:eastAsia="zh-CN" w:bidi="ar"/>
                    </w:rPr>
                    <w:t xml:space="preserve">64.29 </w:t>
                  </w:r>
                </w:p>
              </w:tc>
              <w:tc>
                <w:tcPr>
                  <w:tcW w:w="62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PM</w:t>
                  </w:r>
                  <w:r>
                    <w:rPr>
                      <w:rFonts w:hint="default" w:ascii="Times New Roman" w:hAnsi="Times New Roman" w:eastAsia="宋体" w:cs="Times New Roman"/>
                      <w:bCs/>
                      <w:color w:val="auto"/>
                      <w:kern w:val="0"/>
                      <w:sz w:val="21"/>
                      <w:szCs w:val="21"/>
                      <w:highlight w:val="none"/>
                      <w:vertAlign w:val="subscript"/>
                      <w:lang w:bidi="ar"/>
                    </w:rPr>
                    <w:t>2.5</w:t>
                  </w:r>
                </w:p>
              </w:tc>
              <w:tc>
                <w:tcPr>
                  <w:tcW w:w="18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年平均质量浓度</w:t>
                  </w:r>
                </w:p>
              </w:tc>
              <w:tc>
                <w:tcPr>
                  <w:tcW w:w="6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eastAsia" w:ascii="Times New Roman" w:hAnsi="Times New Roman" w:cs="Times New Roman"/>
                      <w:bCs/>
                      <w:color w:val="auto"/>
                      <w:kern w:val="0"/>
                      <w:sz w:val="21"/>
                      <w:szCs w:val="21"/>
                      <w:highlight w:val="none"/>
                      <w:lang w:val="en-US" w:eastAsia="zh-CN" w:bidi="ar"/>
                    </w:rPr>
                    <w:t>28</w:t>
                  </w:r>
                </w:p>
              </w:tc>
              <w:tc>
                <w:tcPr>
                  <w:tcW w:w="4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35</w:t>
                  </w:r>
                </w:p>
              </w:tc>
              <w:tc>
                <w:tcPr>
                  <w:tcW w:w="14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eastAsia" w:ascii="Times New Roman" w:hAnsi="Times New Roman" w:eastAsia="宋体" w:cs="Times New Roman"/>
                      <w:bCs/>
                      <w:color w:val="auto"/>
                      <w:kern w:val="0"/>
                      <w:sz w:val="21"/>
                      <w:szCs w:val="21"/>
                      <w:highlight w:val="none"/>
                      <w:lang w:val="en-US" w:eastAsia="zh-CN" w:bidi="ar"/>
                    </w:rPr>
                    <w:t xml:space="preserve">80.00 </w:t>
                  </w:r>
                </w:p>
              </w:tc>
              <w:tc>
                <w:tcPr>
                  <w:tcW w:w="62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CO</w:t>
                  </w:r>
                </w:p>
              </w:tc>
              <w:tc>
                <w:tcPr>
                  <w:tcW w:w="18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color w:val="auto"/>
                      <w:highlight w:val="none"/>
                    </w:rPr>
                    <w:t>日平均第95百分位浓度</w:t>
                  </w:r>
                </w:p>
              </w:tc>
              <w:tc>
                <w:tcPr>
                  <w:tcW w:w="6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eastAsia" w:ascii="Times New Roman" w:hAnsi="Times New Roman" w:eastAsia="宋体" w:cs="Times New Roman"/>
                      <w:bCs/>
                      <w:color w:val="auto"/>
                      <w:kern w:val="0"/>
                      <w:sz w:val="21"/>
                      <w:szCs w:val="21"/>
                      <w:highlight w:val="none"/>
                      <w:lang w:val="en-US" w:eastAsia="zh-CN" w:bidi="ar"/>
                    </w:rPr>
                    <w:t>1</w:t>
                  </w:r>
                  <w:r>
                    <w:rPr>
                      <w:rFonts w:hint="eastAsia" w:ascii="Times New Roman" w:hAnsi="Times New Roman" w:cs="Times New Roman"/>
                      <w:bCs/>
                      <w:color w:val="auto"/>
                      <w:kern w:val="0"/>
                      <w:sz w:val="21"/>
                      <w:szCs w:val="21"/>
                      <w:highlight w:val="none"/>
                      <w:lang w:val="en-US" w:eastAsia="zh-CN" w:bidi="ar"/>
                    </w:rPr>
                    <w:t>0</w:t>
                  </w:r>
                  <w:r>
                    <w:rPr>
                      <w:rFonts w:hint="eastAsia" w:ascii="Times New Roman" w:hAnsi="Times New Roman" w:eastAsia="宋体" w:cs="Times New Roman"/>
                      <w:bCs/>
                      <w:color w:val="auto"/>
                      <w:kern w:val="0"/>
                      <w:sz w:val="21"/>
                      <w:szCs w:val="21"/>
                      <w:highlight w:val="none"/>
                      <w:lang w:val="en-US" w:eastAsia="zh-CN" w:bidi="ar"/>
                    </w:rPr>
                    <w:t>00</w:t>
                  </w:r>
                </w:p>
              </w:tc>
              <w:tc>
                <w:tcPr>
                  <w:tcW w:w="4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4000</w:t>
                  </w:r>
                </w:p>
              </w:tc>
              <w:tc>
                <w:tcPr>
                  <w:tcW w:w="14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eastAsia" w:ascii="Times New Roman" w:hAnsi="Times New Roman" w:eastAsia="宋体" w:cs="Times New Roman"/>
                      <w:bCs/>
                      <w:color w:val="auto"/>
                      <w:kern w:val="0"/>
                      <w:sz w:val="21"/>
                      <w:szCs w:val="21"/>
                      <w:highlight w:val="none"/>
                      <w:lang w:val="en-US" w:eastAsia="zh-CN" w:bidi="ar"/>
                    </w:rPr>
                    <w:t xml:space="preserve">25.00 </w:t>
                  </w:r>
                </w:p>
              </w:tc>
              <w:tc>
                <w:tcPr>
                  <w:tcW w:w="62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O</w:t>
                  </w:r>
                  <w:r>
                    <w:rPr>
                      <w:rFonts w:hint="default" w:ascii="Times New Roman" w:hAnsi="Times New Roman" w:eastAsia="宋体" w:cs="Times New Roman"/>
                      <w:bCs/>
                      <w:color w:val="auto"/>
                      <w:kern w:val="0"/>
                      <w:sz w:val="21"/>
                      <w:szCs w:val="21"/>
                      <w:highlight w:val="none"/>
                      <w:vertAlign w:val="subscript"/>
                      <w:lang w:bidi="ar"/>
                    </w:rPr>
                    <w:t>3</w:t>
                  </w:r>
                </w:p>
              </w:tc>
              <w:tc>
                <w:tcPr>
                  <w:tcW w:w="18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default" w:ascii="Times New Roman" w:hAnsi="Times New Roman" w:eastAsia="宋体" w:cs="Times New Roman"/>
                      <w:color w:val="auto"/>
                      <w:highlight w:val="none"/>
                    </w:rPr>
                    <w:t>日最大8小时平均第90百分位浓度</w:t>
                  </w:r>
                </w:p>
              </w:tc>
              <w:tc>
                <w:tcPr>
                  <w:tcW w:w="6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eastAsia" w:ascii="Times New Roman" w:hAnsi="Times New Roman" w:eastAsia="宋体" w:cs="Times New Roman"/>
                      <w:bCs/>
                      <w:color w:val="auto"/>
                      <w:kern w:val="0"/>
                      <w:sz w:val="21"/>
                      <w:szCs w:val="21"/>
                      <w:highlight w:val="none"/>
                      <w:lang w:val="en-US" w:eastAsia="zh-CN" w:bidi="ar"/>
                    </w:rPr>
                    <w:t>1</w:t>
                  </w:r>
                  <w:r>
                    <w:rPr>
                      <w:rFonts w:hint="eastAsia" w:ascii="Times New Roman" w:hAnsi="Times New Roman" w:cs="Times New Roman"/>
                      <w:bCs/>
                      <w:color w:val="auto"/>
                      <w:kern w:val="0"/>
                      <w:sz w:val="21"/>
                      <w:szCs w:val="21"/>
                      <w:highlight w:val="none"/>
                      <w:lang w:val="en-US" w:eastAsia="zh-CN" w:bidi="ar"/>
                    </w:rPr>
                    <w:t>23</w:t>
                  </w:r>
                </w:p>
              </w:tc>
              <w:tc>
                <w:tcPr>
                  <w:tcW w:w="4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160</w:t>
                  </w:r>
                </w:p>
              </w:tc>
              <w:tc>
                <w:tcPr>
                  <w:tcW w:w="14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eastAsia" w:ascii="Times New Roman" w:hAnsi="Times New Roman" w:eastAsia="宋体" w:cs="Times New Roman"/>
                      <w:bCs/>
                      <w:color w:val="auto"/>
                      <w:kern w:val="0"/>
                      <w:sz w:val="21"/>
                      <w:szCs w:val="21"/>
                      <w:highlight w:val="none"/>
                      <w:lang w:val="en-US" w:eastAsia="zh-CN" w:bidi="ar"/>
                    </w:rPr>
                    <w:t xml:space="preserve">76.88 </w:t>
                  </w:r>
                </w:p>
              </w:tc>
              <w:tc>
                <w:tcPr>
                  <w:tcW w:w="62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达标</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根据以上</w:t>
            </w:r>
            <w:r>
              <w:rPr>
                <w:rFonts w:hint="default" w:ascii="Times New Roman" w:hAnsi="Times New Roman" w:eastAsia="宋体" w:cs="Times New Roman"/>
                <w:color w:val="auto"/>
                <w:sz w:val="24"/>
                <w:szCs w:val="24"/>
                <w:highlight w:val="none"/>
                <w:lang w:val="en-US" w:eastAsia="zh-CN"/>
              </w:rPr>
              <w:t>统计</w:t>
            </w:r>
            <w:r>
              <w:rPr>
                <w:rFonts w:hint="default" w:ascii="Times New Roman" w:hAnsi="Times New Roman" w:eastAsia="宋体" w:cs="Times New Roman"/>
                <w:color w:val="auto"/>
                <w:sz w:val="24"/>
                <w:szCs w:val="24"/>
                <w:highlight w:val="none"/>
              </w:rPr>
              <w:t>数据，本项目所在区域</w:t>
            </w:r>
            <w:r>
              <w:rPr>
                <w:rFonts w:hint="default" w:ascii="Times New Roman" w:hAnsi="Times New Roman" w:eastAsia="宋体" w:cs="Times New Roman"/>
                <w:bCs/>
                <w:color w:val="auto"/>
                <w:sz w:val="24"/>
                <w:szCs w:val="24"/>
                <w:highlight w:val="none"/>
              </w:rPr>
              <w:t>SO</w:t>
            </w:r>
            <w:r>
              <w:rPr>
                <w:rFonts w:hint="default" w:ascii="Times New Roman" w:hAnsi="Times New Roman" w:eastAsia="宋体" w:cs="Times New Roman"/>
                <w:bCs/>
                <w:color w:val="auto"/>
                <w:sz w:val="24"/>
                <w:szCs w:val="24"/>
                <w:highlight w:val="none"/>
                <w:vertAlign w:val="subscript"/>
              </w:rPr>
              <w:t>2</w:t>
            </w:r>
            <w:r>
              <w:rPr>
                <w:rFonts w:hint="default" w:ascii="Times New Roman" w:hAnsi="Times New Roman" w:eastAsia="宋体" w:cs="Times New Roman"/>
                <w:bCs/>
                <w:color w:val="auto"/>
                <w:sz w:val="24"/>
                <w:szCs w:val="24"/>
                <w:highlight w:val="none"/>
              </w:rPr>
              <w:t>、NO</w:t>
            </w:r>
            <w:r>
              <w:rPr>
                <w:rFonts w:hint="default" w:ascii="Times New Roman" w:hAnsi="Times New Roman" w:eastAsia="宋体" w:cs="Times New Roman"/>
                <w:bCs/>
                <w:color w:val="auto"/>
                <w:sz w:val="24"/>
                <w:szCs w:val="24"/>
                <w:highlight w:val="none"/>
                <w:vertAlign w:val="subscript"/>
              </w:rPr>
              <w:t>2</w:t>
            </w:r>
            <w:r>
              <w:rPr>
                <w:rFonts w:hint="eastAsia" w:ascii="Times New Roman" w:hAnsi="Times New Roman" w:cs="Times New Roman"/>
                <w:bCs/>
                <w:color w:val="auto"/>
                <w:sz w:val="24"/>
                <w:szCs w:val="24"/>
                <w:highlight w:val="none"/>
                <w:vertAlign w:val="baseline"/>
                <w:lang w:eastAsia="zh-CN"/>
              </w:rPr>
              <w:t>、</w:t>
            </w:r>
            <w:r>
              <w:rPr>
                <w:rFonts w:hint="default" w:ascii="Times New Roman" w:hAnsi="Times New Roman" w:eastAsia="宋体" w:cs="Times New Roman"/>
                <w:bCs/>
                <w:color w:val="auto"/>
                <w:sz w:val="24"/>
                <w:szCs w:val="24"/>
                <w:highlight w:val="none"/>
              </w:rPr>
              <w:t>PM</w:t>
            </w:r>
            <w:r>
              <w:rPr>
                <w:rFonts w:hint="default" w:ascii="Times New Roman" w:hAnsi="Times New Roman" w:eastAsia="宋体" w:cs="Times New Roman"/>
                <w:bCs/>
                <w:color w:val="auto"/>
                <w:sz w:val="24"/>
                <w:szCs w:val="24"/>
                <w:highlight w:val="none"/>
                <w:vertAlign w:val="subscript"/>
              </w:rPr>
              <w:t>2.5</w:t>
            </w:r>
            <w:r>
              <w:rPr>
                <w:rFonts w:hint="default" w:ascii="Times New Roman" w:hAnsi="Times New Roman" w:eastAsia="宋体" w:cs="Times New Roman"/>
                <w:bCs/>
                <w:color w:val="auto"/>
                <w:sz w:val="24"/>
                <w:szCs w:val="24"/>
                <w:highlight w:val="none"/>
                <w:vertAlign w:val="baseline"/>
                <w:lang w:eastAsia="zh-CN"/>
              </w:rPr>
              <w:t>、</w:t>
            </w:r>
            <w:r>
              <w:rPr>
                <w:rFonts w:hint="default" w:ascii="Times New Roman" w:hAnsi="Times New Roman" w:eastAsia="宋体" w:cs="Times New Roman"/>
                <w:bCs/>
                <w:color w:val="auto"/>
                <w:sz w:val="24"/>
                <w:szCs w:val="24"/>
                <w:highlight w:val="none"/>
              </w:rPr>
              <w:t>PM</w:t>
            </w:r>
            <w:r>
              <w:rPr>
                <w:rFonts w:hint="default" w:ascii="Times New Roman" w:hAnsi="Times New Roman" w:eastAsia="宋体" w:cs="Times New Roman"/>
                <w:bCs/>
                <w:color w:val="auto"/>
                <w:sz w:val="24"/>
                <w:szCs w:val="24"/>
                <w:highlight w:val="none"/>
                <w:vertAlign w:val="subscript"/>
                <w:lang w:val="en-US" w:eastAsia="zh-CN"/>
              </w:rPr>
              <w:t>10</w:t>
            </w:r>
            <w:r>
              <w:rPr>
                <w:rFonts w:hint="eastAsia" w:ascii="Times New Roman" w:hAnsi="Times New Roman" w:eastAsia="宋体" w:cs="Times New Roman"/>
                <w:bCs/>
                <w:color w:val="auto"/>
                <w:sz w:val="24"/>
                <w:szCs w:val="24"/>
                <w:highlight w:val="none"/>
                <w:vertAlign w:val="baseline"/>
                <w:lang w:val="en-US" w:eastAsia="zh-CN"/>
              </w:rPr>
              <w:t>年平均质量浓度、</w:t>
            </w:r>
            <w:r>
              <w:rPr>
                <w:rFonts w:hint="default" w:ascii="Times New Roman" w:hAnsi="Times New Roman" w:eastAsia="宋体" w:cs="Times New Roman"/>
                <w:bCs/>
                <w:color w:val="auto"/>
                <w:sz w:val="24"/>
                <w:szCs w:val="24"/>
                <w:highlight w:val="none"/>
              </w:rPr>
              <w:t>O</w:t>
            </w:r>
            <w:r>
              <w:rPr>
                <w:rFonts w:hint="default" w:ascii="Times New Roman" w:hAnsi="Times New Roman" w:eastAsia="宋体" w:cs="Times New Roman"/>
                <w:bCs/>
                <w:color w:val="auto"/>
                <w:sz w:val="24"/>
                <w:szCs w:val="24"/>
                <w:highlight w:val="none"/>
                <w:vertAlign w:val="subscript"/>
              </w:rPr>
              <w:t>3</w:t>
            </w:r>
            <w:r>
              <w:rPr>
                <w:rFonts w:hint="default" w:ascii="Times New Roman" w:hAnsi="Times New Roman" w:eastAsia="宋体" w:cs="Times New Roman"/>
                <w:bCs/>
                <w:color w:val="auto"/>
                <w:sz w:val="24"/>
                <w:szCs w:val="24"/>
                <w:highlight w:val="none"/>
                <w:vertAlign w:val="baseline"/>
                <w:lang w:eastAsia="zh-CN"/>
              </w:rPr>
              <w:t>日最大</w:t>
            </w:r>
            <w:r>
              <w:rPr>
                <w:rFonts w:hint="default" w:ascii="Times New Roman" w:hAnsi="Times New Roman" w:eastAsia="宋体" w:cs="Times New Roman"/>
                <w:bCs/>
                <w:color w:val="auto"/>
                <w:sz w:val="24"/>
                <w:szCs w:val="24"/>
                <w:highlight w:val="none"/>
                <w:vertAlign w:val="baseline"/>
                <w:lang w:val="en-US" w:eastAsia="zh-CN"/>
              </w:rPr>
              <w:t>8小时平均第90百分位浓度</w:t>
            </w:r>
            <w:r>
              <w:rPr>
                <w:rFonts w:hint="eastAsia" w:ascii="Times New Roman" w:hAnsi="Times New Roman" w:eastAsia="宋体" w:cs="Times New Roman"/>
                <w:bCs/>
                <w:color w:val="auto"/>
                <w:sz w:val="24"/>
                <w:szCs w:val="24"/>
                <w:highlight w:val="none"/>
                <w:vertAlign w:val="baseline"/>
                <w:lang w:val="en-US" w:eastAsia="zh-CN"/>
              </w:rPr>
              <w:t>、</w:t>
            </w:r>
            <w:r>
              <w:rPr>
                <w:rFonts w:hint="default" w:ascii="Times New Roman" w:hAnsi="Times New Roman" w:eastAsia="宋体" w:cs="Times New Roman"/>
                <w:bCs/>
                <w:color w:val="auto"/>
                <w:sz w:val="24"/>
                <w:szCs w:val="24"/>
                <w:highlight w:val="none"/>
                <w:vertAlign w:val="baseline"/>
                <w:lang w:val="en-US" w:eastAsia="zh-CN"/>
              </w:rPr>
              <w:t>CO日平均第95百分位浓度均</w:t>
            </w:r>
            <w:r>
              <w:rPr>
                <w:rFonts w:hint="default" w:ascii="Times New Roman" w:hAnsi="Times New Roman" w:eastAsia="宋体" w:cs="Times New Roman"/>
                <w:bCs/>
                <w:color w:val="auto"/>
                <w:sz w:val="24"/>
                <w:szCs w:val="24"/>
                <w:highlight w:val="none"/>
              </w:rPr>
              <w:t>满足</w:t>
            </w:r>
            <w:r>
              <w:rPr>
                <w:rFonts w:hint="default" w:ascii="Times New Roman" w:hAnsi="Times New Roman" w:eastAsia="宋体" w:cs="Times New Roman"/>
                <w:color w:val="auto"/>
                <w:sz w:val="24"/>
                <w:szCs w:val="24"/>
                <w:highlight w:val="none"/>
              </w:rPr>
              <w:t>《环境空气质量标准》（GB3095-2012）的二级标准</w:t>
            </w:r>
            <w:r>
              <w:rPr>
                <w:rFonts w:hint="default" w:ascii="Times New Roman" w:hAnsi="Times New Roman" w:eastAsia="宋体" w:cs="Times New Roman"/>
                <w:color w:val="auto"/>
                <w:sz w:val="24"/>
                <w:szCs w:val="24"/>
                <w:highlight w:val="none"/>
                <w:lang w:eastAsia="zh-CN"/>
              </w:rPr>
              <w:t>限值要求，因此，本项目所在区域属于环境空气质量达标区域</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firstLine="482" w:firstLineChars="200"/>
              <w:textAlignment w:val="auto"/>
              <w:rPr>
                <w:rFonts w:hint="default" w:ascii="Times New Roman" w:hAnsi="Times New Roman" w:eastAsia="宋体" w:cs="Times New Roman"/>
                <w:b/>
                <w:bCs/>
                <w:color w:val="auto"/>
                <w:sz w:val="24"/>
                <w:szCs w:val="22"/>
                <w:lang w:val="en-US" w:eastAsia="zh-CN"/>
              </w:rPr>
            </w:pPr>
            <w:r>
              <w:rPr>
                <w:rFonts w:hint="default" w:ascii="Times New Roman" w:hAnsi="Times New Roman" w:eastAsia="宋体" w:cs="Times New Roman"/>
                <w:b/>
                <w:bCs/>
                <w:color w:val="auto"/>
                <w:sz w:val="24"/>
                <w:szCs w:val="22"/>
                <w:lang w:val="en-US" w:eastAsia="zh-CN"/>
              </w:rPr>
              <w:t>1.2 其他污染物环境空气质量现状</w:t>
            </w:r>
          </w:p>
          <w:p>
            <w:pPr>
              <w:pStyle w:val="73"/>
              <w:adjustRightInd w:val="0"/>
              <w:ind w:firstLine="480"/>
              <w:rPr>
                <w:rFonts w:hint="default" w:ascii="Times New Roman" w:hAnsi="Times New Roman" w:cs="Times New Roman"/>
                <w:b/>
                <w:bCs/>
                <w:color w:val="auto"/>
                <w:szCs w:val="22"/>
                <w:lang w:eastAsia="zh-CN"/>
              </w:rPr>
            </w:pPr>
            <w:r>
              <w:rPr>
                <w:rFonts w:hint="default" w:ascii="Times New Roman" w:hAnsi="Times New Roman" w:eastAsia="宋体" w:cs="Times New Roman"/>
                <w:b/>
                <w:bCs/>
                <w:color w:val="auto"/>
                <w:szCs w:val="22"/>
                <w:lang w:eastAsia="zh-CN"/>
              </w:rPr>
              <w:t>（</w:t>
            </w:r>
            <w:r>
              <w:rPr>
                <w:rFonts w:hint="default" w:ascii="Times New Roman" w:hAnsi="Times New Roman" w:eastAsia="宋体" w:cs="Times New Roman"/>
                <w:b/>
                <w:bCs/>
                <w:color w:val="auto"/>
                <w:szCs w:val="22"/>
                <w:lang w:val="en-US" w:eastAsia="zh-CN"/>
              </w:rPr>
              <w:t>1</w:t>
            </w:r>
            <w:r>
              <w:rPr>
                <w:rFonts w:hint="default" w:ascii="Times New Roman" w:hAnsi="Times New Roman" w:eastAsia="宋体" w:cs="Times New Roman"/>
                <w:b/>
                <w:bCs/>
                <w:color w:val="auto"/>
                <w:szCs w:val="22"/>
                <w:lang w:eastAsia="zh-CN"/>
              </w:rPr>
              <w:t>）监测点位</w:t>
            </w:r>
          </w:p>
          <w:p>
            <w:pPr>
              <w:pStyle w:val="73"/>
              <w:adjustRightInd w:val="0"/>
              <w:ind w:firstLine="480"/>
              <w:rPr>
                <w:rFonts w:hint="default" w:ascii="Times New Roman" w:hAnsi="Times New Roman" w:eastAsia="宋体" w:cs="Times New Roman"/>
                <w:color w:val="auto"/>
                <w:sz w:val="24"/>
                <w:szCs w:val="24"/>
                <w:highlight w:val="magenta"/>
                <w:lang w:val="en-US" w:eastAsia="zh-CN"/>
              </w:rPr>
            </w:pPr>
            <w:r>
              <w:rPr>
                <w:rFonts w:hint="default" w:ascii="Times New Roman" w:hAnsi="Times New Roman" w:eastAsia="宋体" w:cs="Times New Roman"/>
                <w:color w:val="auto"/>
                <w:sz w:val="24"/>
                <w:szCs w:val="24"/>
              </w:rPr>
              <w:t>本次</w:t>
            </w:r>
            <w:r>
              <w:rPr>
                <w:rFonts w:hint="default" w:ascii="Times New Roman" w:hAnsi="Times New Roman" w:eastAsia="宋体" w:cs="Times New Roman"/>
                <w:color w:val="auto"/>
                <w:sz w:val="24"/>
                <w:szCs w:val="24"/>
                <w:lang w:eastAsia="zh-CN"/>
              </w:rPr>
              <w:t>环境空气质量</w:t>
            </w:r>
            <w:r>
              <w:rPr>
                <w:rFonts w:hint="default" w:ascii="Times New Roman" w:hAnsi="Times New Roman" w:eastAsia="宋体" w:cs="Times New Roman"/>
                <w:color w:val="auto"/>
                <w:sz w:val="24"/>
                <w:szCs w:val="24"/>
              </w:rPr>
              <w:t>现状监测在</w:t>
            </w:r>
            <w:r>
              <w:rPr>
                <w:rFonts w:hint="default" w:ascii="Times New Roman" w:hAnsi="Times New Roman" w:eastAsia="宋体" w:cs="Times New Roman"/>
                <w:color w:val="auto"/>
                <w:sz w:val="24"/>
                <w:szCs w:val="24"/>
                <w:lang w:val="en-US" w:eastAsia="zh-CN"/>
              </w:rPr>
              <w:t>项目地</w:t>
            </w:r>
            <w:r>
              <w:rPr>
                <w:rFonts w:hint="eastAsia" w:ascii="Times New Roman" w:hAnsi="Times New Roman" w:eastAsia="宋体" w:cs="Times New Roman"/>
                <w:color w:val="auto"/>
                <w:sz w:val="24"/>
                <w:szCs w:val="24"/>
                <w:lang w:val="en-US" w:eastAsia="zh-CN"/>
              </w:rPr>
              <w:t>当季主导风向下风向</w:t>
            </w:r>
            <w:r>
              <w:rPr>
                <w:rFonts w:hint="default" w:ascii="Times New Roman" w:hAnsi="Times New Roman" w:eastAsia="宋体" w:cs="Times New Roman"/>
                <w:color w:val="auto"/>
                <w:sz w:val="24"/>
                <w:szCs w:val="24"/>
              </w:rPr>
              <w:t>布设1个监测点位，</w:t>
            </w:r>
            <w:r>
              <w:rPr>
                <w:rFonts w:hint="default" w:ascii="Times New Roman" w:hAnsi="Times New Roman" w:eastAsia="宋体" w:cs="Times New Roman"/>
                <w:color w:val="auto"/>
                <w:sz w:val="24"/>
                <w:szCs w:val="24"/>
                <w:lang w:eastAsia="zh-CN"/>
              </w:rPr>
              <w:t>监测点位置图</w:t>
            </w:r>
            <w:r>
              <w:rPr>
                <w:rFonts w:hint="default" w:ascii="Times New Roman" w:hAnsi="Times New Roman" w:eastAsia="宋体" w:cs="Times New Roman"/>
                <w:color w:val="auto"/>
                <w:sz w:val="24"/>
                <w:szCs w:val="24"/>
                <w:highlight w:val="none"/>
                <w:lang w:eastAsia="zh-CN"/>
              </w:rPr>
              <w:t>见附图</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w:t>
            </w:r>
          </w:p>
          <w:p>
            <w:pPr>
              <w:pStyle w:val="73"/>
              <w:adjustRightInd w:val="0"/>
              <w:ind w:firstLine="480"/>
              <w:rPr>
                <w:rFonts w:hint="default" w:ascii="Times New Roman" w:hAnsi="Times New Roman" w:cs="Times New Roman"/>
                <w:b/>
                <w:bCs/>
                <w:color w:val="auto"/>
                <w:szCs w:val="22"/>
                <w:lang w:eastAsia="zh-CN"/>
              </w:rPr>
            </w:pPr>
            <w:r>
              <w:rPr>
                <w:rFonts w:hint="default" w:ascii="Times New Roman" w:hAnsi="Times New Roman" w:eastAsia="宋体" w:cs="Times New Roman"/>
                <w:b/>
                <w:bCs/>
                <w:color w:val="auto"/>
                <w:szCs w:val="22"/>
                <w:lang w:eastAsia="zh-CN"/>
              </w:rPr>
              <w:t>（</w:t>
            </w:r>
            <w:r>
              <w:rPr>
                <w:rFonts w:hint="default" w:ascii="Times New Roman" w:hAnsi="Times New Roman" w:eastAsia="宋体" w:cs="Times New Roman"/>
                <w:b/>
                <w:bCs/>
                <w:color w:val="auto"/>
                <w:szCs w:val="22"/>
                <w:lang w:val="en-US" w:eastAsia="zh-CN"/>
              </w:rPr>
              <w:t>2</w:t>
            </w:r>
            <w:r>
              <w:rPr>
                <w:rFonts w:hint="default" w:ascii="Times New Roman" w:hAnsi="Times New Roman" w:eastAsia="宋体" w:cs="Times New Roman"/>
                <w:b/>
                <w:bCs/>
                <w:color w:val="auto"/>
                <w:szCs w:val="22"/>
                <w:lang w:eastAsia="zh-CN"/>
              </w:rPr>
              <w:t>）监测项目</w:t>
            </w:r>
          </w:p>
          <w:p>
            <w:pPr>
              <w:pStyle w:val="73"/>
              <w:adjustRightInd w:val="0"/>
              <w:ind w:firstLine="480"/>
              <w:rPr>
                <w:rFonts w:hint="default" w:ascii="Times New Roman" w:hAnsi="Times New Roman" w:cs="Times New Roman"/>
                <w:color w:val="auto"/>
                <w:szCs w:val="22"/>
                <w:lang w:val="en-US" w:eastAsia="zh-CN"/>
              </w:rPr>
            </w:pPr>
            <w:r>
              <w:rPr>
                <w:rFonts w:hint="default" w:ascii="Times New Roman" w:hAnsi="Times New Roman" w:eastAsia="宋体" w:cs="Times New Roman"/>
                <w:color w:val="auto"/>
                <w:szCs w:val="22"/>
                <w:lang w:eastAsia="zh-CN"/>
              </w:rPr>
              <w:t>监测项目：</w:t>
            </w:r>
            <w:r>
              <w:rPr>
                <w:rFonts w:hint="default" w:ascii="Times New Roman" w:hAnsi="Times New Roman" w:eastAsia="宋体" w:cs="Times New Roman"/>
                <w:color w:val="auto"/>
                <w:szCs w:val="22"/>
              </w:rPr>
              <w:t>NH</w:t>
            </w:r>
            <w:r>
              <w:rPr>
                <w:rFonts w:hint="default" w:ascii="Times New Roman" w:hAnsi="Times New Roman" w:eastAsia="宋体" w:cs="Times New Roman"/>
                <w:color w:val="auto"/>
                <w:szCs w:val="22"/>
                <w:vertAlign w:val="subscript"/>
              </w:rPr>
              <w:t>3</w:t>
            </w:r>
            <w:r>
              <w:rPr>
                <w:rFonts w:hint="default" w:ascii="Times New Roman" w:hAnsi="Times New Roman" w:eastAsia="宋体" w:cs="Times New Roman"/>
                <w:color w:val="auto"/>
                <w:szCs w:val="22"/>
              </w:rPr>
              <w:t>、H</w:t>
            </w:r>
            <w:r>
              <w:rPr>
                <w:rFonts w:hint="default" w:ascii="Times New Roman" w:hAnsi="Times New Roman" w:eastAsia="宋体" w:cs="Times New Roman"/>
                <w:color w:val="auto"/>
                <w:szCs w:val="22"/>
                <w:vertAlign w:val="subscript"/>
              </w:rPr>
              <w:t>2</w:t>
            </w:r>
            <w:r>
              <w:rPr>
                <w:rFonts w:hint="default" w:ascii="Times New Roman" w:hAnsi="Times New Roman" w:eastAsia="宋体" w:cs="Times New Roman"/>
                <w:color w:val="auto"/>
                <w:szCs w:val="22"/>
              </w:rPr>
              <w:t>S</w:t>
            </w:r>
            <w:r>
              <w:rPr>
                <w:rFonts w:hint="default" w:ascii="Times New Roman" w:hAnsi="Times New Roman" w:eastAsia="宋体" w:cs="Times New Roman"/>
                <w:color w:val="auto"/>
                <w:szCs w:val="22"/>
                <w:lang w:eastAsia="zh-CN"/>
              </w:rPr>
              <w:t>。</w:t>
            </w:r>
          </w:p>
          <w:p>
            <w:pPr>
              <w:pStyle w:val="73"/>
              <w:adjustRightInd w:val="0"/>
              <w:ind w:firstLine="480"/>
              <w:rPr>
                <w:rFonts w:hint="default" w:ascii="Times New Roman" w:hAnsi="Times New Roman" w:cs="Times New Roman"/>
                <w:b/>
                <w:bCs/>
                <w:color w:val="auto"/>
                <w:szCs w:val="22"/>
                <w:highlight w:val="none"/>
                <w:lang w:eastAsia="zh-CN"/>
              </w:rPr>
            </w:pPr>
            <w:r>
              <w:rPr>
                <w:rFonts w:hint="default" w:ascii="Times New Roman" w:hAnsi="Times New Roman" w:eastAsia="宋体" w:cs="Times New Roman"/>
                <w:b/>
                <w:bCs/>
                <w:color w:val="auto"/>
                <w:szCs w:val="22"/>
                <w:lang w:eastAsia="zh-CN"/>
              </w:rPr>
              <w:t>（</w:t>
            </w:r>
            <w:r>
              <w:rPr>
                <w:rFonts w:hint="default" w:ascii="Times New Roman" w:hAnsi="Times New Roman" w:eastAsia="宋体" w:cs="Times New Roman"/>
                <w:b/>
                <w:bCs/>
                <w:color w:val="auto"/>
                <w:szCs w:val="22"/>
                <w:lang w:val="en-US" w:eastAsia="zh-CN"/>
              </w:rPr>
              <w:t>3</w:t>
            </w:r>
            <w:r>
              <w:rPr>
                <w:rFonts w:hint="default" w:ascii="Times New Roman" w:hAnsi="Times New Roman" w:eastAsia="宋体" w:cs="Times New Roman"/>
                <w:b/>
                <w:bCs/>
                <w:color w:val="auto"/>
                <w:szCs w:val="22"/>
                <w:lang w:eastAsia="zh-CN"/>
              </w:rPr>
              <w:t>）监测时间和频次</w:t>
            </w:r>
          </w:p>
          <w:p>
            <w:pPr>
              <w:pStyle w:val="73"/>
              <w:adjustRightInd w:val="0"/>
              <w:ind w:firstLine="480"/>
              <w:rPr>
                <w:rFonts w:hint="default" w:ascii="Times New Roman" w:hAnsi="Times New Roman" w:eastAsia="宋体" w:cs="Times New Roman"/>
                <w:color w:val="auto"/>
                <w:szCs w:val="22"/>
                <w:lang w:eastAsia="zh-CN"/>
              </w:rPr>
            </w:pPr>
            <w:r>
              <w:rPr>
                <w:rFonts w:hint="default" w:ascii="Times New Roman" w:hAnsi="Times New Roman" w:eastAsia="宋体" w:cs="Times New Roman"/>
                <w:color w:val="auto"/>
                <w:szCs w:val="22"/>
                <w:lang w:eastAsia="zh-CN"/>
              </w:rPr>
              <w:t>本次评价委托</w:t>
            </w:r>
            <w:r>
              <w:rPr>
                <w:rFonts w:hint="eastAsia" w:ascii="Times New Roman" w:hAnsi="Times New Roman" w:cs="Times New Roman"/>
                <w:color w:val="auto"/>
                <w:szCs w:val="22"/>
                <w:highlight w:val="none"/>
                <w:lang w:val="en-US" w:eastAsia="zh-CN"/>
              </w:rPr>
              <w:t>陕西华康检验检测有限责任公司</w:t>
            </w:r>
            <w:r>
              <w:rPr>
                <w:rFonts w:hint="default" w:ascii="Times New Roman" w:hAnsi="Times New Roman" w:eastAsia="宋体" w:cs="Times New Roman"/>
                <w:color w:val="auto"/>
                <w:szCs w:val="22"/>
                <w:highlight w:val="none"/>
                <w:lang w:val="en-US" w:eastAsia="zh-CN"/>
              </w:rPr>
              <w:t>于202</w:t>
            </w:r>
            <w:r>
              <w:rPr>
                <w:rFonts w:hint="eastAsia" w:ascii="Times New Roman" w:hAnsi="Times New Roman" w:cs="Times New Roman"/>
                <w:color w:val="auto"/>
                <w:szCs w:val="22"/>
                <w:highlight w:val="none"/>
                <w:lang w:val="en-US" w:eastAsia="zh-CN"/>
              </w:rPr>
              <w:t>4</w:t>
            </w:r>
            <w:r>
              <w:rPr>
                <w:rFonts w:hint="default" w:ascii="Times New Roman" w:hAnsi="Times New Roman" w:eastAsia="宋体" w:cs="Times New Roman"/>
                <w:color w:val="auto"/>
                <w:szCs w:val="22"/>
                <w:highlight w:val="none"/>
                <w:lang w:val="en-US" w:eastAsia="zh-CN"/>
              </w:rPr>
              <w:t>年</w:t>
            </w:r>
            <w:r>
              <w:rPr>
                <w:rFonts w:hint="eastAsia" w:ascii="Times New Roman" w:hAnsi="Times New Roman" w:cs="Times New Roman"/>
                <w:color w:val="auto"/>
                <w:szCs w:val="22"/>
                <w:highlight w:val="none"/>
                <w:lang w:val="en-US" w:eastAsia="zh-CN"/>
              </w:rPr>
              <w:t>5</w:t>
            </w:r>
            <w:r>
              <w:rPr>
                <w:rFonts w:hint="default" w:ascii="Times New Roman" w:hAnsi="Times New Roman" w:eastAsia="宋体" w:cs="Times New Roman"/>
                <w:color w:val="auto"/>
                <w:szCs w:val="22"/>
                <w:highlight w:val="none"/>
                <w:lang w:val="en-US" w:eastAsia="zh-CN"/>
              </w:rPr>
              <w:t>月</w:t>
            </w:r>
            <w:r>
              <w:rPr>
                <w:rFonts w:hint="eastAsia" w:ascii="Times New Roman" w:hAnsi="Times New Roman" w:cs="Times New Roman"/>
                <w:color w:val="auto"/>
                <w:szCs w:val="22"/>
                <w:highlight w:val="none"/>
                <w:lang w:val="en-US" w:eastAsia="zh-CN"/>
              </w:rPr>
              <w:t>24</w:t>
            </w:r>
            <w:r>
              <w:rPr>
                <w:rFonts w:hint="default" w:ascii="Times New Roman" w:hAnsi="Times New Roman" w:eastAsia="宋体" w:cs="Times New Roman"/>
                <w:color w:val="auto"/>
                <w:szCs w:val="22"/>
                <w:highlight w:val="none"/>
                <w:lang w:val="en-US" w:eastAsia="zh-CN"/>
              </w:rPr>
              <w:t>日~</w:t>
            </w:r>
            <w:r>
              <w:rPr>
                <w:rFonts w:hint="eastAsia" w:ascii="Times New Roman" w:hAnsi="Times New Roman" w:cs="Times New Roman"/>
                <w:color w:val="auto"/>
                <w:szCs w:val="22"/>
                <w:highlight w:val="none"/>
                <w:lang w:val="en-US" w:eastAsia="zh-CN"/>
              </w:rPr>
              <w:t>5</w:t>
            </w:r>
            <w:r>
              <w:rPr>
                <w:rFonts w:hint="default" w:ascii="Times New Roman" w:hAnsi="Times New Roman" w:eastAsia="宋体" w:cs="Times New Roman"/>
                <w:color w:val="auto"/>
                <w:szCs w:val="22"/>
                <w:highlight w:val="none"/>
                <w:lang w:val="en-US" w:eastAsia="zh-CN"/>
              </w:rPr>
              <w:t>月</w:t>
            </w:r>
            <w:r>
              <w:rPr>
                <w:rFonts w:hint="eastAsia" w:ascii="Times New Roman" w:hAnsi="Times New Roman" w:cs="Times New Roman"/>
                <w:color w:val="auto"/>
                <w:szCs w:val="22"/>
                <w:highlight w:val="none"/>
                <w:lang w:val="en-US" w:eastAsia="zh-CN"/>
              </w:rPr>
              <w:t>26日</w:t>
            </w:r>
            <w:r>
              <w:rPr>
                <w:rFonts w:hint="default" w:ascii="Times New Roman" w:hAnsi="Times New Roman" w:eastAsia="宋体" w:cs="Times New Roman"/>
                <w:color w:val="auto"/>
                <w:szCs w:val="22"/>
                <w:lang w:val="en-US" w:eastAsia="zh-CN"/>
              </w:rPr>
              <w:t>对本项目排放的其他污染物环境空气质量现状进行了监测。监测时间及频次详见表3-2</w:t>
            </w:r>
            <w:r>
              <w:rPr>
                <w:rFonts w:hint="default" w:ascii="Times New Roman" w:hAnsi="Times New Roman" w:eastAsia="宋体" w:cs="Times New Roman"/>
                <w:color w:val="auto"/>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 w:val="24"/>
              </w:rPr>
              <w:t>表</w:t>
            </w:r>
            <w:r>
              <w:rPr>
                <w:rFonts w:hint="default" w:ascii="Times New Roman" w:hAnsi="Times New Roman" w:eastAsia="宋体" w:cs="Times New Roman"/>
                <w:b/>
                <w:bCs/>
                <w:color w:val="auto"/>
                <w:sz w:val="24"/>
                <w:lang w:val="en-US" w:eastAsia="zh-CN"/>
              </w:rPr>
              <w:t xml:space="preserve">3-2 </w:t>
            </w:r>
            <w:r>
              <w:rPr>
                <w:rFonts w:hint="default" w:ascii="Times New Roman" w:hAnsi="Times New Roman" w:eastAsia="宋体" w:cs="Times New Roman"/>
                <w:b/>
                <w:color w:val="auto"/>
                <w:sz w:val="24"/>
                <w:szCs w:val="24"/>
              </w:rPr>
              <w:t>监测</w:t>
            </w:r>
            <w:r>
              <w:rPr>
                <w:rFonts w:hint="default" w:ascii="Times New Roman" w:hAnsi="Times New Roman" w:eastAsia="宋体" w:cs="Times New Roman"/>
                <w:b/>
                <w:color w:val="auto"/>
                <w:sz w:val="24"/>
                <w:szCs w:val="24"/>
                <w:lang w:eastAsia="zh-CN"/>
              </w:rPr>
              <w:t>时间及频次一览表</w:t>
            </w:r>
          </w:p>
          <w:tbl>
            <w:tblPr>
              <w:tblStyle w:val="27"/>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725"/>
              <w:gridCol w:w="1727"/>
              <w:gridCol w:w="2963"/>
              <w:gridCol w:w="15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blHeader/>
                <w:jc w:val="center"/>
              </w:trPr>
              <w:tc>
                <w:tcPr>
                  <w:tcW w:w="686" w:type="pct"/>
                  <w:tcBorders>
                    <w:tl2br w:val="nil"/>
                    <w:tr2bl w:val="nil"/>
                  </w:tcBorders>
                  <w:noWrap w:val="0"/>
                  <w:vAlign w:val="center"/>
                </w:tcPr>
                <w:p>
                  <w:pPr>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val="0"/>
                      <w:color w:val="auto"/>
                      <w:sz w:val="21"/>
                      <w:szCs w:val="21"/>
                    </w:rPr>
                  </w:pPr>
                  <w:r>
                    <w:rPr>
                      <w:rFonts w:hint="default" w:ascii="Times New Roman" w:hAnsi="Times New Roman" w:eastAsia="宋体" w:cs="Times New Roman"/>
                      <w:b/>
                      <w:bCs w:val="0"/>
                      <w:color w:val="auto"/>
                      <w:sz w:val="21"/>
                      <w:szCs w:val="21"/>
                    </w:rPr>
                    <w:t>监测类别</w:t>
                  </w:r>
                </w:p>
              </w:tc>
              <w:tc>
                <w:tcPr>
                  <w:tcW w:w="930" w:type="pct"/>
                  <w:tcBorders>
                    <w:tl2br w:val="nil"/>
                    <w:tr2bl w:val="nil"/>
                  </w:tcBorders>
                  <w:noWrap w:val="0"/>
                  <w:vAlign w:val="center"/>
                </w:tcPr>
                <w:p>
                  <w:pPr>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1"/>
                      <w:szCs w:val="21"/>
                      <w:lang w:eastAsia="zh-CN"/>
                    </w:rPr>
                  </w:pPr>
                  <w:r>
                    <w:rPr>
                      <w:rFonts w:hint="default" w:ascii="Times New Roman" w:hAnsi="Times New Roman" w:eastAsia="宋体" w:cs="Times New Roman"/>
                      <w:b/>
                      <w:bCs w:val="0"/>
                      <w:color w:val="auto"/>
                      <w:sz w:val="21"/>
                      <w:szCs w:val="21"/>
                    </w:rPr>
                    <w:t>监测</w:t>
                  </w:r>
                  <w:r>
                    <w:rPr>
                      <w:rFonts w:hint="default" w:ascii="Times New Roman" w:hAnsi="Times New Roman" w:eastAsia="宋体" w:cs="Times New Roman"/>
                      <w:b/>
                      <w:bCs w:val="0"/>
                      <w:color w:val="auto"/>
                      <w:sz w:val="21"/>
                      <w:szCs w:val="21"/>
                      <w:lang w:val="en-US" w:eastAsia="zh-CN"/>
                    </w:rPr>
                    <w:t>项目</w:t>
                  </w:r>
                </w:p>
              </w:tc>
              <w:tc>
                <w:tcPr>
                  <w:tcW w:w="931" w:type="pct"/>
                  <w:tcBorders>
                    <w:tl2br w:val="nil"/>
                    <w:tr2bl w:val="nil"/>
                  </w:tcBorders>
                  <w:noWrap w:val="0"/>
                  <w:vAlign w:val="center"/>
                </w:tcPr>
                <w:p>
                  <w:pPr>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监测点位</w:t>
                  </w:r>
                </w:p>
              </w:tc>
              <w:tc>
                <w:tcPr>
                  <w:tcW w:w="1597" w:type="pct"/>
                  <w:tcBorders>
                    <w:tl2br w:val="nil"/>
                    <w:tr2bl w:val="nil"/>
                  </w:tcBorders>
                  <w:noWrap w:val="0"/>
                  <w:vAlign w:val="center"/>
                </w:tcPr>
                <w:p>
                  <w:pPr>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val="0"/>
                      <w:color w:val="auto"/>
                      <w:sz w:val="21"/>
                      <w:szCs w:val="21"/>
                    </w:rPr>
                  </w:pPr>
                  <w:r>
                    <w:rPr>
                      <w:rFonts w:hint="default" w:ascii="Times New Roman" w:hAnsi="Times New Roman" w:eastAsia="宋体" w:cs="Times New Roman"/>
                      <w:b/>
                      <w:bCs w:val="0"/>
                      <w:color w:val="auto"/>
                      <w:sz w:val="21"/>
                      <w:szCs w:val="21"/>
                    </w:rPr>
                    <w:t>采样时间</w:t>
                  </w:r>
                </w:p>
              </w:tc>
              <w:tc>
                <w:tcPr>
                  <w:tcW w:w="854" w:type="pct"/>
                  <w:tcBorders>
                    <w:tl2br w:val="nil"/>
                    <w:tr2bl w:val="nil"/>
                  </w:tcBorders>
                  <w:noWrap w:val="0"/>
                  <w:vAlign w:val="center"/>
                </w:tcPr>
                <w:p>
                  <w:pPr>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1"/>
                      <w:szCs w:val="21"/>
                      <w:lang w:eastAsia="zh-CN"/>
                    </w:rPr>
                  </w:pPr>
                  <w:r>
                    <w:rPr>
                      <w:rFonts w:hint="default" w:ascii="Times New Roman" w:hAnsi="Times New Roman" w:eastAsia="宋体" w:cs="Times New Roman"/>
                      <w:b/>
                      <w:bCs w:val="0"/>
                      <w:color w:val="auto"/>
                      <w:sz w:val="21"/>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86" w:type="pct"/>
                  <w:tcBorders>
                    <w:tl2br w:val="nil"/>
                    <w:tr2bl w:val="nil"/>
                  </w:tcBorders>
                  <w:noWrap w:val="0"/>
                  <w:vAlign w:val="center"/>
                </w:tcPr>
                <w:p>
                  <w:pPr>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环境空气</w:t>
                  </w:r>
                </w:p>
              </w:tc>
              <w:tc>
                <w:tcPr>
                  <w:tcW w:w="930" w:type="pct"/>
                  <w:tcBorders>
                    <w:tl2br w:val="nil"/>
                    <w:tr2bl w:val="nil"/>
                  </w:tcBorders>
                  <w:noWrap w:val="0"/>
                  <w:vAlign w:val="center"/>
                </w:tcPr>
                <w:p>
                  <w:pPr>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lang w:val="en-US" w:eastAsia="zh-CN"/>
                    </w:rPr>
                    <w:t>H</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val="en-US" w:eastAsia="zh-CN"/>
                    </w:rPr>
                    <w:t>S</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NH</w:t>
                  </w:r>
                  <w:r>
                    <w:rPr>
                      <w:rFonts w:hint="default" w:ascii="Times New Roman" w:hAnsi="Times New Roman" w:eastAsia="宋体" w:cs="Times New Roman"/>
                      <w:color w:val="auto"/>
                      <w:sz w:val="21"/>
                      <w:szCs w:val="21"/>
                      <w:vertAlign w:val="subscript"/>
                      <w:lang w:val="en-US" w:eastAsia="zh-CN"/>
                    </w:rPr>
                    <w:t>3</w:t>
                  </w:r>
                </w:p>
              </w:tc>
              <w:tc>
                <w:tcPr>
                  <w:tcW w:w="931" w:type="pct"/>
                  <w:tcBorders>
                    <w:tl2br w:val="nil"/>
                    <w:tr2bl w:val="nil"/>
                  </w:tcBorders>
                  <w:noWrap w:val="0"/>
                  <w:vAlign w:val="center"/>
                </w:tcPr>
                <w:p>
                  <w:pPr>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lang w:val="en-US" w:eastAsia="zh-CN"/>
                    </w:rPr>
                    <w:t>项目地</w:t>
                  </w:r>
                  <w:r>
                    <w:rPr>
                      <w:rFonts w:hint="eastAsia" w:ascii="Times New Roman" w:hAnsi="Times New Roman" w:eastAsia="宋体" w:cs="Times New Roman"/>
                      <w:color w:val="auto"/>
                      <w:sz w:val="21"/>
                      <w:szCs w:val="21"/>
                      <w:lang w:val="en-US" w:eastAsia="zh-CN"/>
                    </w:rPr>
                    <w:t>当季主导风向下风向</w:t>
                  </w:r>
                </w:p>
              </w:tc>
              <w:tc>
                <w:tcPr>
                  <w:tcW w:w="15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Cs w:val="21"/>
                      <w:lang w:val="en-US" w:eastAsia="zh-CN"/>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lang w:val="en-US" w:eastAsia="zh-CN"/>
                    </w:rPr>
                    <w:t>至202</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26</w:t>
                  </w:r>
                </w:p>
              </w:tc>
              <w:tc>
                <w:tcPr>
                  <w:tcW w:w="854" w:type="pct"/>
                  <w:tcBorders>
                    <w:tl2br w:val="nil"/>
                    <w:tr2bl w:val="nil"/>
                  </w:tcBorders>
                  <w:noWrap w:val="0"/>
                  <w:vAlign w:val="center"/>
                </w:tcPr>
                <w:p>
                  <w:pPr>
                    <w:keepNext w:val="0"/>
                    <w:keepLines w:val="0"/>
                    <w:pageBreakBefore w:val="0"/>
                    <w:widowControl w:val="0"/>
                    <w:tabs>
                      <w:tab w:val="left" w:pos="622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监测3天</w:t>
                  </w:r>
                </w:p>
                <w:p>
                  <w:pPr>
                    <w:keepNext w:val="0"/>
                    <w:keepLines w:val="0"/>
                    <w:pageBreakBefore w:val="0"/>
                    <w:widowControl w:val="0"/>
                    <w:tabs>
                      <w:tab w:val="left" w:pos="622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eastAsia="宋体" w:cs="Times New Roman"/>
                      <w:b w:val="0"/>
                      <w:bCs/>
                      <w:color w:val="auto"/>
                      <w:sz w:val="21"/>
                      <w:szCs w:val="21"/>
                      <w:vertAlign w:val="baseline"/>
                      <w:lang w:val="en-US" w:eastAsia="zh-CN"/>
                    </w:rPr>
                    <w:t>每天4次</w:t>
                  </w:r>
                </w:p>
              </w:tc>
            </w:tr>
          </w:tbl>
          <w:p>
            <w:pPr>
              <w:pStyle w:val="73"/>
              <w:adjustRightInd w:val="0"/>
              <w:ind w:firstLine="480"/>
              <w:rPr>
                <w:rFonts w:hint="default" w:ascii="Times New Roman" w:hAnsi="Times New Roman" w:cs="Times New Roman"/>
                <w:b/>
                <w:bCs/>
                <w:color w:val="auto"/>
                <w:szCs w:val="22"/>
                <w:lang w:eastAsia="zh-CN"/>
              </w:rPr>
            </w:pPr>
            <w:r>
              <w:rPr>
                <w:rFonts w:hint="default" w:ascii="Times New Roman" w:hAnsi="Times New Roman" w:eastAsia="宋体" w:cs="Times New Roman"/>
                <w:b/>
                <w:bCs/>
                <w:color w:val="auto"/>
                <w:szCs w:val="22"/>
                <w:lang w:eastAsia="zh-CN"/>
              </w:rPr>
              <w:t>（</w:t>
            </w:r>
            <w:r>
              <w:rPr>
                <w:rFonts w:hint="default" w:ascii="Times New Roman" w:hAnsi="Times New Roman" w:eastAsia="宋体" w:cs="Times New Roman"/>
                <w:b/>
                <w:bCs/>
                <w:color w:val="auto"/>
                <w:szCs w:val="22"/>
                <w:lang w:val="en-US" w:eastAsia="zh-CN"/>
              </w:rPr>
              <w:t>4</w:t>
            </w:r>
            <w:r>
              <w:rPr>
                <w:rFonts w:hint="default" w:ascii="Times New Roman" w:hAnsi="Times New Roman" w:eastAsia="宋体" w:cs="Times New Roman"/>
                <w:b/>
                <w:bCs/>
                <w:color w:val="auto"/>
                <w:szCs w:val="22"/>
                <w:lang w:eastAsia="zh-CN"/>
              </w:rPr>
              <w:t>）监测分析方法</w:t>
            </w:r>
          </w:p>
          <w:p>
            <w:pPr>
              <w:pStyle w:val="73"/>
              <w:adjustRightInd w:val="0"/>
              <w:ind w:firstLine="480"/>
              <w:rPr>
                <w:rFonts w:hint="default" w:ascii="Times New Roman" w:hAnsi="Times New Roman" w:cs="Times New Roman"/>
                <w:color w:val="auto"/>
                <w:szCs w:val="22"/>
                <w:lang w:val="en-US" w:eastAsia="zh-CN"/>
              </w:rPr>
            </w:pPr>
            <w:r>
              <w:rPr>
                <w:rFonts w:hint="default" w:ascii="Times New Roman" w:hAnsi="Times New Roman" w:eastAsia="宋体" w:cs="Times New Roman"/>
                <w:color w:val="auto"/>
                <w:szCs w:val="22"/>
                <w:lang w:eastAsia="zh-CN"/>
              </w:rPr>
              <w:t>本项目排放的其他污染物环境空气质量现状补充</w:t>
            </w:r>
            <w:r>
              <w:rPr>
                <w:rFonts w:hint="default" w:ascii="Times New Roman" w:hAnsi="Times New Roman" w:eastAsia="宋体" w:cs="Times New Roman"/>
                <w:color w:val="auto"/>
                <w:szCs w:val="22"/>
                <w:lang w:val="en-US" w:eastAsia="zh-CN"/>
              </w:rPr>
              <w:t>监测分析方法及仪器信息详见表3-3。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 xml:space="preserve">3-3 </w:t>
            </w:r>
            <w:r>
              <w:rPr>
                <w:rFonts w:hint="default" w:ascii="Times New Roman" w:hAnsi="Times New Roman" w:eastAsia="宋体" w:cs="Times New Roman"/>
                <w:b/>
                <w:bCs/>
                <w:color w:val="auto"/>
                <w:sz w:val="24"/>
                <w:szCs w:val="24"/>
              </w:rPr>
              <w:t>环境空气监测点位及因子一览表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3352"/>
              <w:gridCol w:w="3168"/>
              <w:gridCol w:w="14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lang w:val="en-US" w:eastAsia="zh-CN"/>
                    </w:rPr>
                    <w:t>分析</w:t>
                  </w:r>
                  <w:r>
                    <w:rPr>
                      <w:rFonts w:hint="default" w:ascii="Times New Roman" w:hAnsi="Times New Roman" w:eastAsia="宋体" w:cs="Times New Roman"/>
                      <w:b/>
                      <w:bCs/>
                      <w:color w:val="auto"/>
                      <w:sz w:val="21"/>
                      <w:szCs w:val="21"/>
                    </w:rPr>
                    <w:t>项目</w:t>
                  </w:r>
                </w:p>
              </w:tc>
              <w:tc>
                <w:tcPr>
                  <w:tcW w:w="18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监测方法/依据</w:t>
                  </w:r>
                </w:p>
              </w:tc>
              <w:tc>
                <w:tcPr>
                  <w:tcW w:w="17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lang w:val="en-US" w:eastAsia="zh-CN"/>
                    </w:rPr>
                    <w:t>分析</w:t>
                  </w:r>
                  <w:r>
                    <w:rPr>
                      <w:rFonts w:hint="default" w:ascii="Times New Roman" w:hAnsi="Times New Roman" w:eastAsia="宋体" w:cs="Times New Roman"/>
                      <w:b/>
                      <w:bCs/>
                      <w:color w:val="auto"/>
                      <w:sz w:val="21"/>
                      <w:szCs w:val="21"/>
                    </w:rPr>
                    <w:t>仪器型号/编号</w:t>
                  </w:r>
                </w:p>
              </w:tc>
              <w:tc>
                <w:tcPr>
                  <w:tcW w:w="7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rPr>
                    <w:t>检出限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H</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val="en-US" w:eastAsia="zh-CN"/>
                    </w:rPr>
                    <w:t>S</w:t>
                  </w:r>
                </w:p>
              </w:tc>
              <w:tc>
                <w:tcPr>
                  <w:tcW w:w="1806" w:type="pct"/>
                  <w:tcBorders>
                    <w:tl2br w:val="nil"/>
                    <w:tr2bl w:val="nil"/>
                  </w:tcBorders>
                  <w:noWrap w:val="0"/>
                  <w:vAlign w:val="center"/>
                </w:tcPr>
                <w:p>
                  <w:pPr>
                    <w:pStyle w:val="3"/>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环境空气</w:t>
                  </w:r>
                </w:p>
                <w:p>
                  <w:pPr>
                    <w:pStyle w:val="3"/>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亚甲基蓝分光光度法</w:t>
                  </w:r>
                </w:p>
                <w:p>
                  <w:pPr>
                    <w:pStyle w:val="3"/>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《空气和废气监测分析方法》</w:t>
                  </w:r>
                </w:p>
                <w:p>
                  <w:pPr>
                    <w:pStyle w:val="3"/>
                    <w:jc w:val="center"/>
                    <w:rPr>
                      <w:rFonts w:hint="default"/>
                      <w:color w:val="auto"/>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第四版</w:t>
                  </w: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国家环境保护总局</w:t>
                  </w: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2003年</w:t>
                  </w:r>
                  <w:r>
                    <w:rPr>
                      <w:rFonts w:hint="eastAsia" w:ascii="Times New Roman" w:hAnsi="Times New Roman" w:cs="Times New Roman"/>
                      <w:b w:val="0"/>
                      <w:bCs w:val="0"/>
                      <w:color w:val="auto"/>
                      <w:kern w:val="2"/>
                      <w:sz w:val="21"/>
                      <w:szCs w:val="21"/>
                      <w:highlight w:val="none"/>
                      <w:lang w:val="en-US" w:eastAsia="zh-CN" w:bidi="ar-SA"/>
                    </w:rPr>
                    <w:t>）</w:t>
                  </w:r>
                </w:p>
              </w:tc>
              <w:tc>
                <w:tcPr>
                  <w:tcW w:w="17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SP-756P紫外可见分光光度计</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HK-0303003</w:t>
                  </w:r>
                  <w:r>
                    <w:rPr>
                      <w:rFonts w:hint="eastAsia" w:ascii="Times New Roman" w:hAnsi="Times New Roman"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2024年7月16日</w:t>
                  </w:r>
                  <w:r>
                    <w:rPr>
                      <w:rFonts w:hint="eastAsia" w:ascii="Times New Roman" w:hAnsi="Times New Roman" w:cs="Times New Roman"/>
                      <w:color w:val="auto"/>
                      <w:sz w:val="21"/>
                      <w:szCs w:val="21"/>
                      <w:highlight w:val="none"/>
                      <w:lang w:val="en-US" w:eastAsia="zh-CN"/>
                    </w:rPr>
                    <w:t>）</w:t>
                  </w:r>
                </w:p>
              </w:tc>
              <w:tc>
                <w:tcPr>
                  <w:tcW w:w="7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0.001</w:t>
                  </w:r>
                  <w:r>
                    <w:rPr>
                      <w:rFonts w:hint="default" w:ascii="Times New Roman" w:hAnsi="Times New Roman" w:eastAsia="宋体" w:cs="Times New Roman"/>
                      <w:color w:val="auto"/>
                      <w:sz w:val="21"/>
                      <w:szCs w:val="21"/>
                      <w:highlight w:val="none"/>
                    </w:rPr>
                    <w:t>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NH</w:t>
                  </w:r>
                  <w:r>
                    <w:rPr>
                      <w:rFonts w:hint="default" w:ascii="Times New Roman" w:hAnsi="Times New Roman" w:eastAsia="宋体" w:cs="Times New Roman"/>
                      <w:color w:val="auto"/>
                      <w:sz w:val="21"/>
                      <w:szCs w:val="21"/>
                      <w:vertAlign w:val="subscript"/>
                      <w:lang w:val="en-US" w:eastAsia="zh-CN"/>
                    </w:rPr>
                    <w:t>3</w:t>
                  </w:r>
                </w:p>
              </w:tc>
              <w:tc>
                <w:tcPr>
                  <w:tcW w:w="18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环境空气和废气 氨的测定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纳氏试剂分光光度法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HJ533-2009</w:t>
                  </w:r>
                </w:p>
              </w:tc>
              <w:tc>
                <w:tcPr>
                  <w:tcW w:w="17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T6紫外可见分光光度计</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HK-0303005</w:t>
                  </w:r>
                  <w:r>
                    <w:rPr>
                      <w:rFonts w:hint="eastAsia" w:ascii="Times New Roman" w:hAnsi="Times New Roman"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2024年10月11日</w:t>
                  </w:r>
                  <w:r>
                    <w:rPr>
                      <w:rFonts w:hint="eastAsia" w:ascii="Times New Roman" w:hAnsi="Times New Roman" w:cs="Times New Roman"/>
                      <w:color w:val="auto"/>
                      <w:sz w:val="21"/>
                      <w:szCs w:val="21"/>
                      <w:highlight w:val="none"/>
                      <w:lang w:val="en-US" w:eastAsia="zh-CN"/>
                    </w:rPr>
                    <w:t>）</w:t>
                  </w:r>
                </w:p>
              </w:tc>
              <w:tc>
                <w:tcPr>
                  <w:tcW w:w="7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r>
                    <w:rPr>
                      <w:rFonts w:hint="default" w:ascii="Times New Roman" w:hAnsi="Times New Roman" w:eastAsia="宋体" w:cs="Times New Roman"/>
                      <w:color w:val="auto"/>
                      <w:sz w:val="21"/>
                      <w:szCs w:val="21"/>
                      <w:highlight w:val="none"/>
                    </w:rPr>
                    <w:t>mg/m³</w:t>
                  </w:r>
                </w:p>
              </w:tc>
            </w:tr>
          </w:tbl>
          <w:p>
            <w:pPr>
              <w:pStyle w:val="73"/>
              <w:adjustRightInd w:val="0"/>
              <w:ind w:firstLine="480"/>
              <w:rPr>
                <w:rFonts w:hint="default" w:ascii="Times New Roman" w:hAnsi="Times New Roman" w:cs="Times New Roman"/>
                <w:b/>
                <w:bCs/>
                <w:color w:val="auto"/>
                <w:szCs w:val="22"/>
                <w:lang w:eastAsia="zh-CN"/>
              </w:rPr>
            </w:pPr>
            <w:r>
              <w:rPr>
                <w:rFonts w:hint="default" w:ascii="Times New Roman" w:hAnsi="Times New Roman" w:eastAsia="宋体" w:cs="Times New Roman"/>
                <w:b/>
                <w:bCs/>
                <w:color w:val="auto"/>
                <w:szCs w:val="22"/>
                <w:lang w:eastAsia="zh-CN"/>
              </w:rPr>
              <w:t>（</w:t>
            </w:r>
            <w:r>
              <w:rPr>
                <w:rFonts w:hint="default" w:ascii="Times New Roman" w:hAnsi="Times New Roman" w:eastAsia="宋体" w:cs="Times New Roman"/>
                <w:b/>
                <w:bCs/>
                <w:color w:val="auto"/>
                <w:szCs w:val="22"/>
                <w:lang w:val="en-US" w:eastAsia="zh-CN"/>
              </w:rPr>
              <w:t>5</w:t>
            </w:r>
            <w:r>
              <w:rPr>
                <w:rFonts w:hint="default" w:ascii="Times New Roman" w:hAnsi="Times New Roman" w:eastAsia="宋体" w:cs="Times New Roman"/>
                <w:b/>
                <w:bCs/>
                <w:color w:val="auto"/>
                <w:szCs w:val="22"/>
                <w:lang w:eastAsia="zh-CN"/>
              </w:rPr>
              <w:t>）监测结果及评价</w:t>
            </w:r>
          </w:p>
          <w:p>
            <w:pPr>
              <w:pStyle w:val="73"/>
              <w:keepNext w:val="0"/>
              <w:keepLines w:val="0"/>
              <w:pageBreakBefore w:val="0"/>
              <w:widowControl/>
              <w:kinsoku/>
              <w:wordWrap/>
              <w:overflowPunct/>
              <w:topLinePunct w:val="0"/>
              <w:autoSpaceDE/>
              <w:autoSpaceDN/>
              <w:bidi w:val="0"/>
              <w:adjustRightInd w:val="0"/>
              <w:snapToGrid/>
              <w:ind w:firstLine="480"/>
              <w:textAlignment w:val="auto"/>
              <w:rPr>
                <w:rFonts w:hint="default" w:ascii="Times New Roman" w:hAnsi="Times New Roman" w:cs="Times New Roman"/>
                <w:b w:val="0"/>
                <w:bCs w:val="0"/>
                <w:color w:val="auto"/>
                <w:szCs w:val="22"/>
                <w:lang w:eastAsia="zh-CN"/>
              </w:rPr>
            </w:pPr>
            <w:r>
              <w:rPr>
                <w:rFonts w:hint="default" w:ascii="Times New Roman" w:hAnsi="Times New Roman" w:eastAsia="宋体" w:cs="Times New Roman"/>
                <w:b w:val="0"/>
                <w:bCs w:val="0"/>
                <w:color w:val="auto"/>
                <w:szCs w:val="22"/>
                <w:lang w:eastAsia="zh-CN"/>
              </w:rPr>
              <w:t>本项目排放的其他污染物环境空气质量现状监测结果及评价详见表</w:t>
            </w:r>
            <w:r>
              <w:rPr>
                <w:rFonts w:hint="default" w:ascii="Times New Roman" w:hAnsi="Times New Roman" w:eastAsia="宋体" w:cs="Times New Roman"/>
                <w:b w:val="0"/>
                <w:bCs w:val="0"/>
                <w:color w:val="auto"/>
                <w:szCs w:val="22"/>
                <w:lang w:val="en-US" w:eastAsia="zh-CN"/>
              </w:rPr>
              <w:t>3-4</w:t>
            </w:r>
            <w:r>
              <w:rPr>
                <w:rFonts w:hint="default" w:ascii="Times New Roman" w:hAnsi="Times New Roman" w:eastAsia="宋体" w:cs="Times New Roman"/>
                <w:b w:val="0"/>
                <w:bCs w:val="0"/>
                <w:color w:val="auto"/>
                <w:szCs w:val="2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3-4</w:t>
            </w:r>
            <w:r>
              <w:rPr>
                <w:rFonts w:hint="default" w:ascii="Times New Roman" w:hAnsi="Times New Roman" w:eastAsia="宋体" w:cs="Times New Roman"/>
                <w:b/>
                <w:color w:val="auto"/>
                <w:sz w:val="24"/>
                <w:szCs w:val="24"/>
              </w:rPr>
              <w:t xml:space="preserve"> 其他污染物环境</w:t>
            </w:r>
            <w:r>
              <w:rPr>
                <w:rFonts w:hint="default" w:ascii="Times New Roman" w:hAnsi="Times New Roman" w:eastAsia="宋体" w:cs="Times New Roman"/>
                <w:b/>
                <w:color w:val="auto"/>
                <w:sz w:val="24"/>
                <w:szCs w:val="24"/>
                <w:lang w:eastAsia="zh-CN"/>
              </w:rPr>
              <w:t>空气</w:t>
            </w:r>
            <w:r>
              <w:rPr>
                <w:rFonts w:hint="default" w:ascii="Times New Roman" w:hAnsi="Times New Roman" w:eastAsia="宋体" w:cs="Times New Roman"/>
                <w:b/>
                <w:color w:val="auto"/>
                <w:sz w:val="24"/>
                <w:szCs w:val="24"/>
              </w:rPr>
              <w:t>质量现状</w:t>
            </w:r>
            <w:r>
              <w:rPr>
                <w:rFonts w:hint="default" w:ascii="Times New Roman" w:hAnsi="Times New Roman" w:eastAsia="宋体" w:cs="Times New Roman"/>
                <w:b/>
                <w:color w:val="auto"/>
                <w:sz w:val="24"/>
                <w:szCs w:val="24"/>
                <w:lang w:eastAsia="zh-CN"/>
              </w:rPr>
              <w:t>监测结果一览</w:t>
            </w:r>
            <w:r>
              <w:rPr>
                <w:rFonts w:hint="default" w:ascii="Times New Roman" w:hAnsi="Times New Roman" w:eastAsia="宋体" w:cs="Times New Roman"/>
                <w:b/>
                <w:color w:val="auto"/>
                <w:sz w:val="24"/>
                <w:szCs w:val="24"/>
              </w:rPr>
              <w:t>表</w:t>
            </w:r>
          </w:p>
          <w:tbl>
            <w:tblPr>
              <w:tblStyle w:val="27"/>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058"/>
              <w:gridCol w:w="1305"/>
              <w:gridCol w:w="1425"/>
              <w:gridCol w:w="1410"/>
              <w:gridCol w:w="1464"/>
              <w:gridCol w:w="922"/>
              <w:gridCol w:w="8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restar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rPr>
                    <w:t>监测点位</w:t>
                  </w:r>
                </w:p>
              </w:tc>
              <w:tc>
                <w:tcPr>
                  <w:tcW w:w="570" w:type="pct"/>
                  <w:vMerge w:val="restar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rPr>
                    <w:t>污染物</w:t>
                  </w:r>
                </w:p>
              </w:tc>
              <w:tc>
                <w:tcPr>
                  <w:tcW w:w="703" w:type="pct"/>
                  <w:vMerge w:val="restar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rPr>
                    <w:t>平均时间</w:t>
                  </w:r>
                </w:p>
              </w:tc>
              <w:tc>
                <w:tcPr>
                  <w:tcW w:w="768" w:type="pct"/>
                  <w:vMerge w:val="restar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rPr>
                    <w:t>评价标准/（</w:t>
                  </w:r>
                  <w:r>
                    <w:rPr>
                      <w:rFonts w:hint="eastAsia" w:ascii="Times New Roman" w:hAnsi="Times New Roman" w:cs="Times New Roman"/>
                      <w:b/>
                      <w:bCs/>
                      <w:color w:val="auto"/>
                      <w:sz w:val="21"/>
                      <w:szCs w:val="21"/>
                      <w:lang w:val="en-US" w:eastAsia="zh-CN"/>
                    </w:rPr>
                    <w:t>m</w:t>
                  </w:r>
                  <w:r>
                    <w:rPr>
                      <w:rFonts w:hint="default" w:ascii="Times New Roman" w:hAnsi="Times New Roman" w:eastAsia="宋体" w:cs="Times New Roman"/>
                      <w:b/>
                      <w:bCs/>
                      <w:color w:val="auto"/>
                      <w:sz w:val="21"/>
                      <w:szCs w:val="21"/>
                    </w:rPr>
                    <w:t>g</w:t>
                  </w:r>
                  <w:r>
                    <w:rPr>
                      <w:rFonts w:hint="default" w:ascii="Times New Roman" w:hAnsi="Times New Roman" w:eastAsia="宋体" w:cs="Times New Roman"/>
                      <w:b/>
                      <w:bCs/>
                      <w:color w:val="auto"/>
                      <w:kern w:val="24"/>
                      <w:sz w:val="21"/>
                      <w:szCs w:val="21"/>
                    </w:rPr>
                    <w:t>/m</w:t>
                  </w:r>
                  <w:r>
                    <w:rPr>
                      <w:rFonts w:hint="default" w:ascii="Times New Roman" w:hAnsi="Times New Roman" w:eastAsia="宋体" w:cs="Times New Roman"/>
                      <w:b/>
                      <w:bCs/>
                      <w:color w:val="auto"/>
                      <w:kern w:val="24"/>
                      <w:sz w:val="21"/>
                      <w:szCs w:val="21"/>
                      <w:vertAlign w:val="superscript"/>
                    </w:rPr>
                    <w:t>3</w:t>
                  </w:r>
                  <w:r>
                    <w:rPr>
                      <w:rFonts w:hint="default" w:ascii="Times New Roman" w:hAnsi="Times New Roman" w:eastAsia="宋体" w:cs="Times New Roman"/>
                      <w:b/>
                      <w:bCs/>
                      <w:color w:val="auto"/>
                      <w:sz w:val="21"/>
                      <w:szCs w:val="21"/>
                    </w:rPr>
                    <w:t>）</w:t>
                  </w:r>
                </w:p>
              </w:tc>
              <w:tc>
                <w:tcPr>
                  <w:tcW w:w="760" w:type="pct"/>
                  <w:vMerge w:val="restar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rPr>
                    <w:t>监测浓度范围/（</w:t>
                  </w:r>
                  <w:r>
                    <w:rPr>
                      <w:rFonts w:hint="eastAsia" w:ascii="Times New Roman" w:hAnsi="Times New Roman" w:cs="Times New Roman"/>
                      <w:b/>
                      <w:bCs/>
                      <w:color w:val="auto"/>
                      <w:sz w:val="21"/>
                      <w:szCs w:val="21"/>
                      <w:lang w:val="en-US" w:eastAsia="zh-CN"/>
                    </w:rPr>
                    <w:t>m</w:t>
                  </w:r>
                  <w:r>
                    <w:rPr>
                      <w:rFonts w:hint="default" w:ascii="Times New Roman" w:hAnsi="Times New Roman" w:eastAsia="宋体" w:cs="Times New Roman"/>
                      <w:b/>
                      <w:bCs/>
                      <w:color w:val="auto"/>
                      <w:sz w:val="21"/>
                      <w:szCs w:val="21"/>
                    </w:rPr>
                    <w:t>g</w:t>
                  </w:r>
                  <w:r>
                    <w:rPr>
                      <w:rFonts w:hint="default" w:ascii="Times New Roman" w:hAnsi="Times New Roman" w:eastAsia="宋体" w:cs="Times New Roman"/>
                      <w:b/>
                      <w:bCs/>
                      <w:color w:val="auto"/>
                      <w:kern w:val="24"/>
                      <w:sz w:val="21"/>
                      <w:szCs w:val="21"/>
                    </w:rPr>
                    <w:t>/m</w:t>
                  </w:r>
                  <w:r>
                    <w:rPr>
                      <w:rFonts w:hint="default" w:ascii="Times New Roman" w:hAnsi="Times New Roman" w:eastAsia="宋体" w:cs="Times New Roman"/>
                      <w:b/>
                      <w:bCs/>
                      <w:color w:val="auto"/>
                      <w:kern w:val="24"/>
                      <w:sz w:val="21"/>
                      <w:szCs w:val="21"/>
                      <w:vertAlign w:val="superscript"/>
                    </w:rPr>
                    <w:t>3</w:t>
                  </w:r>
                  <w:r>
                    <w:rPr>
                      <w:rFonts w:hint="default" w:ascii="Times New Roman" w:hAnsi="Times New Roman" w:eastAsia="宋体" w:cs="Times New Roman"/>
                      <w:b/>
                      <w:bCs/>
                      <w:color w:val="auto"/>
                      <w:sz w:val="21"/>
                      <w:szCs w:val="21"/>
                    </w:rPr>
                    <w:t>）</w:t>
                  </w:r>
                </w:p>
              </w:tc>
              <w:tc>
                <w:tcPr>
                  <w:tcW w:w="789" w:type="pct"/>
                  <w:vMerge w:val="restar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rPr>
                    <w:t>最大浓度占标率/%</w:t>
                  </w:r>
                </w:p>
              </w:tc>
              <w:tc>
                <w:tcPr>
                  <w:tcW w:w="497" w:type="pct"/>
                  <w:vMerge w:val="restar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rPr>
                    <w:t>超标率%</w:t>
                  </w:r>
                </w:p>
              </w:tc>
              <w:tc>
                <w:tcPr>
                  <w:tcW w:w="465" w:type="pct"/>
                  <w:vMerge w:val="restar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43" w:type="pct"/>
                  <w:vMerge w:val="continue"/>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rPr>
                  </w:pPr>
                </w:p>
              </w:tc>
              <w:tc>
                <w:tcPr>
                  <w:tcW w:w="570" w:type="pct"/>
                  <w:vMerge w:val="continue"/>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rPr>
                  </w:pPr>
                </w:p>
              </w:tc>
              <w:tc>
                <w:tcPr>
                  <w:tcW w:w="703" w:type="pct"/>
                  <w:vMerge w:val="continue"/>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rPr>
                  </w:pPr>
                </w:p>
              </w:tc>
              <w:tc>
                <w:tcPr>
                  <w:tcW w:w="768" w:type="pct"/>
                  <w:vMerge w:val="continue"/>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rPr>
                  </w:pPr>
                </w:p>
              </w:tc>
              <w:tc>
                <w:tcPr>
                  <w:tcW w:w="760" w:type="pct"/>
                  <w:vMerge w:val="continue"/>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rPr>
                  </w:pPr>
                </w:p>
              </w:tc>
              <w:tc>
                <w:tcPr>
                  <w:tcW w:w="789" w:type="pct"/>
                  <w:vMerge w:val="continue"/>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rPr>
                  </w:pPr>
                </w:p>
              </w:tc>
              <w:tc>
                <w:tcPr>
                  <w:tcW w:w="497" w:type="pct"/>
                  <w:vMerge w:val="continue"/>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rPr>
                  </w:pPr>
                </w:p>
              </w:tc>
              <w:tc>
                <w:tcPr>
                  <w:tcW w:w="465" w:type="pct"/>
                  <w:vMerge w:val="continue"/>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restart"/>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1#项目地下风向</w:t>
                  </w:r>
                </w:p>
              </w:tc>
              <w:tc>
                <w:tcPr>
                  <w:tcW w:w="570" w:type="pct"/>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NH</w:t>
                  </w:r>
                  <w:r>
                    <w:rPr>
                      <w:rFonts w:hint="default" w:ascii="Times New Roman" w:hAnsi="Times New Roman" w:eastAsia="宋体" w:cs="Times New Roman"/>
                      <w:color w:val="auto"/>
                      <w:sz w:val="21"/>
                      <w:szCs w:val="21"/>
                      <w:highlight w:val="none"/>
                      <w:vertAlign w:val="subscript"/>
                      <w:lang w:val="en-US" w:eastAsia="zh-CN"/>
                    </w:rPr>
                    <w:t>3</w:t>
                  </w:r>
                </w:p>
              </w:tc>
              <w:tc>
                <w:tcPr>
                  <w:tcW w:w="7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1h平均值</w:t>
                  </w:r>
                </w:p>
              </w:tc>
              <w:tc>
                <w:tcPr>
                  <w:tcW w:w="768" w:type="pc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0.2</w:t>
                  </w:r>
                </w:p>
              </w:tc>
              <w:tc>
                <w:tcPr>
                  <w:tcW w:w="760" w:type="pc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0.08</w:t>
                  </w:r>
                </w:p>
              </w:tc>
              <w:tc>
                <w:tcPr>
                  <w:tcW w:w="789" w:type="pc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40</w:t>
                  </w:r>
                </w:p>
              </w:tc>
              <w:tc>
                <w:tcPr>
                  <w:tcW w:w="497" w:type="pc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w:t>
                  </w:r>
                </w:p>
              </w:tc>
              <w:tc>
                <w:tcPr>
                  <w:tcW w:w="465" w:type="pc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highlight w:val="none"/>
                    </w:rPr>
                  </w:pPr>
                </w:p>
              </w:tc>
              <w:tc>
                <w:tcPr>
                  <w:tcW w:w="570" w:type="pct"/>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H</w:t>
                  </w:r>
                  <w:r>
                    <w:rPr>
                      <w:rFonts w:hint="default"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S</w:t>
                  </w:r>
                </w:p>
              </w:tc>
              <w:tc>
                <w:tcPr>
                  <w:tcW w:w="7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1h平均值</w:t>
                  </w:r>
                </w:p>
              </w:tc>
              <w:tc>
                <w:tcPr>
                  <w:tcW w:w="768" w:type="pc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0.01</w:t>
                  </w:r>
                </w:p>
              </w:tc>
              <w:tc>
                <w:tcPr>
                  <w:tcW w:w="760" w:type="pc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0.001</w:t>
                  </w:r>
                  <w:r>
                    <w:rPr>
                      <w:rFonts w:hint="eastAsia" w:ascii="Times New Roman" w:hAnsi="Times New Roman" w:cs="Times New Roman"/>
                      <w:color w:val="auto"/>
                      <w:sz w:val="21"/>
                      <w:szCs w:val="21"/>
                      <w:highlight w:val="none"/>
                      <w:vertAlign w:val="baseline"/>
                      <w:lang w:val="en-US" w:eastAsia="zh-CN"/>
                    </w:rPr>
                    <w:t>ND</w:t>
                  </w:r>
                </w:p>
              </w:tc>
              <w:tc>
                <w:tcPr>
                  <w:tcW w:w="789" w:type="pc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497" w:type="pc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w:t>
                  </w:r>
                </w:p>
              </w:tc>
              <w:tc>
                <w:tcPr>
                  <w:tcW w:w="465" w:type="pct"/>
                  <w:tcBorders>
                    <w:tl2br w:val="nil"/>
                    <w:tr2bl w:val="nil"/>
                  </w:tcBorders>
                  <w:noWrap w:val="0"/>
                  <w:vAlign w:val="center"/>
                </w:tcPr>
                <w:p>
                  <w:pPr>
                    <w:pStyle w:val="7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达标</w:t>
                  </w:r>
                </w:p>
              </w:tc>
            </w:tr>
          </w:tbl>
          <w:p>
            <w:pPr>
              <w:pStyle w:val="73"/>
              <w:keepNext w:val="0"/>
              <w:keepLines w:val="0"/>
              <w:pageBreakBefore w:val="0"/>
              <w:widowControl/>
              <w:kinsoku/>
              <w:wordWrap/>
              <w:overflowPunct/>
              <w:topLinePunct w:val="0"/>
              <w:autoSpaceDE/>
              <w:autoSpaceDN/>
              <w:bidi w:val="0"/>
              <w:adjustRightInd w:val="0"/>
              <w:snapToGrid/>
              <w:ind w:firstLine="480"/>
              <w:textAlignment w:val="auto"/>
              <w:rPr>
                <w:rFonts w:hint="default" w:ascii="Times New Roman" w:hAnsi="Times New Roman" w:cs="Times New Roman"/>
                <w:b w:val="0"/>
                <w:bCs w:val="0"/>
                <w:color w:val="auto"/>
                <w:szCs w:val="22"/>
                <w:lang w:eastAsia="zh-CN"/>
              </w:rPr>
            </w:pPr>
            <w:r>
              <w:rPr>
                <w:rFonts w:hint="default" w:ascii="Times New Roman" w:hAnsi="Times New Roman" w:eastAsia="宋体" w:cs="Times New Roman"/>
                <w:b w:val="0"/>
                <w:bCs w:val="0"/>
                <w:color w:val="auto"/>
                <w:szCs w:val="22"/>
                <w:lang w:eastAsia="zh-CN"/>
              </w:rPr>
              <w:t>由监测结果（表</w:t>
            </w:r>
            <w:r>
              <w:rPr>
                <w:rFonts w:hint="default" w:ascii="Times New Roman" w:hAnsi="Times New Roman" w:eastAsia="宋体" w:cs="Times New Roman"/>
                <w:b w:val="0"/>
                <w:bCs w:val="0"/>
                <w:color w:val="auto"/>
                <w:szCs w:val="22"/>
                <w:lang w:val="en-US" w:eastAsia="zh-CN"/>
              </w:rPr>
              <w:t>3-4</w:t>
            </w:r>
            <w:r>
              <w:rPr>
                <w:rFonts w:hint="default" w:ascii="Times New Roman" w:hAnsi="Times New Roman" w:eastAsia="宋体" w:cs="Times New Roman"/>
                <w:b w:val="0"/>
                <w:bCs w:val="0"/>
                <w:color w:val="auto"/>
                <w:szCs w:val="22"/>
                <w:lang w:eastAsia="zh-CN"/>
              </w:rPr>
              <w:t>）可知，评价区内各监测点位</w:t>
            </w:r>
            <w:r>
              <w:rPr>
                <w:rFonts w:hint="default" w:ascii="Times New Roman" w:hAnsi="Times New Roman" w:eastAsia="宋体" w:cs="Times New Roman"/>
                <w:b w:val="0"/>
                <w:bCs w:val="0"/>
                <w:color w:val="auto"/>
                <w:szCs w:val="22"/>
                <w:lang w:val="en-US" w:eastAsia="zh-CN"/>
              </w:rPr>
              <w:t>NH</w:t>
            </w:r>
            <w:r>
              <w:rPr>
                <w:rFonts w:hint="default" w:ascii="Times New Roman" w:hAnsi="Times New Roman" w:eastAsia="宋体" w:cs="Times New Roman"/>
                <w:b w:val="0"/>
                <w:bCs w:val="0"/>
                <w:color w:val="auto"/>
                <w:szCs w:val="22"/>
                <w:vertAlign w:val="subscript"/>
                <w:lang w:val="en-US" w:eastAsia="zh-CN"/>
              </w:rPr>
              <w:t>3</w:t>
            </w:r>
            <w:r>
              <w:rPr>
                <w:rFonts w:hint="default" w:ascii="Times New Roman" w:hAnsi="Times New Roman" w:eastAsia="宋体" w:cs="Times New Roman"/>
                <w:b w:val="0"/>
                <w:bCs w:val="0"/>
                <w:color w:val="auto"/>
                <w:szCs w:val="22"/>
                <w:lang w:eastAsia="zh-CN"/>
              </w:rPr>
              <w:t>、</w:t>
            </w:r>
            <w:r>
              <w:rPr>
                <w:rFonts w:hint="default" w:ascii="Times New Roman" w:hAnsi="Times New Roman" w:eastAsia="宋体" w:cs="Times New Roman"/>
                <w:b w:val="0"/>
                <w:bCs w:val="0"/>
                <w:color w:val="auto"/>
                <w:szCs w:val="22"/>
                <w:lang w:val="en-US" w:eastAsia="zh-CN"/>
              </w:rPr>
              <w:t>H</w:t>
            </w:r>
            <w:r>
              <w:rPr>
                <w:rFonts w:hint="default" w:ascii="Times New Roman" w:hAnsi="Times New Roman" w:eastAsia="宋体" w:cs="Times New Roman"/>
                <w:b w:val="0"/>
                <w:bCs w:val="0"/>
                <w:color w:val="auto"/>
                <w:szCs w:val="22"/>
                <w:vertAlign w:val="subscript"/>
                <w:lang w:val="en-US" w:eastAsia="zh-CN"/>
              </w:rPr>
              <w:t>2</w:t>
            </w:r>
            <w:r>
              <w:rPr>
                <w:rFonts w:hint="default" w:ascii="Times New Roman" w:hAnsi="Times New Roman" w:eastAsia="宋体" w:cs="Times New Roman"/>
                <w:b w:val="0"/>
                <w:bCs w:val="0"/>
                <w:color w:val="auto"/>
                <w:szCs w:val="22"/>
                <w:lang w:val="en-US" w:eastAsia="zh-CN"/>
              </w:rPr>
              <w:t>S</w:t>
            </w:r>
            <w:r>
              <w:rPr>
                <w:rFonts w:hint="default" w:ascii="Times New Roman" w:hAnsi="Times New Roman" w:eastAsia="宋体" w:cs="Times New Roman"/>
                <w:b w:val="0"/>
                <w:bCs w:val="0"/>
                <w:color w:val="auto"/>
                <w:szCs w:val="22"/>
                <w:lang w:eastAsia="zh-CN"/>
              </w:rPr>
              <w:t>的监测值均满足《环境影响评价技术导则 大气环境》（HJ2.2-2018）附录D浓度限值要求。</w:t>
            </w:r>
          </w:p>
          <w:p>
            <w:pPr>
              <w:pStyle w:val="11"/>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482" w:firstLineChars="200"/>
              <w:textAlignment w:val="auto"/>
              <w:rPr>
                <w:rFonts w:hint="default" w:ascii="Times New Roman" w:hAnsi="Times New Roman" w:eastAsia="宋体" w:cs="Times New Roman"/>
                <w:color w:val="auto"/>
                <w:szCs w:val="28"/>
                <w:lang w:val="en-US" w:eastAsia="zh-CN"/>
              </w:rPr>
            </w:pPr>
            <w:r>
              <w:rPr>
                <w:rFonts w:hint="eastAsia" w:ascii="Times New Roman" w:hAnsi="Times New Roman" w:eastAsia="宋体" w:cs="Times New Roman"/>
                <w:color w:val="auto"/>
                <w:szCs w:val="28"/>
                <w:lang w:val="en-US" w:eastAsia="zh-CN"/>
              </w:rPr>
              <w:t>2</w:t>
            </w:r>
            <w:r>
              <w:rPr>
                <w:rFonts w:hint="default" w:ascii="Times New Roman" w:hAnsi="Times New Roman" w:eastAsia="宋体" w:cs="Times New Roman"/>
                <w:color w:val="auto"/>
                <w:szCs w:val="28"/>
                <w:lang w:val="en-US" w:eastAsia="zh-CN"/>
              </w:rPr>
              <w:t>、声环境质量现状</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b w:val="0"/>
                <w:bCs w:val="0"/>
                <w:color w:val="auto"/>
                <w:kern w:val="0"/>
                <w:sz w:val="24"/>
                <w:szCs w:val="22"/>
                <w:lang w:val="en-GB" w:eastAsia="zh-CN" w:bidi="ar-SA"/>
              </w:rPr>
            </w:pPr>
            <w:r>
              <w:rPr>
                <w:rFonts w:hint="default" w:ascii="Times New Roman" w:hAnsi="Times New Roman" w:eastAsia="宋体" w:cs="Times New Roman"/>
                <w:b w:val="0"/>
                <w:bCs w:val="0"/>
                <w:color w:val="auto"/>
                <w:kern w:val="0"/>
                <w:sz w:val="24"/>
                <w:szCs w:val="22"/>
                <w:lang w:val="en-GB" w:eastAsia="zh-CN" w:bidi="ar-SA"/>
              </w:rPr>
              <w:t>为了解项目所在地声环境质量状况，</w:t>
            </w:r>
            <w:r>
              <w:rPr>
                <w:rFonts w:hint="default" w:ascii="Times New Roman" w:hAnsi="Times New Roman" w:eastAsia="宋体" w:cs="Times New Roman"/>
                <w:b w:val="0"/>
                <w:bCs w:val="0"/>
                <w:color w:val="auto"/>
                <w:kern w:val="0"/>
                <w:sz w:val="24"/>
                <w:szCs w:val="22"/>
                <w:lang w:val="en-US" w:eastAsia="zh-CN" w:bidi="ar-SA"/>
              </w:rPr>
              <w:t>本次评价</w:t>
            </w:r>
            <w:r>
              <w:rPr>
                <w:rFonts w:hint="default" w:ascii="Times New Roman" w:hAnsi="Times New Roman" w:eastAsia="宋体" w:cs="Times New Roman"/>
                <w:b w:val="0"/>
                <w:bCs w:val="0"/>
                <w:color w:val="auto"/>
                <w:kern w:val="0"/>
                <w:sz w:val="24"/>
                <w:szCs w:val="22"/>
                <w:lang w:val="en-GB" w:eastAsia="zh-CN" w:bidi="ar-SA"/>
              </w:rPr>
              <w:t>委托</w:t>
            </w:r>
            <w:r>
              <w:rPr>
                <w:rFonts w:hint="eastAsia" w:ascii="Times New Roman" w:hAnsi="Times New Roman" w:cs="Times New Roman"/>
                <w:b w:val="0"/>
                <w:bCs w:val="0"/>
                <w:color w:val="auto"/>
                <w:kern w:val="0"/>
                <w:sz w:val="24"/>
                <w:szCs w:val="22"/>
                <w:lang w:val="en-GB" w:eastAsia="zh-CN" w:bidi="ar-SA"/>
              </w:rPr>
              <w:t>陕西华康检验检测有限责任公司</w:t>
            </w:r>
            <w:r>
              <w:rPr>
                <w:rFonts w:hint="default" w:ascii="Times New Roman" w:hAnsi="Times New Roman" w:eastAsia="宋体" w:cs="Times New Roman"/>
                <w:b w:val="0"/>
                <w:bCs w:val="0"/>
                <w:color w:val="auto"/>
                <w:kern w:val="0"/>
                <w:sz w:val="24"/>
                <w:szCs w:val="22"/>
                <w:lang w:val="en-GB" w:eastAsia="zh-CN" w:bidi="ar-SA"/>
              </w:rPr>
              <w:t>于202</w:t>
            </w:r>
            <w:r>
              <w:rPr>
                <w:rFonts w:hint="eastAsia" w:ascii="Times New Roman" w:hAnsi="Times New Roman" w:cs="Times New Roman"/>
                <w:b w:val="0"/>
                <w:bCs w:val="0"/>
                <w:color w:val="auto"/>
                <w:kern w:val="0"/>
                <w:sz w:val="24"/>
                <w:szCs w:val="22"/>
                <w:lang w:val="en-US" w:eastAsia="zh-CN" w:bidi="ar-SA"/>
              </w:rPr>
              <w:t>4</w:t>
            </w:r>
            <w:r>
              <w:rPr>
                <w:rFonts w:hint="default" w:ascii="Times New Roman" w:hAnsi="Times New Roman" w:eastAsia="宋体" w:cs="Times New Roman"/>
                <w:b w:val="0"/>
                <w:bCs w:val="0"/>
                <w:color w:val="auto"/>
                <w:kern w:val="0"/>
                <w:sz w:val="24"/>
                <w:szCs w:val="22"/>
                <w:lang w:val="en-GB" w:eastAsia="zh-CN" w:bidi="ar-SA"/>
              </w:rPr>
              <w:t>年</w:t>
            </w:r>
            <w:r>
              <w:rPr>
                <w:rFonts w:hint="eastAsia" w:ascii="Times New Roman" w:hAnsi="Times New Roman" w:cs="Times New Roman"/>
                <w:b w:val="0"/>
                <w:bCs w:val="0"/>
                <w:color w:val="auto"/>
                <w:kern w:val="0"/>
                <w:sz w:val="24"/>
                <w:szCs w:val="22"/>
                <w:highlight w:val="none"/>
                <w:lang w:val="en-US" w:eastAsia="zh-CN" w:bidi="ar-SA"/>
              </w:rPr>
              <w:t>5</w:t>
            </w:r>
            <w:r>
              <w:rPr>
                <w:rFonts w:hint="default" w:ascii="Times New Roman" w:hAnsi="Times New Roman" w:eastAsia="宋体" w:cs="Times New Roman"/>
                <w:b w:val="0"/>
                <w:bCs w:val="0"/>
                <w:color w:val="auto"/>
                <w:kern w:val="0"/>
                <w:sz w:val="24"/>
                <w:szCs w:val="22"/>
                <w:highlight w:val="none"/>
                <w:lang w:val="en-GB" w:eastAsia="zh-CN" w:bidi="ar-SA"/>
              </w:rPr>
              <w:t>月</w:t>
            </w:r>
            <w:r>
              <w:rPr>
                <w:rFonts w:hint="eastAsia" w:ascii="Times New Roman" w:hAnsi="Times New Roman" w:cs="Times New Roman"/>
                <w:b w:val="0"/>
                <w:bCs w:val="0"/>
                <w:color w:val="auto"/>
                <w:kern w:val="0"/>
                <w:sz w:val="24"/>
                <w:szCs w:val="22"/>
                <w:highlight w:val="none"/>
                <w:lang w:val="en-US" w:eastAsia="zh-CN" w:bidi="ar-SA"/>
              </w:rPr>
              <w:t>24</w:t>
            </w:r>
            <w:r>
              <w:rPr>
                <w:rFonts w:hint="default" w:ascii="Times New Roman" w:hAnsi="Times New Roman" w:eastAsia="宋体" w:cs="Times New Roman"/>
                <w:b w:val="0"/>
                <w:bCs w:val="0"/>
                <w:color w:val="auto"/>
                <w:kern w:val="0"/>
                <w:sz w:val="24"/>
                <w:szCs w:val="22"/>
                <w:highlight w:val="none"/>
                <w:lang w:val="en-GB" w:eastAsia="zh-CN" w:bidi="ar-SA"/>
              </w:rPr>
              <w:t>日</w:t>
            </w:r>
            <w:r>
              <w:rPr>
                <w:rFonts w:hint="default" w:ascii="Times New Roman" w:hAnsi="Times New Roman" w:eastAsia="宋体" w:cs="Times New Roman"/>
                <w:b w:val="0"/>
                <w:bCs w:val="0"/>
                <w:color w:val="auto"/>
                <w:kern w:val="0"/>
                <w:sz w:val="24"/>
                <w:szCs w:val="22"/>
                <w:lang w:val="en-GB" w:eastAsia="zh-CN" w:bidi="ar-SA"/>
              </w:rPr>
              <w:t>对项目</w:t>
            </w:r>
            <w:r>
              <w:rPr>
                <w:rFonts w:hint="default" w:ascii="Times New Roman" w:hAnsi="Times New Roman" w:eastAsia="宋体" w:cs="Times New Roman"/>
                <w:b w:val="0"/>
                <w:bCs w:val="0"/>
                <w:color w:val="auto"/>
                <w:kern w:val="0"/>
                <w:sz w:val="24"/>
                <w:szCs w:val="22"/>
                <w:lang w:val="en-US" w:eastAsia="zh-CN" w:bidi="ar-SA"/>
              </w:rPr>
              <w:t>周边敏感点</w:t>
            </w:r>
            <w:r>
              <w:rPr>
                <w:rFonts w:hint="default" w:ascii="Times New Roman" w:hAnsi="Times New Roman" w:eastAsia="宋体" w:cs="Times New Roman"/>
                <w:b w:val="0"/>
                <w:bCs w:val="0"/>
                <w:color w:val="auto"/>
                <w:kern w:val="0"/>
                <w:sz w:val="24"/>
                <w:szCs w:val="22"/>
                <w:lang w:val="en-GB" w:eastAsia="zh-CN" w:bidi="ar-SA"/>
              </w:rPr>
              <w:t>声环境现状进行监测。</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b/>
                <w:bCs/>
                <w:color w:val="auto"/>
                <w:kern w:val="0"/>
                <w:sz w:val="24"/>
                <w:szCs w:val="22"/>
                <w:lang w:val="en-GB" w:eastAsia="zh-CN" w:bidi="ar-SA"/>
              </w:rPr>
            </w:pPr>
            <w:r>
              <w:rPr>
                <w:rFonts w:hint="default" w:ascii="Times New Roman" w:hAnsi="Times New Roman" w:eastAsia="宋体" w:cs="Times New Roman"/>
                <w:b/>
                <w:bCs/>
                <w:color w:val="auto"/>
                <w:kern w:val="0"/>
                <w:sz w:val="24"/>
                <w:szCs w:val="22"/>
                <w:lang w:val="en-GB" w:eastAsia="zh-CN" w:bidi="ar-SA"/>
              </w:rPr>
              <w:t>（</w:t>
            </w:r>
            <w:r>
              <w:rPr>
                <w:rFonts w:hint="default" w:ascii="Times New Roman" w:hAnsi="Times New Roman" w:eastAsia="宋体" w:cs="Times New Roman"/>
                <w:b/>
                <w:bCs/>
                <w:color w:val="auto"/>
                <w:kern w:val="0"/>
                <w:sz w:val="24"/>
                <w:szCs w:val="22"/>
                <w:lang w:val="en-US" w:eastAsia="zh-CN" w:bidi="ar-SA"/>
              </w:rPr>
              <w:t>1</w:t>
            </w:r>
            <w:r>
              <w:rPr>
                <w:rFonts w:hint="default" w:ascii="Times New Roman" w:hAnsi="Times New Roman" w:eastAsia="宋体" w:cs="Times New Roman"/>
                <w:b/>
                <w:bCs/>
                <w:color w:val="auto"/>
                <w:kern w:val="0"/>
                <w:sz w:val="24"/>
                <w:szCs w:val="22"/>
                <w:lang w:val="en-GB" w:eastAsia="zh-CN" w:bidi="ar-SA"/>
              </w:rPr>
              <w:t>）监测点位</w:t>
            </w:r>
          </w:p>
          <w:p>
            <w:pPr>
              <w:pStyle w:val="73"/>
              <w:adjustRightInd w:val="0"/>
              <w:ind w:firstLine="480"/>
              <w:rPr>
                <w:rFonts w:hint="default" w:ascii="Times New Roman" w:hAnsi="Times New Roman" w:eastAsia="宋体" w:cs="Times New Roman"/>
                <w:b w:val="0"/>
                <w:bCs w:val="0"/>
                <w:color w:val="auto"/>
                <w:kern w:val="0"/>
                <w:sz w:val="24"/>
                <w:szCs w:val="22"/>
                <w:highlight w:val="none"/>
                <w:lang w:val="en-GB" w:eastAsia="zh-CN" w:bidi="ar-SA"/>
              </w:rPr>
            </w:pPr>
            <w:r>
              <w:rPr>
                <w:rFonts w:hint="default" w:ascii="Times New Roman" w:hAnsi="Times New Roman" w:eastAsia="宋体" w:cs="Times New Roman"/>
                <w:b w:val="0"/>
                <w:bCs w:val="0"/>
                <w:color w:val="auto"/>
                <w:kern w:val="0"/>
                <w:sz w:val="24"/>
                <w:szCs w:val="22"/>
                <w:highlight w:val="none"/>
                <w:lang w:val="en-US" w:eastAsia="zh-CN" w:bidi="ar-SA"/>
              </w:rPr>
              <w:t>本次评价于</w:t>
            </w:r>
            <w:r>
              <w:rPr>
                <w:rFonts w:hint="default" w:ascii="Times New Roman" w:hAnsi="Times New Roman" w:eastAsia="宋体" w:cs="Times New Roman"/>
                <w:b w:val="0"/>
                <w:bCs w:val="0"/>
                <w:color w:val="auto"/>
                <w:kern w:val="0"/>
                <w:sz w:val="24"/>
                <w:szCs w:val="22"/>
                <w:highlight w:val="none"/>
                <w:lang w:val="en-GB" w:eastAsia="zh-CN" w:bidi="ar-SA"/>
              </w:rPr>
              <w:t>项目</w:t>
            </w:r>
            <w:r>
              <w:rPr>
                <w:rFonts w:hint="eastAsia" w:ascii="Times New Roman" w:hAnsi="Times New Roman" w:cs="Times New Roman"/>
                <w:b w:val="0"/>
                <w:bCs w:val="0"/>
                <w:color w:val="auto"/>
                <w:kern w:val="0"/>
                <w:sz w:val="24"/>
                <w:szCs w:val="22"/>
                <w:highlight w:val="none"/>
                <w:lang w:val="en-US" w:eastAsia="zh-CN" w:bidi="ar-SA"/>
              </w:rPr>
              <w:t>厂界四周及</w:t>
            </w:r>
            <w:r>
              <w:rPr>
                <w:rFonts w:hint="eastAsia" w:ascii="Times New Roman" w:hAnsi="Times New Roman" w:eastAsia="宋体" w:cs="Times New Roman"/>
                <w:b w:val="0"/>
                <w:bCs w:val="0"/>
                <w:color w:val="auto"/>
                <w:kern w:val="0"/>
                <w:sz w:val="24"/>
                <w:szCs w:val="22"/>
                <w:highlight w:val="none"/>
                <w:lang w:val="en-US" w:eastAsia="zh-CN" w:bidi="ar-SA"/>
              </w:rPr>
              <w:t>周边敏感点</w:t>
            </w:r>
            <w:r>
              <w:rPr>
                <w:rFonts w:hint="eastAsia" w:ascii="Times New Roman" w:hAnsi="Times New Roman" w:cs="Times New Roman"/>
                <w:b w:val="0"/>
                <w:bCs w:val="0"/>
                <w:color w:val="auto"/>
                <w:kern w:val="0"/>
                <w:sz w:val="24"/>
                <w:szCs w:val="22"/>
                <w:highlight w:val="none"/>
                <w:lang w:val="en-US" w:eastAsia="zh-CN" w:bidi="ar-SA"/>
              </w:rPr>
              <w:t>城管执法大队家属院、香溪丽舍小区</w:t>
            </w:r>
            <w:r>
              <w:rPr>
                <w:rFonts w:hint="default" w:ascii="Times New Roman" w:hAnsi="Times New Roman" w:eastAsia="宋体" w:cs="Times New Roman"/>
                <w:b w:val="0"/>
                <w:bCs w:val="0"/>
                <w:color w:val="auto"/>
                <w:kern w:val="0"/>
                <w:sz w:val="24"/>
                <w:szCs w:val="22"/>
                <w:highlight w:val="none"/>
                <w:lang w:val="en-US" w:eastAsia="zh-CN" w:bidi="ar-SA"/>
              </w:rPr>
              <w:t>分别设置1个监测点位进行声环境质量现状监测，</w:t>
            </w:r>
            <w:r>
              <w:rPr>
                <w:rFonts w:hint="eastAsia" w:ascii="Times New Roman" w:hAnsi="Times New Roman" w:cs="Times New Roman"/>
                <w:b w:val="0"/>
                <w:bCs w:val="0"/>
                <w:color w:val="auto"/>
                <w:kern w:val="0"/>
                <w:sz w:val="24"/>
                <w:szCs w:val="22"/>
                <w:highlight w:val="none"/>
                <w:lang w:val="en-US" w:eastAsia="zh-CN" w:bidi="ar-SA"/>
              </w:rPr>
              <w:t>共设置6个监测点位，</w:t>
            </w:r>
            <w:r>
              <w:rPr>
                <w:rFonts w:hint="default" w:ascii="Times New Roman" w:hAnsi="Times New Roman" w:eastAsia="宋体" w:cs="Times New Roman"/>
                <w:color w:val="auto"/>
                <w:szCs w:val="22"/>
                <w:highlight w:val="none"/>
                <w:lang w:eastAsia="zh-CN"/>
              </w:rPr>
              <w:t>监测点位</w:t>
            </w:r>
            <w:r>
              <w:rPr>
                <w:rFonts w:hint="eastAsia" w:ascii="Times New Roman" w:hAnsi="Times New Roman" w:cs="Times New Roman"/>
                <w:color w:val="auto"/>
                <w:szCs w:val="22"/>
                <w:highlight w:val="none"/>
                <w:lang w:val="en-US" w:eastAsia="zh-CN"/>
              </w:rPr>
              <w:t>示意</w:t>
            </w:r>
            <w:r>
              <w:rPr>
                <w:rFonts w:hint="default" w:ascii="Times New Roman" w:hAnsi="Times New Roman" w:eastAsia="宋体" w:cs="Times New Roman"/>
                <w:color w:val="auto"/>
                <w:szCs w:val="22"/>
                <w:highlight w:val="none"/>
                <w:lang w:eastAsia="zh-CN"/>
              </w:rPr>
              <w:t>图见附图</w:t>
            </w:r>
            <w:r>
              <w:rPr>
                <w:rFonts w:hint="eastAsia" w:ascii="Times New Roman" w:hAnsi="Times New Roman" w:eastAsia="宋体" w:cs="Times New Roman"/>
                <w:color w:val="auto"/>
                <w:szCs w:val="22"/>
                <w:highlight w:val="none"/>
                <w:lang w:val="en-US" w:eastAsia="zh-CN"/>
              </w:rPr>
              <w:t>4</w:t>
            </w:r>
            <w:r>
              <w:rPr>
                <w:rFonts w:hint="default" w:ascii="Times New Roman" w:hAnsi="Times New Roman" w:eastAsia="宋体" w:cs="Times New Roman"/>
                <w:b w:val="0"/>
                <w:bCs w:val="0"/>
                <w:color w:val="auto"/>
                <w:kern w:val="0"/>
                <w:sz w:val="24"/>
                <w:szCs w:val="22"/>
                <w:highlight w:val="none"/>
                <w:lang w:val="en-GB" w:eastAsia="zh-CN" w:bidi="ar-SA"/>
              </w:rPr>
              <w:t>。</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b/>
                <w:bCs/>
                <w:color w:val="auto"/>
                <w:kern w:val="0"/>
                <w:sz w:val="24"/>
                <w:szCs w:val="22"/>
                <w:lang w:val="en-GB" w:eastAsia="zh-CN" w:bidi="ar-SA"/>
              </w:rPr>
            </w:pPr>
            <w:r>
              <w:rPr>
                <w:rFonts w:hint="default" w:ascii="Times New Roman" w:hAnsi="Times New Roman" w:eastAsia="宋体" w:cs="Times New Roman"/>
                <w:b/>
                <w:bCs/>
                <w:color w:val="auto"/>
                <w:kern w:val="0"/>
                <w:sz w:val="24"/>
                <w:szCs w:val="22"/>
                <w:lang w:val="en-GB" w:eastAsia="zh-CN" w:bidi="ar-SA"/>
              </w:rPr>
              <w:t>（</w:t>
            </w:r>
            <w:r>
              <w:rPr>
                <w:rFonts w:hint="default" w:ascii="Times New Roman" w:hAnsi="Times New Roman" w:eastAsia="宋体" w:cs="Times New Roman"/>
                <w:b/>
                <w:bCs/>
                <w:color w:val="auto"/>
                <w:kern w:val="0"/>
                <w:sz w:val="24"/>
                <w:szCs w:val="22"/>
                <w:lang w:val="en-US" w:eastAsia="zh-CN" w:bidi="ar-SA"/>
              </w:rPr>
              <w:t>2</w:t>
            </w:r>
            <w:r>
              <w:rPr>
                <w:rFonts w:hint="default" w:ascii="Times New Roman" w:hAnsi="Times New Roman" w:eastAsia="宋体" w:cs="Times New Roman"/>
                <w:b/>
                <w:bCs/>
                <w:color w:val="auto"/>
                <w:kern w:val="0"/>
                <w:sz w:val="24"/>
                <w:szCs w:val="22"/>
                <w:lang w:val="en-GB" w:eastAsia="zh-CN" w:bidi="ar-SA"/>
              </w:rPr>
              <w:t>）监测时间与监测频次</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b w:val="0"/>
                <w:bCs w:val="0"/>
                <w:color w:val="auto"/>
                <w:kern w:val="0"/>
                <w:sz w:val="24"/>
                <w:szCs w:val="22"/>
                <w:lang w:val="en-GB" w:eastAsia="zh-CN" w:bidi="ar-SA"/>
              </w:rPr>
            </w:pPr>
            <w:r>
              <w:rPr>
                <w:rFonts w:hint="default" w:ascii="Times New Roman" w:hAnsi="Times New Roman" w:eastAsia="宋体" w:cs="Times New Roman"/>
                <w:b w:val="0"/>
                <w:bCs w:val="0"/>
                <w:color w:val="auto"/>
                <w:kern w:val="0"/>
                <w:sz w:val="24"/>
                <w:szCs w:val="22"/>
                <w:lang w:val="en-GB" w:eastAsia="zh-CN" w:bidi="ar-SA"/>
              </w:rPr>
              <w:t>监测时间及频次：监测1天，昼夜各</w:t>
            </w:r>
            <w:r>
              <w:rPr>
                <w:rFonts w:hint="default" w:ascii="Times New Roman" w:hAnsi="Times New Roman" w:eastAsia="宋体" w:cs="Times New Roman"/>
                <w:b w:val="0"/>
                <w:bCs w:val="0"/>
                <w:color w:val="auto"/>
                <w:kern w:val="0"/>
                <w:sz w:val="24"/>
                <w:szCs w:val="22"/>
                <w:lang w:val="en-US" w:eastAsia="zh-CN" w:bidi="ar-SA"/>
              </w:rPr>
              <w:t>监测1</w:t>
            </w:r>
            <w:r>
              <w:rPr>
                <w:rFonts w:hint="default" w:ascii="Times New Roman" w:hAnsi="Times New Roman" w:eastAsia="宋体" w:cs="Times New Roman"/>
                <w:b w:val="0"/>
                <w:bCs w:val="0"/>
                <w:color w:val="auto"/>
                <w:kern w:val="0"/>
                <w:sz w:val="24"/>
                <w:szCs w:val="22"/>
                <w:lang w:val="en-GB" w:eastAsia="zh-CN" w:bidi="ar-SA"/>
              </w:rPr>
              <w:t>次。</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b/>
                <w:bCs/>
                <w:color w:val="auto"/>
                <w:kern w:val="0"/>
                <w:sz w:val="24"/>
                <w:szCs w:val="22"/>
                <w:lang w:val="en-GB" w:eastAsia="zh-CN" w:bidi="ar-SA"/>
              </w:rPr>
            </w:pPr>
            <w:r>
              <w:rPr>
                <w:rFonts w:hint="default" w:ascii="Times New Roman" w:hAnsi="Times New Roman" w:eastAsia="宋体" w:cs="Times New Roman"/>
                <w:b/>
                <w:bCs/>
                <w:color w:val="auto"/>
                <w:kern w:val="0"/>
                <w:sz w:val="24"/>
                <w:szCs w:val="22"/>
                <w:lang w:val="en-GB" w:eastAsia="zh-CN" w:bidi="ar-SA"/>
              </w:rPr>
              <w:t>（</w:t>
            </w:r>
            <w:r>
              <w:rPr>
                <w:rFonts w:hint="default" w:ascii="Times New Roman" w:hAnsi="Times New Roman" w:eastAsia="宋体" w:cs="Times New Roman"/>
                <w:b/>
                <w:bCs/>
                <w:color w:val="auto"/>
                <w:kern w:val="0"/>
                <w:sz w:val="24"/>
                <w:szCs w:val="22"/>
                <w:lang w:val="en-US" w:eastAsia="zh-CN" w:bidi="ar-SA"/>
              </w:rPr>
              <w:t>3</w:t>
            </w:r>
            <w:r>
              <w:rPr>
                <w:rFonts w:hint="default" w:ascii="Times New Roman" w:hAnsi="Times New Roman" w:eastAsia="宋体" w:cs="Times New Roman"/>
                <w:b/>
                <w:bCs/>
                <w:color w:val="auto"/>
                <w:kern w:val="0"/>
                <w:sz w:val="24"/>
                <w:szCs w:val="22"/>
                <w:lang w:val="en-GB" w:eastAsia="zh-CN" w:bidi="ar-SA"/>
              </w:rPr>
              <w:t>）</w:t>
            </w:r>
            <w:r>
              <w:rPr>
                <w:rFonts w:hint="default" w:ascii="Times New Roman" w:hAnsi="Times New Roman" w:eastAsia="宋体" w:cs="Times New Roman"/>
                <w:b/>
                <w:bCs/>
                <w:color w:val="auto"/>
                <w:kern w:val="0"/>
                <w:sz w:val="24"/>
                <w:szCs w:val="22"/>
                <w:lang w:val="en-US" w:eastAsia="zh-CN" w:bidi="ar-SA"/>
              </w:rPr>
              <w:t>监</w:t>
            </w:r>
            <w:r>
              <w:rPr>
                <w:rFonts w:hint="default" w:ascii="Times New Roman" w:hAnsi="Times New Roman" w:eastAsia="宋体" w:cs="Times New Roman"/>
                <w:b/>
                <w:bCs/>
                <w:color w:val="auto"/>
                <w:kern w:val="0"/>
                <w:sz w:val="24"/>
                <w:szCs w:val="22"/>
                <w:lang w:val="en-GB" w:eastAsia="zh-CN" w:bidi="ar-SA"/>
              </w:rPr>
              <w:t>测依据</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b w:val="0"/>
                <w:bCs w:val="0"/>
                <w:color w:val="auto"/>
                <w:kern w:val="0"/>
                <w:sz w:val="24"/>
                <w:szCs w:val="22"/>
                <w:lang w:val="en-GB" w:eastAsia="zh-CN" w:bidi="ar-SA"/>
              </w:rPr>
            </w:pPr>
            <w:r>
              <w:rPr>
                <w:rFonts w:hint="default" w:ascii="Times New Roman" w:hAnsi="Times New Roman" w:eastAsia="宋体" w:cs="Times New Roman"/>
                <w:b w:val="0"/>
                <w:bCs w:val="0"/>
                <w:color w:val="auto"/>
                <w:kern w:val="0"/>
                <w:sz w:val="24"/>
                <w:szCs w:val="22"/>
                <w:lang w:val="en-US" w:eastAsia="zh-CN" w:bidi="ar-SA"/>
              </w:rPr>
              <w:t>声环境质量现状监测</w:t>
            </w:r>
            <w:r>
              <w:rPr>
                <w:rFonts w:hint="default" w:ascii="Times New Roman" w:hAnsi="Times New Roman" w:eastAsia="宋体" w:cs="Times New Roman"/>
                <w:b w:val="0"/>
                <w:bCs w:val="0"/>
                <w:color w:val="auto"/>
                <w:kern w:val="0"/>
                <w:sz w:val="24"/>
                <w:szCs w:val="22"/>
                <w:lang w:val="en-GB" w:eastAsia="zh-CN" w:bidi="ar-SA"/>
              </w:rPr>
              <w:t>按照《声环境质量标准》（GB3096-2008）标准要求进行。</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b/>
                <w:bCs/>
                <w:color w:val="auto"/>
                <w:kern w:val="0"/>
                <w:sz w:val="24"/>
                <w:szCs w:val="22"/>
                <w:lang w:val="en-GB" w:eastAsia="zh-CN" w:bidi="ar-SA"/>
              </w:rPr>
            </w:pPr>
            <w:r>
              <w:rPr>
                <w:rFonts w:hint="default" w:ascii="Times New Roman" w:hAnsi="Times New Roman" w:eastAsia="宋体" w:cs="Times New Roman"/>
                <w:b/>
                <w:bCs/>
                <w:color w:val="auto"/>
                <w:kern w:val="0"/>
                <w:sz w:val="24"/>
                <w:szCs w:val="22"/>
                <w:lang w:val="en-GB" w:eastAsia="zh-CN" w:bidi="ar-SA"/>
              </w:rPr>
              <w:t>（</w:t>
            </w:r>
            <w:r>
              <w:rPr>
                <w:rFonts w:hint="default" w:ascii="Times New Roman" w:hAnsi="Times New Roman" w:eastAsia="宋体" w:cs="Times New Roman"/>
                <w:b/>
                <w:bCs/>
                <w:color w:val="auto"/>
                <w:kern w:val="0"/>
                <w:sz w:val="24"/>
                <w:szCs w:val="22"/>
                <w:lang w:val="en-US" w:eastAsia="zh-CN" w:bidi="ar-SA"/>
              </w:rPr>
              <w:t>4</w:t>
            </w:r>
            <w:r>
              <w:rPr>
                <w:rFonts w:hint="default" w:ascii="Times New Roman" w:hAnsi="Times New Roman" w:eastAsia="宋体" w:cs="Times New Roman"/>
                <w:b/>
                <w:bCs/>
                <w:color w:val="auto"/>
                <w:kern w:val="0"/>
                <w:sz w:val="24"/>
                <w:szCs w:val="22"/>
                <w:lang w:val="en-GB" w:eastAsia="zh-CN" w:bidi="ar-SA"/>
              </w:rPr>
              <w:t>）监测结果</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b w:val="0"/>
                <w:bCs w:val="0"/>
                <w:color w:val="auto"/>
                <w:kern w:val="0"/>
                <w:sz w:val="24"/>
                <w:szCs w:val="22"/>
                <w:lang w:val="en-GB" w:eastAsia="zh-CN" w:bidi="ar-SA"/>
              </w:rPr>
            </w:pPr>
            <w:r>
              <w:rPr>
                <w:rFonts w:hint="default" w:ascii="Times New Roman" w:hAnsi="Times New Roman" w:eastAsia="宋体" w:cs="Times New Roman"/>
                <w:b w:val="0"/>
                <w:bCs w:val="0"/>
                <w:color w:val="auto"/>
                <w:kern w:val="0"/>
                <w:sz w:val="24"/>
                <w:szCs w:val="22"/>
                <w:lang w:val="en-GB" w:eastAsia="zh-CN" w:bidi="ar-SA"/>
              </w:rPr>
              <w:t>本项目</w:t>
            </w:r>
            <w:r>
              <w:rPr>
                <w:rFonts w:hint="default" w:ascii="Times New Roman" w:hAnsi="Times New Roman" w:eastAsia="宋体" w:cs="Times New Roman"/>
                <w:b w:val="0"/>
                <w:bCs w:val="0"/>
                <w:color w:val="auto"/>
                <w:kern w:val="0"/>
                <w:sz w:val="24"/>
                <w:szCs w:val="22"/>
                <w:lang w:val="en-US" w:eastAsia="zh-CN" w:bidi="ar-SA"/>
              </w:rPr>
              <w:t>声环境</w:t>
            </w:r>
            <w:r>
              <w:rPr>
                <w:rFonts w:hint="default" w:ascii="Times New Roman" w:hAnsi="Times New Roman" w:eastAsia="宋体" w:cs="Times New Roman"/>
                <w:b w:val="0"/>
                <w:bCs w:val="0"/>
                <w:color w:val="auto"/>
                <w:kern w:val="0"/>
                <w:sz w:val="24"/>
                <w:szCs w:val="22"/>
                <w:lang w:val="en-GB" w:eastAsia="zh-CN" w:bidi="ar-SA"/>
              </w:rPr>
              <w:t>质量现状监测结果及评价详见表</w:t>
            </w:r>
            <w:r>
              <w:rPr>
                <w:rFonts w:hint="default" w:ascii="Times New Roman" w:hAnsi="Times New Roman" w:eastAsia="宋体" w:cs="Times New Roman"/>
                <w:b w:val="0"/>
                <w:bCs w:val="0"/>
                <w:color w:val="auto"/>
                <w:kern w:val="0"/>
                <w:sz w:val="24"/>
                <w:szCs w:val="22"/>
                <w:lang w:val="en-US" w:eastAsia="zh-CN" w:bidi="ar-SA"/>
              </w:rPr>
              <w:t>3-5</w:t>
            </w:r>
            <w:r>
              <w:rPr>
                <w:rFonts w:hint="default" w:ascii="Times New Roman" w:hAnsi="Times New Roman" w:eastAsia="宋体" w:cs="Times New Roman"/>
                <w:b w:val="0"/>
                <w:bCs w:val="0"/>
                <w:color w:val="auto"/>
                <w:kern w:val="0"/>
                <w:sz w:val="24"/>
                <w:szCs w:val="22"/>
                <w:lang w:val="en-GB" w:eastAsia="zh-CN" w:bidi="ar-SA"/>
              </w:rPr>
              <w:t>。</w:t>
            </w:r>
          </w:p>
          <w:p>
            <w:pPr>
              <w:pStyle w:val="74"/>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表</w:t>
            </w:r>
            <w:r>
              <w:rPr>
                <w:rFonts w:hint="default" w:ascii="Times New Roman" w:hAnsi="Times New Roman" w:cs="Times New Roman"/>
                <w:bCs/>
                <w:color w:val="auto"/>
                <w:sz w:val="24"/>
                <w:szCs w:val="24"/>
                <w:lang w:val="en-US" w:eastAsia="zh-CN"/>
              </w:rPr>
              <w:t xml:space="preserve">3-5 </w:t>
            </w:r>
            <w:r>
              <w:rPr>
                <w:rFonts w:hint="default" w:ascii="Times New Roman" w:hAnsi="Times New Roman" w:cs="Times New Roman"/>
                <w:color w:val="auto"/>
                <w:sz w:val="24"/>
                <w:szCs w:val="24"/>
              </w:rPr>
              <w:t>噪声监测结果</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单位：dB(A)</w:t>
            </w:r>
          </w:p>
          <w:tbl>
            <w:tblPr>
              <w:tblStyle w:val="27"/>
              <w:tblW w:w="498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58"/>
              <w:gridCol w:w="1141"/>
              <w:gridCol w:w="1145"/>
              <w:gridCol w:w="1141"/>
              <w:gridCol w:w="1149"/>
              <w:gridCol w:w="14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59" w:type="pct"/>
                  <w:vMerge w:val="restart"/>
                  <w:tcBorders>
                    <w:tl2br w:val="nil"/>
                    <w:tr2bl w:val="nil"/>
                  </w:tcBorders>
                  <w:noWrap w:val="0"/>
                  <w:vAlign w:val="center"/>
                </w:tcPr>
                <w:p>
                  <w:pPr>
                    <w:pStyle w:val="71"/>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-5080</wp:posOffset>
                            </wp:positionV>
                            <wp:extent cx="2047875" cy="685800"/>
                            <wp:effectExtent l="1270" t="4445" r="8255" b="14605"/>
                            <wp:wrapNone/>
                            <wp:docPr id="2" name="直线 5903"/>
                            <wp:cNvGraphicFramePr/>
                            <a:graphic xmlns:a="http://schemas.openxmlformats.org/drawingml/2006/main">
                              <a:graphicData uri="http://schemas.microsoft.com/office/word/2010/wordprocessingShape">
                                <wps:wsp>
                                  <wps:cNvCnPr/>
                                  <wps:spPr>
                                    <a:xfrm>
                                      <a:off x="0" y="0"/>
                                      <a:ext cx="2047875" cy="685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903" o:spid="_x0000_s1026" o:spt="20" style="position:absolute;left:0pt;margin-left:-2.9pt;margin-top:-0.4pt;height:54pt;width:161.25pt;z-index:251660288;mso-width-relative:page;mso-height-relative:page;" filled="f" stroked="t" coordsize="21600,21600" o:gfxdata="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Q&#10;+rzl1gAAAAgBAAAPAAAAAAAAAAEAIAAAACIAAABkcnMvZG93bnJldi54bWxQSwECFAAUAAAACACH&#10;TuJA/WNYwe0BAADlAwAADgAAAAAAAAABACAAAAAlAQAAZHJzL2Uyb0RvYy54bWxQSwUGAAAAAAYA&#10;BgBZAQAAhAUAAAAA&#10;">
                            <v:fill on="f" focussize="0,0"/>
                            <v:stroke color="#000000" joinstyle="round"/>
                            <v:imagedata o:title=""/>
                            <o:lock v:ext="edit" aspectratio="f"/>
                          </v:line>
                        </w:pict>
                      </mc:Fallback>
                    </mc:AlternateContent>
                  </w:r>
                  <w:r>
                    <w:rPr>
                      <w:rFonts w:hint="default" w:ascii="Times New Roman" w:hAnsi="Times New Roman" w:cs="Times New Roman"/>
                      <w:b/>
                      <w:bCs/>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13970</wp:posOffset>
                            </wp:positionV>
                            <wp:extent cx="894715" cy="669290"/>
                            <wp:effectExtent l="2540" t="3810" r="17145" b="12700"/>
                            <wp:wrapNone/>
                            <wp:docPr id="1" name="直线 5904"/>
                            <wp:cNvGraphicFramePr/>
                            <a:graphic xmlns:a="http://schemas.openxmlformats.org/drawingml/2006/main">
                              <a:graphicData uri="http://schemas.microsoft.com/office/word/2010/wordprocessingShape">
                                <wps:wsp>
                                  <wps:cNvCnPr/>
                                  <wps:spPr>
                                    <a:xfrm>
                                      <a:off x="0" y="0"/>
                                      <a:ext cx="894715" cy="669851"/>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直线 5904" o:spid="_x0000_s1026" o:spt="20" style="position:absolute;left:0pt;margin-left:-4.4pt;margin-top:1.1pt;height:52.7pt;width:70.45pt;z-index:251659264;mso-width-relative:page;mso-height-relative:page;" filled="f" stroked="t" coordsize="21600,21600" o:gfxdata="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6jgPq&#10;1gAAAAgBAAAPAAAAAAAAAAEAIAAAACIAAABkcnMvZG93bnJldi54bWxQSwECFAAUAAAACACHTuJA&#10;yDpFKeoBAADkAwAADgAAAAAAAAABACAAAAAlAQAAZHJzL2Uyb0RvYy54bWxQSwUGAAAAAAYABgBZ&#10;AQAAgQUAAAAA&#10;">
                            <v:fill on="f" focussize="0,0"/>
                            <v:stroke weight="0.5pt" color="#000000" joinstyle="round"/>
                            <v:imagedata o:title=""/>
                            <o:lock v:ext="edit" aspectratio="f"/>
                          </v:line>
                        </w:pict>
                      </mc:Fallback>
                    </mc:AlternateContent>
                  </w:r>
                  <w:r>
                    <w:rPr>
                      <w:rFonts w:hint="default"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监</w:t>
                  </w:r>
                  <w:r>
                    <w:rPr>
                      <w:rFonts w:hint="default" w:ascii="Times New Roman" w:hAnsi="Times New Roman" w:cs="Times New Roman"/>
                      <w:b/>
                      <w:bCs/>
                      <w:color w:val="auto"/>
                      <w:sz w:val="21"/>
                      <w:szCs w:val="21"/>
                    </w:rPr>
                    <w:t>测日期</w:t>
                  </w:r>
                </w:p>
                <w:p>
                  <w:pPr>
                    <w:pStyle w:val="71"/>
                    <w:jc w:val="both"/>
                    <w:rPr>
                      <w:rFonts w:hint="default" w:ascii="Times New Roman" w:hAnsi="Times New Roman" w:cs="Times New Roman"/>
                      <w:b/>
                      <w:bCs/>
                      <w:color w:val="auto"/>
                      <w:sz w:val="21"/>
                      <w:szCs w:val="21"/>
                      <w:lang w:val="en-US" w:eastAsia="zh-CN"/>
                    </w:rPr>
                  </w:pPr>
                </w:p>
                <w:p>
                  <w:pPr>
                    <w:pStyle w:val="71"/>
                    <w:ind w:firstLine="843" w:firstLineChars="400"/>
                    <w:jc w:val="both"/>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监</w:t>
                  </w:r>
                  <w:r>
                    <w:rPr>
                      <w:rFonts w:hint="default" w:ascii="Times New Roman" w:hAnsi="Times New Roman" w:cs="Times New Roman"/>
                      <w:b/>
                      <w:bCs/>
                      <w:color w:val="auto"/>
                      <w:sz w:val="21"/>
                      <w:szCs w:val="21"/>
                    </w:rPr>
                    <w:t>测结果</w:t>
                  </w:r>
                </w:p>
                <w:p>
                  <w:pPr>
                    <w:pStyle w:val="71"/>
                    <w:jc w:val="both"/>
                    <w:rPr>
                      <w:rFonts w:hint="default"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val="en-US" w:eastAsia="zh-CN"/>
                    </w:rPr>
                    <w:t>监</w:t>
                  </w:r>
                  <w:r>
                    <w:rPr>
                      <w:rFonts w:hint="default" w:ascii="Times New Roman" w:hAnsi="Times New Roman" w:cs="Times New Roman"/>
                      <w:b/>
                      <w:bCs/>
                      <w:color w:val="auto"/>
                      <w:sz w:val="21"/>
                      <w:szCs w:val="21"/>
                    </w:rPr>
                    <w:t>测点位</w:t>
                  </w:r>
                </w:p>
              </w:tc>
              <w:tc>
                <w:tcPr>
                  <w:tcW w:w="1234" w:type="pct"/>
                  <w:gridSpan w:val="2"/>
                  <w:tcBorders>
                    <w:tl2br w:val="nil"/>
                    <w:tr2bl w:val="nil"/>
                  </w:tcBorders>
                  <w:noWrap w:val="0"/>
                  <w:vAlign w:val="center"/>
                </w:tcPr>
                <w:p>
                  <w:pPr>
                    <w:pStyle w:val="71"/>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rPr>
                    <w:t>202</w:t>
                  </w:r>
                  <w:r>
                    <w:rPr>
                      <w:rFonts w:hint="eastAsia"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highlight w:val="none"/>
                      <w:lang w:val="en-US" w:eastAsia="zh-CN"/>
                    </w:rPr>
                    <w:t>.5.24</w:t>
                  </w:r>
                </w:p>
              </w:tc>
              <w:tc>
                <w:tcPr>
                  <w:tcW w:w="1236" w:type="pct"/>
                  <w:gridSpan w:val="2"/>
                  <w:tcBorders>
                    <w:tl2br w:val="nil"/>
                    <w:tr2bl w:val="nil"/>
                  </w:tcBorders>
                  <w:noWrap w:val="0"/>
                  <w:vAlign w:val="center"/>
                </w:tcPr>
                <w:p>
                  <w:pPr>
                    <w:pStyle w:val="71"/>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标准限值</w:t>
                  </w:r>
                </w:p>
              </w:tc>
              <w:tc>
                <w:tcPr>
                  <w:tcW w:w="76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b/>
                      <w:bCs w:val="0"/>
                      <w:color w:val="auto"/>
                      <w:kern w:val="0"/>
                      <w:sz w:val="21"/>
                      <w:szCs w:val="21"/>
                      <w:highlight w:val="none"/>
                      <w:lang w:bidi="ar"/>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759" w:type="pct"/>
                  <w:vMerge w:val="continue"/>
                  <w:tcBorders>
                    <w:tl2br w:val="nil"/>
                    <w:tr2bl w:val="nil"/>
                  </w:tcBorders>
                  <w:noWrap w:val="0"/>
                  <w:vAlign w:val="center"/>
                </w:tcPr>
                <w:p>
                  <w:pPr>
                    <w:pStyle w:val="71"/>
                    <w:rPr>
                      <w:rFonts w:hint="default" w:ascii="Times New Roman" w:hAnsi="Times New Roman" w:cs="Times New Roman"/>
                      <w:b/>
                      <w:bCs/>
                      <w:color w:val="auto"/>
                      <w:sz w:val="21"/>
                      <w:szCs w:val="21"/>
                    </w:rPr>
                  </w:pPr>
                </w:p>
              </w:tc>
              <w:tc>
                <w:tcPr>
                  <w:tcW w:w="616" w:type="pct"/>
                  <w:tcBorders>
                    <w:tl2br w:val="nil"/>
                    <w:tr2bl w:val="nil"/>
                  </w:tcBorders>
                  <w:noWrap w:val="0"/>
                  <w:vAlign w:val="center"/>
                </w:tcPr>
                <w:p>
                  <w:pPr>
                    <w:pStyle w:val="71"/>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昼间</w:t>
                  </w:r>
                </w:p>
              </w:tc>
              <w:tc>
                <w:tcPr>
                  <w:tcW w:w="618" w:type="pct"/>
                  <w:tcBorders>
                    <w:tl2br w:val="nil"/>
                    <w:tr2bl w:val="nil"/>
                  </w:tcBorders>
                  <w:noWrap w:val="0"/>
                  <w:vAlign w:val="center"/>
                </w:tcPr>
                <w:p>
                  <w:pPr>
                    <w:pStyle w:val="71"/>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夜间</w:t>
                  </w:r>
                </w:p>
              </w:tc>
              <w:tc>
                <w:tcPr>
                  <w:tcW w:w="616" w:type="pct"/>
                  <w:tcBorders>
                    <w:tl2br w:val="nil"/>
                    <w:tr2bl w:val="nil"/>
                  </w:tcBorders>
                  <w:noWrap w:val="0"/>
                  <w:vAlign w:val="center"/>
                </w:tcPr>
                <w:p>
                  <w:pPr>
                    <w:pStyle w:val="71"/>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昼间</w:t>
                  </w:r>
                </w:p>
              </w:tc>
              <w:tc>
                <w:tcPr>
                  <w:tcW w:w="620" w:type="pct"/>
                  <w:tcBorders>
                    <w:tl2br w:val="nil"/>
                    <w:tr2bl w:val="nil"/>
                  </w:tcBorders>
                  <w:noWrap w:val="0"/>
                  <w:vAlign w:val="center"/>
                </w:tcPr>
                <w:p>
                  <w:pPr>
                    <w:pStyle w:val="71"/>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夜间</w:t>
                  </w:r>
                </w:p>
              </w:tc>
              <w:tc>
                <w:tcPr>
                  <w:tcW w:w="769" w:type="pct"/>
                  <w:vMerge w:val="continue"/>
                  <w:tcBorders>
                    <w:tl2br w:val="nil"/>
                    <w:tr2bl w:val="nil"/>
                  </w:tcBorders>
                  <w:noWrap w:val="0"/>
                  <w:vAlign w:val="center"/>
                </w:tcPr>
                <w:p>
                  <w:pPr>
                    <w:pStyle w:val="71"/>
                    <w:rPr>
                      <w:rFonts w:hint="default"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59" w:type="pct"/>
                  <w:tcBorders>
                    <w:tl2br w:val="nil"/>
                    <w:tr2bl w:val="nil"/>
                  </w:tcBorders>
                  <w:noWrap w:val="0"/>
                  <w:vAlign w:val="center"/>
                </w:tcPr>
                <w:p>
                  <w:pPr>
                    <w:pStyle w:val="7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东厂界</w:t>
                  </w:r>
                </w:p>
              </w:tc>
              <w:tc>
                <w:tcPr>
                  <w:tcW w:w="616" w:type="pct"/>
                  <w:tcBorders>
                    <w:tl2br w:val="nil"/>
                    <w:tr2bl w:val="nil"/>
                  </w:tcBorders>
                  <w:noWrap w:val="0"/>
                  <w:vAlign w:val="center"/>
                </w:tcPr>
                <w:p>
                  <w:pPr>
                    <w:pStyle w:val="71"/>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57</w:t>
                  </w:r>
                </w:p>
              </w:tc>
              <w:tc>
                <w:tcPr>
                  <w:tcW w:w="618" w:type="pct"/>
                  <w:tcBorders>
                    <w:tl2br w:val="nil"/>
                    <w:tr2bl w:val="nil"/>
                  </w:tcBorders>
                  <w:noWrap w:val="0"/>
                  <w:vAlign w:val="center"/>
                </w:tcPr>
                <w:p>
                  <w:pPr>
                    <w:pStyle w:val="71"/>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48</w:t>
                  </w:r>
                </w:p>
              </w:tc>
              <w:tc>
                <w:tcPr>
                  <w:tcW w:w="616" w:type="pct"/>
                  <w:vMerge w:val="restart"/>
                  <w:tcBorders>
                    <w:tl2br w:val="nil"/>
                    <w:tr2bl w:val="nil"/>
                  </w:tcBorders>
                  <w:noWrap w:val="0"/>
                  <w:vAlign w:val="center"/>
                </w:tcPr>
                <w:p>
                  <w:pPr>
                    <w:pStyle w:val="71"/>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620" w:type="pct"/>
                  <w:vMerge w:val="restart"/>
                  <w:tcBorders>
                    <w:tl2br w:val="nil"/>
                    <w:tr2bl w:val="nil"/>
                  </w:tcBorders>
                  <w:noWrap w:val="0"/>
                  <w:vAlign w:val="center"/>
                </w:tcPr>
                <w:p>
                  <w:pPr>
                    <w:pStyle w:val="71"/>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76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highlight w:val="none"/>
                      <w:lang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59" w:type="pct"/>
                  <w:tcBorders>
                    <w:tl2br w:val="nil"/>
                    <w:tr2bl w:val="nil"/>
                  </w:tcBorders>
                  <w:noWrap w:val="0"/>
                  <w:vAlign w:val="center"/>
                </w:tcPr>
                <w:p>
                  <w:pPr>
                    <w:pStyle w:val="7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南厂界</w:t>
                  </w:r>
                </w:p>
              </w:tc>
              <w:tc>
                <w:tcPr>
                  <w:tcW w:w="616" w:type="pct"/>
                  <w:tcBorders>
                    <w:tl2br w:val="nil"/>
                    <w:tr2bl w:val="nil"/>
                  </w:tcBorders>
                  <w:noWrap w:val="0"/>
                  <w:vAlign w:val="center"/>
                </w:tcPr>
                <w:p>
                  <w:pPr>
                    <w:pStyle w:val="71"/>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54</w:t>
                  </w:r>
                </w:p>
              </w:tc>
              <w:tc>
                <w:tcPr>
                  <w:tcW w:w="618" w:type="pct"/>
                  <w:tcBorders>
                    <w:tl2br w:val="nil"/>
                    <w:tr2bl w:val="nil"/>
                  </w:tcBorders>
                  <w:noWrap w:val="0"/>
                  <w:vAlign w:val="center"/>
                </w:tcPr>
                <w:p>
                  <w:pPr>
                    <w:pStyle w:val="71"/>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44</w:t>
                  </w:r>
                </w:p>
              </w:tc>
              <w:tc>
                <w:tcPr>
                  <w:tcW w:w="616" w:type="pct"/>
                  <w:vMerge w:val="continue"/>
                  <w:tcBorders>
                    <w:tl2br w:val="nil"/>
                    <w:tr2bl w:val="nil"/>
                  </w:tcBorders>
                  <w:noWrap w:val="0"/>
                  <w:vAlign w:val="center"/>
                </w:tcPr>
                <w:p>
                  <w:pPr>
                    <w:pStyle w:val="71"/>
                    <w:rPr>
                      <w:rFonts w:hint="default" w:ascii="Times New Roman" w:hAnsi="Times New Roman" w:eastAsia="Times New Roman" w:cs="Times New Roman"/>
                      <w:color w:val="auto"/>
                      <w:sz w:val="21"/>
                      <w:szCs w:val="21"/>
                    </w:rPr>
                  </w:pPr>
                </w:p>
              </w:tc>
              <w:tc>
                <w:tcPr>
                  <w:tcW w:w="620" w:type="pct"/>
                  <w:vMerge w:val="continue"/>
                  <w:tcBorders>
                    <w:tl2br w:val="nil"/>
                    <w:tr2bl w:val="nil"/>
                  </w:tcBorders>
                  <w:noWrap w:val="0"/>
                  <w:vAlign w:val="center"/>
                </w:tcPr>
                <w:p>
                  <w:pPr>
                    <w:pStyle w:val="71"/>
                    <w:rPr>
                      <w:rFonts w:hint="default" w:ascii="Times New Roman" w:hAnsi="Times New Roman" w:eastAsia="Times New Roman" w:cs="Times New Roman"/>
                      <w:color w:val="auto"/>
                      <w:sz w:val="21"/>
                      <w:szCs w:val="21"/>
                    </w:rPr>
                  </w:pPr>
                </w:p>
              </w:tc>
              <w:tc>
                <w:tcPr>
                  <w:tcW w:w="76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default" w:ascii="Times New Roman" w:hAnsi="Times New Roman" w:eastAsia="宋体" w:cs="Times New Roman"/>
                      <w:bCs/>
                      <w:color w:val="auto"/>
                      <w:kern w:val="0"/>
                      <w:sz w:val="21"/>
                      <w:szCs w:val="21"/>
                      <w:highlight w:val="non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59" w:type="pct"/>
                  <w:tcBorders>
                    <w:tl2br w:val="nil"/>
                    <w:tr2bl w:val="nil"/>
                  </w:tcBorders>
                  <w:noWrap w:val="0"/>
                  <w:vAlign w:val="center"/>
                </w:tcPr>
                <w:p>
                  <w:pPr>
                    <w:pStyle w:val="7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西厂界</w:t>
                  </w:r>
                </w:p>
              </w:tc>
              <w:tc>
                <w:tcPr>
                  <w:tcW w:w="616" w:type="pct"/>
                  <w:tcBorders>
                    <w:tl2br w:val="nil"/>
                    <w:tr2bl w:val="nil"/>
                  </w:tcBorders>
                  <w:noWrap w:val="0"/>
                  <w:vAlign w:val="center"/>
                </w:tcPr>
                <w:p>
                  <w:pPr>
                    <w:pStyle w:val="71"/>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57</w:t>
                  </w:r>
                </w:p>
              </w:tc>
              <w:tc>
                <w:tcPr>
                  <w:tcW w:w="618" w:type="pct"/>
                  <w:tcBorders>
                    <w:tl2br w:val="nil"/>
                    <w:tr2bl w:val="nil"/>
                  </w:tcBorders>
                  <w:noWrap w:val="0"/>
                  <w:vAlign w:val="center"/>
                </w:tcPr>
                <w:p>
                  <w:pPr>
                    <w:pStyle w:val="71"/>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45</w:t>
                  </w:r>
                </w:p>
              </w:tc>
              <w:tc>
                <w:tcPr>
                  <w:tcW w:w="616" w:type="pct"/>
                  <w:vMerge w:val="continue"/>
                  <w:tcBorders>
                    <w:tl2br w:val="nil"/>
                    <w:tr2bl w:val="nil"/>
                  </w:tcBorders>
                  <w:noWrap w:val="0"/>
                  <w:vAlign w:val="center"/>
                </w:tcPr>
                <w:p>
                  <w:pPr>
                    <w:pStyle w:val="71"/>
                    <w:rPr>
                      <w:rFonts w:hint="default" w:ascii="Times New Roman" w:hAnsi="Times New Roman" w:eastAsia="Times New Roman" w:cs="Times New Roman"/>
                      <w:color w:val="auto"/>
                      <w:sz w:val="21"/>
                      <w:szCs w:val="21"/>
                    </w:rPr>
                  </w:pPr>
                </w:p>
              </w:tc>
              <w:tc>
                <w:tcPr>
                  <w:tcW w:w="620" w:type="pct"/>
                  <w:vMerge w:val="continue"/>
                  <w:tcBorders>
                    <w:tl2br w:val="nil"/>
                    <w:tr2bl w:val="nil"/>
                  </w:tcBorders>
                  <w:noWrap w:val="0"/>
                  <w:vAlign w:val="center"/>
                </w:tcPr>
                <w:p>
                  <w:pPr>
                    <w:pStyle w:val="71"/>
                    <w:rPr>
                      <w:rFonts w:hint="default" w:ascii="Times New Roman" w:hAnsi="Times New Roman" w:eastAsia="Times New Roman" w:cs="Times New Roman"/>
                      <w:color w:val="auto"/>
                      <w:sz w:val="21"/>
                      <w:szCs w:val="21"/>
                    </w:rPr>
                  </w:pPr>
                </w:p>
              </w:tc>
              <w:tc>
                <w:tcPr>
                  <w:tcW w:w="76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default" w:ascii="Times New Roman" w:hAnsi="Times New Roman" w:eastAsia="宋体" w:cs="Times New Roman"/>
                      <w:bCs/>
                      <w:color w:val="auto"/>
                      <w:kern w:val="0"/>
                      <w:sz w:val="21"/>
                      <w:szCs w:val="21"/>
                      <w:highlight w:val="non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59" w:type="pct"/>
                  <w:tcBorders>
                    <w:tl2br w:val="nil"/>
                    <w:tr2bl w:val="nil"/>
                  </w:tcBorders>
                  <w:noWrap w:val="0"/>
                  <w:vAlign w:val="center"/>
                </w:tcPr>
                <w:p>
                  <w:pPr>
                    <w:pStyle w:val="7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北厂界</w:t>
                  </w:r>
                </w:p>
              </w:tc>
              <w:tc>
                <w:tcPr>
                  <w:tcW w:w="616" w:type="pct"/>
                  <w:tcBorders>
                    <w:tl2br w:val="nil"/>
                    <w:tr2bl w:val="nil"/>
                  </w:tcBorders>
                  <w:noWrap w:val="0"/>
                  <w:vAlign w:val="center"/>
                </w:tcPr>
                <w:p>
                  <w:pPr>
                    <w:pStyle w:val="71"/>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53</w:t>
                  </w:r>
                </w:p>
              </w:tc>
              <w:tc>
                <w:tcPr>
                  <w:tcW w:w="618" w:type="pct"/>
                  <w:tcBorders>
                    <w:tl2br w:val="nil"/>
                    <w:tr2bl w:val="nil"/>
                  </w:tcBorders>
                  <w:noWrap w:val="0"/>
                  <w:vAlign w:val="center"/>
                </w:tcPr>
                <w:p>
                  <w:pPr>
                    <w:pStyle w:val="71"/>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46</w:t>
                  </w:r>
                </w:p>
              </w:tc>
              <w:tc>
                <w:tcPr>
                  <w:tcW w:w="616" w:type="pct"/>
                  <w:vMerge w:val="continue"/>
                  <w:tcBorders>
                    <w:tl2br w:val="nil"/>
                    <w:tr2bl w:val="nil"/>
                  </w:tcBorders>
                  <w:noWrap w:val="0"/>
                  <w:vAlign w:val="center"/>
                </w:tcPr>
                <w:p>
                  <w:pPr>
                    <w:pStyle w:val="71"/>
                    <w:rPr>
                      <w:rFonts w:hint="default" w:ascii="Times New Roman" w:hAnsi="Times New Roman" w:eastAsia="Times New Roman" w:cs="Times New Roman"/>
                      <w:color w:val="auto"/>
                      <w:sz w:val="21"/>
                      <w:szCs w:val="21"/>
                    </w:rPr>
                  </w:pPr>
                </w:p>
              </w:tc>
              <w:tc>
                <w:tcPr>
                  <w:tcW w:w="620" w:type="pct"/>
                  <w:vMerge w:val="continue"/>
                  <w:tcBorders>
                    <w:tl2br w:val="nil"/>
                    <w:tr2bl w:val="nil"/>
                  </w:tcBorders>
                  <w:noWrap w:val="0"/>
                  <w:vAlign w:val="center"/>
                </w:tcPr>
                <w:p>
                  <w:pPr>
                    <w:pStyle w:val="71"/>
                    <w:rPr>
                      <w:rFonts w:hint="default" w:ascii="Times New Roman" w:hAnsi="Times New Roman" w:eastAsia="Times New Roman" w:cs="Times New Roman"/>
                      <w:color w:val="auto"/>
                      <w:sz w:val="21"/>
                      <w:szCs w:val="21"/>
                    </w:rPr>
                  </w:pPr>
                </w:p>
              </w:tc>
              <w:tc>
                <w:tcPr>
                  <w:tcW w:w="76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default" w:ascii="Times New Roman" w:hAnsi="Times New Roman" w:eastAsia="宋体" w:cs="Times New Roman"/>
                      <w:bCs/>
                      <w:color w:val="auto"/>
                      <w:kern w:val="0"/>
                      <w:sz w:val="21"/>
                      <w:szCs w:val="21"/>
                      <w:highlight w:val="non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59" w:type="pct"/>
                  <w:tcBorders>
                    <w:tl2br w:val="nil"/>
                    <w:tr2bl w:val="nil"/>
                  </w:tcBorders>
                  <w:noWrap w:val="0"/>
                  <w:vAlign w:val="center"/>
                </w:tcPr>
                <w:p>
                  <w:pPr>
                    <w:pStyle w:val="71"/>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城管执法大队家属院</w:t>
                  </w:r>
                </w:p>
              </w:tc>
              <w:tc>
                <w:tcPr>
                  <w:tcW w:w="616" w:type="pct"/>
                  <w:tcBorders>
                    <w:tl2br w:val="nil"/>
                    <w:tr2bl w:val="nil"/>
                  </w:tcBorders>
                  <w:noWrap w:val="0"/>
                  <w:vAlign w:val="center"/>
                </w:tcPr>
                <w:p>
                  <w:pPr>
                    <w:pStyle w:val="71"/>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57</w:t>
                  </w:r>
                </w:p>
              </w:tc>
              <w:tc>
                <w:tcPr>
                  <w:tcW w:w="618" w:type="pct"/>
                  <w:tcBorders>
                    <w:tl2br w:val="nil"/>
                    <w:tr2bl w:val="nil"/>
                  </w:tcBorders>
                  <w:noWrap w:val="0"/>
                  <w:vAlign w:val="center"/>
                </w:tcPr>
                <w:p>
                  <w:pPr>
                    <w:pStyle w:val="71"/>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49</w:t>
                  </w:r>
                </w:p>
              </w:tc>
              <w:tc>
                <w:tcPr>
                  <w:tcW w:w="616" w:type="pct"/>
                  <w:vMerge w:val="continue"/>
                  <w:tcBorders>
                    <w:tl2br w:val="nil"/>
                    <w:tr2bl w:val="nil"/>
                  </w:tcBorders>
                  <w:noWrap w:val="0"/>
                  <w:vAlign w:val="center"/>
                </w:tcPr>
                <w:p>
                  <w:pPr>
                    <w:pStyle w:val="71"/>
                    <w:rPr>
                      <w:rFonts w:hint="default" w:ascii="Times New Roman" w:hAnsi="Times New Roman" w:eastAsia="Times New Roman" w:cs="Times New Roman"/>
                      <w:color w:val="auto"/>
                      <w:sz w:val="21"/>
                      <w:szCs w:val="21"/>
                    </w:rPr>
                  </w:pPr>
                </w:p>
              </w:tc>
              <w:tc>
                <w:tcPr>
                  <w:tcW w:w="620" w:type="pct"/>
                  <w:vMerge w:val="continue"/>
                  <w:tcBorders>
                    <w:tl2br w:val="nil"/>
                    <w:tr2bl w:val="nil"/>
                  </w:tcBorders>
                  <w:noWrap w:val="0"/>
                  <w:vAlign w:val="center"/>
                </w:tcPr>
                <w:p>
                  <w:pPr>
                    <w:pStyle w:val="71"/>
                    <w:rPr>
                      <w:rFonts w:hint="default" w:ascii="Times New Roman" w:hAnsi="Times New Roman" w:eastAsia="Times New Roman" w:cs="Times New Roman"/>
                      <w:color w:val="auto"/>
                      <w:sz w:val="21"/>
                      <w:szCs w:val="21"/>
                    </w:rPr>
                  </w:pPr>
                </w:p>
              </w:tc>
              <w:tc>
                <w:tcPr>
                  <w:tcW w:w="76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default" w:ascii="Times New Roman" w:hAnsi="Times New Roman" w:eastAsia="宋体" w:cs="Times New Roman"/>
                      <w:bCs/>
                      <w:color w:val="auto"/>
                      <w:kern w:val="0"/>
                      <w:sz w:val="21"/>
                      <w:szCs w:val="21"/>
                      <w:highlight w:val="non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59" w:type="pct"/>
                  <w:tcBorders>
                    <w:tl2br w:val="nil"/>
                    <w:tr2bl w:val="nil"/>
                  </w:tcBorders>
                  <w:noWrap w:val="0"/>
                  <w:vAlign w:val="center"/>
                </w:tcPr>
                <w:p>
                  <w:pPr>
                    <w:pStyle w:val="71"/>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香溪丽舍小区</w:t>
                  </w:r>
                </w:p>
              </w:tc>
              <w:tc>
                <w:tcPr>
                  <w:tcW w:w="616" w:type="pct"/>
                  <w:tcBorders>
                    <w:tl2br w:val="nil"/>
                    <w:tr2bl w:val="nil"/>
                  </w:tcBorders>
                  <w:noWrap w:val="0"/>
                  <w:vAlign w:val="center"/>
                </w:tcPr>
                <w:p>
                  <w:pPr>
                    <w:pStyle w:val="71"/>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52</w:t>
                  </w:r>
                </w:p>
              </w:tc>
              <w:tc>
                <w:tcPr>
                  <w:tcW w:w="618" w:type="pct"/>
                  <w:tcBorders>
                    <w:tl2br w:val="nil"/>
                    <w:tr2bl w:val="nil"/>
                  </w:tcBorders>
                  <w:noWrap w:val="0"/>
                  <w:vAlign w:val="center"/>
                </w:tcPr>
                <w:p>
                  <w:pPr>
                    <w:pStyle w:val="71"/>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46</w:t>
                  </w:r>
                </w:p>
              </w:tc>
              <w:tc>
                <w:tcPr>
                  <w:tcW w:w="616" w:type="pct"/>
                  <w:vMerge w:val="continue"/>
                  <w:tcBorders>
                    <w:tl2br w:val="nil"/>
                    <w:tr2bl w:val="nil"/>
                  </w:tcBorders>
                  <w:noWrap w:val="0"/>
                  <w:vAlign w:val="center"/>
                </w:tcPr>
                <w:p>
                  <w:pPr>
                    <w:pStyle w:val="71"/>
                    <w:rPr>
                      <w:rFonts w:hint="default" w:ascii="Times New Roman" w:hAnsi="Times New Roman" w:eastAsia="Times New Roman" w:cs="Times New Roman"/>
                      <w:color w:val="auto"/>
                      <w:sz w:val="21"/>
                      <w:szCs w:val="21"/>
                    </w:rPr>
                  </w:pPr>
                </w:p>
              </w:tc>
              <w:tc>
                <w:tcPr>
                  <w:tcW w:w="620" w:type="pct"/>
                  <w:vMerge w:val="continue"/>
                  <w:tcBorders>
                    <w:tl2br w:val="nil"/>
                    <w:tr2bl w:val="nil"/>
                  </w:tcBorders>
                  <w:noWrap w:val="0"/>
                  <w:vAlign w:val="center"/>
                </w:tcPr>
                <w:p>
                  <w:pPr>
                    <w:pStyle w:val="71"/>
                    <w:rPr>
                      <w:rFonts w:hint="default" w:ascii="Times New Roman" w:hAnsi="Times New Roman" w:eastAsia="Times New Roman" w:cs="Times New Roman"/>
                      <w:color w:val="auto"/>
                      <w:sz w:val="21"/>
                      <w:szCs w:val="21"/>
                    </w:rPr>
                  </w:pPr>
                </w:p>
              </w:tc>
              <w:tc>
                <w:tcPr>
                  <w:tcW w:w="76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bidi="ar"/>
                    </w:rPr>
                  </w:pPr>
                  <w:r>
                    <w:rPr>
                      <w:rFonts w:hint="default" w:ascii="Times New Roman" w:hAnsi="Times New Roman" w:eastAsia="宋体" w:cs="Times New Roman"/>
                      <w:bCs/>
                      <w:color w:val="auto"/>
                      <w:kern w:val="0"/>
                      <w:sz w:val="21"/>
                      <w:szCs w:val="21"/>
                      <w:highlight w:val="none"/>
                      <w:lang w:val="en-US" w:eastAsia="zh-CN" w:bidi="ar"/>
                    </w:rPr>
                    <w:t>达标</w:t>
                  </w:r>
                </w:p>
              </w:tc>
            </w:tr>
          </w:tbl>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b w:val="0"/>
                <w:bCs w:val="0"/>
                <w:color w:val="auto"/>
                <w:kern w:val="0"/>
                <w:sz w:val="24"/>
                <w:szCs w:val="22"/>
                <w:lang w:val="en-US" w:eastAsia="zh-CN" w:bidi="ar-SA"/>
              </w:rPr>
              <w:t>由上述</w:t>
            </w:r>
            <w:r>
              <w:rPr>
                <w:rFonts w:hint="default" w:ascii="Times New Roman" w:hAnsi="Times New Roman" w:eastAsia="宋体" w:cs="Times New Roman"/>
                <w:b w:val="0"/>
                <w:bCs w:val="0"/>
                <w:color w:val="auto"/>
                <w:kern w:val="0"/>
                <w:sz w:val="24"/>
                <w:szCs w:val="22"/>
                <w:lang w:val="en-GB" w:eastAsia="zh-CN" w:bidi="ar-SA"/>
              </w:rPr>
              <w:t>监测结果可知，</w:t>
            </w:r>
            <w:r>
              <w:rPr>
                <w:rFonts w:hint="default" w:ascii="Times New Roman" w:hAnsi="Times New Roman" w:eastAsia="宋体" w:cs="Times New Roman"/>
                <w:b w:val="0"/>
                <w:bCs w:val="0"/>
                <w:color w:val="auto"/>
                <w:kern w:val="0"/>
                <w:sz w:val="24"/>
                <w:szCs w:val="22"/>
                <w:lang w:val="en-US" w:eastAsia="zh-CN" w:bidi="ar-SA"/>
              </w:rPr>
              <w:t>本</w:t>
            </w:r>
            <w:r>
              <w:rPr>
                <w:rFonts w:hint="default" w:ascii="Times New Roman" w:hAnsi="Times New Roman" w:eastAsia="宋体" w:cs="Times New Roman"/>
                <w:b w:val="0"/>
                <w:bCs w:val="0"/>
                <w:color w:val="auto"/>
                <w:kern w:val="0"/>
                <w:sz w:val="24"/>
                <w:szCs w:val="22"/>
                <w:lang w:val="en-GB" w:eastAsia="zh-CN" w:bidi="ar-SA"/>
              </w:rPr>
              <w:t>项目</w:t>
            </w:r>
            <w:r>
              <w:rPr>
                <w:rFonts w:hint="eastAsia" w:ascii="Times New Roman" w:hAnsi="Times New Roman" w:cs="Times New Roman"/>
                <w:b w:val="0"/>
                <w:bCs w:val="0"/>
                <w:color w:val="auto"/>
                <w:kern w:val="0"/>
                <w:sz w:val="24"/>
                <w:szCs w:val="22"/>
                <w:lang w:val="en-US" w:eastAsia="zh-CN" w:bidi="ar-SA"/>
              </w:rPr>
              <w:t>各厂界</w:t>
            </w:r>
            <w:r>
              <w:rPr>
                <w:rFonts w:hint="default" w:ascii="Times New Roman" w:hAnsi="Times New Roman" w:eastAsia="宋体" w:cs="Times New Roman"/>
                <w:color w:val="auto"/>
                <w:kern w:val="0"/>
                <w:sz w:val="24"/>
                <w:szCs w:val="24"/>
                <w:lang w:val="en-US" w:eastAsia="zh-CN" w:bidi="ar"/>
              </w:rPr>
              <w:t>噪声均</w:t>
            </w:r>
            <w:r>
              <w:rPr>
                <w:rFonts w:hint="eastAsia" w:ascii="Times New Roman" w:hAnsi="Times New Roman" w:cs="Times New Roman"/>
                <w:color w:val="auto"/>
                <w:kern w:val="0"/>
                <w:sz w:val="24"/>
                <w:szCs w:val="24"/>
                <w:lang w:val="en-US" w:eastAsia="zh-CN" w:bidi="ar"/>
              </w:rPr>
              <w:t>满足</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工业企业厂界环境噪声排放标准</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GB3096-2008</w:t>
            </w:r>
            <w:r>
              <w:rPr>
                <w:rFonts w:hint="default" w:ascii="Times New Roman" w:hAnsi="Times New Roman" w:eastAsia="宋体" w:cs="Times New Roman"/>
                <w:color w:val="auto"/>
                <w:kern w:val="0"/>
                <w:sz w:val="24"/>
                <w:szCs w:val="24"/>
                <w:lang w:val="en-US" w:eastAsia="zh-CN" w:bidi="ar"/>
              </w:rPr>
              <w:t>）中2类标准</w:t>
            </w:r>
            <w:r>
              <w:rPr>
                <w:rFonts w:hint="eastAsia" w:ascii="Times New Roman" w:hAnsi="Times New Roman" w:cs="Times New Roman"/>
                <w:color w:val="auto"/>
                <w:kern w:val="0"/>
                <w:sz w:val="24"/>
                <w:szCs w:val="24"/>
                <w:lang w:val="en-US" w:eastAsia="zh-CN" w:bidi="ar"/>
              </w:rPr>
              <w:t>要求</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cs="Times New Roman"/>
                <w:b w:val="0"/>
                <w:bCs w:val="0"/>
                <w:color w:val="auto"/>
                <w:kern w:val="0"/>
                <w:sz w:val="24"/>
                <w:szCs w:val="22"/>
                <w:lang w:val="en-US" w:eastAsia="zh-CN" w:bidi="ar-SA"/>
              </w:rPr>
              <w:t>周边</w:t>
            </w:r>
            <w:r>
              <w:rPr>
                <w:rFonts w:hint="default" w:ascii="Times New Roman" w:hAnsi="Times New Roman" w:eastAsia="宋体" w:cs="Times New Roman"/>
                <w:b w:val="0"/>
                <w:bCs w:val="0"/>
                <w:color w:val="auto"/>
                <w:kern w:val="0"/>
                <w:sz w:val="24"/>
                <w:szCs w:val="22"/>
                <w:lang w:val="en-GB" w:eastAsia="zh-CN" w:bidi="ar-SA"/>
              </w:rPr>
              <w:t>敏感点</w:t>
            </w:r>
            <w:r>
              <w:rPr>
                <w:rFonts w:hint="default" w:ascii="Times New Roman" w:hAnsi="Times New Roman" w:eastAsia="宋体" w:cs="Times New Roman"/>
                <w:b w:val="0"/>
                <w:bCs w:val="0"/>
                <w:color w:val="auto"/>
                <w:kern w:val="0"/>
                <w:sz w:val="24"/>
                <w:szCs w:val="22"/>
                <w:lang w:val="en-US" w:eastAsia="zh-CN" w:bidi="ar-SA"/>
              </w:rPr>
              <w:t>声环境质量</w:t>
            </w:r>
            <w:r>
              <w:rPr>
                <w:rFonts w:hint="default" w:ascii="Times New Roman" w:hAnsi="Times New Roman" w:eastAsia="宋体" w:cs="Times New Roman"/>
                <w:b w:val="0"/>
                <w:bCs w:val="0"/>
                <w:color w:val="auto"/>
                <w:kern w:val="0"/>
                <w:sz w:val="24"/>
                <w:szCs w:val="22"/>
                <w:lang w:val="en-GB" w:eastAsia="zh-CN" w:bidi="ar-SA"/>
              </w:rPr>
              <w:t>满足《声环境质量标准》（GB3096-2008）中2类区标准限值</w:t>
            </w:r>
            <w:r>
              <w:rPr>
                <w:rFonts w:hint="default" w:ascii="Times New Roman" w:hAnsi="Times New Roman" w:eastAsia="宋体" w:cs="Times New Roman"/>
                <w:b w:val="0"/>
                <w:bCs w:val="0"/>
                <w:color w:val="auto"/>
                <w:kern w:val="0"/>
                <w:sz w:val="24"/>
                <w:szCs w:val="22"/>
                <w:lang w:val="en-US" w:eastAsia="zh-CN" w:bidi="ar-SA"/>
              </w:rPr>
              <w:t>要求</w:t>
            </w:r>
            <w:r>
              <w:rPr>
                <w:rFonts w:hint="default" w:ascii="Times New Roman" w:hAnsi="Times New Roman" w:eastAsia="宋体" w:cs="Times New Roman"/>
                <w:b w:val="0"/>
                <w:bCs w:val="0"/>
                <w:color w:val="auto"/>
                <w:kern w:val="0"/>
                <w:sz w:val="24"/>
                <w:szCs w:val="22"/>
                <w:lang w:val="en-GB" w:eastAsia="zh-CN" w:bidi="ar-SA"/>
              </w:rPr>
              <w:t>，</w:t>
            </w:r>
            <w:r>
              <w:rPr>
                <w:rFonts w:hint="default" w:ascii="Times New Roman" w:hAnsi="Times New Roman" w:eastAsia="宋体" w:cs="Times New Roman"/>
                <w:b w:val="0"/>
                <w:bCs w:val="0"/>
                <w:color w:val="auto"/>
                <w:kern w:val="0"/>
                <w:sz w:val="24"/>
                <w:szCs w:val="22"/>
                <w:lang w:val="en-US" w:eastAsia="zh-CN" w:bidi="ar-SA"/>
              </w:rPr>
              <w:t>因此，项目所在区域</w:t>
            </w:r>
            <w:r>
              <w:rPr>
                <w:rFonts w:hint="default" w:ascii="Times New Roman" w:hAnsi="Times New Roman" w:eastAsia="宋体" w:cs="Times New Roman"/>
                <w:b w:val="0"/>
                <w:bCs w:val="0"/>
                <w:color w:val="auto"/>
                <w:kern w:val="0"/>
                <w:sz w:val="24"/>
                <w:szCs w:val="22"/>
                <w:lang w:val="en-GB" w:eastAsia="zh-CN" w:bidi="ar-SA"/>
              </w:rPr>
              <w:t>声环境质量现状较好。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234" w:type="pct"/>
            <w:tcBorders>
              <w:tl2br w:val="nil"/>
              <w:tr2bl w:val="nil"/>
            </w:tcBorders>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保护</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szCs w:val="24"/>
              </w:rPr>
              <w:t>目标</w:t>
            </w:r>
          </w:p>
        </w:tc>
        <w:tc>
          <w:tcPr>
            <w:tcW w:w="47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0"/>
                <w:sz w:val="24"/>
                <w:szCs w:val="22"/>
                <w:lang w:val="en-US" w:eastAsia="zh-CN" w:bidi="ar-SA"/>
              </w:rPr>
              <w:t>本项目涉及的环境保护目标主要为大气环境保护目标及声环境保护目标。根据《建设项目环境影响报告表编制技术指南（污染影响类）》（试行）中的要求，大气环境保护目标为厂界外500米范围内的自然保护区、风景名胜区、居住区和农村地区中人群较集中的区域；声环境保护目标为厂界外50米范围内</w:t>
            </w:r>
            <w:r>
              <w:rPr>
                <w:rFonts w:hint="default" w:ascii="Times New Roman" w:hAnsi="Times New Roman" w:eastAsia="宋体" w:cs="Times New Roman"/>
                <w:color w:val="auto"/>
                <w:kern w:val="0"/>
                <w:sz w:val="24"/>
                <w:szCs w:val="24"/>
                <w:lang w:eastAsia="zh-CN"/>
              </w:rPr>
              <w:t>区域。</w:t>
            </w:r>
            <w:r>
              <w:rPr>
                <w:rFonts w:hint="default" w:ascii="Times New Roman" w:hAnsi="Times New Roman" w:eastAsia="宋体" w:cs="Times New Roman"/>
                <w:color w:val="auto"/>
                <w:kern w:val="0"/>
                <w:sz w:val="24"/>
                <w:szCs w:val="24"/>
                <w:lang w:val="en-US" w:eastAsia="zh-CN" w:bidi="ar-SA"/>
              </w:rPr>
              <w:t>本项目厂界外500</w:t>
            </w:r>
            <w:r>
              <w:rPr>
                <w:rFonts w:hint="eastAsia" w:ascii="Times New Roman" w:hAnsi="Times New Roman" w:eastAsia="宋体" w:cs="Times New Roman"/>
                <w:color w:val="auto"/>
                <w:kern w:val="0"/>
                <w:sz w:val="24"/>
                <w:szCs w:val="24"/>
                <w:lang w:val="en-US" w:eastAsia="zh-CN" w:bidi="ar-SA"/>
              </w:rPr>
              <w:t>m</w:t>
            </w:r>
            <w:r>
              <w:rPr>
                <w:rFonts w:hint="default" w:ascii="Times New Roman" w:hAnsi="Times New Roman" w:eastAsia="宋体" w:cs="Times New Roman"/>
                <w:color w:val="auto"/>
                <w:kern w:val="0"/>
                <w:sz w:val="24"/>
                <w:szCs w:val="24"/>
                <w:lang w:val="en-US" w:eastAsia="zh-CN" w:bidi="ar-SA"/>
              </w:rPr>
              <w:t>范围内无地下水集中式饮用水水源和热水、矿泉水、温泉等特殊地下水资源。</w:t>
            </w:r>
            <w:r>
              <w:rPr>
                <w:rFonts w:hint="eastAsia" w:ascii="Times New Roman" w:hAnsi="Times New Roman" w:eastAsia="宋体" w:cs="Times New Roman"/>
                <w:color w:val="auto"/>
                <w:sz w:val="24"/>
                <w:szCs w:val="24"/>
                <w:highlight w:val="none"/>
                <w:lang w:val="en-US" w:eastAsia="zh-CN"/>
              </w:rPr>
              <w:t>本项目用地范围内无生态环境保护目标。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napToGrid w:val="0"/>
                <w:color w:val="auto"/>
                <w:spacing w:val="4"/>
                <w:kern w:val="0"/>
                <w:sz w:val="24"/>
                <w:szCs w:val="24"/>
              </w:rPr>
            </w:pPr>
            <w:r>
              <w:rPr>
                <w:rFonts w:hint="default" w:ascii="Times New Roman" w:hAnsi="Times New Roman" w:cs="Times New Roman"/>
                <w:b/>
                <w:bCs/>
                <w:snapToGrid w:val="0"/>
                <w:color w:val="auto"/>
                <w:spacing w:val="4"/>
                <w:kern w:val="0"/>
                <w:sz w:val="24"/>
                <w:szCs w:val="24"/>
              </w:rPr>
              <w:t>表</w:t>
            </w:r>
            <w:r>
              <w:rPr>
                <w:rFonts w:hint="default" w:ascii="Times New Roman" w:hAnsi="Times New Roman" w:cs="Times New Roman"/>
                <w:b/>
                <w:bCs/>
                <w:snapToGrid w:val="0"/>
                <w:color w:val="auto"/>
                <w:spacing w:val="4"/>
                <w:kern w:val="0"/>
                <w:sz w:val="24"/>
                <w:szCs w:val="24"/>
                <w:lang w:val="en-US" w:eastAsia="zh-CN"/>
              </w:rPr>
              <w:t xml:space="preserve">3-6 </w:t>
            </w:r>
            <w:r>
              <w:rPr>
                <w:rFonts w:hint="default" w:ascii="Times New Roman" w:hAnsi="Times New Roman" w:cs="Times New Roman"/>
                <w:b/>
                <w:bCs/>
                <w:snapToGrid w:val="0"/>
                <w:color w:val="auto"/>
                <w:spacing w:val="4"/>
                <w:kern w:val="0"/>
                <w:sz w:val="24"/>
                <w:szCs w:val="24"/>
              </w:rPr>
              <w:t>主要环境保护目标一览表</w:t>
            </w:r>
          </w:p>
          <w:tbl>
            <w:tblPr>
              <w:tblStyle w:val="27"/>
              <w:tblW w:w="4996"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473"/>
              <w:gridCol w:w="1484"/>
              <w:gridCol w:w="872"/>
              <w:gridCol w:w="874"/>
              <w:gridCol w:w="996"/>
              <w:gridCol w:w="1106"/>
              <w:gridCol w:w="707"/>
              <w:gridCol w:w="857"/>
              <w:gridCol w:w="190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restart"/>
                  <w:tcBorders>
                    <w:tl2br w:val="nil"/>
                    <w:tr2bl w:val="nil"/>
                  </w:tcBorders>
                  <w:noWrap w:val="0"/>
                  <w:vAlign w:val="center"/>
                </w:tcPr>
                <w:p>
                  <w:pPr>
                    <w:pStyle w:val="71"/>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环境要素</w:t>
                  </w:r>
                </w:p>
              </w:tc>
              <w:tc>
                <w:tcPr>
                  <w:tcW w:w="800" w:type="pct"/>
                  <w:vMerge w:val="restart"/>
                  <w:tcBorders>
                    <w:tl2br w:val="nil"/>
                    <w:tr2bl w:val="nil"/>
                  </w:tcBorders>
                  <w:noWrap w:val="0"/>
                  <w:vAlign w:val="center"/>
                </w:tcPr>
                <w:p>
                  <w:pPr>
                    <w:pStyle w:val="71"/>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名称</w:t>
                  </w:r>
                </w:p>
              </w:tc>
              <w:tc>
                <w:tcPr>
                  <w:tcW w:w="941" w:type="pct"/>
                  <w:gridSpan w:val="2"/>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rPr>
                    <w:t>坐标</w:t>
                  </w:r>
                  <w:r>
                    <w:rPr>
                      <w:rFonts w:hint="default" w:ascii="Times New Roman" w:hAnsi="Times New Roman" w:cs="Times New Roman"/>
                      <w:b/>
                      <w:bCs/>
                      <w:color w:val="auto"/>
                      <w:highlight w:val="none"/>
                      <w:lang w:val="en-US" w:eastAsia="zh-CN"/>
                    </w:rPr>
                    <w:t>/</w:t>
                  </w:r>
                  <w:r>
                    <w:rPr>
                      <w:rFonts w:hint="eastAsia" w:ascii="Times New Roman" w:hAnsi="Times New Roman" w:cs="Times New Roman"/>
                      <w:b/>
                      <w:bCs/>
                      <w:color w:val="auto"/>
                      <w:highlight w:val="none"/>
                      <w:lang w:val="en-US" w:eastAsia="zh-CN"/>
                    </w:rPr>
                    <w:t>m</w:t>
                  </w:r>
                </w:p>
              </w:tc>
              <w:tc>
                <w:tcPr>
                  <w:tcW w:w="537" w:type="pct"/>
                  <w:vMerge w:val="restart"/>
                  <w:tcBorders>
                    <w:tl2br w:val="nil"/>
                    <w:tr2bl w:val="nil"/>
                  </w:tcBorders>
                  <w:noWrap w:val="0"/>
                  <w:vAlign w:val="center"/>
                </w:tcPr>
                <w:p>
                  <w:pPr>
                    <w:pStyle w:val="71"/>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保护对象</w:t>
                  </w:r>
                </w:p>
              </w:tc>
              <w:tc>
                <w:tcPr>
                  <w:tcW w:w="596" w:type="pct"/>
                  <w:vMerge w:val="restart"/>
                  <w:tcBorders>
                    <w:tl2br w:val="nil"/>
                    <w:tr2bl w:val="nil"/>
                  </w:tcBorders>
                  <w:noWrap w:val="0"/>
                  <w:vAlign w:val="center"/>
                </w:tcPr>
                <w:p>
                  <w:pPr>
                    <w:pStyle w:val="71"/>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保护内容</w:t>
                  </w:r>
                </w:p>
              </w:tc>
              <w:tc>
                <w:tcPr>
                  <w:tcW w:w="381" w:type="pct"/>
                  <w:vMerge w:val="restart"/>
                  <w:tcBorders>
                    <w:tl2br w:val="nil"/>
                    <w:tr2bl w:val="nil"/>
                  </w:tcBorders>
                  <w:noWrap w:val="0"/>
                  <w:vAlign w:val="center"/>
                </w:tcPr>
                <w:p>
                  <w:pPr>
                    <w:pStyle w:val="71"/>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相对厂址方位</w:t>
                  </w:r>
                </w:p>
              </w:tc>
              <w:tc>
                <w:tcPr>
                  <w:tcW w:w="462" w:type="pct"/>
                  <w:vMerge w:val="restart"/>
                  <w:tcBorders>
                    <w:tl2br w:val="nil"/>
                    <w:tr2bl w:val="nil"/>
                  </w:tcBorders>
                  <w:noWrap w:val="0"/>
                  <w:vAlign w:val="center"/>
                </w:tcPr>
                <w:p>
                  <w:pPr>
                    <w:pStyle w:val="71"/>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相对厂界距离（m）</w:t>
                  </w:r>
                </w:p>
              </w:tc>
              <w:tc>
                <w:tcPr>
                  <w:tcW w:w="1026" w:type="pct"/>
                  <w:vMerge w:val="restart"/>
                  <w:tcBorders>
                    <w:tl2br w:val="nil"/>
                    <w:tr2bl w:val="nil"/>
                  </w:tcBorders>
                  <w:noWrap w:val="0"/>
                  <w:vAlign w:val="center"/>
                </w:tcPr>
                <w:p>
                  <w:pPr>
                    <w:pStyle w:val="71"/>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环境功能区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470"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lang w:val="en-US" w:eastAsia="zh-CN"/>
                    </w:rPr>
                    <w:t>X</w:t>
                  </w:r>
                </w:p>
              </w:tc>
              <w:tc>
                <w:tcPr>
                  <w:tcW w:w="471"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lang w:val="en-US" w:eastAsia="zh-CN"/>
                    </w:rPr>
                    <w:t>Y</w:t>
                  </w:r>
                </w:p>
              </w:tc>
              <w:tc>
                <w:tcPr>
                  <w:tcW w:w="537"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59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381"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462"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91" w:hRule="atLeast"/>
                <w:jc w:val="center"/>
              </w:trPr>
              <w:tc>
                <w:tcPr>
                  <w:tcW w:w="255" w:type="pct"/>
                  <w:vMerge w:val="restart"/>
                  <w:tcBorders>
                    <w:tl2br w:val="nil"/>
                    <w:tr2bl w:val="nil"/>
                  </w:tcBorders>
                  <w:noWrap w:val="0"/>
                  <w:vAlign w:val="center"/>
                </w:tcPr>
                <w:p>
                  <w:pPr>
                    <w:pStyle w:val="71"/>
                    <w:rPr>
                      <w:rFonts w:hint="default" w:ascii="Times New Roman" w:hAnsi="Times New Roman" w:cs="Times New Roman"/>
                      <w:color w:val="auto"/>
                      <w:highlight w:val="none"/>
                    </w:rPr>
                  </w:pPr>
                  <w:r>
                    <w:rPr>
                      <w:rFonts w:hint="default" w:ascii="Times New Roman" w:hAnsi="Times New Roman" w:cs="Times New Roman"/>
                      <w:color w:val="auto"/>
                      <w:highlight w:val="none"/>
                    </w:rPr>
                    <w:t>大气环境</w:t>
                  </w:r>
                </w:p>
              </w:tc>
              <w:tc>
                <w:tcPr>
                  <w:tcW w:w="800" w:type="pct"/>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香溪丽舍</w:t>
                  </w:r>
                </w:p>
              </w:tc>
              <w:tc>
                <w:tcPr>
                  <w:tcW w:w="470"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471"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-12</w:t>
                  </w:r>
                </w:p>
              </w:tc>
              <w:tc>
                <w:tcPr>
                  <w:tcW w:w="537"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198人</w:t>
                  </w:r>
                </w:p>
              </w:tc>
              <w:tc>
                <w:tcPr>
                  <w:tcW w:w="596" w:type="pct"/>
                  <w:tcBorders>
                    <w:tl2br w:val="nil"/>
                    <w:tr2bl w:val="nil"/>
                  </w:tcBorders>
                  <w:noWrap w:val="0"/>
                  <w:vAlign w:val="center"/>
                </w:tcPr>
                <w:p>
                  <w:pPr>
                    <w:pStyle w:val="71"/>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SW</w:t>
                  </w:r>
                </w:p>
              </w:tc>
              <w:tc>
                <w:tcPr>
                  <w:tcW w:w="462"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15</w:t>
                  </w:r>
                </w:p>
              </w:tc>
              <w:tc>
                <w:tcPr>
                  <w:tcW w:w="1026" w:type="pct"/>
                  <w:vMerge w:val="restart"/>
                  <w:tcBorders>
                    <w:tl2br w:val="nil"/>
                    <w:tr2bl w:val="nil"/>
                  </w:tcBorders>
                  <w:noWrap w:val="0"/>
                  <w:vAlign w:val="center"/>
                </w:tcPr>
                <w:p>
                  <w:pPr>
                    <w:pStyle w:val="71"/>
                    <w:rPr>
                      <w:rFonts w:hint="default" w:ascii="Times New Roman" w:hAnsi="Times New Roman" w:cs="Times New Roman"/>
                      <w:color w:val="auto"/>
                      <w:highlight w:val="none"/>
                    </w:rPr>
                  </w:pPr>
                  <w:r>
                    <w:rPr>
                      <w:rFonts w:hint="default" w:ascii="Times New Roman" w:hAnsi="Times New Roman" w:cs="Times New Roman"/>
                      <w:color w:val="auto"/>
                      <w:highlight w:val="none"/>
                    </w:rPr>
                    <w:t>《环境空气质量标准》（GB3095-2012）中二级标准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城管执法大队家属院</w:t>
                  </w:r>
                </w:p>
              </w:tc>
              <w:tc>
                <w:tcPr>
                  <w:tcW w:w="470"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17</w:t>
                  </w:r>
                </w:p>
              </w:tc>
              <w:tc>
                <w:tcPr>
                  <w:tcW w:w="471"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w:t>
                  </w:r>
                </w:p>
              </w:tc>
              <w:tc>
                <w:tcPr>
                  <w:tcW w:w="537"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654人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E</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17</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老干部活动中心</w:t>
                  </w:r>
                </w:p>
              </w:tc>
              <w:tc>
                <w:tcPr>
                  <w:tcW w:w="470"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471"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w:t>
                  </w:r>
                </w:p>
              </w:tc>
              <w:tc>
                <w:tcPr>
                  <w:tcW w:w="537"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11</w:t>
                  </w:r>
                  <w:r>
                    <w:rPr>
                      <w:rFonts w:hint="eastAsia" w:ascii="Times New Roman" w:hAnsi="Times New Roman" w:eastAsia="宋体" w:cs="Times New Roman"/>
                      <w:color w:val="auto"/>
                      <w:highlight w:val="none"/>
                      <w:lang w:val="en-US" w:eastAsia="zh-CN"/>
                    </w:rPr>
                    <w:t>5人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紧邻</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竹园双语幼儿园</w:t>
                  </w:r>
                </w:p>
              </w:tc>
              <w:tc>
                <w:tcPr>
                  <w:tcW w:w="470"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460</w:t>
                  </w:r>
                </w:p>
              </w:tc>
              <w:tc>
                <w:tcPr>
                  <w:tcW w:w="471"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172</w:t>
                  </w:r>
                </w:p>
              </w:tc>
              <w:tc>
                <w:tcPr>
                  <w:tcW w:w="537"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150人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NE</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454</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香溪家园</w:t>
                  </w:r>
                </w:p>
              </w:tc>
              <w:tc>
                <w:tcPr>
                  <w:tcW w:w="470"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395</w:t>
                  </w:r>
                </w:p>
              </w:tc>
              <w:tc>
                <w:tcPr>
                  <w:tcW w:w="471"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-155</w:t>
                  </w:r>
                </w:p>
              </w:tc>
              <w:tc>
                <w:tcPr>
                  <w:tcW w:w="537"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231人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SE</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383</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锦绣山庄</w:t>
                  </w:r>
                </w:p>
              </w:tc>
              <w:tc>
                <w:tcPr>
                  <w:tcW w:w="470"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190</w:t>
                  </w:r>
                </w:p>
              </w:tc>
              <w:tc>
                <w:tcPr>
                  <w:tcW w:w="471"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-30</w:t>
                  </w:r>
                </w:p>
              </w:tc>
              <w:tc>
                <w:tcPr>
                  <w:tcW w:w="537"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158人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SE</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197</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cs="Times New Roman"/>
                      <w:color w:val="auto"/>
                      <w:kern w:val="2"/>
                      <w:sz w:val="21"/>
                      <w:szCs w:val="21"/>
                      <w:highlight w:val="none"/>
                      <w:lang w:val="en-US" w:eastAsia="zh-CN" w:bidi="ar-SA"/>
                    </w:rPr>
                    <w:t>安康市藏一角博物馆</w:t>
                  </w:r>
                </w:p>
              </w:tc>
              <w:tc>
                <w:tcPr>
                  <w:tcW w:w="470"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150</w:t>
                  </w:r>
                </w:p>
              </w:tc>
              <w:tc>
                <w:tcPr>
                  <w:tcW w:w="471"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80</w:t>
                  </w:r>
                </w:p>
              </w:tc>
              <w:tc>
                <w:tcPr>
                  <w:tcW w:w="537"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68人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NE</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140</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段家沟</w:t>
                  </w:r>
                </w:p>
              </w:tc>
              <w:tc>
                <w:tcPr>
                  <w:tcW w:w="470"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107</w:t>
                  </w:r>
                </w:p>
              </w:tc>
              <w:tc>
                <w:tcPr>
                  <w:tcW w:w="471"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180</w:t>
                  </w:r>
                </w:p>
              </w:tc>
              <w:tc>
                <w:tcPr>
                  <w:tcW w:w="537" w:type="pct"/>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112人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NE</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198</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南门社区</w:t>
                  </w:r>
                </w:p>
              </w:tc>
              <w:tc>
                <w:tcPr>
                  <w:tcW w:w="470"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124</w:t>
                  </w:r>
                </w:p>
              </w:tc>
              <w:tc>
                <w:tcPr>
                  <w:tcW w:w="47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270</w:t>
                  </w:r>
                </w:p>
              </w:tc>
              <w:tc>
                <w:tcPr>
                  <w:tcW w:w="537"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235人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NE</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295</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天宝公司家属院</w:t>
                  </w:r>
                </w:p>
              </w:tc>
              <w:tc>
                <w:tcPr>
                  <w:tcW w:w="470"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w:t>
                  </w:r>
                </w:p>
              </w:tc>
              <w:tc>
                <w:tcPr>
                  <w:tcW w:w="47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350</w:t>
                  </w:r>
                </w:p>
              </w:tc>
              <w:tc>
                <w:tcPr>
                  <w:tcW w:w="537"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218人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N</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350</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地税局家属院</w:t>
                  </w:r>
                </w:p>
              </w:tc>
              <w:tc>
                <w:tcPr>
                  <w:tcW w:w="470"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35</w:t>
                  </w:r>
                </w:p>
              </w:tc>
              <w:tc>
                <w:tcPr>
                  <w:tcW w:w="47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100</w:t>
                  </w:r>
                </w:p>
              </w:tc>
              <w:tc>
                <w:tcPr>
                  <w:tcW w:w="537"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362人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NE</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101</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区财政局家属院</w:t>
                  </w:r>
                </w:p>
              </w:tc>
              <w:tc>
                <w:tcPr>
                  <w:tcW w:w="470"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-180</w:t>
                  </w:r>
                </w:p>
              </w:tc>
              <w:tc>
                <w:tcPr>
                  <w:tcW w:w="47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450</w:t>
                  </w:r>
                </w:p>
              </w:tc>
              <w:tc>
                <w:tcPr>
                  <w:tcW w:w="537"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129人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NW</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467</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岚河水电家属院</w:t>
                  </w:r>
                </w:p>
              </w:tc>
              <w:tc>
                <w:tcPr>
                  <w:tcW w:w="470"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-60</w:t>
                  </w:r>
                </w:p>
              </w:tc>
              <w:tc>
                <w:tcPr>
                  <w:tcW w:w="47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57</w:t>
                  </w:r>
                </w:p>
              </w:tc>
              <w:tc>
                <w:tcPr>
                  <w:tcW w:w="537"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105人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NW</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90</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桂园小区</w:t>
                  </w:r>
                </w:p>
              </w:tc>
              <w:tc>
                <w:tcPr>
                  <w:tcW w:w="470"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-340</w:t>
                  </w:r>
                </w:p>
              </w:tc>
              <w:tc>
                <w:tcPr>
                  <w:tcW w:w="47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20</w:t>
                  </w:r>
                </w:p>
              </w:tc>
              <w:tc>
                <w:tcPr>
                  <w:tcW w:w="537"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94人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NW</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345</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金城首府</w:t>
                  </w:r>
                </w:p>
              </w:tc>
              <w:tc>
                <w:tcPr>
                  <w:tcW w:w="470"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-430</w:t>
                  </w:r>
                </w:p>
              </w:tc>
              <w:tc>
                <w:tcPr>
                  <w:tcW w:w="47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80</w:t>
                  </w:r>
                </w:p>
              </w:tc>
              <w:tc>
                <w:tcPr>
                  <w:tcW w:w="537"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196人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NW</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439</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800" w:type="pct"/>
                  <w:tcBorders>
                    <w:tl2br w:val="nil"/>
                    <w:tr2bl w:val="nil"/>
                  </w:tcBorders>
                  <w:noWrap w:val="0"/>
                  <w:vAlign w:val="center"/>
                </w:tcPr>
                <w:p>
                  <w:pPr>
                    <w:pStyle w:val="71"/>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安康地区农科所家属院</w:t>
                  </w:r>
                </w:p>
              </w:tc>
              <w:tc>
                <w:tcPr>
                  <w:tcW w:w="470"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-302</w:t>
                  </w:r>
                </w:p>
              </w:tc>
              <w:tc>
                <w:tcPr>
                  <w:tcW w:w="47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164</w:t>
                  </w:r>
                </w:p>
              </w:tc>
              <w:tc>
                <w:tcPr>
                  <w:tcW w:w="537"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91人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NW</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347</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restart"/>
                  <w:tcBorders>
                    <w:tl2br w:val="nil"/>
                    <w:tr2bl w:val="nil"/>
                  </w:tcBorders>
                  <w:noWrap w:val="0"/>
                  <w:vAlign w:val="center"/>
                </w:tcPr>
                <w:p>
                  <w:pPr>
                    <w:pStyle w:val="71"/>
                    <w:rPr>
                      <w:rFonts w:hint="default" w:ascii="Times New Roman" w:hAnsi="Times New Roman" w:cs="Times New Roman"/>
                      <w:color w:val="auto"/>
                      <w:highlight w:val="none"/>
                    </w:rPr>
                  </w:pPr>
                  <w:r>
                    <w:rPr>
                      <w:rFonts w:hint="default" w:ascii="Times New Roman" w:hAnsi="Times New Roman" w:cs="Times New Roman"/>
                      <w:color w:val="auto"/>
                      <w:highlight w:val="none"/>
                    </w:rPr>
                    <w:t>声环境</w:t>
                  </w:r>
                </w:p>
              </w:tc>
              <w:tc>
                <w:tcPr>
                  <w:tcW w:w="1484" w:type="dxa"/>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kern w:val="2"/>
                      <w:sz w:val="21"/>
                      <w:szCs w:val="21"/>
                      <w:highlight w:val="none"/>
                      <w:lang w:val="en-US" w:eastAsia="zh-CN" w:bidi="ar-SA"/>
                    </w:rPr>
                    <w:t>香溪丽舍</w:t>
                  </w:r>
                </w:p>
              </w:tc>
              <w:tc>
                <w:tcPr>
                  <w:tcW w:w="872" w:type="dxa"/>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highlight w:val="none"/>
                      <w:lang w:val="en-US" w:eastAsia="zh-CN"/>
                    </w:rPr>
                    <w:t>-5</w:t>
                  </w:r>
                </w:p>
              </w:tc>
              <w:tc>
                <w:tcPr>
                  <w:tcW w:w="874" w:type="dxa"/>
                  <w:tcBorders>
                    <w:tl2br w:val="nil"/>
                    <w:tr2bl w:val="nil"/>
                  </w:tcBorders>
                  <w:noWrap w:val="0"/>
                  <w:vAlign w:val="center"/>
                </w:tcPr>
                <w:p>
                  <w:pPr>
                    <w:pStyle w:val="71"/>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-12</w:t>
                  </w:r>
                </w:p>
              </w:tc>
              <w:tc>
                <w:tcPr>
                  <w:tcW w:w="996" w:type="dxa"/>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198人</w:t>
                  </w:r>
                </w:p>
              </w:tc>
              <w:tc>
                <w:tcPr>
                  <w:tcW w:w="596" w:type="pct"/>
                  <w:tcBorders>
                    <w:tl2br w:val="nil"/>
                    <w:tr2bl w:val="nil"/>
                  </w:tcBorders>
                  <w:noWrap w:val="0"/>
                  <w:vAlign w:val="center"/>
                </w:tcPr>
                <w:p>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highlight w:val="none"/>
                      <w:lang w:val="en-US" w:eastAsia="zh-CN"/>
                    </w:rPr>
                    <w:t>SW</w:t>
                  </w:r>
                </w:p>
              </w:tc>
              <w:tc>
                <w:tcPr>
                  <w:tcW w:w="462" w:type="pct"/>
                  <w:tcBorders>
                    <w:tl2br w:val="nil"/>
                    <w:tr2bl w:val="nil"/>
                  </w:tcBorders>
                  <w:noWrap w:val="0"/>
                  <w:vAlign w:val="center"/>
                </w:tcPr>
                <w:p>
                  <w:pPr>
                    <w:pStyle w:val="7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highlight w:val="none"/>
                      <w:lang w:val="en-US" w:eastAsia="zh-CN"/>
                    </w:rPr>
                    <w:t>15</w:t>
                  </w:r>
                </w:p>
              </w:tc>
              <w:tc>
                <w:tcPr>
                  <w:tcW w:w="1026" w:type="pct"/>
                  <w:vMerge w:val="restart"/>
                  <w:tcBorders>
                    <w:tl2br w:val="nil"/>
                    <w:tr2bl w:val="nil"/>
                  </w:tcBorders>
                  <w:noWrap w:val="0"/>
                  <w:vAlign w:val="center"/>
                </w:tcPr>
                <w:p>
                  <w:pPr>
                    <w:pStyle w:val="71"/>
                    <w:rPr>
                      <w:rFonts w:hint="default" w:ascii="Times New Roman" w:hAnsi="Times New Roman" w:cs="Times New Roman"/>
                      <w:color w:val="auto"/>
                      <w:highlight w:val="none"/>
                    </w:rPr>
                  </w:pPr>
                  <w:r>
                    <w:rPr>
                      <w:rFonts w:hint="default" w:ascii="Times New Roman" w:hAnsi="Times New Roman" w:cs="Times New Roman"/>
                      <w:color w:val="auto"/>
                      <w:highlight w:val="none"/>
                    </w:rPr>
                    <w:t>《声环境质量标准（GB3096-2008）》中2类区标准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1484" w:type="dxa"/>
                  <w:tcBorders>
                    <w:tl2br w:val="nil"/>
                    <w:tr2bl w:val="nil"/>
                  </w:tcBorders>
                  <w:noWrap w:val="0"/>
                  <w:vAlign w:val="center"/>
                </w:tcPr>
                <w:p>
                  <w:pPr>
                    <w:pStyle w:val="71"/>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kern w:val="2"/>
                      <w:sz w:val="21"/>
                      <w:szCs w:val="21"/>
                      <w:highlight w:val="none"/>
                      <w:lang w:val="en-US" w:eastAsia="zh-CN" w:bidi="ar-SA"/>
                    </w:rPr>
                    <w:t>城管执法大队家属院</w:t>
                  </w:r>
                </w:p>
              </w:tc>
              <w:tc>
                <w:tcPr>
                  <w:tcW w:w="872" w:type="dxa"/>
                  <w:tcBorders>
                    <w:tl2br w:val="nil"/>
                    <w:tr2bl w:val="nil"/>
                  </w:tcBorders>
                  <w:noWrap w:val="0"/>
                  <w:vAlign w:val="center"/>
                </w:tcPr>
                <w:p>
                  <w:pPr>
                    <w:pStyle w:val="71"/>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highlight w:val="none"/>
                      <w:lang w:val="en-US" w:eastAsia="zh-CN"/>
                    </w:rPr>
                    <w:t>17</w:t>
                  </w:r>
                </w:p>
              </w:tc>
              <w:tc>
                <w:tcPr>
                  <w:tcW w:w="874" w:type="dxa"/>
                  <w:tcBorders>
                    <w:tl2br w:val="nil"/>
                    <w:tr2bl w:val="nil"/>
                  </w:tcBorders>
                  <w:noWrap w:val="0"/>
                  <w:vAlign w:val="center"/>
                </w:tcPr>
                <w:p>
                  <w:pPr>
                    <w:pStyle w:val="71"/>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w:t>
                  </w:r>
                </w:p>
              </w:tc>
              <w:tc>
                <w:tcPr>
                  <w:tcW w:w="996" w:type="dxa"/>
                  <w:tcBorders>
                    <w:tl2br w:val="nil"/>
                    <w:tr2bl w:val="nil"/>
                  </w:tcBorders>
                  <w:noWrap w:val="0"/>
                  <w:vAlign w:val="center"/>
                </w:tcPr>
                <w:p>
                  <w:pPr>
                    <w:pStyle w:val="71"/>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highlight w:val="none"/>
                      <w:lang w:val="en-US" w:eastAsia="zh-CN"/>
                    </w:rPr>
                    <w:t>654人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E</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17</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55"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c>
                <w:tcPr>
                  <w:tcW w:w="1484" w:type="dxa"/>
                  <w:tcBorders>
                    <w:tl2br w:val="nil"/>
                    <w:tr2bl w:val="nil"/>
                  </w:tcBorders>
                  <w:noWrap w:val="0"/>
                  <w:vAlign w:val="center"/>
                </w:tcPr>
                <w:p>
                  <w:pPr>
                    <w:pStyle w:val="71"/>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老干部活动中心</w:t>
                  </w:r>
                </w:p>
              </w:tc>
              <w:tc>
                <w:tcPr>
                  <w:tcW w:w="872" w:type="dxa"/>
                  <w:tcBorders>
                    <w:tl2br w:val="nil"/>
                    <w:tr2bl w:val="nil"/>
                  </w:tcBorders>
                  <w:noWrap w:val="0"/>
                  <w:vAlign w:val="center"/>
                </w:tcPr>
                <w:p>
                  <w:pPr>
                    <w:pStyle w:val="71"/>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highlight w:val="none"/>
                      <w:lang w:val="en-US" w:eastAsia="zh-CN"/>
                    </w:rPr>
                    <w:t>5</w:t>
                  </w:r>
                </w:p>
              </w:tc>
              <w:tc>
                <w:tcPr>
                  <w:tcW w:w="874" w:type="dxa"/>
                  <w:tcBorders>
                    <w:tl2br w:val="nil"/>
                    <w:tr2bl w:val="nil"/>
                  </w:tcBorders>
                  <w:noWrap w:val="0"/>
                  <w:vAlign w:val="center"/>
                </w:tcPr>
                <w:p>
                  <w:pPr>
                    <w:pStyle w:val="71"/>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w:t>
                  </w:r>
                </w:p>
              </w:tc>
              <w:tc>
                <w:tcPr>
                  <w:tcW w:w="996" w:type="dxa"/>
                  <w:tcBorders>
                    <w:tl2br w:val="nil"/>
                    <w:tr2bl w:val="nil"/>
                  </w:tcBorders>
                  <w:noWrap w:val="0"/>
                  <w:vAlign w:val="center"/>
                </w:tcPr>
                <w:p>
                  <w:pPr>
                    <w:pStyle w:val="71"/>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11</w:t>
                  </w:r>
                  <w:r>
                    <w:rPr>
                      <w:rFonts w:hint="eastAsia" w:ascii="Times New Roman" w:hAnsi="Times New Roman" w:eastAsia="宋体" w:cs="Times New Roman"/>
                      <w:color w:val="auto"/>
                      <w:highlight w:val="none"/>
                      <w:lang w:val="en-US" w:eastAsia="zh-CN"/>
                    </w:rPr>
                    <w:t>5人</w:t>
                  </w:r>
                </w:p>
              </w:tc>
              <w:tc>
                <w:tcPr>
                  <w:tcW w:w="596" w:type="pct"/>
                  <w:tcBorders>
                    <w:tl2br w:val="nil"/>
                    <w:tr2bl w:val="nil"/>
                  </w:tcBorders>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人体健康</w:t>
                  </w:r>
                </w:p>
              </w:tc>
              <w:tc>
                <w:tcPr>
                  <w:tcW w:w="381"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w:t>
                  </w:r>
                </w:p>
              </w:tc>
              <w:tc>
                <w:tcPr>
                  <w:tcW w:w="462" w:type="pct"/>
                  <w:tcBorders>
                    <w:tl2br w:val="nil"/>
                    <w:tr2bl w:val="nil"/>
                  </w:tcBorders>
                  <w:noWrap w:val="0"/>
                  <w:vAlign w:val="center"/>
                </w:tcPr>
                <w:p>
                  <w:pPr>
                    <w:pStyle w:val="7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紧邻</w:t>
                  </w:r>
                </w:p>
              </w:tc>
              <w:tc>
                <w:tcPr>
                  <w:tcW w:w="1026" w:type="pct"/>
                  <w:vMerge w:val="continue"/>
                  <w:tcBorders>
                    <w:tl2br w:val="nil"/>
                    <w:tr2bl w:val="nil"/>
                  </w:tcBorders>
                  <w:noWrap w:val="0"/>
                  <w:vAlign w:val="center"/>
                </w:tcPr>
                <w:p>
                  <w:pPr>
                    <w:pStyle w:val="71"/>
                    <w:rPr>
                      <w:rFonts w:hint="default" w:ascii="Times New Roman" w:hAnsi="Times New Roman" w:cs="Times New Roman"/>
                      <w:color w:val="auto"/>
                      <w:highlight w:val="none"/>
                    </w:rPr>
                  </w:pPr>
                </w:p>
              </w:tc>
            </w:tr>
          </w:tbl>
          <w:p>
            <w:pPr>
              <w:pStyle w:val="52"/>
              <w:ind w:left="0" w:leftChars="0" w:firstLine="0" w:firstLineChars="0"/>
              <w:rPr>
                <w:rFonts w:hint="default" w:ascii="Times New Roman" w:hAnsi="Times New Roman" w:eastAsia="宋体"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3" w:hRule="atLeast"/>
          <w:jc w:val="center"/>
        </w:trPr>
        <w:tc>
          <w:tcPr>
            <w:tcW w:w="234" w:type="pct"/>
            <w:tcBorders>
              <w:tl2br w:val="nil"/>
              <w:tr2bl w:val="nil"/>
            </w:tcBorders>
            <w:noWrap w:val="0"/>
            <w:tcMar>
              <w:left w:w="28" w:type="dxa"/>
              <w:right w:w="28" w:type="dxa"/>
            </w:tcMar>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污染</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物排</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放控</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制标</w:t>
            </w:r>
          </w:p>
          <w:p>
            <w:pPr>
              <w:adjustRightInd w:val="0"/>
              <w:snapToGrid w:val="0"/>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4"/>
                <w:szCs w:val="24"/>
              </w:rPr>
              <w:t>准</w:t>
            </w:r>
          </w:p>
        </w:tc>
        <w:tc>
          <w:tcPr>
            <w:tcW w:w="4765" w:type="pct"/>
            <w:tcBorders>
              <w:tl2br w:val="nil"/>
              <w:tr2bl w:val="nil"/>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482" w:firstLineChars="200"/>
              <w:textAlignment w:val="auto"/>
              <w:rPr>
                <w:rFonts w:hint="default" w:ascii="Times New Roman" w:hAnsi="Times New Roman" w:eastAsia="宋体" w:cs="Times New Roman"/>
                <w:color w:val="auto"/>
                <w:szCs w:val="28"/>
                <w:lang w:val="en-US" w:eastAsia="zh-CN"/>
              </w:rPr>
            </w:pPr>
            <w:r>
              <w:rPr>
                <w:rFonts w:hint="default" w:ascii="Times New Roman" w:hAnsi="Times New Roman" w:eastAsia="宋体" w:cs="Times New Roman"/>
                <w:color w:val="auto"/>
                <w:szCs w:val="28"/>
                <w:lang w:val="en-US" w:eastAsia="zh-CN"/>
              </w:rPr>
              <w:t>1、废气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污水处理站运营过程中污染物</w:t>
            </w:r>
            <w:r>
              <w:rPr>
                <w:rFonts w:hint="default" w:ascii="Times New Roman" w:hAnsi="Times New Roman" w:eastAsia="宋体" w:cs="Times New Roman"/>
                <w:color w:val="auto"/>
                <w:sz w:val="24"/>
                <w:szCs w:val="24"/>
                <w:highlight w:val="none"/>
                <w:lang w:eastAsia="zh-CN"/>
              </w:rPr>
              <w:t>排放执行</w:t>
            </w:r>
            <w:r>
              <w:rPr>
                <w:rFonts w:hint="default" w:ascii="Times New Roman" w:hAnsi="Times New Roman" w:eastAsia="宋体" w:cs="Times New Roman"/>
                <w:color w:val="auto"/>
                <w:sz w:val="24"/>
                <w:szCs w:val="24"/>
                <w:lang w:val="en-US" w:eastAsia="zh-CN"/>
              </w:rPr>
              <w:t>《医疗机构水污染物排放标准》（GB18466-2005）表3</w:t>
            </w:r>
            <w:r>
              <w:rPr>
                <w:rFonts w:hint="default" w:ascii="Times New Roman" w:hAnsi="Times New Roman" w:eastAsia="宋体" w:cs="Times New Roman"/>
                <w:color w:val="auto"/>
                <w:sz w:val="24"/>
                <w:szCs w:val="24"/>
                <w:highlight w:val="none"/>
                <w:lang w:val="en-US" w:eastAsia="zh-CN"/>
              </w:rPr>
              <w:t>中相应的排放标准限值要求</w:t>
            </w:r>
            <w:r>
              <w:rPr>
                <w:rFonts w:hint="default" w:ascii="Times New Roman" w:hAnsi="Times New Roman" w:eastAsia="宋体" w:cs="Times New Roman"/>
                <w:b w:val="0"/>
                <w:bCs/>
                <w:snapToGrid w:val="0"/>
                <w:color w:val="auto"/>
                <w:sz w:val="24"/>
                <w:szCs w:val="24"/>
                <w:lang w:val="en-US" w:eastAsia="zh-CN"/>
              </w:rPr>
              <w:t>。</w:t>
            </w:r>
            <w:r>
              <w:rPr>
                <w:rFonts w:hint="default" w:ascii="Times New Roman" w:hAnsi="Times New Roman" w:eastAsia="宋体" w:cs="Times New Roman"/>
                <w:color w:val="auto"/>
                <w:sz w:val="24"/>
                <w:szCs w:val="24"/>
                <w:highlight w:val="none"/>
                <w:lang w:eastAsia="zh-CN"/>
              </w:rPr>
              <w:t>具体标准限值详见表</w:t>
            </w:r>
            <w:r>
              <w:rPr>
                <w:rFonts w:hint="default" w:ascii="Times New Roman" w:hAnsi="Times New Roman" w:eastAsia="宋体" w:cs="Times New Roman"/>
                <w:color w:val="auto"/>
                <w:sz w:val="24"/>
                <w:szCs w:val="24"/>
                <w:highlight w:val="none"/>
                <w:lang w:val="en-US" w:eastAsia="zh-CN"/>
              </w:rPr>
              <w:t>3-7</w:t>
            </w:r>
            <w:r>
              <w:rPr>
                <w:rFonts w:hint="default" w:ascii="Times New Roman" w:hAnsi="Times New Roman" w:eastAsia="宋体" w:cs="Times New Roman"/>
                <w:color w:val="auto"/>
                <w:sz w:val="24"/>
                <w:szCs w:val="24"/>
                <w:highlight w:val="none"/>
                <w:lang w:eastAsia="zh-CN"/>
              </w:rPr>
              <w:t>。</w:t>
            </w:r>
          </w:p>
          <w:p>
            <w:pPr>
              <w:pStyle w:val="35"/>
              <w:keepNext w:val="0"/>
              <w:keepLines w:val="0"/>
              <w:pageBreakBefore w:val="0"/>
              <w:kinsoku/>
              <w:wordWrap/>
              <w:overflowPunct/>
              <w:topLinePunct w:val="0"/>
              <w:bidi w:val="0"/>
              <w:adjustRightInd w:val="0"/>
              <w:spacing w:beforeLines="0" w:afterLines="0" w:line="420" w:lineRule="exact"/>
              <w:textAlignment w:val="auto"/>
              <w:rPr>
                <w:rFonts w:hint="default" w:ascii="Times New Roman" w:hAnsi="Times New Roman" w:cs="Times New Roman"/>
                <w:color w:val="auto"/>
                <w:sz w:val="24"/>
                <w:szCs w:val="24"/>
                <w:lang w:val="en-US"/>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 xml:space="preserve">3-7 </w:t>
            </w:r>
            <w:r>
              <w:rPr>
                <w:rFonts w:hint="eastAsia" w:ascii="Times New Roman" w:cs="Times New Roman"/>
                <w:b/>
                <w:bCs/>
                <w:color w:val="auto"/>
                <w:sz w:val="24"/>
                <w:szCs w:val="24"/>
                <w:highlight w:val="none"/>
                <w:lang w:val="en-US" w:eastAsia="zh-CN"/>
              </w:rPr>
              <w:t xml:space="preserve"> </w:t>
            </w:r>
            <w:r>
              <w:rPr>
                <w:rFonts w:hint="eastAsia" w:ascii="Times New Roman" w:hAnsi="Times New Roman" w:eastAsia="宋体" w:cs="Times New Roman"/>
                <w:b/>
                <w:bCs w:val="0"/>
                <w:snapToGrid w:val="0"/>
                <w:color w:val="auto"/>
                <w:sz w:val="24"/>
                <w:szCs w:val="24"/>
                <w:lang w:val="en-US" w:eastAsia="zh-CN"/>
              </w:rPr>
              <w:t>医疗机构水污染物</w:t>
            </w:r>
            <w:r>
              <w:rPr>
                <w:rFonts w:hint="default" w:ascii="Times New Roman" w:hAnsi="Times New Roman" w:eastAsia="宋体" w:cs="Times New Roman"/>
                <w:b/>
                <w:bCs w:val="0"/>
                <w:snapToGrid w:val="0"/>
                <w:color w:val="auto"/>
                <w:sz w:val="24"/>
                <w:szCs w:val="24"/>
                <w:lang w:val="en-US" w:eastAsia="zh-CN"/>
              </w:rPr>
              <w:t>排放标准</w:t>
            </w:r>
            <w:r>
              <w:rPr>
                <w:rFonts w:hint="eastAsia" w:ascii="Times New Roman" w:hAnsi="Times New Roman" w:eastAsia="宋体" w:cs="Times New Roman"/>
                <w:b/>
                <w:bCs w:val="0"/>
                <w:snapToGrid w:val="0"/>
                <w:color w:val="auto"/>
                <w:sz w:val="24"/>
                <w:szCs w:val="24"/>
                <w:lang w:val="en-US" w:eastAsia="zh-CN"/>
              </w:rPr>
              <w:t>（摘录）</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842"/>
              <w:gridCol w:w="58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6" w:type="pct"/>
                  <w:tcBorders>
                    <w:tl2br w:val="nil"/>
                    <w:tr2bl w:val="nil"/>
                  </w:tcBorders>
                  <w:noWrap w:val="0"/>
                  <w:vAlign w:val="center"/>
                </w:tcPr>
                <w:p>
                  <w:pPr>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污染源</w:t>
                  </w:r>
                </w:p>
              </w:tc>
              <w:tc>
                <w:tcPr>
                  <w:tcW w:w="993" w:type="pct"/>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污染物</w:t>
                  </w:r>
                </w:p>
              </w:tc>
              <w:tc>
                <w:tcPr>
                  <w:tcW w:w="3170" w:type="pct"/>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《医疗机构水污染物排放标准》（GB18466-2005）</w:t>
                  </w:r>
                  <w:r>
                    <w:rPr>
                      <w:rFonts w:hint="default" w:ascii="Times New Roman" w:hAnsi="Times New Roman" w:eastAsia="宋体" w:cs="Times New Roman"/>
                      <w:b/>
                      <w:bCs/>
                      <w:color w:val="auto"/>
                      <w:kern w:val="0"/>
                      <w:sz w:val="21"/>
                      <w:szCs w:val="21"/>
                      <w:lang w:val="en-US" w:eastAsia="zh-CN" w:bidi="ar"/>
                    </w:rPr>
                    <w:t>污水处理站周边大气污染物最高允许浓度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6"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污水处理站</w:t>
                  </w:r>
                </w:p>
              </w:tc>
              <w:tc>
                <w:tcPr>
                  <w:tcW w:w="993"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氨气</w:t>
                  </w:r>
                </w:p>
              </w:tc>
              <w:tc>
                <w:tcPr>
                  <w:tcW w:w="3170" w:type="pct"/>
                  <w:tcBorders>
                    <w:tl2br w:val="nil"/>
                    <w:tr2bl w:val="nil"/>
                  </w:tcBorders>
                  <w:noWrap w:val="0"/>
                  <w:vAlign w:val="center"/>
                </w:tcPr>
                <w:p>
                  <w:pPr>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6"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p>
              </w:tc>
              <w:tc>
                <w:tcPr>
                  <w:tcW w:w="993"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硫化氢</w:t>
                  </w:r>
                </w:p>
              </w:tc>
              <w:tc>
                <w:tcPr>
                  <w:tcW w:w="3170" w:type="pct"/>
                  <w:tcBorders>
                    <w:tl2br w:val="nil"/>
                    <w:tr2bl w:val="nil"/>
                  </w:tcBorders>
                  <w:noWrap w:val="0"/>
                  <w:vAlign w:val="center"/>
                </w:tcPr>
                <w:p>
                  <w:pPr>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0.03（mg/m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6"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p>
              </w:tc>
              <w:tc>
                <w:tcPr>
                  <w:tcW w:w="993"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臭气浓度</w:t>
                  </w:r>
                </w:p>
              </w:tc>
              <w:tc>
                <w:tcPr>
                  <w:tcW w:w="3170" w:type="pct"/>
                  <w:tcBorders>
                    <w:tl2br w:val="nil"/>
                    <w:tr2bl w:val="nil"/>
                  </w:tcBorders>
                  <w:noWrap w:val="0"/>
                  <w:vAlign w:val="center"/>
                </w:tcPr>
                <w:p>
                  <w:pPr>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10（无量纲）</w:t>
                  </w:r>
                </w:p>
              </w:tc>
            </w:tr>
          </w:tbl>
          <w:p>
            <w:pPr>
              <w:pStyle w:val="11"/>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482" w:firstLineChars="200"/>
              <w:textAlignment w:val="auto"/>
              <w:rPr>
                <w:rFonts w:hint="default" w:ascii="Times New Roman" w:hAnsi="Times New Roman" w:eastAsia="宋体" w:cs="Times New Roman"/>
                <w:color w:val="auto"/>
                <w:szCs w:val="28"/>
                <w:lang w:val="en-US" w:eastAsia="zh-CN"/>
              </w:rPr>
            </w:pPr>
            <w:r>
              <w:rPr>
                <w:rFonts w:hint="default" w:ascii="Times New Roman" w:hAnsi="Times New Roman" w:eastAsia="宋体" w:cs="Times New Roman"/>
                <w:color w:val="auto"/>
                <w:szCs w:val="28"/>
                <w:lang w:val="en-US" w:eastAsia="zh-CN"/>
              </w:rPr>
              <w:t>2、废水</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snapToGrid w:val="0"/>
                <w:color w:val="auto"/>
                <w:kern w:val="2"/>
                <w:sz w:val="24"/>
                <w:szCs w:val="24"/>
                <w:lang w:val="en-US" w:eastAsia="zh-CN" w:bidi="ar-SA"/>
              </w:rPr>
            </w:pPr>
            <w:r>
              <w:rPr>
                <w:rFonts w:hint="default" w:ascii="Times New Roman" w:hAnsi="Times New Roman" w:eastAsia="宋体" w:cs="Times New Roman"/>
                <w:color w:val="auto"/>
                <w:sz w:val="24"/>
                <w:szCs w:val="24"/>
                <w:highlight w:val="none"/>
                <w:lang w:val="en-US" w:eastAsia="zh-CN"/>
              </w:rPr>
              <w:t>本项目运营过程中</w:t>
            </w:r>
            <w:r>
              <w:rPr>
                <w:rFonts w:hint="default" w:ascii="Times New Roman" w:hAnsi="Times New Roman" w:eastAsia="宋体" w:cs="Times New Roman"/>
                <w:color w:val="auto"/>
                <w:sz w:val="24"/>
                <w:szCs w:val="24"/>
                <w:highlight w:val="none"/>
                <w:lang w:eastAsia="zh-CN"/>
              </w:rPr>
              <w:t>废水</w:t>
            </w:r>
            <w:r>
              <w:rPr>
                <w:rFonts w:hint="default" w:ascii="Times New Roman" w:hAnsi="Times New Roman" w:eastAsia="宋体" w:cs="Times New Roman"/>
                <w:color w:val="auto"/>
                <w:sz w:val="24"/>
                <w:szCs w:val="24"/>
                <w:highlight w:val="none"/>
                <w:lang w:val="en-US" w:eastAsia="zh-CN"/>
              </w:rPr>
              <w:t>排放</w:t>
            </w:r>
            <w:r>
              <w:rPr>
                <w:rFonts w:hint="default" w:ascii="Times New Roman" w:hAnsi="Times New Roman" w:eastAsia="宋体" w:cs="Times New Roman"/>
                <w:color w:val="auto"/>
                <w:sz w:val="24"/>
                <w:szCs w:val="24"/>
                <w:highlight w:val="none"/>
              </w:rPr>
              <w:t>执行《医疗机构水污染物排放标准》（GB18466-2005）表2中预处理标准和《污水排入城镇下水道水质标准》（GB</w:t>
            </w:r>
            <w:r>
              <w:rPr>
                <w:rFonts w:hint="default" w:ascii="Times New Roman" w:hAnsi="Times New Roman" w:eastAsia="宋体" w:cs="Times New Roman"/>
                <w:color w:val="auto"/>
                <w:sz w:val="24"/>
                <w:szCs w:val="24"/>
                <w:highlight w:val="none"/>
                <w:lang w:val="en-US" w:eastAsia="zh-CN"/>
              </w:rPr>
              <w:t>/T</w:t>
            </w:r>
            <w:r>
              <w:rPr>
                <w:rFonts w:hint="default" w:ascii="Times New Roman" w:hAnsi="Times New Roman" w:eastAsia="宋体" w:cs="Times New Roman"/>
                <w:color w:val="auto"/>
                <w:sz w:val="24"/>
                <w:szCs w:val="24"/>
                <w:highlight w:val="none"/>
              </w:rPr>
              <w:t>31962-2015）</w:t>
            </w:r>
            <w:r>
              <w:rPr>
                <w:rFonts w:hint="default" w:ascii="Times New Roman" w:hAnsi="Times New Roman" w:eastAsia="宋体" w:cs="Times New Roman"/>
                <w:color w:val="auto"/>
                <w:sz w:val="24"/>
                <w:szCs w:val="24"/>
                <w:highlight w:val="none"/>
                <w:lang w:val="en-US" w:eastAsia="zh-CN"/>
              </w:rPr>
              <w:t>中</w:t>
            </w:r>
            <w:r>
              <w:rPr>
                <w:rFonts w:hint="default" w:ascii="Times New Roman" w:hAnsi="Times New Roman" w:eastAsia="宋体" w:cs="Times New Roman"/>
                <w:color w:val="auto"/>
                <w:sz w:val="24"/>
                <w:szCs w:val="24"/>
                <w:highlight w:val="none"/>
              </w:rPr>
              <w:t>B</w:t>
            </w:r>
            <w:r>
              <w:rPr>
                <w:rFonts w:hint="default" w:ascii="Times New Roman" w:hAnsi="Times New Roman" w:eastAsia="宋体" w:cs="Times New Roman"/>
                <w:color w:val="auto"/>
                <w:sz w:val="24"/>
                <w:szCs w:val="24"/>
                <w:highlight w:val="none"/>
                <w:lang w:val="en-US" w:eastAsia="zh-CN"/>
              </w:rPr>
              <w:t>级</w:t>
            </w:r>
            <w:r>
              <w:rPr>
                <w:rFonts w:hint="default" w:ascii="Times New Roman" w:hAnsi="Times New Roman" w:eastAsia="宋体" w:cs="Times New Roman"/>
                <w:color w:val="auto"/>
                <w:sz w:val="24"/>
                <w:szCs w:val="24"/>
                <w:highlight w:val="none"/>
              </w:rPr>
              <w:t>标准</w:t>
            </w:r>
            <w:r>
              <w:rPr>
                <w:rFonts w:hint="default" w:ascii="Times New Roman" w:hAnsi="Times New Roman" w:eastAsia="宋体" w:cs="Times New Roman"/>
                <w:color w:val="auto"/>
                <w:sz w:val="24"/>
                <w:szCs w:val="24"/>
                <w:highlight w:val="none"/>
                <w:lang w:val="en-US" w:eastAsia="zh-CN"/>
              </w:rPr>
              <w:t>限值要求</w:t>
            </w:r>
            <w:r>
              <w:rPr>
                <w:rFonts w:hint="default" w:ascii="Times New Roman" w:hAnsi="Times New Roman" w:cs="Times New Roman"/>
                <w:b w:val="0"/>
                <w:bCs/>
                <w:snapToGrid w:val="0"/>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具体详见表3-</w:t>
            </w:r>
            <w:r>
              <w:rPr>
                <w:rFonts w:hint="eastAsia" w:ascii="Times New Roman" w:hAnsi="Times New Roman"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w:t>
            </w:r>
          </w:p>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3-</w:t>
            </w:r>
            <w:r>
              <w:rPr>
                <w:rFonts w:hint="eastAsia" w:ascii="Times New Roman" w:hAnsi="Times New Roman" w:cs="Times New Roman"/>
                <w:b/>
                <w:bCs/>
                <w:color w:val="auto"/>
                <w:sz w:val="24"/>
                <w:szCs w:val="24"/>
                <w:lang w:val="en-US" w:eastAsia="zh-CN"/>
              </w:rPr>
              <w:t xml:space="preserve">8 </w:t>
            </w:r>
            <w:r>
              <w:rPr>
                <w:rFonts w:hint="default"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lang w:eastAsia="zh-CN"/>
              </w:rPr>
              <w:t>废</w:t>
            </w:r>
            <w:r>
              <w:rPr>
                <w:rFonts w:hint="default" w:ascii="Times New Roman" w:hAnsi="Times New Roman" w:cs="Times New Roman"/>
                <w:b/>
                <w:bCs/>
                <w:color w:val="auto"/>
                <w:sz w:val="24"/>
                <w:szCs w:val="24"/>
                <w:lang w:val="en-US" w:eastAsia="zh-CN"/>
              </w:rPr>
              <w:t>水污染物</w:t>
            </w:r>
            <w:r>
              <w:rPr>
                <w:rFonts w:hint="default" w:ascii="Times New Roman" w:hAnsi="Times New Roman" w:cs="Times New Roman"/>
                <w:b/>
                <w:bCs/>
                <w:color w:val="auto"/>
                <w:sz w:val="24"/>
                <w:szCs w:val="24"/>
              </w:rPr>
              <w:t>排放标准</w:t>
            </w:r>
          </w:p>
          <w:tbl>
            <w:tblPr>
              <w:tblStyle w:val="27"/>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1566"/>
              <w:gridCol w:w="1566"/>
              <w:gridCol w:w="32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项目</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单位</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cs="Times New Roman"/>
                      <w:b/>
                      <w:bCs w:val="0"/>
                      <w:color w:val="auto"/>
                      <w:sz w:val="21"/>
                      <w:szCs w:val="21"/>
                      <w:highlight w:val="none"/>
                      <w:lang w:val="en-US" w:eastAsia="zh-CN"/>
                    </w:rPr>
                    <w:t>标准限值</w:t>
                  </w:r>
                </w:p>
              </w:tc>
              <w:tc>
                <w:tcPr>
                  <w:tcW w:w="1751"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粪大肠菌群数</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MPN/L</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5000</w:t>
                  </w:r>
                </w:p>
              </w:tc>
              <w:tc>
                <w:tcPr>
                  <w:tcW w:w="175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rPr>
                    <w:t>《医疗机构水污染物排放标准》（GB18466-2005）</w:t>
                  </w:r>
                  <w:r>
                    <w:rPr>
                      <w:rFonts w:hint="default" w:ascii="Times New Roman" w:hAnsi="Times New Roman" w:cs="Times New Roman"/>
                      <w:b w:val="0"/>
                      <w:bCs/>
                      <w:color w:val="auto"/>
                      <w:sz w:val="21"/>
                      <w:szCs w:val="21"/>
                      <w:highlight w:val="none"/>
                    </w:rPr>
                    <w:t>表2预处理标准</w:t>
                  </w:r>
                  <w:r>
                    <w:rPr>
                      <w:rFonts w:hint="default" w:ascii="Times New Roman" w:hAnsi="Times New Roman" w:cs="Times New Roman"/>
                      <w:b w:val="0"/>
                      <w:bCs/>
                      <w:color w:val="auto"/>
                      <w:sz w:val="21"/>
                      <w:szCs w:val="21"/>
                      <w:highlight w:val="none"/>
                      <w:lang w:val="en-US" w:eastAsia="zh-CN"/>
                    </w:rPr>
                    <w:t>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pH</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无量纲</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6~9</w:t>
                  </w:r>
                </w:p>
              </w:tc>
              <w:tc>
                <w:tcPr>
                  <w:tcW w:w="175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化学需氧量（COD）</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mg/L</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250</w:t>
                  </w:r>
                </w:p>
              </w:tc>
              <w:tc>
                <w:tcPr>
                  <w:tcW w:w="175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生化需氧量（BOD）</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mg/L</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100</w:t>
                  </w:r>
                </w:p>
              </w:tc>
              <w:tc>
                <w:tcPr>
                  <w:tcW w:w="175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悬浮物（SS）</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mg/L</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60</w:t>
                  </w:r>
                </w:p>
              </w:tc>
              <w:tc>
                <w:tcPr>
                  <w:tcW w:w="175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总余氯</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mg/L</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2~8</w:t>
                  </w:r>
                </w:p>
              </w:tc>
              <w:tc>
                <w:tcPr>
                  <w:tcW w:w="175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阴离子表面活性剂</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75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动植物油</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mg/L</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20</w:t>
                  </w:r>
                </w:p>
              </w:tc>
              <w:tc>
                <w:tcPr>
                  <w:tcW w:w="175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氨氮</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mg/L</w:t>
                  </w:r>
                </w:p>
              </w:tc>
              <w:tc>
                <w:tcPr>
                  <w:tcW w:w="844"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color w:val="auto"/>
                      <w:kern w:val="2"/>
                      <w:sz w:val="21"/>
                      <w:szCs w:val="21"/>
                      <w:highlight w:val="none"/>
                      <w:lang w:val="en-US" w:eastAsia="zh-CN" w:bidi="ar-SA"/>
                    </w:rPr>
                  </w:pPr>
                  <w:r>
                    <w:rPr>
                      <w:rFonts w:hint="default" w:ascii="Times New Roman" w:hAnsi="Times New Roman" w:cs="Times New Roman"/>
                      <w:b w:val="0"/>
                      <w:bCs/>
                      <w:color w:val="auto"/>
                      <w:sz w:val="21"/>
                      <w:szCs w:val="21"/>
                      <w:highlight w:val="none"/>
                      <w:lang w:val="en-US" w:eastAsia="zh-CN"/>
                    </w:rPr>
                    <w:t>45</w:t>
                  </w:r>
                </w:p>
              </w:tc>
              <w:tc>
                <w:tcPr>
                  <w:tcW w:w="1751" w:type="pc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《污水排入城镇下水道水质标准》（GB/T31962-2015）中B级</w:t>
                  </w:r>
                  <w:r>
                    <w:rPr>
                      <w:rFonts w:hint="default" w:ascii="Times New Roman" w:hAnsi="Times New Roman" w:eastAsia="宋体" w:cs="Times New Roman"/>
                      <w:b w:val="0"/>
                      <w:bCs/>
                      <w:color w:val="auto"/>
                      <w:sz w:val="21"/>
                      <w:szCs w:val="21"/>
                      <w:highlight w:val="none"/>
                    </w:rPr>
                    <w:t>标准</w:t>
                  </w:r>
                  <w:r>
                    <w:rPr>
                      <w:rFonts w:hint="default" w:ascii="Times New Roman" w:hAnsi="Times New Roman" w:eastAsia="宋体" w:cs="Times New Roman"/>
                      <w:b w:val="0"/>
                      <w:bCs/>
                      <w:color w:val="auto"/>
                      <w:sz w:val="21"/>
                      <w:szCs w:val="21"/>
                      <w:highlight w:val="none"/>
                      <w:lang w:val="en-US" w:eastAsia="zh-CN"/>
                    </w:rPr>
                    <w:t>限值</w:t>
                  </w:r>
                </w:p>
              </w:tc>
            </w:tr>
          </w:tbl>
          <w:p>
            <w:pPr>
              <w:pStyle w:val="11"/>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482" w:firstLineChars="200"/>
              <w:textAlignment w:val="auto"/>
              <w:rPr>
                <w:rFonts w:hint="default" w:ascii="Times New Roman" w:hAnsi="Times New Roman" w:eastAsia="宋体" w:cs="Times New Roman"/>
                <w:color w:val="auto"/>
                <w:szCs w:val="28"/>
                <w:lang w:val="en-US" w:eastAsia="zh-CN"/>
              </w:rPr>
            </w:pPr>
            <w:r>
              <w:rPr>
                <w:rFonts w:hint="default" w:ascii="Times New Roman" w:hAnsi="Times New Roman" w:eastAsia="宋体" w:cs="Times New Roman"/>
                <w:color w:val="auto"/>
                <w:szCs w:val="28"/>
                <w:lang w:val="en-US" w:eastAsia="zh-CN"/>
              </w:rPr>
              <w:t>3、噪声</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运营期厂界噪声排放执行《</w:t>
            </w:r>
            <w:r>
              <w:rPr>
                <w:rFonts w:hint="eastAsia" w:ascii="Times New Roman" w:hAnsi="Times New Roman" w:eastAsia="宋体" w:cs="Times New Roman"/>
                <w:color w:val="auto"/>
                <w:sz w:val="24"/>
                <w:szCs w:val="24"/>
                <w:highlight w:val="none"/>
                <w:lang w:val="en-US" w:eastAsia="zh-CN"/>
              </w:rPr>
              <w:t>工业企业厂界环境噪声排放标准</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GB3096-2008</w:t>
            </w:r>
            <w:r>
              <w:rPr>
                <w:rFonts w:hint="default" w:ascii="Times New Roman" w:hAnsi="Times New Roman" w:eastAsia="宋体" w:cs="Times New Roman"/>
                <w:color w:val="auto"/>
                <w:sz w:val="24"/>
                <w:szCs w:val="24"/>
                <w:highlight w:val="none"/>
                <w:lang w:val="en-US" w:eastAsia="zh-CN"/>
              </w:rPr>
              <w:t>）2类区标准限值要求</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具体详见表3-</w:t>
            </w:r>
            <w:r>
              <w:rPr>
                <w:rFonts w:hint="eastAsia" w:ascii="Times New Roman" w:hAnsi="Times New Roman"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3-</w:t>
            </w:r>
            <w:r>
              <w:rPr>
                <w:rFonts w:hint="eastAsia" w:ascii="Times New Roman" w:hAnsi="Times New Roman" w:cs="Times New Roman"/>
                <w:b/>
                <w:bCs/>
                <w:color w:val="auto"/>
                <w:sz w:val="24"/>
                <w:szCs w:val="24"/>
                <w:lang w:val="en-US" w:eastAsia="zh-CN"/>
              </w:rPr>
              <w:t>9</w:t>
            </w:r>
            <w:r>
              <w:rPr>
                <w:rFonts w:hint="default"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auto"/>
                <w:sz w:val="24"/>
                <w:szCs w:val="24"/>
                <w:lang w:val="en-US" w:eastAsia="zh-CN"/>
              </w:rPr>
              <w:t>工业企业厂界环境噪声排放标准</w:t>
            </w:r>
            <w:r>
              <w:rPr>
                <w:rFonts w:hint="default" w:ascii="Times New Roman" w:hAnsi="Times New Roman" w:cs="Times New Roman"/>
                <w:b/>
                <w:bCs/>
                <w:color w:val="auto"/>
                <w:sz w:val="24"/>
                <w:szCs w:val="24"/>
                <w:lang w:val="en-US" w:eastAsia="zh-CN"/>
              </w:rPr>
              <w:t xml:space="preserve">限值   </w:t>
            </w:r>
            <w:r>
              <w:rPr>
                <w:rFonts w:hint="default" w:ascii="Times New Roman" w:hAnsi="Times New Roman" w:eastAsia="宋体" w:cs="Times New Roman"/>
                <w:b/>
                <w:bCs/>
                <w:color w:val="auto"/>
                <w:kern w:val="0"/>
                <w:sz w:val="24"/>
                <w:szCs w:val="24"/>
                <w:lang w:val="en-US" w:eastAsia="zh-CN" w:bidi="ar"/>
              </w:rPr>
              <w:t>单位：dB（A）</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43"/>
              <w:gridCol w:w="2416"/>
              <w:gridCol w:w="1507"/>
              <w:gridCol w:w="15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2"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监控点位</w:t>
                  </w:r>
                </w:p>
              </w:tc>
              <w:tc>
                <w:tcPr>
                  <w:tcW w:w="1302"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声环境功能区类型</w:t>
                  </w:r>
                </w:p>
              </w:tc>
              <w:tc>
                <w:tcPr>
                  <w:tcW w:w="812"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cs="Times New Roman"/>
                      <w:b/>
                      <w:bCs w:val="0"/>
                      <w:color w:val="auto"/>
                      <w:sz w:val="21"/>
                      <w:szCs w:val="21"/>
                      <w:lang w:val="en-US" w:eastAsia="zh-CN"/>
                    </w:rPr>
                    <w:t>昼间</w:t>
                  </w:r>
                </w:p>
              </w:tc>
              <w:tc>
                <w:tcPr>
                  <w:tcW w:w="812" w:type="pct"/>
                  <w:tcBorders>
                    <w:tl2br w:val="nil"/>
                    <w:tr2bl w:val="nil"/>
                  </w:tcBorders>
                  <w:noWrap w:val="0"/>
                  <w:vAlign w:val="center"/>
                </w:tcPr>
                <w:p>
                  <w:pPr>
                    <w:pStyle w:val="6"/>
                    <w:ind w:firstLine="0" w:firstLineChars="0"/>
                    <w:jc w:val="center"/>
                    <w:rPr>
                      <w:rFonts w:hint="default" w:ascii="Times New Roman" w:hAnsi="Times New Roman" w:cs="Times New Roman"/>
                      <w:b/>
                      <w:bCs w:val="0"/>
                      <w:color w:val="auto"/>
                      <w:sz w:val="21"/>
                      <w:szCs w:val="21"/>
                      <w:lang w:val="en-US" w:eastAsia="zh-CN"/>
                    </w:rPr>
                  </w:pPr>
                  <w:r>
                    <w:rPr>
                      <w:rFonts w:hint="default" w:ascii="Times New Roman" w:hAnsi="Times New Roman" w:cs="Times New Roman"/>
                      <w:b/>
                      <w:bCs w:val="0"/>
                      <w:color w:val="auto"/>
                      <w:sz w:val="21"/>
                      <w:szCs w:val="21"/>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2"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厂界</w:t>
                  </w:r>
                </w:p>
              </w:tc>
              <w:tc>
                <w:tcPr>
                  <w:tcW w:w="1302"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2类</w:t>
                  </w:r>
                </w:p>
              </w:tc>
              <w:tc>
                <w:tcPr>
                  <w:tcW w:w="812" w:type="pct"/>
                  <w:tcBorders>
                    <w:tl2br w:val="nil"/>
                    <w:tr2bl w:val="nil"/>
                  </w:tcBorders>
                  <w:noWrap w:val="0"/>
                  <w:vAlign w:val="center"/>
                </w:tcPr>
                <w:p>
                  <w:pPr>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60</w:t>
                  </w:r>
                </w:p>
              </w:tc>
              <w:tc>
                <w:tcPr>
                  <w:tcW w:w="812" w:type="pct"/>
                  <w:tcBorders>
                    <w:tl2br w:val="nil"/>
                    <w:tr2bl w:val="nil"/>
                  </w:tcBorders>
                  <w:noWrap w:val="0"/>
                  <w:vAlign w:val="center"/>
                </w:tcPr>
                <w:p>
                  <w:pPr>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r>
          </w:tbl>
          <w:p>
            <w:pPr>
              <w:pStyle w:val="11"/>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482" w:firstLineChars="200"/>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Cs w:val="28"/>
                <w:lang w:val="en-US" w:eastAsia="zh-CN"/>
              </w:rPr>
              <w:t>4、固体废弃物</w:t>
            </w:r>
          </w:p>
          <w:p>
            <w:pPr>
              <w:pStyle w:val="36"/>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kern w:val="2"/>
                <w:sz w:val="24"/>
                <w:szCs w:val="24"/>
                <w:lang w:val="en-US" w:eastAsia="zh-CN" w:bidi="ar"/>
              </w:rPr>
              <w:t>一般工业固体废物排放执行《一般工业固体废物贮存和填埋污染控制标准》（GB18599-2020）中有关规定。生活垃圾排放执行《生活垃圾填埋场污染控制标准》（GB16889-2008）中有关要求。</w:t>
            </w:r>
          </w:p>
          <w:p>
            <w:pPr>
              <w:pStyle w:val="36"/>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医疗废物</w:t>
            </w:r>
            <w:r>
              <w:rPr>
                <w:rFonts w:hint="eastAsia" w:ascii="Times New Roman" w:hAnsi="Times New Roman" w:eastAsia="宋体" w:cs="Times New Roman"/>
                <w:color w:val="auto"/>
                <w:sz w:val="24"/>
                <w:szCs w:val="24"/>
                <w:lang w:val="en-US" w:eastAsia="zh-CN"/>
              </w:rPr>
              <w:t>收集、</w:t>
            </w:r>
            <w:r>
              <w:rPr>
                <w:rFonts w:hint="default" w:ascii="Times New Roman" w:hAnsi="Times New Roman" w:eastAsia="宋体" w:cs="Times New Roman"/>
                <w:color w:val="auto"/>
                <w:sz w:val="24"/>
                <w:szCs w:val="24"/>
              </w:rPr>
              <w:t>暂存执行《危险废物贮存污染控制标准》（GB18597-20</w:t>
            </w:r>
            <w:r>
              <w:rPr>
                <w:rFonts w:hint="eastAsia" w:ascii="Times New Roman" w:hAnsi="Times New Roman" w:cs="Times New Roman"/>
                <w:color w:val="auto"/>
                <w:sz w:val="24"/>
                <w:szCs w:val="24"/>
                <w:lang w:val="en-US" w:eastAsia="zh-CN"/>
              </w:rPr>
              <w:t>23</w:t>
            </w:r>
            <w:r>
              <w:rPr>
                <w:rFonts w:hint="default" w:ascii="Times New Roman" w:hAnsi="Times New Roman" w:eastAsia="宋体" w:cs="Times New Roman"/>
                <w:color w:val="auto"/>
                <w:sz w:val="24"/>
                <w:szCs w:val="24"/>
              </w:rPr>
              <w:t>）及修改单</w:t>
            </w:r>
            <w:r>
              <w:rPr>
                <w:rFonts w:hint="default" w:ascii="Times New Roman" w:hAnsi="Times New Roman" w:eastAsia="宋体" w:cs="Times New Roman"/>
                <w:color w:val="auto"/>
                <w:sz w:val="24"/>
                <w:szCs w:val="24"/>
                <w:lang w:val="en-US" w:eastAsia="zh-CN"/>
              </w:rPr>
              <w:t>中相关要求、《危险废物收集贮存运输技术规范》（HJ2025-2012）要求；医疗废物的安全管理执行《医疗废物管理条例》（国务院令380号）。</w:t>
            </w:r>
          </w:p>
          <w:p>
            <w:pPr>
              <w:pStyle w:val="36"/>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污水处理站</w:t>
            </w:r>
            <w:r>
              <w:rPr>
                <w:rFonts w:hint="default" w:ascii="Times New Roman" w:hAnsi="Times New Roman" w:eastAsia="宋体" w:cs="Times New Roman"/>
                <w:color w:val="auto"/>
                <w:sz w:val="24"/>
                <w:szCs w:val="24"/>
              </w:rPr>
              <w:t>污泥属于危险废物，应按危险废物进行处理和处置。污泥清掏前应进行监测，</w:t>
            </w:r>
            <w:r>
              <w:rPr>
                <w:rFonts w:hint="eastAsia" w:ascii="Times New Roman" w:hAnsi="Times New Roman" w:eastAsia="宋体" w:cs="Times New Roman"/>
                <w:color w:val="auto"/>
                <w:sz w:val="24"/>
                <w:szCs w:val="24"/>
                <w:lang w:val="en-US" w:eastAsia="zh-CN"/>
              </w:rPr>
              <w:t>达到</w:t>
            </w:r>
            <w:r>
              <w:rPr>
                <w:rFonts w:hint="default" w:ascii="Times New Roman" w:hAnsi="Times New Roman" w:eastAsia="宋体" w:cs="Times New Roman"/>
                <w:color w:val="auto"/>
                <w:sz w:val="24"/>
                <w:szCs w:val="24"/>
              </w:rPr>
              <w:t>《医疗机构水污染物排放标准》（GB18466-2005）中的医疗机构污泥控制标准</w:t>
            </w:r>
            <w:r>
              <w:rPr>
                <w:rFonts w:hint="eastAsia" w:ascii="Times New Roman" w:hAnsi="Times New Roman" w:eastAsia="宋体" w:cs="Times New Roman"/>
                <w:color w:val="auto"/>
                <w:sz w:val="24"/>
                <w:szCs w:val="24"/>
                <w:lang w:val="en-US" w:eastAsia="zh-CN"/>
              </w:rPr>
              <w:t>限值后清掏外运，见表3-1</w:t>
            </w:r>
            <w:r>
              <w:rPr>
                <w:rFonts w:hint="eastAsia"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3-1</w:t>
            </w:r>
            <w:r>
              <w:rPr>
                <w:rFonts w:hint="eastAsia" w:ascii="Times New Roman" w:hAnsi="Times New Roman" w:cs="Times New Roman"/>
                <w:b/>
                <w:bCs/>
                <w:color w:val="auto"/>
                <w:sz w:val="24"/>
                <w:szCs w:val="24"/>
                <w:lang w:val="en-US" w:eastAsia="zh-CN"/>
              </w:rPr>
              <w:t>0</w:t>
            </w:r>
            <w:r>
              <w:rPr>
                <w:rFonts w:hint="default"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auto"/>
                <w:sz w:val="24"/>
                <w:szCs w:val="24"/>
                <w:lang w:val="en-US" w:eastAsia="zh-CN"/>
              </w:rPr>
              <w:t>医疗机构污泥控制标准</w:t>
            </w:r>
          </w:p>
          <w:tbl>
            <w:tblPr>
              <w:tblStyle w:val="27"/>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1462"/>
              <w:gridCol w:w="1037"/>
              <w:gridCol w:w="950"/>
              <w:gridCol w:w="1297"/>
              <w:gridCol w:w="15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7"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医疗机构类别</w:t>
                  </w:r>
                </w:p>
              </w:tc>
              <w:tc>
                <w:tcPr>
                  <w:tcW w:w="788"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粪大肠菌群（MPN/g）</w:t>
                  </w:r>
                </w:p>
              </w:tc>
              <w:tc>
                <w:tcPr>
                  <w:tcW w:w="559"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肠道致病菌</w:t>
                  </w:r>
                </w:p>
              </w:tc>
              <w:tc>
                <w:tcPr>
                  <w:tcW w:w="512"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肠道病毒</w:t>
                  </w:r>
                </w:p>
              </w:tc>
              <w:tc>
                <w:tcPr>
                  <w:tcW w:w="699"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结核杆菌</w:t>
                  </w:r>
                </w:p>
              </w:tc>
              <w:tc>
                <w:tcPr>
                  <w:tcW w:w="812" w:type="pct"/>
                  <w:tcBorders>
                    <w:tl2br w:val="nil"/>
                    <w:tr2bl w:val="nil"/>
                  </w:tcBorders>
                  <w:noWrap w:val="0"/>
                  <w:vAlign w:val="center"/>
                </w:tcPr>
                <w:p>
                  <w:pPr>
                    <w:pStyle w:val="6"/>
                    <w:ind w:firstLine="0" w:firstLineChars="0"/>
                    <w:jc w:val="center"/>
                    <w:rPr>
                      <w:rFonts w:hint="default" w:ascii="Times New Roman" w:hAnsi="Times New Roman" w:cs="Times New Roman"/>
                      <w:b/>
                      <w:bCs w:val="0"/>
                      <w:color w:val="auto"/>
                      <w:sz w:val="21"/>
                      <w:szCs w:val="21"/>
                      <w:lang w:val="en-US" w:eastAsia="zh-CN"/>
                    </w:rPr>
                  </w:pPr>
                  <w:r>
                    <w:rPr>
                      <w:rFonts w:hint="eastAsia" w:ascii="Times New Roman" w:hAnsi="Times New Roman" w:cs="Times New Roman"/>
                      <w:b/>
                      <w:bCs w:val="0"/>
                      <w:color w:val="auto"/>
                      <w:sz w:val="21"/>
                      <w:szCs w:val="21"/>
                      <w:lang w:val="en-US" w:eastAsia="zh-CN"/>
                    </w:rPr>
                    <w:t>蛔虫卵死亡率/%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7"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综合医疗机构和其他医疗机构</w:t>
                  </w:r>
                </w:p>
              </w:tc>
              <w:tc>
                <w:tcPr>
                  <w:tcW w:w="788"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p>
              </w:tc>
              <w:tc>
                <w:tcPr>
                  <w:tcW w:w="559"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512" w:type="pct"/>
                  <w:tcBorders>
                    <w:tl2br w:val="nil"/>
                    <w:tr2bl w:val="nil"/>
                  </w:tcBorders>
                  <w:noWrap w:val="0"/>
                  <w:vAlign w:val="center"/>
                </w:tcPr>
                <w:p>
                  <w:pPr>
                    <w:pStyle w:val="6"/>
                    <w:ind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699" w:type="pct"/>
                  <w:tcBorders>
                    <w:tl2br w:val="nil"/>
                    <w:tr2bl w:val="nil"/>
                  </w:tcBorders>
                  <w:noWrap w:val="0"/>
                  <w:vAlign w:val="center"/>
                </w:tcPr>
                <w:p>
                  <w:pPr>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812" w:type="pct"/>
                  <w:tcBorders>
                    <w:tl2br w:val="nil"/>
                    <w:tr2bl w:val="nil"/>
                  </w:tcBorders>
                  <w:noWrap w:val="0"/>
                  <w:vAlign w:val="center"/>
                </w:tcPr>
                <w:p>
                  <w:pPr>
                    <w:ind w:left="-105" w:leftChars="-50" w:right="-105" w:rightChars="-5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&gt;95</w:t>
                  </w:r>
                </w:p>
              </w:tc>
            </w:tr>
          </w:tbl>
          <w:p>
            <w:pPr>
              <w:pStyle w:val="36"/>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234" w:type="pct"/>
            <w:tcBorders>
              <w:tl2br w:val="nil"/>
              <w:tr2bl w:val="nil"/>
            </w:tcBorders>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总量</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控制</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szCs w:val="24"/>
              </w:rPr>
              <w:t>指标</w:t>
            </w:r>
          </w:p>
        </w:tc>
        <w:tc>
          <w:tcPr>
            <w:tcW w:w="4765" w:type="pct"/>
            <w:tcBorders>
              <w:tl2br w:val="nil"/>
              <w:tr2bl w:val="nil"/>
            </w:tcBorders>
            <w:noWrap w:val="0"/>
            <w:vAlign w:val="center"/>
          </w:tcPr>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w:t>
            </w:r>
            <w:r>
              <w:rPr>
                <w:rFonts w:hint="eastAsia" w:ascii="Times New Roman" w:hAnsi="Times New Roman" w:cs="Times New Roman"/>
                <w:color w:val="auto"/>
                <w:kern w:val="2"/>
                <w:sz w:val="24"/>
                <w:szCs w:val="24"/>
                <w:lang w:val="en-US" w:eastAsia="zh-CN" w:bidi="ar-SA"/>
              </w:rPr>
              <w:t>《“十四五”污染减排综合工作方案编制技术指南》，我国“十四五”期间对COD、氨氮、VOC</w:t>
            </w:r>
            <w:r>
              <w:rPr>
                <w:rFonts w:hint="eastAsia" w:ascii="Times New Roman" w:hAnsi="Times New Roman" w:cs="Times New Roman"/>
                <w:color w:val="auto"/>
                <w:kern w:val="2"/>
                <w:sz w:val="24"/>
                <w:szCs w:val="24"/>
                <w:vertAlign w:val="subscript"/>
                <w:lang w:val="en-US" w:eastAsia="zh-CN" w:bidi="ar-SA"/>
              </w:rPr>
              <w:t>S</w:t>
            </w:r>
            <w:r>
              <w:rPr>
                <w:rFonts w:hint="eastAsia" w:ascii="Times New Roman" w:hAnsi="Times New Roman" w:cs="Times New Roman"/>
                <w:color w:val="auto"/>
                <w:kern w:val="2"/>
                <w:sz w:val="24"/>
                <w:szCs w:val="24"/>
                <w:lang w:val="en-US" w:eastAsia="zh-CN" w:bidi="ar-SA"/>
              </w:rPr>
              <w:t>、NO</w:t>
            </w:r>
            <w:r>
              <w:rPr>
                <w:rFonts w:hint="eastAsia" w:ascii="Times New Roman" w:hAnsi="Times New Roman" w:cs="Times New Roman"/>
                <w:color w:val="auto"/>
                <w:kern w:val="2"/>
                <w:sz w:val="24"/>
                <w:szCs w:val="24"/>
                <w:vertAlign w:val="subscript"/>
                <w:lang w:val="en-US" w:eastAsia="zh-CN" w:bidi="ar-SA"/>
              </w:rPr>
              <w:t>X</w:t>
            </w:r>
            <w:r>
              <w:rPr>
                <w:rFonts w:hint="eastAsia" w:ascii="Times New Roman" w:hAnsi="Times New Roman" w:cs="Times New Roman"/>
                <w:color w:val="auto"/>
                <w:kern w:val="2"/>
                <w:sz w:val="24"/>
                <w:szCs w:val="24"/>
                <w:lang w:val="en-US" w:eastAsia="zh-CN" w:bidi="ar-SA"/>
              </w:rPr>
              <w:t>这4种</w:t>
            </w:r>
            <w:r>
              <w:rPr>
                <w:rFonts w:hint="default" w:ascii="Times New Roman" w:hAnsi="Times New Roman" w:eastAsia="宋体" w:cs="Times New Roman"/>
                <w:color w:val="auto"/>
                <w:kern w:val="2"/>
                <w:sz w:val="24"/>
                <w:szCs w:val="24"/>
                <w:lang w:val="en-US" w:eastAsia="zh-CN" w:bidi="ar-SA"/>
              </w:rPr>
              <w:t>污染物</w:t>
            </w:r>
            <w:r>
              <w:rPr>
                <w:rFonts w:hint="eastAsia" w:ascii="Times New Roman" w:hAnsi="Times New Roman" w:cs="Times New Roman"/>
                <w:color w:val="auto"/>
                <w:kern w:val="2"/>
                <w:sz w:val="24"/>
                <w:szCs w:val="24"/>
                <w:lang w:val="en-US" w:eastAsia="zh-CN" w:bidi="ar-SA"/>
              </w:rPr>
              <w:t>实施排放总量控制</w:t>
            </w:r>
            <w:r>
              <w:rPr>
                <w:rFonts w:hint="default" w:ascii="Times New Roman" w:hAnsi="Times New Roman" w:eastAsia="宋体" w:cs="Times New Roman"/>
                <w:color w:val="auto"/>
                <w:kern w:val="2"/>
                <w:sz w:val="24"/>
                <w:szCs w:val="24"/>
                <w:lang w:val="en-US" w:eastAsia="zh-CN" w:bidi="ar-SA"/>
              </w:rPr>
              <w:t>。</w:t>
            </w:r>
          </w:p>
          <w:p>
            <w:pPr>
              <w:pStyle w:val="5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kern w:val="2"/>
                <w:sz w:val="24"/>
                <w:szCs w:val="24"/>
                <w:lang w:val="en-US" w:eastAsia="zh-CN" w:bidi="ar-SA"/>
              </w:rPr>
              <w:t>根据工程分析</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本项目</w:t>
            </w:r>
            <w:r>
              <w:rPr>
                <w:rFonts w:hint="default" w:ascii="Times New Roman" w:hAnsi="Times New Roman" w:eastAsia="宋体" w:cs="Times New Roman"/>
                <w:color w:val="auto"/>
                <w:kern w:val="2"/>
                <w:sz w:val="24"/>
                <w:szCs w:val="24"/>
                <w:highlight w:val="none"/>
                <w:lang w:val="en-US" w:eastAsia="zh-CN" w:bidi="ar-SA"/>
              </w:rPr>
              <w:t>废气污染物主要为氨、硫化氢，因此，本项目无废气污染物排放总量控制要求</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废水总量控制指标为：</w:t>
            </w:r>
            <w:r>
              <w:rPr>
                <w:rFonts w:hint="eastAsia" w:ascii="Times New Roman" w:hAnsi="Times New Roman" w:eastAsia="宋体" w:cs="Times New Roman"/>
                <w:color w:val="auto"/>
                <w:kern w:val="2"/>
                <w:sz w:val="24"/>
                <w:szCs w:val="24"/>
                <w:highlight w:val="none"/>
                <w:lang w:val="en-US" w:eastAsia="zh-CN" w:bidi="ar-SA"/>
              </w:rPr>
              <w:t>COD</w:t>
            </w:r>
            <w:r>
              <w:rPr>
                <w:rFonts w:hint="eastAsia" w:ascii="Times New Roman" w:hAnsi="Times New Roman" w:cs="Times New Roman"/>
                <w:color w:val="auto"/>
                <w:kern w:val="2"/>
                <w:sz w:val="24"/>
                <w:szCs w:val="24"/>
                <w:highlight w:val="none"/>
                <w:lang w:val="en-US" w:eastAsia="zh-CN" w:bidi="ar-SA"/>
              </w:rPr>
              <w:t>：1.489t/a；</w:t>
            </w:r>
            <w:r>
              <w:rPr>
                <w:rFonts w:hint="eastAsia" w:ascii="Times New Roman" w:hAnsi="Times New Roman" w:eastAsia="宋体" w:cs="Times New Roman"/>
                <w:color w:val="auto"/>
                <w:kern w:val="2"/>
                <w:sz w:val="24"/>
                <w:szCs w:val="24"/>
                <w:highlight w:val="none"/>
                <w:lang w:val="en-US" w:eastAsia="zh-CN" w:bidi="ar-SA"/>
              </w:rPr>
              <w:t>NH</w:t>
            </w:r>
            <w:r>
              <w:rPr>
                <w:rFonts w:hint="eastAsia" w:ascii="Times New Roman" w:hAnsi="Times New Roman" w:eastAsia="宋体" w:cs="Times New Roman"/>
                <w:color w:val="auto"/>
                <w:kern w:val="2"/>
                <w:sz w:val="24"/>
                <w:szCs w:val="24"/>
                <w:highlight w:val="none"/>
                <w:vertAlign w:val="subscript"/>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-N</w:t>
            </w:r>
            <w:r>
              <w:rPr>
                <w:rFonts w:hint="eastAsia" w:ascii="Times New Roman" w:hAnsi="Times New Roman" w:cs="Times New Roman"/>
                <w:color w:val="auto"/>
                <w:kern w:val="2"/>
                <w:sz w:val="24"/>
                <w:szCs w:val="24"/>
                <w:highlight w:val="none"/>
                <w:lang w:val="en-US" w:eastAsia="zh-CN" w:bidi="ar-SA"/>
              </w:rPr>
              <w:t>：0.180t/a。</w:t>
            </w:r>
          </w:p>
        </w:tc>
      </w:tr>
    </w:tbl>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snapToGrid w:val="0"/>
          <w:color w:val="auto"/>
          <w:sz w:val="30"/>
          <w:szCs w:val="30"/>
        </w:rPr>
      </w:pPr>
      <w:r>
        <w:rPr>
          <w:rFonts w:ascii="Times New Roman" w:hAnsi="Times New Roman"/>
          <w:snapToGrid w:val="0"/>
          <w:color w:val="auto"/>
          <w:sz w:val="36"/>
          <w:szCs w:val="36"/>
        </w:rPr>
        <w:br w:type="page"/>
      </w:r>
      <w:r>
        <w:rPr>
          <w:rFonts w:hint="eastAsia" w:ascii="Times New Roman" w:hAnsi="Times New Roman"/>
          <w:snapToGrid w:val="0"/>
          <w:color w:val="auto"/>
          <w:sz w:val="30"/>
          <w:szCs w:val="30"/>
        </w:rPr>
        <w:t>四、主要环境影响和保护措施</w:t>
      </w:r>
    </w:p>
    <w:tbl>
      <w:tblPr>
        <w:tblStyle w:val="27"/>
        <w:tblW w:w="504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2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46" w:type="pct"/>
            <w:tcBorders>
              <w:tl2br w:val="nil"/>
              <w:tr2bl w:val="nil"/>
            </w:tcBorders>
            <w:noWrap w:val="0"/>
            <w:tcMar>
              <w:left w:w="28" w:type="dxa"/>
              <w:right w:w="28" w:type="dxa"/>
            </w:tcMar>
            <w:vAlign w:val="center"/>
          </w:tcPr>
          <w:p>
            <w:pPr>
              <w:pStyle w:val="22"/>
              <w:adjustRightInd w:val="0"/>
              <w:snapToGrid w:val="0"/>
              <w:spacing w:before="0" w:beforeAutospacing="0" w:after="0" w:afterAutospacing="0"/>
              <w:jc w:val="center"/>
              <w:rPr>
                <w:rFonts w:hint="default" w:ascii="Times New Roman" w:hAnsi="Times New Roman" w:cs="Times New Roman"/>
                <w:bCs/>
                <w:color w:val="auto"/>
                <w:kern w:val="2"/>
                <w:sz w:val="21"/>
                <w:szCs w:val="21"/>
              </w:rPr>
            </w:pPr>
            <w:r>
              <w:rPr>
                <w:rFonts w:hint="default" w:ascii="Times New Roman" w:hAnsi="Times New Roman" w:cs="Times New Roman"/>
                <w:b w:val="0"/>
                <w:bCs w:val="0"/>
                <w:color w:val="auto"/>
                <w:kern w:val="2"/>
                <w:sz w:val="24"/>
                <w:szCs w:val="24"/>
              </w:rPr>
              <w:t>施工期环境保护措施</w:t>
            </w:r>
          </w:p>
        </w:tc>
        <w:tc>
          <w:tcPr>
            <w:tcW w:w="4653" w:type="pct"/>
            <w:tcBorders>
              <w:tl2br w:val="nil"/>
              <w:tr2bl w:val="nil"/>
            </w:tcBorders>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本项目施工期仅对少量的环保设施进行整改</w:t>
            </w:r>
            <w:r>
              <w:rPr>
                <w:rFonts w:hint="eastAsia" w:ascii="Times New Roman" w:hAnsi="Times New Roman" w:eastAsia="宋体" w:cs="Times New Roman"/>
                <w:kern w:val="2"/>
                <w:sz w:val="24"/>
                <w:szCs w:val="24"/>
                <w:highlight w:val="none"/>
                <w:lang w:val="en-US" w:eastAsia="zh-CN" w:bidi="ar-SA"/>
              </w:rPr>
              <w:t>。因此，</w:t>
            </w:r>
            <w:r>
              <w:rPr>
                <w:rFonts w:hint="eastAsia" w:ascii="Times New Roman" w:hAnsi="Times New Roman" w:cs="Times New Roman"/>
                <w:kern w:val="2"/>
                <w:sz w:val="24"/>
                <w:szCs w:val="24"/>
                <w:highlight w:val="none"/>
                <w:lang w:val="en-US" w:eastAsia="zh-CN" w:bidi="ar-SA"/>
              </w:rPr>
              <w:t>项目施工期非常短</w:t>
            </w:r>
            <w:r>
              <w:rPr>
                <w:rFonts w:hint="eastAsia" w:ascii="Times New Roman" w:hAnsi="Times New Roman" w:eastAsia="宋体" w:cs="Times New Roman"/>
                <w:kern w:val="2"/>
                <w:sz w:val="24"/>
                <w:szCs w:val="24"/>
                <w:highlight w:val="none"/>
                <w:lang w:val="en-US" w:eastAsia="zh-CN" w:bidi="ar-SA"/>
              </w:rPr>
              <w:t>。</w:t>
            </w:r>
            <w:r>
              <w:rPr>
                <w:rFonts w:hint="eastAsia" w:ascii="Times New Roman" w:hAnsi="Times New Roman" w:cs="Times New Roman"/>
                <w:kern w:val="2"/>
                <w:sz w:val="24"/>
                <w:szCs w:val="24"/>
                <w:highlight w:val="none"/>
                <w:lang w:val="en-US" w:eastAsia="zh-CN" w:bidi="ar-SA"/>
              </w:rPr>
              <w:t>主要是对污水处理设施的改扩建，施工期对环境的影响主要表现在少量施工扬尘、机械废气、装修废气、施工噪声、少量施工固体废弃物和废水等。</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1、</w:t>
            </w:r>
            <w:r>
              <w:rPr>
                <w:rFonts w:hint="default" w:ascii="Times New Roman" w:hAnsi="Times New Roman" w:eastAsia="宋体" w:cs="Times New Roman"/>
                <w:b/>
                <w:bCs/>
                <w:sz w:val="24"/>
                <w:lang w:val="en-US" w:eastAsia="zh-CN"/>
              </w:rPr>
              <w:t>施工</w:t>
            </w:r>
            <w:r>
              <w:rPr>
                <w:rFonts w:hint="eastAsia" w:cs="Times New Roman"/>
                <w:b/>
                <w:bCs/>
                <w:sz w:val="24"/>
                <w:lang w:val="en-US" w:eastAsia="zh-CN"/>
              </w:rPr>
              <w:t>期废气环境影响及</w:t>
            </w:r>
            <w:r>
              <w:rPr>
                <w:rFonts w:hint="default" w:ascii="Times New Roman" w:hAnsi="Times New Roman" w:eastAsia="宋体" w:cs="Times New Roman"/>
                <w:b/>
                <w:bCs/>
                <w:sz w:val="24"/>
              </w:rPr>
              <w:t>防治措施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施工期废气污染源主要有施工扬尘、施工机械及车辆废气、装修废气。</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施工单位应根据《防治城市扬尘污染技术规范》（</w:t>
            </w:r>
            <w:r>
              <w:rPr>
                <w:rFonts w:hint="default" w:ascii="Times New Roman" w:hAnsi="Times New Roman" w:eastAsia="宋体" w:cs="Times New Roman"/>
                <w:bCs/>
                <w:color w:val="auto"/>
                <w:sz w:val="24"/>
                <w:lang w:val="en-US" w:eastAsia="zh-CN"/>
              </w:rPr>
              <w:t>HJ/T 393-2007</w:t>
            </w:r>
            <w:r>
              <w:rPr>
                <w:rFonts w:hint="eastAsia" w:ascii="Times New Roman" w:hAnsi="Times New Roman" w:eastAsia="宋体" w:cs="Times New Roman"/>
                <w:bCs/>
                <w:color w:val="auto"/>
                <w:sz w:val="24"/>
                <w:lang w:val="en-US" w:eastAsia="zh-CN"/>
              </w:rPr>
              <w:t>）等标准及文件的要求，在施工现场全面落实工地扬尘防治“</w:t>
            </w:r>
            <w:r>
              <w:rPr>
                <w:rFonts w:hint="default" w:ascii="Times New Roman" w:hAnsi="Times New Roman" w:eastAsia="宋体" w:cs="Times New Roman"/>
                <w:bCs/>
                <w:color w:val="auto"/>
                <w:sz w:val="24"/>
                <w:lang w:val="en-US" w:eastAsia="zh-CN"/>
              </w:rPr>
              <w:t>6</w:t>
            </w:r>
            <w:r>
              <w:rPr>
                <w:rFonts w:hint="eastAsia" w:ascii="Times New Roman" w:hAnsi="Times New Roman" w:eastAsia="宋体" w:cs="Times New Roman"/>
                <w:bCs/>
                <w:color w:val="auto"/>
                <w:sz w:val="24"/>
                <w:lang w:val="en-US" w:eastAsia="zh-CN"/>
              </w:rPr>
              <w:t>个</w:t>
            </w:r>
            <w:r>
              <w:rPr>
                <w:rFonts w:hint="default" w:ascii="Times New Roman" w:hAnsi="Times New Roman" w:eastAsia="宋体" w:cs="Times New Roman"/>
                <w:bCs/>
                <w:color w:val="auto"/>
                <w:sz w:val="24"/>
                <w:lang w:val="en-US" w:eastAsia="zh-CN"/>
              </w:rPr>
              <w:t>100%</w:t>
            </w:r>
            <w:r>
              <w:rPr>
                <w:rFonts w:hint="eastAsia" w:ascii="Times New Roman" w:hAnsi="Times New Roman" w:eastAsia="宋体" w:cs="Times New Roman"/>
                <w:bCs/>
                <w:color w:val="auto"/>
                <w:sz w:val="24"/>
                <w:lang w:val="en-US" w:eastAsia="zh-CN"/>
              </w:rPr>
              <w:t>”措施，即施工现场</w:t>
            </w:r>
            <w:r>
              <w:rPr>
                <w:rFonts w:hint="default" w:ascii="Times New Roman" w:hAnsi="Times New Roman" w:eastAsia="宋体" w:cs="Times New Roman"/>
                <w:bCs/>
                <w:color w:val="auto"/>
                <w:sz w:val="24"/>
                <w:lang w:val="en-US" w:eastAsia="zh-CN"/>
              </w:rPr>
              <w:t>100%</w:t>
            </w:r>
            <w:r>
              <w:rPr>
                <w:rFonts w:hint="eastAsia" w:ascii="Times New Roman" w:hAnsi="Times New Roman" w:eastAsia="宋体" w:cs="Times New Roman"/>
                <w:bCs/>
                <w:color w:val="auto"/>
                <w:sz w:val="24"/>
                <w:lang w:val="en-US" w:eastAsia="zh-CN"/>
              </w:rPr>
              <w:t>围蔽、工地路面</w:t>
            </w:r>
            <w:r>
              <w:rPr>
                <w:rFonts w:hint="default" w:ascii="Times New Roman" w:hAnsi="Times New Roman" w:eastAsia="宋体" w:cs="Times New Roman"/>
                <w:bCs/>
                <w:color w:val="auto"/>
                <w:sz w:val="24"/>
                <w:lang w:val="en-US" w:eastAsia="zh-CN"/>
              </w:rPr>
              <w:t>100%</w:t>
            </w:r>
            <w:r>
              <w:rPr>
                <w:rFonts w:hint="eastAsia" w:ascii="Times New Roman" w:hAnsi="Times New Roman" w:eastAsia="宋体" w:cs="Times New Roman"/>
                <w:bCs/>
                <w:color w:val="auto"/>
                <w:sz w:val="24"/>
                <w:lang w:val="en-US" w:eastAsia="zh-CN"/>
              </w:rPr>
              <w:t>硬化、工地砂土物料</w:t>
            </w:r>
            <w:r>
              <w:rPr>
                <w:rFonts w:hint="default" w:ascii="Times New Roman" w:hAnsi="Times New Roman" w:eastAsia="宋体" w:cs="Times New Roman"/>
                <w:bCs/>
                <w:color w:val="auto"/>
                <w:sz w:val="24"/>
                <w:lang w:val="en-US" w:eastAsia="zh-CN"/>
              </w:rPr>
              <w:t>100%</w:t>
            </w:r>
            <w:r>
              <w:rPr>
                <w:rFonts w:hint="eastAsia" w:ascii="Times New Roman" w:hAnsi="Times New Roman" w:eastAsia="宋体" w:cs="Times New Roman"/>
                <w:bCs/>
                <w:color w:val="auto"/>
                <w:sz w:val="24"/>
                <w:lang w:val="en-US" w:eastAsia="zh-CN"/>
              </w:rPr>
              <w:t>覆盖、施工作业</w:t>
            </w:r>
            <w:r>
              <w:rPr>
                <w:rFonts w:hint="default" w:ascii="Times New Roman" w:hAnsi="Times New Roman" w:eastAsia="宋体" w:cs="Times New Roman"/>
                <w:bCs/>
                <w:color w:val="auto"/>
                <w:sz w:val="24"/>
                <w:lang w:val="en-US" w:eastAsia="zh-CN"/>
              </w:rPr>
              <w:t>100%</w:t>
            </w:r>
            <w:r>
              <w:rPr>
                <w:rFonts w:hint="eastAsia" w:ascii="Times New Roman" w:hAnsi="Times New Roman" w:eastAsia="宋体" w:cs="Times New Roman"/>
                <w:bCs/>
                <w:color w:val="auto"/>
                <w:sz w:val="24"/>
                <w:lang w:val="en-US" w:eastAsia="zh-CN"/>
              </w:rPr>
              <w:t>洒水、出工地车辆</w:t>
            </w:r>
            <w:r>
              <w:rPr>
                <w:rFonts w:hint="default" w:ascii="Times New Roman" w:hAnsi="Times New Roman" w:eastAsia="宋体" w:cs="Times New Roman"/>
                <w:bCs/>
                <w:color w:val="auto"/>
                <w:sz w:val="24"/>
                <w:lang w:val="en-US" w:eastAsia="zh-CN"/>
              </w:rPr>
              <w:t>100%</w:t>
            </w:r>
            <w:r>
              <w:rPr>
                <w:rFonts w:hint="eastAsia" w:ascii="Times New Roman" w:hAnsi="Times New Roman" w:eastAsia="宋体" w:cs="Times New Roman"/>
                <w:bCs/>
                <w:color w:val="auto"/>
                <w:sz w:val="24"/>
                <w:lang w:val="en-US" w:eastAsia="zh-CN"/>
              </w:rPr>
              <w:t>冲净车轮车身、长期裸土</w:t>
            </w:r>
            <w:r>
              <w:rPr>
                <w:rFonts w:hint="default" w:ascii="Times New Roman" w:hAnsi="Times New Roman" w:eastAsia="宋体" w:cs="Times New Roman"/>
                <w:bCs/>
                <w:color w:val="auto"/>
                <w:sz w:val="24"/>
                <w:lang w:val="en-US" w:eastAsia="zh-CN"/>
              </w:rPr>
              <w:t>100%</w:t>
            </w:r>
            <w:r>
              <w:rPr>
                <w:rFonts w:hint="eastAsia" w:ascii="Times New Roman" w:hAnsi="Times New Roman" w:eastAsia="宋体" w:cs="Times New Roman"/>
                <w:bCs/>
                <w:color w:val="auto"/>
                <w:sz w:val="24"/>
                <w:lang w:val="en-US" w:eastAsia="zh-CN"/>
              </w:rPr>
              <w:t>覆盖或绿化。严格按照</w:t>
            </w:r>
            <w:r>
              <w:rPr>
                <w:rFonts w:hint="default" w:ascii="Times New Roman" w:hAnsi="Times New Roman" w:eastAsia="宋体" w:cs="Times New Roman"/>
                <w:bCs/>
                <w:color w:val="auto"/>
                <w:sz w:val="24"/>
                <w:lang w:val="en-US" w:eastAsia="zh-CN"/>
              </w:rPr>
              <w:t>《陕西省大气污染治理专项行动方案</w:t>
            </w: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2023-2027年</w:t>
            </w: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w:t>
            </w: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w:t>
            </w:r>
            <w:r>
              <w:rPr>
                <w:rFonts w:hint="eastAsia" w:ascii="Times New Roman" w:hAnsi="Times New Roman" w:eastAsia="宋体" w:cs="Times New Roman"/>
                <w:bCs/>
                <w:color w:val="auto"/>
                <w:sz w:val="24"/>
                <w:lang w:val="en-US" w:eastAsia="zh-CN"/>
              </w:rPr>
              <w:t>安康市</w:t>
            </w:r>
            <w:r>
              <w:rPr>
                <w:rFonts w:hint="default" w:ascii="Times New Roman" w:hAnsi="Times New Roman" w:eastAsia="宋体" w:cs="Times New Roman"/>
                <w:bCs/>
                <w:color w:val="auto"/>
                <w:sz w:val="24"/>
                <w:lang w:val="en-US" w:eastAsia="zh-CN"/>
              </w:rPr>
              <w:t>大气污染治理专项行动方案</w:t>
            </w: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2023-2027年</w:t>
            </w: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w:t>
            </w:r>
            <w:r>
              <w:rPr>
                <w:rFonts w:hint="eastAsia" w:ascii="Times New Roman" w:hAnsi="Times New Roman" w:eastAsia="宋体" w:cs="Times New Roman"/>
                <w:bCs/>
                <w:color w:val="auto"/>
                <w:sz w:val="24"/>
                <w:lang w:val="en-US" w:eastAsia="zh-CN"/>
              </w:rPr>
              <w:t>要求采取措施，具体扬尘防治措施如下。</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①施工扬尘</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a.</w:t>
            </w:r>
            <w:r>
              <w:rPr>
                <w:rFonts w:hint="eastAsia" w:ascii="Times New Roman" w:hAnsi="Times New Roman" w:eastAsia="宋体" w:cs="Times New Roman"/>
                <w:bCs/>
                <w:color w:val="auto"/>
                <w:sz w:val="24"/>
                <w:lang w:val="en-US" w:eastAsia="zh-CN"/>
              </w:rPr>
              <w:t>在土方挖掘、装卸、运输等易产尘的施工现场、施工道路、临时堆场等场所定期洒水，采用湿法作业；对于易产尘的细颗粒材料，应严密遮盖，以减少二次扬尘产生。</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b.</w:t>
            </w:r>
            <w:r>
              <w:rPr>
                <w:rFonts w:hint="eastAsia" w:ascii="Times New Roman" w:hAnsi="Times New Roman" w:eastAsia="宋体" w:cs="Times New Roman"/>
                <w:bCs/>
                <w:color w:val="auto"/>
                <w:sz w:val="24"/>
                <w:lang w:val="en-US" w:eastAsia="zh-CN"/>
              </w:rPr>
              <w:t>及时清运建筑垃圾等，建筑垃圾、施工建筑材料运输车辆要求完好，不宜装载过满，且需用苫布遮盖。</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c.</w:t>
            </w:r>
            <w:r>
              <w:rPr>
                <w:rFonts w:hint="eastAsia" w:ascii="Times New Roman" w:hAnsi="Times New Roman" w:eastAsia="宋体" w:cs="Times New Roman"/>
                <w:bCs/>
                <w:color w:val="auto"/>
                <w:sz w:val="24"/>
                <w:lang w:val="en-US" w:eastAsia="zh-CN"/>
              </w:rPr>
              <w:t>对运输过程中散落在路面的渣土要及时清扫，防止道路上积尘量过大，以减少运行过程的扬尘。</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d.</w:t>
            </w:r>
            <w:r>
              <w:rPr>
                <w:rFonts w:hint="eastAsia" w:ascii="Times New Roman" w:hAnsi="Times New Roman" w:eastAsia="宋体" w:cs="Times New Roman"/>
                <w:bCs/>
                <w:color w:val="auto"/>
                <w:sz w:val="24"/>
                <w:lang w:val="en-US" w:eastAsia="zh-CN"/>
              </w:rPr>
              <w:t>加强施工扬尘监管严格执行《建筑施工扬尘治理措施</w:t>
            </w:r>
            <w:r>
              <w:rPr>
                <w:rFonts w:hint="default" w:ascii="Times New Roman" w:hAnsi="Times New Roman" w:eastAsia="宋体" w:cs="Times New Roman"/>
                <w:bCs/>
                <w:color w:val="auto"/>
                <w:sz w:val="24"/>
                <w:lang w:val="en-US" w:eastAsia="zh-CN"/>
              </w:rPr>
              <w:t xml:space="preserve">16 </w:t>
            </w:r>
            <w:r>
              <w:rPr>
                <w:rFonts w:hint="eastAsia" w:ascii="Times New Roman" w:hAnsi="Times New Roman" w:eastAsia="宋体" w:cs="Times New Roman"/>
                <w:bCs/>
                <w:color w:val="auto"/>
                <w:sz w:val="24"/>
                <w:lang w:val="en-US" w:eastAsia="zh-CN"/>
              </w:rPr>
              <w:t>条》。实施建设项目“洒水、覆盖、硬化、冲洗、绿化、围挡”六个</w:t>
            </w:r>
            <w:r>
              <w:rPr>
                <w:rFonts w:hint="default" w:ascii="Times New Roman" w:hAnsi="Times New Roman" w:eastAsia="宋体" w:cs="Times New Roman"/>
                <w:bCs/>
                <w:color w:val="auto"/>
                <w:sz w:val="24"/>
                <w:lang w:val="en-US" w:eastAsia="zh-CN"/>
              </w:rPr>
              <w:t>100%</w:t>
            </w:r>
            <w:r>
              <w:rPr>
                <w:rFonts w:hint="eastAsia" w:ascii="Times New Roman" w:hAnsi="Times New Roman" w:eastAsia="宋体" w:cs="Times New Roman"/>
                <w:bCs/>
                <w:color w:val="auto"/>
                <w:sz w:val="24"/>
                <w:lang w:val="en-US" w:eastAsia="zh-CN"/>
              </w:rPr>
              <w:t>措施。采取上述措施后，项目施工场界扬尘可以满足《施工场界扬尘排放限值》（</w:t>
            </w:r>
            <w:r>
              <w:rPr>
                <w:rFonts w:hint="default" w:ascii="Times New Roman" w:hAnsi="Times New Roman" w:eastAsia="宋体" w:cs="Times New Roman"/>
                <w:bCs/>
                <w:color w:val="auto"/>
                <w:sz w:val="24"/>
                <w:lang w:val="en-US" w:eastAsia="zh-CN"/>
              </w:rPr>
              <w:t>DB61/1078-2017</w:t>
            </w:r>
            <w:r>
              <w:rPr>
                <w:rFonts w:hint="eastAsia" w:ascii="Times New Roman" w:hAnsi="Times New Roman" w:eastAsia="宋体" w:cs="Times New Roman"/>
                <w:bCs/>
                <w:color w:val="auto"/>
                <w:sz w:val="24"/>
                <w:lang w:val="en-US" w:eastAsia="zh-CN"/>
              </w:rPr>
              <w:t xml:space="preserve">）中相关限值要求，对周围大气环境影响较小。 </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 xml:space="preserve">e.认真做好施工计划，尽量缩短工期，安排好施工运输线路及时间顺序； </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禁止车辆带泥</w:t>
            </w:r>
            <w:r>
              <w:rPr>
                <w:rFonts w:hint="eastAsia" w:ascii="Times New Roman" w:hAnsi="Times New Roman" w:cs="Times New Roman"/>
                <w:bCs/>
                <w:color w:val="auto"/>
                <w:sz w:val="24"/>
                <w:lang w:val="en-US" w:eastAsia="zh-CN"/>
              </w:rPr>
              <w:t>（</w:t>
            </w:r>
            <w:r>
              <w:rPr>
                <w:rFonts w:hint="eastAsia" w:ascii="Times New Roman" w:hAnsi="Times New Roman" w:eastAsia="宋体" w:cs="Times New Roman"/>
                <w:bCs/>
                <w:color w:val="auto"/>
                <w:sz w:val="24"/>
                <w:lang w:val="en-US" w:eastAsia="zh-CN"/>
              </w:rPr>
              <w:t>尘</w:t>
            </w:r>
            <w:r>
              <w:rPr>
                <w:rFonts w:hint="eastAsia" w:ascii="Times New Roman" w:hAnsi="Times New Roman" w:cs="Times New Roman"/>
                <w:bCs/>
                <w:color w:val="auto"/>
                <w:sz w:val="24"/>
                <w:lang w:val="en-US" w:eastAsia="zh-CN"/>
              </w:rPr>
              <w:t>）</w:t>
            </w:r>
            <w:r>
              <w:rPr>
                <w:rFonts w:hint="eastAsia" w:ascii="Times New Roman" w:hAnsi="Times New Roman" w:eastAsia="宋体" w:cs="Times New Roman"/>
                <w:bCs/>
                <w:color w:val="auto"/>
                <w:sz w:val="24"/>
                <w:lang w:val="en-US" w:eastAsia="zh-CN"/>
              </w:rPr>
              <w:t>上路行驶。运输砂石、水泥、建筑垃圾等物质的车辆采取密闭运输。对运输车辆在驶离作业点时，对车辆进行清洗；严禁车辆超载超速行驶，以防止运输中的二次扬尘产生。</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②机械废气</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施工期间，废气主要来自施工机械废气、各种物料运输车辆排放汽车尾气等。车辆尾气中主要污染物为</w:t>
            </w:r>
            <w:r>
              <w:rPr>
                <w:rFonts w:hint="default" w:ascii="Times New Roman" w:hAnsi="Times New Roman" w:eastAsia="宋体" w:cs="Times New Roman"/>
                <w:bCs/>
                <w:color w:val="auto"/>
                <w:sz w:val="24"/>
                <w:lang w:val="en-US" w:eastAsia="zh-CN"/>
              </w:rPr>
              <w:t>CO</w:t>
            </w: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NOx</w:t>
            </w:r>
            <w:r>
              <w:rPr>
                <w:rFonts w:hint="eastAsia" w:ascii="Times New Roman" w:hAnsi="Times New Roman" w:eastAsia="宋体" w:cs="Times New Roman"/>
                <w:bCs/>
                <w:color w:val="auto"/>
                <w:sz w:val="24"/>
                <w:lang w:val="en-US" w:eastAsia="zh-CN"/>
              </w:rPr>
              <w:t>及</w:t>
            </w:r>
            <w:r>
              <w:rPr>
                <w:rFonts w:hint="default" w:ascii="Times New Roman" w:hAnsi="Times New Roman" w:eastAsia="宋体" w:cs="Times New Roman"/>
                <w:bCs/>
                <w:color w:val="auto"/>
                <w:sz w:val="24"/>
                <w:lang w:val="en-US" w:eastAsia="zh-CN"/>
              </w:rPr>
              <w:t>THC</w:t>
            </w:r>
            <w:r>
              <w:rPr>
                <w:rFonts w:hint="eastAsia" w:ascii="Times New Roman" w:hAnsi="Times New Roman" w:eastAsia="宋体" w:cs="Times New Roman"/>
                <w:bCs/>
                <w:color w:val="auto"/>
                <w:sz w:val="24"/>
                <w:lang w:val="en-US" w:eastAsia="zh-CN"/>
              </w:rPr>
              <w:t>等，项目在加强施工车辆运行管理与维护保养情况下间断运行，可减少尾气排放对环境的污染。</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③</w:t>
            </w:r>
            <w:r>
              <w:rPr>
                <w:rFonts w:hint="eastAsia" w:ascii="Times New Roman" w:hAnsi="Times New Roman" w:eastAsia="宋体" w:cs="Times New Roman"/>
                <w:bCs/>
                <w:color w:val="auto"/>
                <w:sz w:val="24"/>
                <w:lang w:val="en-US" w:eastAsia="zh-CN"/>
              </w:rPr>
              <w:t>装修废气</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装修过程应选用符合环保标准的涂料、油漆、黏合剂等，从源头减少有机废气的排放；装修过程中要加强室内通风，让装修时产生的少量有机废气尽快扩撒，减少对施工人员的危害。</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2、</w:t>
            </w:r>
            <w:r>
              <w:rPr>
                <w:rFonts w:hint="eastAsia" w:cs="Times New Roman"/>
                <w:b/>
                <w:bCs/>
                <w:sz w:val="24"/>
                <w:lang w:val="en-US" w:eastAsia="zh-CN"/>
              </w:rPr>
              <w:t>施工期</w:t>
            </w:r>
            <w:r>
              <w:rPr>
                <w:rFonts w:hint="default" w:ascii="Times New Roman" w:hAnsi="Times New Roman" w:eastAsia="宋体" w:cs="Times New Roman"/>
                <w:b/>
                <w:bCs/>
                <w:sz w:val="24"/>
              </w:rPr>
              <w:t>废水环境影响及防治措施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施工废水主要</w:t>
            </w:r>
            <w:r>
              <w:rPr>
                <w:rFonts w:hint="default" w:ascii="Times New Roman" w:hAnsi="Times New Roman" w:eastAsia="宋体" w:cs="Times New Roman"/>
                <w:bCs/>
                <w:color w:val="auto"/>
                <w:sz w:val="24"/>
              </w:rPr>
              <w:t>为</w:t>
            </w:r>
            <w:r>
              <w:rPr>
                <w:rFonts w:hint="default" w:ascii="Times New Roman" w:hAnsi="Times New Roman" w:eastAsia="宋体" w:cs="Times New Roman"/>
                <w:color w:val="auto"/>
                <w:sz w:val="24"/>
                <w:lang w:val="en-US" w:eastAsia="zh-CN"/>
              </w:rPr>
              <w:t>生产用水和施工人员生活用水</w:t>
            </w:r>
            <w:r>
              <w:rPr>
                <w:rFonts w:hint="default" w:ascii="Times New Roman" w:hAnsi="Times New Roman" w:eastAsia="宋体" w:cs="Times New Roman"/>
                <w:color w:val="auto"/>
                <w:sz w:val="24"/>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①生活污水</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生活污水主要污染物为pH值、COD、BOD</w:t>
            </w:r>
            <w:r>
              <w:rPr>
                <w:rFonts w:hint="eastAsia" w:ascii="Times New Roman" w:hAnsi="Times New Roman" w:eastAsia="宋体" w:cs="Times New Roman"/>
                <w:bCs/>
                <w:color w:val="auto"/>
                <w:sz w:val="24"/>
                <w:vertAlign w:val="subscript"/>
                <w:lang w:val="en-US" w:eastAsia="zh-CN"/>
              </w:rPr>
              <w:t>5</w:t>
            </w:r>
            <w:r>
              <w:rPr>
                <w:rFonts w:hint="eastAsia" w:ascii="Times New Roman" w:hAnsi="Times New Roman" w:eastAsia="宋体" w:cs="Times New Roman"/>
                <w:bCs/>
                <w:color w:val="auto"/>
                <w:sz w:val="24"/>
                <w:lang w:val="en-US" w:eastAsia="zh-CN"/>
              </w:rPr>
              <w:t>、SS、NH</w:t>
            </w:r>
            <w:r>
              <w:rPr>
                <w:rFonts w:hint="eastAsia" w:ascii="Times New Roman" w:hAnsi="Times New Roman" w:eastAsia="宋体" w:cs="Times New Roman"/>
                <w:bCs/>
                <w:color w:val="auto"/>
                <w:sz w:val="24"/>
                <w:vertAlign w:val="subscript"/>
                <w:lang w:val="en-US" w:eastAsia="zh-CN"/>
              </w:rPr>
              <w:t>3</w:t>
            </w:r>
            <w:r>
              <w:rPr>
                <w:rFonts w:hint="eastAsia" w:ascii="Times New Roman" w:hAnsi="Times New Roman" w:eastAsia="宋体" w:cs="Times New Roman"/>
                <w:bCs/>
                <w:color w:val="auto"/>
                <w:sz w:val="24"/>
                <w:lang w:val="en-US" w:eastAsia="zh-CN"/>
              </w:rPr>
              <w:t>-N等，</w:t>
            </w:r>
            <w:r>
              <w:rPr>
                <w:rFonts w:hint="default" w:ascii="Times New Roman" w:hAnsi="Times New Roman" w:eastAsia="宋体" w:cs="Times New Roman"/>
                <w:bCs/>
                <w:sz w:val="24"/>
                <w:lang w:val="en-US" w:eastAsia="zh-CN"/>
              </w:rPr>
              <w:t>生活污水经</w:t>
            </w:r>
            <w:r>
              <w:rPr>
                <w:rFonts w:hint="eastAsia" w:cs="Times New Roman"/>
                <w:bCs/>
                <w:sz w:val="24"/>
                <w:highlight w:val="none"/>
                <w:lang w:val="en-US" w:eastAsia="zh-CN"/>
              </w:rPr>
              <w:t>现有</w:t>
            </w:r>
            <w:r>
              <w:rPr>
                <w:rFonts w:hint="default" w:ascii="Times New Roman" w:hAnsi="Times New Roman" w:eastAsia="宋体" w:cs="Times New Roman"/>
                <w:bCs/>
                <w:sz w:val="24"/>
                <w:highlight w:val="none"/>
                <w:lang w:val="en-US" w:eastAsia="zh-CN"/>
              </w:rPr>
              <w:t>化粪池</w:t>
            </w:r>
            <w:r>
              <w:rPr>
                <w:rFonts w:hint="default" w:ascii="Times New Roman" w:hAnsi="Times New Roman" w:eastAsia="宋体" w:cs="Times New Roman"/>
                <w:bCs/>
                <w:sz w:val="24"/>
                <w:lang w:val="en-US" w:eastAsia="zh-CN"/>
              </w:rPr>
              <w:t>处理后排入</w:t>
            </w:r>
            <w:r>
              <w:rPr>
                <w:rFonts w:hint="eastAsia" w:cs="Times New Roman"/>
                <w:bCs/>
                <w:sz w:val="24"/>
                <w:lang w:val="en-US" w:eastAsia="zh-CN"/>
              </w:rPr>
              <w:t>经医院现有污水处理站处理后排入</w:t>
            </w:r>
            <w:r>
              <w:rPr>
                <w:rFonts w:hint="default" w:ascii="Times New Roman" w:hAnsi="Times New Roman" w:eastAsia="宋体" w:cs="Times New Roman"/>
                <w:bCs/>
                <w:sz w:val="24"/>
                <w:lang w:val="en-US" w:eastAsia="zh-CN"/>
              </w:rPr>
              <w:t>城市污水管网，对地表水环境影响较小。</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②施工废水</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施工废水主要包括各种施工机械设备冲洗、施工场地清洗、建材清洗、混凝土养护等产生的废水，主要污染物是SS。对于施工过程中产生的泥浆水、含沙水等工艺废水，应设置临时沉淀池，沉淀处理后可回用于施工作业用水。</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3、施工噪声防治措施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在施工过程中，由于各施工机械设备的运转和各类车辆的运行，不可避免地将产生噪声污染。施工中使用地打桩机、挖掘机、推土机、混凝土搅拌机等都是噪声的主要来源施工噪声将对周围声环境质量产生一定影响，为减轻施工噪声对周围敏感点声环境质量的影响，采取以下施工噪声防治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bCs/>
                <w:color w:val="auto"/>
                <w:sz w:val="24"/>
                <w:lang w:val="en-US" w:eastAsia="zh-CN"/>
              </w:rPr>
              <w:t>①</w:t>
            </w:r>
            <w:r>
              <w:rPr>
                <w:rFonts w:hint="default" w:ascii="Times New Roman" w:hAnsi="Times New Roman" w:eastAsia="宋体" w:cs="Times New Roman"/>
                <w:color w:val="auto"/>
                <w:sz w:val="24"/>
                <w:lang w:val="en-US" w:eastAsia="zh-CN"/>
              </w:rPr>
              <w:t>施工厂界四周设置围挡；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bCs/>
                <w:color w:val="auto"/>
                <w:sz w:val="24"/>
                <w:lang w:val="en-US" w:eastAsia="zh-CN"/>
              </w:rPr>
              <w:t>②</w:t>
            </w:r>
            <w:r>
              <w:rPr>
                <w:rFonts w:hint="default" w:ascii="Times New Roman" w:hAnsi="Times New Roman" w:eastAsia="宋体" w:cs="Times New Roman"/>
                <w:color w:val="auto"/>
                <w:sz w:val="24"/>
                <w:lang w:val="en-US" w:eastAsia="zh-CN"/>
              </w:rPr>
              <w:t>选用低噪声施工机械，严格限制或禁止使用高噪声设备，合理布置施工机械，尽量将高噪设备布置在施工区中部，远离声环境敏感点；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bCs/>
                <w:color w:val="auto"/>
                <w:sz w:val="24"/>
                <w:lang w:val="en-US" w:eastAsia="zh-CN"/>
              </w:rPr>
              <w:t>③</w:t>
            </w:r>
            <w:r>
              <w:rPr>
                <w:rFonts w:hint="default" w:ascii="Times New Roman" w:hAnsi="Times New Roman" w:eastAsia="宋体" w:cs="Times New Roman"/>
                <w:color w:val="auto"/>
                <w:sz w:val="24"/>
                <w:lang w:val="en-US" w:eastAsia="zh-CN"/>
              </w:rPr>
              <w:t>严格操作规程，加强施工机械管理，降低人为噪声影响</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采取有效的隔音、减振措施，降低噪声级。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bCs/>
                <w:color w:val="auto"/>
                <w:sz w:val="24"/>
                <w:lang w:val="en-US" w:eastAsia="zh-CN"/>
              </w:rPr>
              <w:t>④</w:t>
            </w:r>
            <w:r>
              <w:rPr>
                <w:rFonts w:hint="default" w:ascii="Times New Roman" w:hAnsi="Times New Roman" w:eastAsia="宋体" w:cs="Times New Roman"/>
                <w:bCs/>
                <w:color w:val="auto"/>
                <w:sz w:val="24"/>
                <w:lang w:val="en-US" w:eastAsia="zh-CN"/>
              </w:rPr>
              <w:t>合</w:t>
            </w:r>
            <w:r>
              <w:rPr>
                <w:rFonts w:hint="default" w:ascii="Times New Roman" w:hAnsi="Times New Roman" w:eastAsia="宋体" w:cs="Times New Roman"/>
                <w:color w:val="auto"/>
                <w:sz w:val="24"/>
                <w:lang w:val="en-US" w:eastAsia="zh-CN"/>
              </w:rPr>
              <w:t>理安排时施工时间，禁止夜间施工；严格控制施工时间：根据不同季节合理安排施工计划，尽可能避开午休时间动用高噪声设备，禁止夜间进行产生环境噪声污染的建筑施工作业（22：00～06：00），避免</w:t>
            </w:r>
            <w:r>
              <w:rPr>
                <w:rFonts w:hint="eastAsia" w:cs="Times New Roman"/>
                <w:color w:val="auto"/>
                <w:sz w:val="24"/>
                <w:lang w:val="en-US" w:eastAsia="zh-CN"/>
              </w:rPr>
              <w:t>对周边居民、现有医院住院部噪声影响</w:t>
            </w:r>
            <w:r>
              <w:rPr>
                <w:rFonts w:hint="default" w:ascii="Times New Roman" w:hAnsi="Times New Roman" w:eastAsia="宋体" w:cs="Times New Roman"/>
                <w:color w:val="auto"/>
                <w:sz w:val="24"/>
                <w:lang w:val="en-US" w:eastAsia="zh-CN"/>
              </w:rPr>
              <w:t>。平整场地、打桩等高噪声施工阶段避免在休息时间内进行</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特殊需要必须连续作业的，必须有有关主管部门的证明，且必须公告附近居民</w:t>
            </w:r>
            <w:r>
              <w:rPr>
                <w:rFonts w:hint="eastAsia" w:cs="Times New Roman"/>
                <w:color w:val="auto"/>
                <w:sz w:val="24"/>
                <w:lang w:val="en-US" w:eastAsia="zh-CN"/>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bCs/>
                <w:color w:val="auto"/>
                <w:sz w:val="24"/>
                <w:lang w:val="en-US" w:eastAsia="zh-CN"/>
              </w:rPr>
              <w:t>⑤</w:t>
            </w:r>
            <w:r>
              <w:rPr>
                <w:rFonts w:hint="default" w:ascii="Times New Roman" w:hAnsi="Times New Roman" w:eastAsia="宋体" w:cs="Times New Roman"/>
                <w:bCs/>
                <w:color w:val="auto"/>
                <w:sz w:val="24"/>
                <w:lang w:val="en-US" w:eastAsia="zh-CN"/>
              </w:rPr>
              <w:t>施工</w:t>
            </w:r>
            <w:r>
              <w:rPr>
                <w:rFonts w:hint="default" w:ascii="Times New Roman" w:hAnsi="Times New Roman" w:eastAsia="宋体" w:cs="Times New Roman"/>
                <w:color w:val="auto"/>
                <w:sz w:val="24"/>
                <w:lang w:val="en-US" w:eastAsia="zh-CN"/>
              </w:rPr>
              <w:t>车辆运输应减速慢行，严禁鸣笛。</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4、施工固废环境影响及防治措施</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rPr>
            </w:pPr>
            <w:r>
              <w:rPr>
                <w:rFonts w:hint="default"/>
                <w:sz w:val="24"/>
                <w:lang w:val="en-US" w:eastAsia="zh-CN"/>
              </w:rPr>
              <w:t>施工期固体废物主要为建筑垃圾、废包装材料及施工人员生活垃圾等。其中，建筑垃圾分类收集后，可回收利用的固体废物（如废钢材、废铁丝等）与废包装材料一同出售给废品回收公司；不能回收利用的固体废物（如废砂石、废混凝土块等），按照相关规定运至指定的建筑垃圾堆场处置</w:t>
            </w:r>
            <w:r>
              <w:rPr>
                <w:rFonts w:hint="eastAsia"/>
                <w:sz w:val="24"/>
                <w:lang w:val="en-US" w:eastAsia="zh-CN"/>
              </w:rPr>
              <w:t>，废一体化污水处理设施内的污泥按照危险废物处置</w:t>
            </w:r>
            <w:r>
              <w:rPr>
                <w:rFonts w:hint="default"/>
                <w:sz w:val="24"/>
              </w:rPr>
              <w:t>。</w:t>
            </w:r>
            <w:r>
              <w:rPr>
                <w:rFonts w:hint="default"/>
                <w:sz w:val="24"/>
                <w:lang w:val="en-US" w:eastAsia="zh-CN"/>
              </w:rPr>
              <w:t>施工人员生活垃圾由带盖垃圾桶分类收集后，交环卫部门定期清运。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4" w:hRule="atLeast"/>
          <w:jc w:val="center"/>
        </w:trPr>
        <w:tc>
          <w:tcPr>
            <w:tcW w:w="346" w:type="pct"/>
            <w:tcBorders>
              <w:tl2br w:val="nil"/>
              <w:tr2bl w:val="nil"/>
            </w:tcBorders>
            <w:noWrap w:val="0"/>
            <w:tcMar>
              <w:left w:w="28" w:type="dxa"/>
              <w:right w:w="28" w:type="dxa"/>
            </w:tcMar>
            <w:vAlign w:val="center"/>
          </w:tcPr>
          <w:p>
            <w:pPr>
              <w:adjustRightInd w:val="0"/>
              <w:snapToGrid w:val="0"/>
              <w:jc w:val="center"/>
              <w:rPr>
                <w:rFonts w:hint="default" w:ascii="Times New Roman" w:hAnsi="Times New Roman" w:cs="Times New Roman"/>
                <w:color w:val="auto"/>
                <w:kern w:val="2"/>
                <w:sz w:val="21"/>
                <w:szCs w:val="21"/>
              </w:rPr>
            </w:pPr>
            <w:r>
              <w:rPr>
                <w:rFonts w:hint="default" w:ascii="Times New Roman" w:hAnsi="Times New Roman" w:cs="Times New Roman"/>
                <w:bCs/>
                <w:color w:val="auto"/>
                <w:sz w:val="24"/>
                <w:szCs w:val="24"/>
              </w:rPr>
              <w:t>运营期环境影响和保护措施</w:t>
            </w:r>
          </w:p>
        </w:tc>
        <w:tc>
          <w:tcPr>
            <w:tcW w:w="4653" w:type="pct"/>
            <w:tcBorders>
              <w:tl2br w:val="nil"/>
              <w:tr2bl w:val="nil"/>
            </w:tcBorders>
            <w:noWrap w:val="0"/>
            <w:vAlign w:val="center"/>
          </w:tcPr>
          <w:p>
            <w:pPr>
              <w:pStyle w:val="4"/>
              <w:pageBreakBefore w:val="0"/>
              <w:widowControl w:val="0"/>
              <w:kinsoku/>
              <w:wordWrap/>
              <w:overflowPunct/>
              <w:topLinePunct w:val="0"/>
              <w:autoSpaceDE/>
              <w:autoSpaceDN/>
              <w:bidi w:val="0"/>
              <w:spacing w:before="0" w:after="0"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1、废水</w:t>
            </w:r>
          </w:p>
          <w:p>
            <w:pPr>
              <w:pStyle w:val="4"/>
              <w:pageBreakBefore w:val="0"/>
              <w:widowControl w:val="0"/>
              <w:kinsoku/>
              <w:wordWrap/>
              <w:overflowPunct/>
              <w:topLinePunct w:val="0"/>
              <w:autoSpaceDE/>
              <w:autoSpaceDN/>
              <w:bidi w:val="0"/>
              <w:spacing w:before="0" w:after="0"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1.1 废水产排污基本信息</w:t>
            </w:r>
          </w:p>
          <w:p>
            <w:pPr>
              <w:pStyle w:val="5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本项目运营过程中产生的废水主要包括医疗废水和生活污水，其中，医疗废水主要包括门诊</w:t>
            </w:r>
            <w:r>
              <w:rPr>
                <w:rFonts w:hint="eastAsia" w:ascii="Times New Roman" w:hAnsi="Times New Roman" w:eastAsia="宋体" w:cs="Times New Roman"/>
                <w:color w:val="auto"/>
                <w:kern w:val="2"/>
                <w:sz w:val="24"/>
                <w:szCs w:val="24"/>
                <w:highlight w:val="none"/>
                <w:lang w:val="en-US" w:eastAsia="zh-CN" w:bidi="ar-SA"/>
              </w:rPr>
              <w:t>废水</w:t>
            </w:r>
            <w:r>
              <w:rPr>
                <w:rFonts w:hint="default" w:ascii="Times New Roman" w:hAnsi="Times New Roman" w:eastAsia="宋体" w:cs="Times New Roman"/>
                <w:color w:val="auto"/>
                <w:kern w:val="2"/>
                <w:sz w:val="24"/>
                <w:szCs w:val="24"/>
                <w:highlight w:val="none"/>
                <w:lang w:val="en-US" w:eastAsia="zh-CN" w:bidi="ar-SA"/>
              </w:rPr>
              <w:t>、病房废水</w:t>
            </w:r>
            <w:r>
              <w:rPr>
                <w:rFonts w:hint="eastAsia" w:ascii="Times New Roman" w:hAnsi="Times New Roman" w:cs="Times New Roman"/>
                <w:color w:val="auto"/>
                <w:kern w:val="2"/>
                <w:sz w:val="24"/>
                <w:szCs w:val="24"/>
                <w:highlight w:val="none"/>
                <w:lang w:val="en-US" w:eastAsia="zh-CN" w:bidi="ar-SA"/>
              </w:rPr>
              <w:t>、检验废水、洗衣房废水等</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生活污</w:t>
            </w:r>
            <w:r>
              <w:rPr>
                <w:rFonts w:hint="default" w:ascii="Times New Roman" w:hAnsi="Times New Roman" w:eastAsia="宋体" w:cs="Times New Roman"/>
                <w:color w:val="auto"/>
                <w:kern w:val="2"/>
                <w:sz w:val="24"/>
                <w:szCs w:val="24"/>
                <w:highlight w:val="none"/>
                <w:lang w:val="en-US" w:eastAsia="zh-CN" w:bidi="ar-SA"/>
              </w:rPr>
              <w:t>水</w:t>
            </w:r>
            <w:r>
              <w:rPr>
                <w:rFonts w:hint="eastAsia" w:ascii="Times New Roman" w:hAnsi="Times New Roman" w:cs="Times New Roman"/>
                <w:color w:val="auto"/>
                <w:kern w:val="2"/>
                <w:sz w:val="24"/>
                <w:szCs w:val="24"/>
                <w:highlight w:val="none"/>
                <w:lang w:val="en-US" w:eastAsia="zh-CN" w:bidi="ar-SA"/>
              </w:rPr>
              <w:t>与医疗废水</w:t>
            </w:r>
            <w:r>
              <w:rPr>
                <w:rFonts w:hint="default" w:ascii="Times New Roman" w:hAnsi="Times New Roman" w:eastAsia="宋体" w:cs="Times New Roman"/>
                <w:color w:val="auto"/>
                <w:kern w:val="2"/>
                <w:sz w:val="24"/>
                <w:szCs w:val="24"/>
                <w:highlight w:val="none"/>
                <w:lang w:val="en-US" w:eastAsia="zh-CN" w:bidi="ar-SA"/>
              </w:rPr>
              <w:t>一并进入院区</w:t>
            </w:r>
            <w:r>
              <w:rPr>
                <w:rFonts w:hint="eastAsia" w:ascii="Times New Roman" w:hAnsi="Times New Roman" w:cs="Times New Roman"/>
                <w:color w:val="auto"/>
                <w:kern w:val="2"/>
                <w:sz w:val="24"/>
                <w:szCs w:val="24"/>
                <w:highlight w:val="none"/>
                <w:lang w:val="en-US" w:eastAsia="zh-CN" w:bidi="ar-SA"/>
              </w:rPr>
              <w:t>新</w:t>
            </w:r>
            <w:r>
              <w:rPr>
                <w:rFonts w:hint="default" w:ascii="Times New Roman" w:hAnsi="Times New Roman" w:eastAsia="宋体" w:cs="Times New Roman"/>
                <w:color w:val="auto"/>
                <w:kern w:val="2"/>
                <w:sz w:val="24"/>
                <w:szCs w:val="24"/>
                <w:highlight w:val="none"/>
                <w:lang w:val="en-US" w:eastAsia="zh-CN" w:bidi="ar-SA"/>
              </w:rPr>
              <w:t>建污水处理站进行净化处理满足相应标准限值要求后，纳入市政污水管网，最终进入</w:t>
            </w:r>
            <w:r>
              <w:rPr>
                <w:rFonts w:hint="eastAsia" w:ascii="Times New Roman" w:hAnsi="Times New Roman" w:cs="Times New Roman"/>
                <w:color w:val="auto"/>
                <w:kern w:val="2"/>
                <w:sz w:val="24"/>
                <w:szCs w:val="24"/>
                <w:highlight w:val="none"/>
                <w:lang w:val="en-US" w:eastAsia="zh-CN" w:bidi="ar-SA"/>
              </w:rPr>
              <w:t>安康市江南城市污水处理厂</w:t>
            </w:r>
            <w:r>
              <w:rPr>
                <w:rFonts w:hint="default" w:ascii="Times New Roman" w:hAnsi="Times New Roman" w:eastAsia="宋体" w:cs="Times New Roman"/>
                <w:color w:val="auto"/>
                <w:kern w:val="2"/>
                <w:sz w:val="24"/>
                <w:szCs w:val="24"/>
                <w:highlight w:val="none"/>
                <w:lang w:val="en-US" w:eastAsia="zh-CN" w:bidi="ar-SA"/>
              </w:rPr>
              <w:t>进行净化处理。</w:t>
            </w:r>
          </w:p>
          <w:p>
            <w:pPr>
              <w:pStyle w:val="5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yellow"/>
                <w:lang w:val="en-US" w:eastAsia="zh-CN" w:bidi="ar-SA"/>
              </w:rPr>
            </w:pPr>
            <w:r>
              <w:rPr>
                <w:rFonts w:hint="default" w:ascii="Times New Roman" w:hAnsi="Times New Roman" w:eastAsia="宋体" w:cs="Times New Roman"/>
                <w:sz w:val="24"/>
                <w:szCs w:val="24"/>
                <w:highlight w:val="none"/>
              </w:rPr>
              <w:t>本项目不产生《医疗机构水污染排放标准》中的特殊废水，具体如下： 1）本项目无传染病房，接收到传染病人后立即转院治疗，因此无含传染病病原体废水； 2）医学影像科采用数码成像，因此无废显影液产生； 3）</w:t>
            </w:r>
            <w:r>
              <w:rPr>
                <w:rFonts w:hint="eastAsia" w:ascii="宋体" w:hAnsi="宋体" w:eastAsia="宋体" w:cs="宋体"/>
                <w:sz w:val="24"/>
                <w:szCs w:val="24"/>
                <w:highlight w:val="none"/>
                <w:lang w:eastAsia="zh-CN"/>
              </w:rPr>
              <w:t>化验室</w:t>
            </w:r>
            <w:r>
              <w:rPr>
                <w:rFonts w:ascii="宋体" w:hAnsi="宋体" w:eastAsia="宋体" w:cs="宋体"/>
                <w:sz w:val="24"/>
                <w:szCs w:val="24"/>
                <w:highlight w:val="none"/>
              </w:rPr>
              <w:t>酸碱废液、检验样本等均为医疗废物，单独收集后交安康市医疗废物处</w:t>
            </w:r>
            <w:r>
              <w:rPr>
                <w:rFonts w:ascii="宋体" w:hAnsi="宋体" w:eastAsia="宋体" w:cs="宋体"/>
                <w:color w:val="auto"/>
                <w:sz w:val="24"/>
                <w:szCs w:val="24"/>
                <w:highlight w:val="none"/>
              </w:rPr>
              <w:t>置中心处置，不与院区污废水合并处置。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val="0"/>
                <w:bCs/>
                <w:color w:val="auto"/>
                <w:spacing w:val="0"/>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本项目总用水量为</w:t>
            </w:r>
            <w:r>
              <w:rPr>
                <w:rFonts w:hint="eastAsia" w:ascii="Times New Roman" w:hAnsi="Times New Roman" w:cs="Times New Roman"/>
                <w:color w:val="auto"/>
                <w:kern w:val="2"/>
                <w:sz w:val="24"/>
                <w:szCs w:val="24"/>
                <w:highlight w:val="none"/>
                <w:lang w:val="en-US" w:eastAsia="zh-CN" w:bidi="ar-SA"/>
              </w:rPr>
              <w:t>31.03m</w:t>
            </w:r>
            <w:r>
              <w:rPr>
                <w:rFonts w:hint="eastAsia" w:ascii="Times New Roman" w:hAnsi="Times New Roman"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w:t>
            </w:r>
            <w:r>
              <w:rPr>
                <w:rFonts w:hint="eastAsia" w:ascii="Times New Roman" w:hAnsi="Times New Roman" w:cs="Times New Roman"/>
                <w:color w:val="auto"/>
                <w:kern w:val="2"/>
                <w:sz w:val="24"/>
                <w:szCs w:val="24"/>
                <w:highlight w:val="none"/>
                <w:lang w:val="en-US" w:eastAsia="zh-CN" w:bidi="ar-SA"/>
              </w:rPr>
              <w:t>11325.95</w:t>
            </w:r>
            <w:r>
              <w:rPr>
                <w:rFonts w:hint="eastAsia" w:ascii="Times New Roman" w:hAnsi="Times New Roman" w:eastAsia="宋体" w:cs="Times New Roman"/>
                <w:color w:val="auto"/>
                <w:kern w:val="2"/>
                <w:sz w:val="24"/>
                <w:szCs w:val="24"/>
                <w:highlight w:val="none"/>
                <w:lang w:val="en-US" w:eastAsia="zh-CN" w:bidi="ar-SA"/>
              </w:rPr>
              <w:t>t</w:t>
            </w:r>
            <w:r>
              <w:rPr>
                <w:rFonts w:hint="default" w:ascii="Times New Roman" w:hAnsi="Times New Roman" w:eastAsia="宋体" w:cs="Times New Roman"/>
                <w:color w:val="auto"/>
                <w:kern w:val="2"/>
                <w:sz w:val="24"/>
                <w:szCs w:val="24"/>
                <w:highlight w:val="none"/>
                <w:lang w:val="en-US" w:eastAsia="zh-CN" w:bidi="ar-SA"/>
              </w:rPr>
              <w:t>/a），总排水量为</w:t>
            </w:r>
            <w:r>
              <w:rPr>
                <w:rFonts w:hint="eastAsia" w:ascii="Times New Roman" w:hAnsi="Times New Roman" w:cs="Times New Roman"/>
                <w:color w:val="auto"/>
                <w:kern w:val="2"/>
                <w:sz w:val="24"/>
                <w:szCs w:val="24"/>
                <w:highlight w:val="none"/>
                <w:lang w:val="en-US" w:eastAsia="zh-CN" w:bidi="ar-SA"/>
              </w:rPr>
              <w:t>24.724</w:t>
            </w:r>
            <w:r>
              <w:rPr>
                <w:rFonts w:hint="eastAsia" w:ascii="Times New Roman" w:hAnsi="Times New Roman" w:eastAsia="宋体" w:cs="Times New Roman"/>
                <w:color w:val="auto"/>
                <w:kern w:val="2"/>
                <w:sz w:val="24"/>
                <w:szCs w:val="24"/>
                <w:highlight w:val="none"/>
                <w:lang w:val="en-US" w:eastAsia="zh-CN" w:bidi="ar-SA"/>
              </w:rPr>
              <w:t>t</w:t>
            </w:r>
            <w:r>
              <w:rPr>
                <w:rFonts w:hint="default" w:ascii="Times New Roman" w:hAnsi="Times New Roman" w:eastAsia="宋体" w:cs="Times New Roman"/>
                <w:color w:val="auto"/>
                <w:kern w:val="2"/>
                <w:sz w:val="24"/>
                <w:szCs w:val="24"/>
                <w:highlight w:val="none"/>
                <w:lang w:val="en-US" w:eastAsia="zh-CN" w:bidi="ar-SA"/>
              </w:rPr>
              <w:t>/d（</w:t>
            </w:r>
            <w:r>
              <w:rPr>
                <w:rFonts w:hint="eastAsia" w:ascii="Times New Roman" w:hAnsi="Times New Roman" w:cs="Times New Roman"/>
                <w:color w:val="auto"/>
                <w:kern w:val="2"/>
                <w:sz w:val="24"/>
                <w:szCs w:val="24"/>
                <w:highlight w:val="none"/>
                <w:lang w:val="en-US" w:eastAsia="zh-CN" w:bidi="ar-SA"/>
              </w:rPr>
              <w:t>9024.26</w:t>
            </w:r>
            <w:r>
              <w:rPr>
                <w:rFonts w:hint="eastAsia" w:ascii="Times New Roman" w:hAnsi="Times New Roman" w:eastAsia="宋体" w:cs="Times New Roman"/>
                <w:color w:val="auto"/>
                <w:kern w:val="2"/>
                <w:sz w:val="24"/>
                <w:szCs w:val="24"/>
                <w:highlight w:val="none"/>
                <w:lang w:val="en-US" w:eastAsia="zh-CN" w:bidi="ar-SA"/>
              </w:rPr>
              <w:t>t</w:t>
            </w:r>
            <w:r>
              <w:rPr>
                <w:rFonts w:hint="default" w:ascii="Times New Roman" w:hAnsi="Times New Roman" w:eastAsia="宋体" w:cs="Times New Roman"/>
                <w:color w:val="auto"/>
                <w:kern w:val="2"/>
                <w:sz w:val="24"/>
                <w:szCs w:val="24"/>
                <w:highlight w:val="none"/>
                <w:lang w:val="en-US" w:eastAsia="zh-CN" w:bidi="ar-SA"/>
              </w:rPr>
              <w:t>/a）。</w:t>
            </w:r>
            <w:r>
              <w:rPr>
                <w:rFonts w:hint="default" w:ascii="Times New Roman" w:hAnsi="Times New Roman" w:eastAsia="宋体" w:cs="Times New Roman"/>
                <w:color w:val="auto"/>
                <w:kern w:val="2"/>
                <w:sz w:val="24"/>
                <w:szCs w:val="24"/>
                <w:highlight w:val="none"/>
                <w:lang w:val="zh-CN" w:eastAsia="zh-CN" w:bidi="ar-SA"/>
              </w:rPr>
              <w:t>本</w:t>
            </w:r>
            <w:r>
              <w:rPr>
                <w:rFonts w:hint="default" w:ascii="Times New Roman" w:hAnsi="Times New Roman" w:eastAsia="宋体" w:cs="Times New Roman"/>
                <w:color w:val="auto"/>
                <w:kern w:val="2"/>
                <w:sz w:val="24"/>
                <w:szCs w:val="24"/>
                <w:highlight w:val="none"/>
                <w:lang w:val="en-US" w:eastAsia="zh-CN" w:bidi="ar-SA"/>
              </w:rPr>
              <w:t>项目</w:t>
            </w:r>
            <w:r>
              <w:rPr>
                <w:rFonts w:hint="default" w:ascii="Times New Roman" w:hAnsi="Times New Roman" w:eastAsia="宋体" w:cs="Times New Roman"/>
                <w:color w:val="auto"/>
                <w:kern w:val="2"/>
                <w:sz w:val="24"/>
                <w:szCs w:val="24"/>
                <w:highlight w:val="none"/>
                <w:lang w:val="zh-CN" w:eastAsia="zh-CN" w:bidi="ar-SA"/>
              </w:rPr>
              <w:t>医疗废水水质参照《医院污水处理</w:t>
            </w:r>
            <w:r>
              <w:rPr>
                <w:rFonts w:hint="default" w:ascii="Times New Roman" w:hAnsi="Times New Roman" w:eastAsia="宋体" w:cs="Times New Roman"/>
                <w:color w:val="auto"/>
                <w:kern w:val="2"/>
                <w:sz w:val="24"/>
                <w:szCs w:val="24"/>
                <w:highlight w:val="none"/>
                <w:lang w:val="en-US" w:eastAsia="zh-CN" w:bidi="ar-SA"/>
              </w:rPr>
              <w:t>工程技术规范</w:t>
            </w:r>
            <w:r>
              <w:rPr>
                <w:rFonts w:hint="default" w:ascii="Times New Roman" w:hAnsi="Times New Roman" w:eastAsia="宋体" w:cs="Times New Roman"/>
                <w:color w:val="auto"/>
                <w:kern w:val="2"/>
                <w:sz w:val="24"/>
                <w:szCs w:val="24"/>
                <w:highlight w:val="none"/>
                <w:lang w:val="zh-CN" w:eastAsia="zh-CN" w:bidi="ar-SA"/>
              </w:rPr>
              <w:t>》（</w:t>
            </w:r>
            <w:r>
              <w:rPr>
                <w:rFonts w:hint="default" w:ascii="Times New Roman" w:hAnsi="Times New Roman" w:eastAsia="宋体" w:cs="Times New Roman"/>
                <w:color w:val="auto"/>
                <w:kern w:val="2"/>
                <w:sz w:val="24"/>
                <w:szCs w:val="24"/>
                <w:highlight w:val="none"/>
                <w:lang w:val="en-US" w:eastAsia="zh-CN" w:bidi="ar-SA"/>
              </w:rPr>
              <w:t>HJ2029-2013</w:t>
            </w:r>
            <w:r>
              <w:rPr>
                <w:rFonts w:hint="default" w:ascii="Times New Roman" w:hAnsi="Times New Roman" w:eastAsia="宋体" w:cs="Times New Roman"/>
                <w:color w:val="auto"/>
                <w:kern w:val="2"/>
                <w:sz w:val="24"/>
                <w:szCs w:val="24"/>
                <w:highlight w:val="none"/>
                <w:lang w:val="zh-CN" w:eastAsia="zh-CN" w:bidi="ar-SA"/>
              </w:rPr>
              <w:t>）表</w:t>
            </w:r>
            <w:r>
              <w:rPr>
                <w:rFonts w:hint="default" w:ascii="Times New Roman" w:hAnsi="Times New Roman" w:eastAsia="宋体" w:cs="Times New Roman"/>
                <w:color w:val="auto"/>
                <w:kern w:val="2"/>
                <w:sz w:val="24"/>
                <w:szCs w:val="24"/>
                <w:highlight w:val="none"/>
                <w:lang w:val="en-US" w:eastAsia="zh-CN" w:bidi="ar-SA"/>
              </w:rPr>
              <w:t>1医院污水水质指标参考数据，本项目废水水质核算结果详见表4-1，本项目废水污染物排放情况详见表4-2</w:t>
            </w:r>
            <w:r>
              <w:rPr>
                <w:rFonts w:hint="default" w:ascii="Times New Roman" w:hAnsi="Times New Roman" w:eastAsia="宋体" w:cs="Times New Roman"/>
                <w:color w:val="auto"/>
                <w:kern w:val="2"/>
                <w:sz w:val="24"/>
                <w:szCs w:val="24"/>
                <w:highlight w:val="none"/>
                <w:lang w:val="zh-CN" w:eastAsia="zh-CN" w:bidi="ar-SA"/>
              </w:rPr>
              <w:t>。</w:t>
            </w:r>
          </w:p>
          <w:p>
            <w:pPr>
              <w:pStyle w:val="3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表4-1 本项目废水水质核算结果一览表  单位：mg/L</w:t>
            </w:r>
          </w:p>
          <w:tbl>
            <w:tblPr>
              <w:tblStyle w:val="28"/>
              <w:tblW w:w="901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93"/>
              <w:gridCol w:w="609"/>
              <w:gridCol w:w="921"/>
              <w:gridCol w:w="753"/>
              <w:gridCol w:w="888"/>
              <w:gridCol w:w="884"/>
              <w:gridCol w:w="1225"/>
              <w:gridCol w:w="1312"/>
              <w:gridCol w:w="8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8" w:type="pct"/>
                  <w:tcBorders>
                    <w:tl2br w:val="nil"/>
                    <w:tr2bl w:val="nil"/>
                  </w:tcBorders>
                  <w:noWrap w:val="0"/>
                  <w:vAlign w:val="center"/>
                </w:tcPr>
                <w:p>
                  <w:pPr>
                    <w:pStyle w:val="36"/>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污染物</w:t>
                  </w:r>
                </w:p>
              </w:tc>
              <w:tc>
                <w:tcPr>
                  <w:tcW w:w="439" w:type="pct"/>
                  <w:tcBorders>
                    <w:tl2br w:val="nil"/>
                    <w:tr2bl w:val="nil"/>
                  </w:tcBorders>
                  <w:noWrap w:val="0"/>
                  <w:vAlign w:val="center"/>
                </w:tcPr>
                <w:p>
                  <w:pPr>
                    <w:pStyle w:val="36"/>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COD</w:t>
                  </w:r>
                </w:p>
              </w:tc>
              <w:tc>
                <w:tcPr>
                  <w:tcW w:w="337" w:type="pct"/>
                  <w:tcBorders>
                    <w:tl2br w:val="nil"/>
                    <w:tr2bl w:val="nil"/>
                  </w:tcBorders>
                  <w:noWrap w:val="0"/>
                  <w:vAlign w:val="center"/>
                </w:tcPr>
                <w:p>
                  <w:pPr>
                    <w:pStyle w:val="36"/>
                    <w:jc w:val="center"/>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pH</w:t>
                  </w:r>
                </w:p>
              </w:tc>
              <w:tc>
                <w:tcPr>
                  <w:tcW w:w="510" w:type="pct"/>
                  <w:tcBorders>
                    <w:tl2br w:val="nil"/>
                    <w:tr2bl w:val="nil"/>
                  </w:tcBorders>
                  <w:noWrap w:val="0"/>
                  <w:vAlign w:val="center"/>
                </w:tcPr>
                <w:p>
                  <w:pPr>
                    <w:pStyle w:val="36"/>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BOD</w:t>
                  </w:r>
                  <w:r>
                    <w:rPr>
                      <w:rFonts w:hint="default" w:ascii="Times New Roman" w:hAnsi="Times New Roman" w:cs="Times New Roman"/>
                      <w:b/>
                      <w:bCs/>
                      <w:color w:val="auto"/>
                      <w:sz w:val="21"/>
                      <w:szCs w:val="21"/>
                      <w:highlight w:val="none"/>
                      <w:vertAlign w:val="subscript"/>
                      <w:lang w:val="en-US" w:eastAsia="zh-CN"/>
                    </w:rPr>
                    <w:t>5</w:t>
                  </w:r>
                </w:p>
              </w:tc>
              <w:tc>
                <w:tcPr>
                  <w:tcW w:w="417" w:type="pct"/>
                  <w:tcBorders>
                    <w:tl2br w:val="nil"/>
                    <w:tr2bl w:val="nil"/>
                  </w:tcBorders>
                  <w:noWrap w:val="0"/>
                  <w:vAlign w:val="center"/>
                </w:tcPr>
                <w:p>
                  <w:pPr>
                    <w:pStyle w:val="36"/>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SS</w:t>
                  </w:r>
                </w:p>
              </w:tc>
              <w:tc>
                <w:tcPr>
                  <w:tcW w:w="492" w:type="pct"/>
                  <w:tcBorders>
                    <w:tl2br w:val="nil"/>
                    <w:tr2bl w:val="nil"/>
                  </w:tcBorders>
                  <w:noWrap w:val="0"/>
                  <w:vAlign w:val="center"/>
                </w:tcPr>
                <w:p>
                  <w:pPr>
                    <w:pStyle w:val="36"/>
                    <w:jc w:val="center"/>
                    <w:rPr>
                      <w:rFonts w:hint="default" w:ascii="Times New Roman" w:hAnsi="Times New Roman" w:cs="Times New Roman"/>
                      <w:b/>
                      <w:bCs/>
                      <w:color w:val="auto"/>
                      <w:sz w:val="21"/>
                      <w:szCs w:val="21"/>
                      <w:highlight w:val="none"/>
                      <w:lang w:val="en-US" w:eastAsia="zh-CN" w:bidi="ar-SA"/>
                    </w:rPr>
                  </w:pPr>
                  <w:r>
                    <w:rPr>
                      <w:rFonts w:hint="default" w:ascii="Times New Roman" w:hAnsi="Times New Roman" w:cs="Times New Roman"/>
                      <w:b/>
                      <w:bCs/>
                      <w:color w:val="auto"/>
                      <w:sz w:val="21"/>
                      <w:szCs w:val="21"/>
                      <w:highlight w:val="none"/>
                      <w:lang w:val="en-US" w:eastAsia="zh-CN"/>
                    </w:rPr>
                    <w:t>NH</w:t>
                  </w:r>
                  <w:r>
                    <w:rPr>
                      <w:rFonts w:hint="default" w:ascii="Times New Roman" w:hAnsi="Times New Roman" w:cs="Times New Roman"/>
                      <w:b/>
                      <w:bCs/>
                      <w:color w:val="auto"/>
                      <w:sz w:val="21"/>
                      <w:szCs w:val="21"/>
                      <w:highlight w:val="none"/>
                      <w:vertAlign w:val="subscript"/>
                      <w:lang w:val="en-US" w:eastAsia="zh-CN"/>
                    </w:rPr>
                    <w:t>3</w:t>
                  </w:r>
                  <w:r>
                    <w:rPr>
                      <w:rFonts w:hint="default" w:ascii="Times New Roman" w:hAnsi="Times New Roman" w:cs="Times New Roman"/>
                      <w:b/>
                      <w:bCs/>
                      <w:color w:val="auto"/>
                      <w:sz w:val="21"/>
                      <w:szCs w:val="21"/>
                      <w:highlight w:val="none"/>
                      <w:lang w:val="en-US" w:eastAsia="zh-CN"/>
                    </w:rPr>
                    <w:t>-N</w:t>
                  </w:r>
                </w:p>
              </w:tc>
              <w:tc>
                <w:tcPr>
                  <w:tcW w:w="490" w:type="pct"/>
                  <w:tcBorders>
                    <w:tl2br w:val="nil"/>
                    <w:tr2bl w:val="nil"/>
                  </w:tcBorders>
                  <w:noWrap w:val="0"/>
                  <w:vAlign w:val="center"/>
                </w:tcPr>
                <w:p>
                  <w:pPr>
                    <w:pStyle w:val="36"/>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动植物油</w:t>
                  </w:r>
                </w:p>
              </w:tc>
              <w:tc>
                <w:tcPr>
                  <w:tcW w:w="679" w:type="pct"/>
                  <w:tcBorders>
                    <w:tl2br w:val="nil"/>
                    <w:tr2bl w:val="nil"/>
                  </w:tcBorders>
                  <w:noWrap w:val="0"/>
                  <w:vAlign w:val="center"/>
                </w:tcPr>
                <w:p>
                  <w:pPr>
                    <w:pStyle w:val="36"/>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粪大肠菌群（个/L）</w:t>
                  </w:r>
                </w:p>
              </w:tc>
              <w:tc>
                <w:tcPr>
                  <w:tcW w:w="727" w:type="pct"/>
                  <w:tcBorders>
                    <w:tl2br w:val="nil"/>
                    <w:tr2bl w:val="nil"/>
                  </w:tcBorders>
                  <w:noWrap w:val="0"/>
                  <w:vAlign w:val="center"/>
                </w:tcPr>
                <w:p>
                  <w:pPr>
                    <w:pStyle w:val="36"/>
                    <w:jc w:val="center"/>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阴离子表面活性剂</w:t>
                  </w:r>
                </w:p>
              </w:tc>
              <w:tc>
                <w:tcPr>
                  <w:tcW w:w="455" w:type="pct"/>
                  <w:tcBorders>
                    <w:tl2br w:val="nil"/>
                    <w:tr2bl w:val="nil"/>
                  </w:tcBorders>
                  <w:noWrap w:val="0"/>
                  <w:vAlign w:val="center"/>
                </w:tcPr>
                <w:p>
                  <w:pPr>
                    <w:pStyle w:val="36"/>
                    <w:jc w:val="center"/>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总余氯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8" w:type="pct"/>
                  <w:tcBorders>
                    <w:tl2br w:val="nil"/>
                    <w:tr2bl w:val="nil"/>
                  </w:tcBorders>
                  <w:noWrap w:val="0"/>
                  <w:vAlign w:val="center"/>
                </w:tcPr>
                <w:p>
                  <w:pPr>
                    <w:pStyle w:val="36"/>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进水浓度</w:t>
                  </w:r>
                </w:p>
              </w:tc>
              <w:tc>
                <w:tcPr>
                  <w:tcW w:w="439" w:type="pct"/>
                  <w:tcBorders>
                    <w:tl2br w:val="nil"/>
                    <w:tr2bl w:val="nil"/>
                  </w:tcBorders>
                  <w:noWrap w:val="0"/>
                  <w:vAlign w:val="center"/>
                </w:tcPr>
                <w:p>
                  <w:pPr>
                    <w:pStyle w:val="36"/>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300</w:t>
                  </w:r>
                </w:p>
              </w:tc>
              <w:tc>
                <w:tcPr>
                  <w:tcW w:w="337" w:type="pct"/>
                  <w:tcBorders>
                    <w:tl2br w:val="nil"/>
                    <w:tr2bl w:val="nil"/>
                  </w:tcBorders>
                  <w:noWrap w:val="0"/>
                  <w:vAlign w:val="center"/>
                </w:tcPr>
                <w:p>
                  <w:pPr>
                    <w:pStyle w:val="36"/>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6~9</w:t>
                  </w:r>
                </w:p>
              </w:tc>
              <w:tc>
                <w:tcPr>
                  <w:tcW w:w="510" w:type="pct"/>
                  <w:tcBorders>
                    <w:tl2br w:val="nil"/>
                    <w:tr2bl w:val="nil"/>
                  </w:tcBorders>
                  <w:noWrap w:val="0"/>
                  <w:vAlign w:val="center"/>
                </w:tcPr>
                <w:p>
                  <w:pPr>
                    <w:pStyle w:val="36"/>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150</w:t>
                  </w:r>
                </w:p>
              </w:tc>
              <w:tc>
                <w:tcPr>
                  <w:tcW w:w="417" w:type="pct"/>
                  <w:tcBorders>
                    <w:tl2br w:val="nil"/>
                    <w:tr2bl w:val="nil"/>
                  </w:tcBorders>
                  <w:noWrap w:val="0"/>
                  <w:vAlign w:val="center"/>
                </w:tcPr>
                <w:p>
                  <w:pPr>
                    <w:pStyle w:val="36"/>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120</w:t>
                  </w:r>
                </w:p>
              </w:tc>
              <w:tc>
                <w:tcPr>
                  <w:tcW w:w="492" w:type="pct"/>
                  <w:tcBorders>
                    <w:tl2br w:val="nil"/>
                    <w:tr2bl w:val="nil"/>
                  </w:tcBorders>
                  <w:noWrap w:val="0"/>
                  <w:vAlign w:val="center"/>
                </w:tcPr>
                <w:p>
                  <w:pPr>
                    <w:pStyle w:val="36"/>
                    <w:jc w:val="center"/>
                    <w:rPr>
                      <w:rFonts w:hint="default" w:ascii="Times New Roman" w:hAnsi="Times New Roman"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50</w:t>
                  </w:r>
                </w:p>
              </w:tc>
              <w:tc>
                <w:tcPr>
                  <w:tcW w:w="490" w:type="pct"/>
                  <w:tcBorders>
                    <w:tl2br w:val="nil"/>
                    <w:tr2bl w:val="nil"/>
                  </w:tcBorders>
                  <w:noWrap w:val="0"/>
                  <w:vAlign w:val="center"/>
                </w:tcPr>
                <w:p>
                  <w:pPr>
                    <w:pStyle w:val="36"/>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679" w:type="pct"/>
                  <w:tcBorders>
                    <w:tl2br w:val="nil"/>
                    <w:tr2bl w:val="nil"/>
                  </w:tcBorders>
                  <w:noWrap w:val="0"/>
                  <w:vAlign w:val="center"/>
                </w:tcPr>
                <w:p>
                  <w:pPr>
                    <w:pStyle w:val="36"/>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1.6×10</w:t>
                  </w:r>
                  <w:r>
                    <w:rPr>
                      <w:rFonts w:hint="eastAsia" w:ascii="Times New Roman" w:hAnsi="Times New Roman" w:cs="Times New Roman"/>
                      <w:color w:val="auto"/>
                      <w:sz w:val="21"/>
                      <w:szCs w:val="21"/>
                      <w:highlight w:val="none"/>
                      <w:vertAlign w:val="superscript"/>
                      <w:lang w:val="en-US" w:eastAsia="zh-CN"/>
                    </w:rPr>
                    <w:t>7</w:t>
                  </w:r>
                </w:p>
              </w:tc>
              <w:tc>
                <w:tcPr>
                  <w:tcW w:w="727" w:type="pct"/>
                  <w:tcBorders>
                    <w:tl2br w:val="nil"/>
                    <w:tr2bl w:val="nil"/>
                  </w:tcBorders>
                  <w:noWrap w:val="0"/>
                  <w:vAlign w:val="center"/>
                </w:tcPr>
                <w:p>
                  <w:pPr>
                    <w:pStyle w:val="36"/>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455" w:type="pct"/>
                  <w:tcBorders>
                    <w:tl2br w:val="nil"/>
                    <w:tr2bl w:val="nil"/>
                  </w:tcBorders>
                  <w:noWrap w:val="0"/>
                  <w:vAlign w:val="center"/>
                </w:tcPr>
                <w:p>
                  <w:pPr>
                    <w:pStyle w:val="36"/>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bl>
          <w:p>
            <w:pPr>
              <w:pStyle w:val="36"/>
              <w:keepNext w:val="0"/>
              <w:keepLines w:val="0"/>
              <w:pageBreakBefore w:val="0"/>
              <w:widowControl w:val="0"/>
              <w:kinsoku/>
              <w:wordWrap/>
              <w:overflowPunct/>
              <w:topLinePunct w:val="0"/>
              <w:autoSpaceDE w:val="0"/>
              <w:autoSpaceDN w:val="0"/>
              <w:bidi w:val="0"/>
              <w:adjustRightInd w:val="0"/>
              <w:snapToGrid/>
              <w:spacing w:before="157" w:beforeLines="50" w:line="240" w:lineRule="auto"/>
              <w:jc w:val="center"/>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表4-2 本项目废水污染物排放情况表</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883"/>
              <w:gridCol w:w="1491"/>
              <w:gridCol w:w="1338"/>
              <w:gridCol w:w="1211"/>
              <w:gridCol w:w="682"/>
              <w:gridCol w:w="928"/>
              <w:gridCol w:w="1136"/>
              <w:gridCol w:w="8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废水类型</w:t>
                  </w:r>
                </w:p>
              </w:tc>
              <w:tc>
                <w:tcPr>
                  <w:tcW w:w="48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废水量（t/a）</w:t>
                  </w:r>
                </w:p>
              </w:tc>
              <w:tc>
                <w:tcPr>
                  <w:tcW w:w="82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污染物种类</w:t>
                  </w:r>
                </w:p>
              </w:tc>
              <w:tc>
                <w:tcPr>
                  <w:tcW w:w="140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highlight w:val="none"/>
                      <w:lang w:val="en-US" w:eastAsia="zh-CN"/>
                    </w:rPr>
                    <w:t>污染物产生情况</w:t>
                  </w:r>
                </w:p>
              </w:tc>
              <w:tc>
                <w:tcPr>
                  <w:tcW w:w="88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治理设施情况</w:t>
                  </w:r>
                </w:p>
              </w:tc>
              <w:tc>
                <w:tcPr>
                  <w:tcW w:w="111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污染物排放情况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Calibri" w:cs="Times New Roman"/>
                      <w:color w:val="auto"/>
                      <w:highlight w:val="none"/>
                      <w:lang w:val="en-US" w:eastAsia="zh-CN"/>
                    </w:rPr>
                  </w:pPr>
                </w:p>
              </w:tc>
              <w:tc>
                <w:tcPr>
                  <w:tcW w:w="4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p>
              </w:tc>
              <w:tc>
                <w:tcPr>
                  <w:tcW w:w="82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highlight w:val="none"/>
                      <w:lang w:val="en-US" w:eastAsia="zh-CN"/>
                    </w:rPr>
                    <w:t>产生浓度（mg/L）</w:t>
                  </w:r>
                </w:p>
              </w:tc>
              <w:tc>
                <w:tcPr>
                  <w:tcW w:w="6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highlight w:val="none"/>
                      <w:lang w:val="en-US" w:eastAsia="zh-CN"/>
                    </w:rPr>
                    <w:t>产生量（t/a）</w:t>
                  </w:r>
                </w:p>
              </w:tc>
              <w:tc>
                <w:tcPr>
                  <w:tcW w:w="3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治理工艺</w:t>
                  </w:r>
                </w:p>
              </w:tc>
              <w:tc>
                <w:tcPr>
                  <w:tcW w:w="5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治理效率</w:t>
                  </w:r>
                </w:p>
              </w:tc>
              <w:tc>
                <w:tcPr>
                  <w:tcW w:w="6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排放浓度（mg/L）</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highlight w:val="none"/>
                      <w:lang w:val="en-US" w:eastAsia="zh-CN"/>
                    </w:rPr>
                    <w:t>医院</w:t>
                  </w:r>
                  <w:r>
                    <w:rPr>
                      <w:rFonts w:hint="eastAsia" w:ascii="Times New Roman" w:hAnsi="Times New Roman" w:eastAsia="宋体" w:cs="Times New Roman"/>
                      <w:color w:val="auto"/>
                      <w:highlight w:val="none"/>
                      <w:lang w:val="en-US" w:eastAsia="zh-CN"/>
                    </w:rPr>
                    <w:t>综合</w:t>
                  </w:r>
                  <w:r>
                    <w:rPr>
                      <w:rFonts w:hint="default" w:ascii="Times New Roman" w:hAnsi="Times New Roman" w:eastAsia="宋体" w:cs="Times New Roman"/>
                      <w:color w:val="auto"/>
                      <w:highlight w:val="none"/>
                      <w:lang w:val="en-US" w:eastAsia="zh-CN"/>
                    </w:rPr>
                    <w:t>废水</w:t>
                  </w:r>
                </w:p>
              </w:tc>
              <w:tc>
                <w:tcPr>
                  <w:tcW w:w="48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9024.26</w:t>
                  </w:r>
                </w:p>
              </w:tc>
              <w:tc>
                <w:tcPr>
                  <w:tcW w:w="8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SS</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120</w:t>
                  </w:r>
                </w:p>
              </w:tc>
              <w:tc>
                <w:tcPr>
                  <w:tcW w:w="66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1.083</w:t>
                  </w:r>
                </w:p>
              </w:tc>
              <w:tc>
                <w:tcPr>
                  <w:tcW w:w="37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一级强化</w:t>
                  </w:r>
                  <w:r>
                    <w:rPr>
                      <w:rFonts w:hint="default" w:ascii="Times New Roman" w:hAnsi="Times New Roman" w:cs="Times New Roman"/>
                      <w:color w:val="auto"/>
                      <w:sz w:val="21"/>
                      <w:szCs w:val="21"/>
                      <w:highlight w:val="none"/>
                      <w:lang w:val="en-US" w:eastAsia="zh-CN"/>
                    </w:rPr>
                    <w:t>+消毒（二氧化氯）</w:t>
                  </w:r>
                </w:p>
              </w:tc>
              <w:tc>
                <w:tcPr>
                  <w:tcW w:w="5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lang w:val="en-US" w:eastAsia="zh-CN"/>
                    </w:rPr>
                    <w:t>%</w:t>
                  </w:r>
                </w:p>
              </w:tc>
              <w:tc>
                <w:tcPr>
                  <w:tcW w:w="6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18.0</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w:t>
                  </w:r>
                  <w:r>
                    <w:rPr>
                      <w:rFonts w:hint="eastAsia" w:ascii="Times New Roman" w:hAnsi="Times New Roman" w:cs="Times New Roman"/>
                      <w:color w:val="auto"/>
                      <w:highlight w:val="none"/>
                      <w:lang w:val="en-US" w:eastAsia="zh-CN"/>
                    </w:rPr>
                    <w:t>162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cs="Times New Roman"/>
                      <w:color w:val="auto"/>
                      <w:highlight w:val="none"/>
                      <w:lang w:eastAsia="zh-CN"/>
                    </w:rPr>
                  </w:pPr>
                </w:p>
              </w:tc>
              <w:tc>
                <w:tcPr>
                  <w:tcW w:w="4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p>
              </w:tc>
              <w:tc>
                <w:tcPr>
                  <w:tcW w:w="8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COD</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300</w:t>
                  </w:r>
                </w:p>
              </w:tc>
              <w:tc>
                <w:tcPr>
                  <w:tcW w:w="66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2.707</w:t>
                  </w:r>
                </w:p>
              </w:tc>
              <w:tc>
                <w:tcPr>
                  <w:tcW w:w="37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p>
              </w:tc>
              <w:tc>
                <w:tcPr>
                  <w:tcW w:w="5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45</w:t>
                  </w:r>
                  <w:r>
                    <w:rPr>
                      <w:rFonts w:hint="default" w:ascii="Times New Roman" w:hAnsi="Times New Roman" w:eastAsia="宋体" w:cs="Times New Roman"/>
                      <w:color w:val="auto"/>
                      <w:highlight w:val="none"/>
                      <w:lang w:val="en-US" w:eastAsia="zh-CN"/>
                    </w:rPr>
                    <w:t>%</w:t>
                  </w:r>
                </w:p>
              </w:tc>
              <w:tc>
                <w:tcPr>
                  <w:tcW w:w="6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165</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1.489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cs="Times New Roman"/>
                      <w:color w:val="auto"/>
                      <w:highlight w:val="none"/>
                      <w:lang w:eastAsia="zh-CN"/>
                    </w:rPr>
                  </w:pPr>
                </w:p>
              </w:tc>
              <w:tc>
                <w:tcPr>
                  <w:tcW w:w="4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p>
              </w:tc>
              <w:tc>
                <w:tcPr>
                  <w:tcW w:w="8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b w:val="0"/>
                      <w:bCs w:val="0"/>
                      <w:color w:val="auto"/>
                      <w:highlight w:val="none"/>
                      <w:lang w:val="en-US" w:eastAsia="zh-CN"/>
                    </w:rPr>
                    <w:t>BOD</w:t>
                  </w:r>
                  <w:r>
                    <w:rPr>
                      <w:rFonts w:hint="default" w:ascii="Times New Roman" w:hAnsi="Times New Roman" w:eastAsia="宋体" w:cs="Times New Roman"/>
                      <w:b w:val="0"/>
                      <w:bCs w:val="0"/>
                      <w:color w:val="auto"/>
                      <w:highlight w:val="none"/>
                      <w:vertAlign w:val="subscript"/>
                      <w:lang w:val="en-US" w:eastAsia="zh-CN"/>
                    </w:rPr>
                    <w:t>5</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150</w:t>
                  </w:r>
                </w:p>
              </w:tc>
              <w:tc>
                <w:tcPr>
                  <w:tcW w:w="66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1.354</w:t>
                  </w:r>
                </w:p>
              </w:tc>
              <w:tc>
                <w:tcPr>
                  <w:tcW w:w="37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val="0"/>
                      <w:bCs w:val="0"/>
                      <w:color w:val="auto"/>
                      <w:highlight w:val="none"/>
                      <w:lang w:val="en-US" w:eastAsia="zh-CN"/>
                    </w:rPr>
                  </w:pPr>
                </w:p>
              </w:tc>
              <w:tc>
                <w:tcPr>
                  <w:tcW w:w="5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60</w:t>
                  </w:r>
                  <w:r>
                    <w:rPr>
                      <w:rFonts w:hint="default" w:ascii="Times New Roman" w:hAnsi="Times New Roman" w:eastAsia="宋体" w:cs="Times New Roman"/>
                      <w:b w:val="0"/>
                      <w:bCs w:val="0"/>
                      <w:color w:val="auto"/>
                      <w:highlight w:val="none"/>
                      <w:lang w:val="en-US" w:eastAsia="zh-CN"/>
                    </w:rPr>
                    <w:t>%</w:t>
                  </w:r>
                </w:p>
              </w:tc>
              <w:tc>
                <w:tcPr>
                  <w:tcW w:w="6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60.0</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0.541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cs="Times New Roman"/>
                      <w:color w:val="auto"/>
                      <w:highlight w:val="none"/>
                      <w:lang w:eastAsia="zh-CN"/>
                    </w:rPr>
                  </w:pPr>
                </w:p>
              </w:tc>
              <w:tc>
                <w:tcPr>
                  <w:tcW w:w="4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p>
              </w:tc>
              <w:tc>
                <w:tcPr>
                  <w:tcW w:w="8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b w:val="0"/>
                      <w:bCs w:val="0"/>
                      <w:color w:val="auto"/>
                      <w:highlight w:val="none"/>
                      <w:lang w:val="en-US" w:eastAsia="zh-CN"/>
                    </w:rPr>
                    <w:t>NH</w:t>
                  </w:r>
                  <w:r>
                    <w:rPr>
                      <w:rFonts w:hint="default" w:ascii="Times New Roman" w:hAnsi="Times New Roman" w:eastAsia="宋体" w:cs="Times New Roman"/>
                      <w:b w:val="0"/>
                      <w:bCs w:val="0"/>
                      <w:color w:val="auto"/>
                      <w:highlight w:val="none"/>
                      <w:vertAlign w:val="subscript"/>
                      <w:lang w:val="en-US" w:eastAsia="zh-CN"/>
                    </w:rPr>
                    <w:t>3</w:t>
                  </w:r>
                  <w:r>
                    <w:rPr>
                      <w:rFonts w:hint="default" w:ascii="Times New Roman" w:hAnsi="Times New Roman" w:eastAsia="宋体" w:cs="Times New Roman"/>
                      <w:b w:val="0"/>
                      <w:bCs w:val="0"/>
                      <w:color w:val="auto"/>
                      <w:highlight w:val="none"/>
                      <w:lang w:val="en-US" w:eastAsia="zh-CN"/>
                    </w:rPr>
                    <w:t>-N</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50</w:t>
                  </w:r>
                </w:p>
              </w:tc>
              <w:tc>
                <w:tcPr>
                  <w:tcW w:w="66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0.451</w:t>
                  </w:r>
                </w:p>
              </w:tc>
              <w:tc>
                <w:tcPr>
                  <w:tcW w:w="37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val="0"/>
                      <w:bCs w:val="0"/>
                      <w:color w:val="auto"/>
                      <w:highlight w:val="none"/>
                      <w:lang w:val="en-US" w:eastAsia="zh-CN"/>
                    </w:rPr>
                  </w:pPr>
                </w:p>
              </w:tc>
              <w:tc>
                <w:tcPr>
                  <w:tcW w:w="5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60</w:t>
                  </w:r>
                  <w:r>
                    <w:rPr>
                      <w:rFonts w:hint="default" w:ascii="Times New Roman" w:hAnsi="Times New Roman" w:eastAsia="宋体" w:cs="Times New Roman"/>
                      <w:b w:val="0"/>
                      <w:bCs w:val="0"/>
                      <w:color w:val="auto"/>
                      <w:highlight w:val="none"/>
                      <w:lang w:val="en-US" w:eastAsia="zh-CN"/>
                    </w:rPr>
                    <w:t>%</w:t>
                  </w:r>
                </w:p>
              </w:tc>
              <w:tc>
                <w:tcPr>
                  <w:tcW w:w="6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20.0</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0.180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cs="Times New Roman"/>
                      <w:color w:val="auto"/>
                      <w:highlight w:val="none"/>
                      <w:lang w:eastAsia="zh-CN"/>
                    </w:rPr>
                  </w:pPr>
                </w:p>
              </w:tc>
              <w:tc>
                <w:tcPr>
                  <w:tcW w:w="4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p>
              </w:tc>
              <w:tc>
                <w:tcPr>
                  <w:tcW w:w="8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粪大肠菌群</w:t>
                  </w:r>
                  <w:r>
                    <w:rPr>
                      <w:rFonts w:hint="eastAsia" w:ascii="Times New Roman" w:hAnsi="Times New Roman" w:cs="Times New Roman"/>
                      <w:b w:val="0"/>
                      <w:bCs w:val="0"/>
                      <w:color w:val="auto"/>
                      <w:highlight w:val="none"/>
                      <w:lang w:val="en-US" w:eastAsia="zh-CN"/>
                    </w:rPr>
                    <w:t>数</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default" w:ascii="Times New Roman" w:hAnsi="Times New Roman" w:cs="Times New Roman"/>
                      <w:color w:val="auto"/>
                      <w:sz w:val="21"/>
                      <w:szCs w:val="21"/>
                      <w:highlight w:val="none"/>
                      <w:lang w:val="en-US" w:eastAsia="zh-CN"/>
                    </w:rPr>
                    <w:t>1.6×10</w:t>
                  </w:r>
                  <w:r>
                    <w:rPr>
                      <w:rFonts w:hint="eastAsia" w:ascii="Times New Roman" w:hAnsi="Times New Roman" w:cs="Times New Roman"/>
                      <w:color w:val="auto"/>
                      <w:sz w:val="21"/>
                      <w:szCs w:val="21"/>
                      <w:highlight w:val="none"/>
                      <w:vertAlign w:val="superscript"/>
                      <w:lang w:val="en-US" w:eastAsia="zh-CN"/>
                    </w:rPr>
                    <w:t>8</w:t>
                  </w:r>
                  <w:r>
                    <w:rPr>
                      <w:rFonts w:hint="default" w:ascii="Times New Roman" w:hAnsi="Times New Roman" w:cs="Times New Roman"/>
                      <w:color w:val="auto"/>
                      <w:highlight w:val="none"/>
                    </w:rPr>
                    <w:t>个/L</w:t>
                  </w:r>
                </w:p>
              </w:tc>
              <w:tc>
                <w:tcPr>
                  <w:tcW w:w="66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7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val="0"/>
                      <w:bCs w:val="0"/>
                      <w:color w:val="auto"/>
                      <w:highlight w:val="none"/>
                      <w:lang w:val="en-US" w:eastAsia="zh-CN"/>
                    </w:rPr>
                  </w:pPr>
                </w:p>
              </w:tc>
              <w:tc>
                <w:tcPr>
                  <w:tcW w:w="5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9</w:t>
                  </w:r>
                  <w:r>
                    <w:rPr>
                      <w:rFonts w:hint="eastAsia" w:ascii="Times New Roman" w:hAnsi="Times New Roman" w:cs="Times New Roman"/>
                      <w:b w:val="0"/>
                      <w:bCs w:val="0"/>
                      <w:color w:val="auto"/>
                      <w:highlight w:val="none"/>
                      <w:lang w:val="en-US" w:eastAsia="zh-CN"/>
                    </w:rPr>
                    <w:t>9.99</w:t>
                  </w:r>
                  <w:r>
                    <w:rPr>
                      <w:rFonts w:hint="eastAsia" w:ascii="Times New Roman" w:hAnsi="Times New Roman" w:eastAsia="宋体" w:cs="Times New Roman"/>
                      <w:b w:val="0"/>
                      <w:bCs w:val="0"/>
                      <w:color w:val="auto"/>
                      <w:highlight w:val="none"/>
                      <w:lang w:val="en-US" w:eastAsia="zh-CN"/>
                    </w:rPr>
                    <w:t>%</w:t>
                  </w:r>
                </w:p>
              </w:tc>
              <w:tc>
                <w:tcPr>
                  <w:tcW w:w="6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16</w:t>
                  </w:r>
                  <w:r>
                    <w:rPr>
                      <w:rFonts w:hint="eastAsia" w:ascii="Times New Roman" w:hAnsi="Times New Roman" w:eastAsia="宋体" w:cs="Times New Roman"/>
                      <w:color w:val="auto"/>
                      <w:highlight w:val="none"/>
                      <w:lang w:val="en-US" w:eastAsia="zh-CN"/>
                    </w:rPr>
                    <w:t>00个/L</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cs="Times New Roman"/>
                      <w:color w:val="auto"/>
                      <w:highlight w:val="none"/>
                      <w:lang w:eastAsia="zh-CN"/>
                    </w:rPr>
                  </w:pPr>
                </w:p>
              </w:tc>
              <w:tc>
                <w:tcPr>
                  <w:tcW w:w="4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p>
              </w:tc>
              <w:tc>
                <w:tcPr>
                  <w:tcW w:w="8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动植物油</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1</w:t>
                  </w:r>
                  <w:r>
                    <w:rPr>
                      <w:rFonts w:hint="default" w:ascii="Times New Roman" w:hAnsi="Times New Roman" w:eastAsia="宋体" w:cs="Times New Roman"/>
                      <w:b w:val="0"/>
                      <w:bCs w:val="0"/>
                      <w:color w:val="auto"/>
                      <w:highlight w:val="none"/>
                      <w:lang w:val="en-US" w:eastAsia="zh-CN"/>
                    </w:rPr>
                    <w:t>0</w:t>
                  </w:r>
                </w:p>
              </w:tc>
              <w:tc>
                <w:tcPr>
                  <w:tcW w:w="66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0.0</w:t>
                  </w:r>
                  <w:r>
                    <w:rPr>
                      <w:rFonts w:hint="eastAsia" w:ascii="Times New Roman" w:hAnsi="Times New Roman" w:cs="Times New Roman"/>
                      <w:b w:val="0"/>
                      <w:bCs w:val="0"/>
                      <w:color w:val="auto"/>
                      <w:sz w:val="21"/>
                      <w:szCs w:val="21"/>
                      <w:highlight w:val="none"/>
                      <w:lang w:val="en-US" w:eastAsia="zh-CN"/>
                    </w:rPr>
                    <w:t>90</w:t>
                  </w:r>
                </w:p>
              </w:tc>
              <w:tc>
                <w:tcPr>
                  <w:tcW w:w="37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val="0"/>
                      <w:bCs w:val="0"/>
                      <w:color w:val="auto"/>
                      <w:highlight w:val="none"/>
                      <w:lang w:val="en-US" w:eastAsia="zh-CN"/>
                    </w:rPr>
                  </w:pPr>
                </w:p>
              </w:tc>
              <w:tc>
                <w:tcPr>
                  <w:tcW w:w="5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60%</w:t>
                  </w:r>
                </w:p>
              </w:tc>
              <w:tc>
                <w:tcPr>
                  <w:tcW w:w="6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4.0</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cs="Times New Roman"/>
                      <w:color w:val="auto"/>
                      <w:highlight w:val="none"/>
                      <w:lang w:eastAsia="zh-CN"/>
                    </w:rPr>
                  </w:pPr>
                </w:p>
              </w:tc>
              <w:tc>
                <w:tcPr>
                  <w:tcW w:w="4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p>
              </w:tc>
              <w:tc>
                <w:tcPr>
                  <w:tcW w:w="8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总余氯</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w:t>
                  </w:r>
                </w:p>
              </w:tc>
              <w:tc>
                <w:tcPr>
                  <w:tcW w:w="66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w:t>
                  </w:r>
                </w:p>
              </w:tc>
              <w:tc>
                <w:tcPr>
                  <w:tcW w:w="37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val="0"/>
                      <w:bCs w:val="0"/>
                      <w:color w:val="auto"/>
                      <w:highlight w:val="none"/>
                      <w:lang w:val="en-US" w:eastAsia="zh-CN"/>
                    </w:rPr>
                  </w:pPr>
                </w:p>
              </w:tc>
              <w:tc>
                <w:tcPr>
                  <w:tcW w:w="5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0</w:t>
                  </w:r>
                </w:p>
              </w:tc>
              <w:tc>
                <w:tcPr>
                  <w:tcW w:w="6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cs="Times New Roman"/>
                      <w:color w:val="auto"/>
                      <w:highlight w:val="none"/>
                      <w:lang w:eastAsia="zh-CN"/>
                    </w:rPr>
                  </w:pPr>
                </w:p>
              </w:tc>
              <w:tc>
                <w:tcPr>
                  <w:tcW w:w="4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p>
              </w:tc>
              <w:tc>
                <w:tcPr>
                  <w:tcW w:w="8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阴离子表面活性剂</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1</w:t>
                  </w:r>
                </w:p>
              </w:tc>
              <w:tc>
                <w:tcPr>
                  <w:tcW w:w="66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0.009</w:t>
                  </w:r>
                </w:p>
              </w:tc>
              <w:tc>
                <w:tcPr>
                  <w:tcW w:w="37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val="0"/>
                      <w:bCs w:val="0"/>
                      <w:color w:val="auto"/>
                      <w:highlight w:val="none"/>
                      <w:lang w:val="en-US" w:eastAsia="zh-CN"/>
                    </w:rPr>
                  </w:pPr>
                </w:p>
              </w:tc>
              <w:tc>
                <w:tcPr>
                  <w:tcW w:w="5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w:t>
                  </w:r>
                </w:p>
              </w:tc>
              <w:tc>
                <w:tcPr>
                  <w:tcW w:w="6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0.009</w:t>
                  </w:r>
                </w:p>
              </w:tc>
            </w:tr>
          </w:tbl>
          <w:p>
            <w:pPr>
              <w:adjustRightInd w:val="0"/>
              <w:snapToGrid w:val="0"/>
              <w:spacing w:line="360" w:lineRule="auto"/>
              <w:ind w:firstLine="482" w:firstLineChars="200"/>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lang w:val="en-US" w:eastAsia="zh-CN"/>
              </w:rPr>
              <w:t>1.2、</w:t>
            </w:r>
            <w:r>
              <w:rPr>
                <w:rFonts w:hint="default" w:ascii="Times New Roman" w:hAnsi="Times New Roman" w:eastAsia="宋体" w:cs="Times New Roman"/>
                <w:b/>
                <w:bCs/>
                <w:color w:val="auto"/>
                <w:sz w:val="24"/>
                <w:highlight w:val="none"/>
                <w:lang w:eastAsia="zh-CN"/>
              </w:rPr>
              <w:t>废水处理达标可行性分析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yellow"/>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根据前述废水产排情况分析结果，本项目废水经过净化处理后能够满足《医疗机构水污染物排放标准》（GB18466</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2005）表2中预处理标准和《污水排入城镇下水道水质标准》（GB/T31962-2015）中B级标准限值要求。本项目废水污染物达标排放情况分析一览表详见表4-3。</w:t>
            </w:r>
          </w:p>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val="en-US" w:eastAsia="zh-CN"/>
              </w:rPr>
              <w:t xml:space="preserve">4-3 </w:t>
            </w:r>
            <w:r>
              <w:rPr>
                <w:rFonts w:hint="eastAsia"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lang w:val="en-US" w:eastAsia="zh-CN"/>
              </w:rPr>
              <w:t>本项目</w:t>
            </w:r>
            <w:r>
              <w:rPr>
                <w:rFonts w:hint="default" w:ascii="Times New Roman" w:hAnsi="Times New Roman" w:cs="Times New Roman"/>
                <w:b/>
                <w:bCs/>
                <w:color w:val="auto"/>
                <w:sz w:val="24"/>
                <w:szCs w:val="24"/>
                <w:highlight w:val="none"/>
              </w:rPr>
              <w:t>废水</w:t>
            </w:r>
            <w:r>
              <w:rPr>
                <w:rFonts w:hint="default" w:ascii="Times New Roman" w:hAnsi="Times New Roman" w:cs="Times New Roman"/>
                <w:b/>
                <w:bCs/>
                <w:color w:val="auto"/>
                <w:sz w:val="24"/>
                <w:szCs w:val="24"/>
                <w:highlight w:val="none"/>
                <w:lang w:eastAsia="zh-CN"/>
              </w:rPr>
              <w:t>污染物</w:t>
            </w:r>
            <w:r>
              <w:rPr>
                <w:rFonts w:hint="default" w:ascii="Times New Roman" w:hAnsi="Times New Roman" w:cs="Times New Roman"/>
                <w:b/>
                <w:bCs/>
                <w:color w:val="auto"/>
                <w:sz w:val="24"/>
                <w:szCs w:val="24"/>
                <w:highlight w:val="none"/>
                <w:lang w:val="en-US" w:eastAsia="zh-CN"/>
              </w:rPr>
              <w:t>达标排放情况分析一览表</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089"/>
              <w:gridCol w:w="2234"/>
              <w:gridCol w:w="1860"/>
              <w:gridCol w:w="8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pct"/>
                  <w:vMerge w:val="restart"/>
                  <w:tcBorders>
                    <w:tl2br w:val="nil"/>
                    <w:tr2bl w:val="nil"/>
                  </w:tcBorders>
                  <w:noWrap w:val="0"/>
                  <w:vAlign w:val="center"/>
                </w:tcPr>
                <w:p>
                  <w:pPr>
                    <w:pStyle w:val="6"/>
                    <w:ind w:firstLine="0" w:firstLineChars="0"/>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污染物种类</w:t>
                  </w:r>
                </w:p>
              </w:tc>
              <w:tc>
                <w:tcPr>
                  <w:tcW w:w="2384" w:type="pct"/>
                  <w:gridSpan w:val="2"/>
                  <w:tcBorders>
                    <w:tl2br w:val="nil"/>
                    <w:tr2bl w:val="nil"/>
                  </w:tcBorders>
                  <w:noWrap w:val="0"/>
                  <w:vAlign w:val="center"/>
                </w:tcPr>
                <w:p>
                  <w:pPr>
                    <w:pStyle w:val="6"/>
                    <w:ind w:firstLine="0" w:firstLineChars="0"/>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排放情况</w:t>
                  </w:r>
                </w:p>
              </w:tc>
              <w:tc>
                <w:tcPr>
                  <w:tcW w:w="1026" w:type="pct"/>
                  <w:vMerge w:val="restart"/>
                  <w:tcBorders>
                    <w:tl2br w:val="nil"/>
                    <w:tr2bl w:val="nil"/>
                  </w:tcBorders>
                  <w:noWrap w:val="0"/>
                  <w:vAlign w:val="center"/>
                </w:tcPr>
                <w:p>
                  <w:pPr>
                    <w:pStyle w:val="6"/>
                    <w:ind w:firstLine="0" w:firstLineChars="0"/>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标准限值(mg/L)</w:t>
                  </w:r>
                </w:p>
              </w:tc>
              <w:tc>
                <w:tcPr>
                  <w:tcW w:w="492" w:type="pct"/>
                  <w:vMerge w:val="restart"/>
                  <w:tcBorders>
                    <w:tl2br w:val="nil"/>
                    <w:tr2bl w:val="nil"/>
                  </w:tcBorders>
                  <w:noWrap w:val="0"/>
                  <w:vAlign w:val="center"/>
                </w:tcPr>
                <w:p>
                  <w:pPr>
                    <w:pStyle w:val="6"/>
                    <w:ind w:firstLine="0" w:firstLineChars="0"/>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pct"/>
                  <w:vMerge w:val="continue"/>
                  <w:tcBorders>
                    <w:tl2br w:val="nil"/>
                    <w:tr2bl w:val="nil"/>
                  </w:tcBorders>
                  <w:noWrap w:val="0"/>
                  <w:vAlign w:val="center"/>
                </w:tcPr>
                <w:p>
                  <w:pPr>
                    <w:pStyle w:val="6"/>
                    <w:ind w:firstLine="0" w:firstLineChars="0"/>
                    <w:jc w:val="center"/>
                    <w:rPr>
                      <w:rFonts w:hint="default" w:ascii="Times New Roman" w:hAnsi="Times New Roman" w:cs="Times New Roman"/>
                      <w:b/>
                      <w:bCs/>
                      <w:color w:val="auto"/>
                      <w:kern w:val="2"/>
                      <w:sz w:val="21"/>
                      <w:szCs w:val="24"/>
                      <w:highlight w:val="none"/>
                      <w:lang w:val="en-US" w:eastAsia="zh-CN" w:bidi="ar-SA"/>
                    </w:rPr>
                  </w:pPr>
                </w:p>
              </w:tc>
              <w:tc>
                <w:tcPr>
                  <w:tcW w:w="1152" w:type="pct"/>
                  <w:tcBorders>
                    <w:tl2br w:val="nil"/>
                    <w:tr2bl w:val="nil"/>
                  </w:tcBorders>
                  <w:noWrap w:val="0"/>
                  <w:vAlign w:val="center"/>
                </w:tcPr>
                <w:p>
                  <w:pPr>
                    <w:pStyle w:val="6"/>
                    <w:ind w:firstLine="0" w:firstLineChars="0"/>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排放浓度(mg/L)</w:t>
                  </w:r>
                </w:p>
              </w:tc>
              <w:tc>
                <w:tcPr>
                  <w:tcW w:w="1232" w:type="pct"/>
                  <w:tcBorders>
                    <w:tl2br w:val="nil"/>
                    <w:tr2bl w:val="nil"/>
                  </w:tcBorders>
                  <w:noWrap w:val="0"/>
                  <w:vAlign w:val="center"/>
                </w:tcPr>
                <w:p>
                  <w:pPr>
                    <w:pStyle w:val="6"/>
                    <w:ind w:firstLine="0" w:firstLineChars="0"/>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排放量(t/a)</w:t>
                  </w:r>
                </w:p>
              </w:tc>
              <w:tc>
                <w:tcPr>
                  <w:tcW w:w="1026" w:type="pct"/>
                  <w:vMerge w:val="continue"/>
                  <w:tcBorders>
                    <w:tl2br w:val="nil"/>
                    <w:tr2bl w:val="nil"/>
                  </w:tcBorders>
                  <w:noWrap w:val="0"/>
                  <w:vAlign w:val="center"/>
                </w:tcPr>
                <w:p>
                  <w:pPr>
                    <w:ind w:left="-105" w:leftChars="-50" w:right="-105" w:rightChars="-50"/>
                    <w:jc w:val="center"/>
                    <w:rPr>
                      <w:rFonts w:hint="default" w:ascii="Times New Roman" w:hAnsi="Times New Roman" w:cs="Times New Roman"/>
                      <w:color w:val="auto"/>
                      <w:highlight w:val="none"/>
                      <w:lang w:val="en-US" w:eastAsia="zh-CN"/>
                    </w:rPr>
                  </w:pPr>
                </w:p>
              </w:tc>
              <w:tc>
                <w:tcPr>
                  <w:tcW w:w="492" w:type="pct"/>
                  <w:vMerge w:val="continue"/>
                  <w:tcBorders>
                    <w:tl2br w:val="nil"/>
                    <w:tr2bl w:val="nil"/>
                  </w:tcBorders>
                  <w:noWrap w:val="0"/>
                  <w:vAlign w:val="center"/>
                </w:tcPr>
                <w:p>
                  <w:pPr>
                    <w:ind w:left="-105" w:leftChars="-50" w:right="-105" w:rightChars="-50"/>
                    <w:jc w:val="center"/>
                    <w:rPr>
                      <w:rFonts w:hint="default" w:ascii="Times New Roman" w:hAnsi="Times New Roman" w:cs="Times New Roman"/>
                      <w:color w:val="auto"/>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lang w:val="en-US" w:eastAsia="zh-CN"/>
                    </w:rPr>
                    <w:t>SS</w:t>
                  </w:r>
                </w:p>
              </w:tc>
              <w:tc>
                <w:tcPr>
                  <w:tcW w:w="20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eastAsia="宋体" w:cs="Times New Roman"/>
                      <w:color w:val="auto"/>
                      <w:highlight w:val="none"/>
                      <w:lang w:val="en-US" w:eastAsia="zh-CN"/>
                    </w:rPr>
                    <w:t>18.0</w:t>
                  </w:r>
                </w:p>
              </w:tc>
              <w:tc>
                <w:tcPr>
                  <w:tcW w:w="2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eastAsia="宋体" w:cs="Times New Roman"/>
                      <w:color w:val="auto"/>
                      <w:highlight w:val="none"/>
                      <w:lang w:val="en-US" w:eastAsia="zh-CN"/>
                    </w:rPr>
                    <w:t>0.</w:t>
                  </w:r>
                  <w:r>
                    <w:rPr>
                      <w:rFonts w:hint="eastAsia" w:ascii="Times New Roman" w:hAnsi="Times New Roman" w:cs="Times New Roman"/>
                      <w:color w:val="auto"/>
                      <w:highlight w:val="none"/>
                      <w:lang w:val="en-US" w:eastAsia="zh-CN"/>
                    </w:rPr>
                    <w:t>162</w:t>
                  </w:r>
                </w:p>
              </w:tc>
              <w:tc>
                <w:tcPr>
                  <w:tcW w:w="1026"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60</w:t>
                  </w:r>
                </w:p>
              </w:tc>
              <w:tc>
                <w:tcPr>
                  <w:tcW w:w="492"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lang w:val="en-US" w:eastAsia="zh-CN"/>
                    </w:rPr>
                    <w:t>COD</w:t>
                  </w:r>
                </w:p>
              </w:tc>
              <w:tc>
                <w:tcPr>
                  <w:tcW w:w="20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highlight w:val="none"/>
                      <w:lang w:val="en-US" w:eastAsia="zh-CN"/>
                    </w:rPr>
                    <w:t>165</w:t>
                  </w:r>
                </w:p>
              </w:tc>
              <w:tc>
                <w:tcPr>
                  <w:tcW w:w="2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highlight w:val="none"/>
                      <w:lang w:val="en-US" w:eastAsia="zh-CN"/>
                    </w:rPr>
                    <w:t>1.489</w:t>
                  </w:r>
                </w:p>
              </w:tc>
              <w:tc>
                <w:tcPr>
                  <w:tcW w:w="1026"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250</w:t>
                  </w:r>
                </w:p>
              </w:tc>
              <w:tc>
                <w:tcPr>
                  <w:tcW w:w="492"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kern w:val="2"/>
                      <w:sz w:val="21"/>
                      <w:szCs w:val="24"/>
                      <w:highlight w:val="none"/>
                      <w:lang w:val="en-US" w:eastAsia="zh-CN" w:bidi="ar-SA"/>
                    </w:rPr>
                  </w:pPr>
                  <w:r>
                    <w:rPr>
                      <w:rFonts w:hint="default" w:ascii="Times New Roman" w:hAnsi="Times New Roman" w:eastAsia="宋体" w:cs="Times New Roman"/>
                      <w:b w:val="0"/>
                      <w:bCs w:val="0"/>
                      <w:color w:val="auto"/>
                      <w:highlight w:val="none"/>
                      <w:lang w:val="en-US" w:eastAsia="zh-CN"/>
                    </w:rPr>
                    <w:t>BOD</w:t>
                  </w:r>
                  <w:r>
                    <w:rPr>
                      <w:rFonts w:hint="default" w:ascii="Times New Roman" w:hAnsi="Times New Roman" w:eastAsia="宋体" w:cs="Times New Roman"/>
                      <w:b w:val="0"/>
                      <w:bCs w:val="0"/>
                      <w:color w:val="auto"/>
                      <w:highlight w:val="none"/>
                      <w:vertAlign w:val="subscript"/>
                      <w:lang w:val="en-US" w:eastAsia="zh-CN"/>
                    </w:rPr>
                    <w:t>5</w:t>
                  </w:r>
                </w:p>
              </w:tc>
              <w:tc>
                <w:tcPr>
                  <w:tcW w:w="20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highlight w:val="none"/>
                      <w:lang w:val="en-US" w:eastAsia="zh-CN"/>
                    </w:rPr>
                    <w:t>60.0</w:t>
                  </w:r>
                </w:p>
              </w:tc>
              <w:tc>
                <w:tcPr>
                  <w:tcW w:w="2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highlight w:val="none"/>
                      <w:lang w:val="en-US" w:eastAsia="zh-CN"/>
                    </w:rPr>
                    <w:t>0.541</w:t>
                  </w:r>
                </w:p>
              </w:tc>
              <w:tc>
                <w:tcPr>
                  <w:tcW w:w="1026"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100</w:t>
                  </w:r>
                </w:p>
              </w:tc>
              <w:tc>
                <w:tcPr>
                  <w:tcW w:w="492"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kern w:val="2"/>
                      <w:sz w:val="21"/>
                      <w:szCs w:val="24"/>
                      <w:highlight w:val="none"/>
                      <w:lang w:val="en-US" w:eastAsia="zh-CN" w:bidi="ar-SA"/>
                    </w:rPr>
                  </w:pPr>
                  <w:r>
                    <w:rPr>
                      <w:rFonts w:hint="default" w:ascii="Times New Roman" w:hAnsi="Times New Roman" w:eastAsia="宋体" w:cs="Times New Roman"/>
                      <w:b w:val="0"/>
                      <w:bCs w:val="0"/>
                      <w:color w:val="auto"/>
                      <w:highlight w:val="none"/>
                      <w:lang w:val="en-US" w:eastAsia="zh-CN"/>
                    </w:rPr>
                    <w:t>NH</w:t>
                  </w:r>
                  <w:r>
                    <w:rPr>
                      <w:rFonts w:hint="default" w:ascii="Times New Roman" w:hAnsi="Times New Roman" w:eastAsia="宋体" w:cs="Times New Roman"/>
                      <w:b w:val="0"/>
                      <w:bCs w:val="0"/>
                      <w:color w:val="auto"/>
                      <w:highlight w:val="none"/>
                      <w:vertAlign w:val="subscript"/>
                      <w:lang w:val="en-US" w:eastAsia="zh-CN"/>
                    </w:rPr>
                    <w:t>3</w:t>
                  </w:r>
                  <w:r>
                    <w:rPr>
                      <w:rFonts w:hint="default" w:ascii="Times New Roman" w:hAnsi="Times New Roman" w:eastAsia="宋体" w:cs="Times New Roman"/>
                      <w:b w:val="0"/>
                      <w:bCs w:val="0"/>
                      <w:color w:val="auto"/>
                      <w:highlight w:val="none"/>
                      <w:lang w:val="en-US" w:eastAsia="zh-CN"/>
                    </w:rPr>
                    <w:t>-N</w:t>
                  </w:r>
                </w:p>
              </w:tc>
              <w:tc>
                <w:tcPr>
                  <w:tcW w:w="20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eastAsia="宋体" w:cs="Times New Roman"/>
                      <w:color w:val="auto"/>
                      <w:highlight w:val="none"/>
                      <w:lang w:val="en-US" w:eastAsia="zh-CN"/>
                    </w:rPr>
                    <w:t>20.0</w:t>
                  </w:r>
                </w:p>
              </w:tc>
              <w:tc>
                <w:tcPr>
                  <w:tcW w:w="2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highlight w:val="none"/>
                      <w:lang w:val="en-US" w:eastAsia="zh-CN"/>
                    </w:rPr>
                    <w:t>0.180</w:t>
                  </w:r>
                </w:p>
              </w:tc>
              <w:tc>
                <w:tcPr>
                  <w:tcW w:w="1026"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45</w:t>
                  </w:r>
                </w:p>
              </w:tc>
              <w:tc>
                <w:tcPr>
                  <w:tcW w:w="492"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kern w:val="2"/>
                      <w:sz w:val="21"/>
                      <w:szCs w:val="24"/>
                      <w:highlight w:val="none"/>
                      <w:lang w:val="en-US" w:eastAsia="zh-CN" w:bidi="ar-SA"/>
                    </w:rPr>
                  </w:pPr>
                  <w:r>
                    <w:rPr>
                      <w:rFonts w:hint="default" w:ascii="Times New Roman" w:hAnsi="Times New Roman" w:eastAsia="宋体" w:cs="Times New Roman"/>
                      <w:b w:val="0"/>
                      <w:bCs w:val="0"/>
                      <w:color w:val="auto"/>
                      <w:highlight w:val="none"/>
                      <w:lang w:val="en-US" w:eastAsia="zh-CN"/>
                    </w:rPr>
                    <w:t>粪大肠菌群</w:t>
                  </w:r>
                </w:p>
              </w:tc>
              <w:tc>
                <w:tcPr>
                  <w:tcW w:w="20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highlight w:val="yellow"/>
                      <w:lang w:val="en-US" w:eastAsia="zh-CN"/>
                    </w:rPr>
                  </w:pPr>
                  <w:r>
                    <w:rPr>
                      <w:rFonts w:hint="eastAsia" w:ascii="Times New Roman" w:hAnsi="Times New Roman" w:cs="Times New Roman"/>
                      <w:color w:val="auto"/>
                      <w:highlight w:val="none"/>
                      <w:lang w:val="en-US" w:eastAsia="zh-CN"/>
                    </w:rPr>
                    <w:t>16</w:t>
                  </w:r>
                  <w:r>
                    <w:rPr>
                      <w:rFonts w:hint="eastAsia" w:ascii="Times New Roman" w:hAnsi="Times New Roman" w:eastAsia="宋体" w:cs="Times New Roman"/>
                      <w:color w:val="auto"/>
                      <w:highlight w:val="none"/>
                      <w:lang w:val="en-US" w:eastAsia="zh-CN"/>
                    </w:rPr>
                    <w:t>00个/L</w:t>
                  </w:r>
                </w:p>
              </w:tc>
              <w:tc>
                <w:tcPr>
                  <w:tcW w:w="2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highlight w:val="none"/>
                      <w:lang w:val="en-US" w:eastAsia="zh-CN"/>
                    </w:rPr>
                    <w:t>/</w:t>
                  </w:r>
                </w:p>
              </w:tc>
              <w:tc>
                <w:tcPr>
                  <w:tcW w:w="1026" w:type="pct"/>
                  <w:tcBorders>
                    <w:tl2br w:val="nil"/>
                    <w:tr2bl w:val="nil"/>
                  </w:tcBorders>
                  <w:noWrap w:val="0"/>
                  <w:vAlign w:val="center"/>
                </w:tcPr>
                <w:p>
                  <w:pPr>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5000</w:t>
                  </w:r>
                </w:p>
              </w:tc>
              <w:tc>
                <w:tcPr>
                  <w:tcW w:w="492"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kern w:val="2"/>
                      <w:sz w:val="21"/>
                      <w:szCs w:val="24"/>
                      <w:highlight w:val="none"/>
                      <w:lang w:val="en-US" w:eastAsia="zh-CN" w:bidi="ar-SA"/>
                    </w:rPr>
                  </w:pPr>
                  <w:r>
                    <w:rPr>
                      <w:rFonts w:hint="default" w:ascii="Times New Roman" w:hAnsi="Times New Roman" w:eastAsia="宋体" w:cs="Times New Roman"/>
                      <w:b w:val="0"/>
                      <w:bCs w:val="0"/>
                      <w:color w:val="auto"/>
                      <w:highlight w:val="none"/>
                      <w:lang w:val="en-US" w:eastAsia="zh-CN"/>
                    </w:rPr>
                    <w:t>动植物油</w:t>
                  </w:r>
                </w:p>
              </w:tc>
              <w:tc>
                <w:tcPr>
                  <w:tcW w:w="20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highlight w:val="yellow"/>
                      <w:lang w:val="en-US" w:eastAsia="zh-CN"/>
                    </w:rPr>
                  </w:pPr>
                  <w:r>
                    <w:rPr>
                      <w:rFonts w:hint="eastAsia" w:ascii="Times New Roman" w:hAnsi="Times New Roman" w:eastAsia="宋体" w:cs="Times New Roman"/>
                      <w:color w:val="auto"/>
                      <w:highlight w:val="none"/>
                      <w:lang w:val="en-US" w:eastAsia="zh-CN"/>
                    </w:rPr>
                    <w:t>4.0</w:t>
                  </w:r>
                </w:p>
              </w:tc>
              <w:tc>
                <w:tcPr>
                  <w:tcW w:w="2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highlight w:val="yellow"/>
                      <w:lang w:val="en-US" w:eastAsia="zh-CN"/>
                    </w:rPr>
                  </w:pPr>
                  <w:r>
                    <w:rPr>
                      <w:rFonts w:hint="eastAsia" w:ascii="Times New Roman" w:hAnsi="Times New Roman" w:cs="Times New Roman"/>
                      <w:color w:val="auto"/>
                      <w:highlight w:val="none"/>
                      <w:lang w:val="en-US" w:eastAsia="zh-CN"/>
                    </w:rPr>
                    <w:t>0.036</w:t>
                  </w:r>
                </w:p>
              </w:tc>
              <w:tc>
                <w:tcPr>
                  <w:tcW w:w="1026"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w:t>
                  </w:r>
                </w:p>
              </w:tc>
              <w:tc>
                <w:tcPr>
                  <w:tcW w:w="492"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总余氯</w:t>
                  </w:r>
                </w:p>
              </w:tc>
              <w:tc>
                <w:tcPr>
                  <w:tcW w:w="20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highlight w:val="yellow"/>
                      <w:lang w:val="en-US" w:eastAsia="zh-CN"/>
                    </w:rPr>
                  </w:pPr>
                  <w:r>
                    <w:rPr>
                      <w:rFonts w:hint="eastAsia" w:ascii="Times New Roman" w:hAnsi="Times New Roman" w:cs="Times New Roman"/>
                      <w:color w:val="auto"/>
                      <w:highlight w:val="none"/>
                      <w:lang w:val="en-US" w:eastAsia="zh-CN"/>
                    </w:rPr>
                    <w:t>/</w:t>
                  </w:r>
                </w:p>
              </w:tc>
              <w:tc>
                <w:tcPr>
                  <w:tcW w:w="2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highlight w:val="yellow"/>
                      <w:lang w:val="en-US" w:eastAsia="zh-CN"/>
                    </w:rPr>
                  </w:pPr>
                  <w:r>
                    <w:rPr>
                      <w:rFonts w:hint="eastAsia" w:ascii="Times New Roman" w:hAnsi="Times New Roman" w:cs="Times New Roman"/>
                      <w:color w:val="auto"/>
                      <w:highlight w:val="none"/>
                      <w:lang w:val="en-US" w:eastAsia="zh-CN"/>
                    </w:rPr>
                    <w:t>/</w:t>
                  </w:r>
                </w:p>
              </w:tc>
              <w:tc>
                <w:tcPr>
                  <w:tcW w:w="1026"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2~8</w:t>
                  </w:r>
                </w:p>
              </w:tc>
              <w:tc>
                <w:tcPr>
                  <w:tcW w:w="492"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阴离子表面活性剂</w:t>
                  </w:r>
                </w:p>
              </w:tc>
              <w:tc>
                <w:tcPr>
                  <w:tcW w:w="20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highlight w:val="yellow"/>
                      <w:lang w:val="en-US" w:eastAsia="zh-CN"/>
                    </w:rPr>
                  </w:pPr>
                  <w:r>
                    <w:rPr>
                      <w:rFonts w:hint="eastAsia" w:ascii="Times New Roman" w:hAnsi="Times New Roman" w:cs="Times New Roman"/>
                      <w:color w:val="auto"/>
                      <w:highlight w:val="none"/>
                      <w:lang w:val="en-US" w:eastAsia="zh-CN"/>
                    </w:rPr>
                    <w:t>1</w:t>
                  </w:r>
                </w:p>
              </w:tc>
              <w:tc>
                <w:tcPr>
                  <w:tcW w:w="2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highlight w:val="yellow"/>
                      <w:lang w:val="en-US" w:eastAsia="zh-CN"/>
                    </w:rPr>
                  </w:pPr>
                  <w:r>
                    <w:rPr>
                      <w:rFonts w:hint="eastAsia" w:ascii="Times New Roman" w:hAnsi="Times New Roman" w:cs="Times New Roman"/>
                      <w:color w:val="auto"/>
                      <w:highlight w:val="none"/>
                      <w:lang w:val="en-US" w:eastAsia="zh-CN"/>
                    </w:rPr>
                    <w:t>0.009</w:t>
                  </w:r>
                </w:p>
              </w:tc>
              <w:tc>
                <w:tcPr>
                  <w:tcW w:w="1026"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492" w:type="pct"/>
                  <w:tcBorders>
                    <w:tl2br w:val="nil"/>
                    <w:tr2bl w:val="nil"/>
                  </w:tcBorders>
                  <w:noWrap w:val="0"/>
                  <w:vAlign w:val="center"/>
                </w:tcPr>
                <w:p>
                  <w:pPr>
                    <w:ind w:left="-105" w:leftChars="-50" w:right="-105" w:rightChars="-5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lang w:val="en-US" w:eastAsia="zh-CN"/>
              </w:rPr>
              <w:t>1.3</w:t>
            </w:r>
            <w:r>
              <w:rPr>
                <w:rFonts w:hint="default" w:ascii="Times New Roman" w:hAnsi="Times New Roman" w:eastAsia="宋体" w:cs="Times New Roman"/>
                <w:b/>
                <w:bCs/>
                <w:color w:val="auto"/>
                <w:sz w:val="24"/>
                <w:highlight w:val="none"/>
                <w:lang w:eastAsia="zh-CN"/>
              </w:rPr>
              <w:t>废水</w:t>
            </w:r>
            <w:r>
              <w:rPr>
                <w:rFonts w:hint="default" w:ascii="Times New Roman" w:hAnsi="Times New Roman" w:eastAsia="宋体" w:cs="Times New Roman"/>
                <w:b/>
                <w:bCs/>
                <w:color w:val="auto"/>
                <w:sz w:val="24"/>
                <w:highlight w:val="none"/>
                <w:lang w:val="en-US" w:eastAsia="zh-CN"/>
              </w:rPr>
              <w:t>治理设施</w:t>
            </w:r>
            <w:r>
              <w:rPr>
                <w:rFonts w:hint="default" w:ascii="Times New Roman" w:hAnsi="Times New Roman" w:eastAsia="宋体" w:cs="Times New Roman"/>
                <w:b/>
                <w:bCs/>
                <w:color w:val="auto"/>
                <w:sz w:val="24"/>
                <w:highlight w:val="none"/>
                <w:lang w:eastAsia="zh-CN"/>
              </w:rPr>
              <w:t>可行性分析</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1.3.1本项目废水处理措施可行性分析</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建设单位拟对现有污水处理站进行改扩建，拆除现有污水处理站，新建一座处理能力为30m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/d的污水处理站，包括一体化处理设备一套，处理工艺为“</w:t>
            </w:r>
            <w:r>
              <w:rPr>
                <w:rFonts w:hint="default" w:ascii="Times New Roman" w:hAnsi="Times New Roman" w:cs="Times New Roman"/>
                <w:color w:val="auto"/>
                <w:sz w:val="24"/>
                <w:szCs w:val="24"/>
                <w:lang w:val="en-US" w:eastAsia="zh-CN"/>
              </w:rPr>
              <w:t>格栅+调节池+</w:t>
            </w:r>
            <w:r>
              <w:rPr>
                <w:rFonts w:hint="eastAsia" w:ascii="Times New Roman" w:hAnsi="Times New Roman" w:cs="Times New Roman"/>
                <w:color w:val="auto"/>
                <w:sz w:val="24"/>
                <w:szCs w:val="24"/>
                <w:lang w:val="en-US" w:eastAsia="zh-CN"/>
              </w:rPr>
              <w:t>混凝</w:t>
            </w:r>
            <w:r>
              <w:rPr>
                <w:rFonts w:hint="default" w:ascii="Times New Roman" w:hAnsi="Times New Roman" w:cs="Times New Roman"/>
                <w:color w:val="auto"/>
                <w:sz w:val="24"/>
                <w:szCs w:val="24"/>
                <w:lang w:val="en-US" w:eastAsia="zh-CN"/>
              </w:rPr>
              <w:t>沉淀+消毒（二氧化氯）</w:t>
            </w:r>
            <w:r>
              <w:rPr>
                <w:rFonts w:hint="eastAsia" w:ascii="Times New Roman" w:hAnsi="Times New Roman" w:cs="Times New Roman"/>
                <w:color w:val="auto"/>
                <w:sz w:val="24"/>
                <w:szCs w:val="24"/>
                <w:highlight w:val="none"/>
                <w:lang w:val="en-US" w:eastAsia="zh-CN"/>
              </w:rPr>
              <w:t>”处理后废水通过市政管网进入安康市江南污水处理厂处理。医院现状污水处理站仅处理部分医疗废水，处理废水量为15m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/d，生活污水、洗衣房废水均排入园区公用化粪池</w:t>
            </w:r>
            <w:r>
              <w:rPr>
                <w:rFonts w:hint="eastAsia" w:ascii="Times New Roman" w:hAnsi="Times New Roman" w:cs="Times New Roman"/>
                <w:color w:val="auto"/>
                <w:sz w:val="24"/>
                <w:szCs w:val="24"/>
                <w:lang w:val="en-US" w:eastAsia="zh-CN"/>
              </w:rPr>
              <w:t>。根据《医院污水处理工程技术规范》(HJ2029-2013)中的要求，新（改、扩）建医院，在设计医院污水处理系统时应考虑将医院病区、非病区、传染病房、非传染病房污水分别收集。特殊性质污水应单独收集，经预处理后与医院污水合并处理，不得将特殊性质污水随意排入下水道。故本环评要求新建一座化粪池以及一体化处理设备一套，生活污水与医疗废水一并经化粪池处理后排入污水处理站处理。</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highlight w:val="none"/>
                <w:lang w:val="en-US" w:eastAsia="zh-CN"/>
              </w:rPr>
              <w:t>本项目拟建污水处理站处理规模为30m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/d，处理工艺为：</w:t>
            </w:r>
            <w:r>
              <w:rPr>
                <w:rFonts w:hint="eastAsia" w:ascii="Times New Roman" w:hAnsi="Times New Roman" w:cs="Times New Roman"/>
                <w:color w:val="auto"/>
                <w:sz w:val="24"/>
                <w:szCs w:val="24"/>
                <w:highlight w:val="none"/>
                <w:lang w:val="en-US" w:eastAsia="zh-CN"/>
              </w:rPr>
              <w:t>一级强化</w:t>
            </w:r>
            <w:r>
              <w:rPr>
                <w:rFonts w:hint="default" w:ascii="Times New Roman" w:hAnsi="Times New Roman" w:cs="Times New Roman"/>
                <w:color w:val="auto"/>
                <w:sz w:val="24"/>
                <w:szCs w:val="24"/>
                <w:highlight w:val="none"/>
                <w:lang w:val="en-US" w:eastAsia="zh-CN"/>
              </w:rPr>
              <w:t>+消毒（二氧化氯），处理工艺流程图详见图4-1。本项目运营过程中</w:t>
            </w:r>
            <w:r>
              <w:rPr>
                <w:rFonts w:hint="default" w:ascii="Times New Roman" w:hAnsi="Times New Roman" w:eastAsia="宋体" w:cs="Times New Roman"/>
                <w:color w:val="auto"/>
                <w:kern w:val="2"/>
                <w:sz w:val="24"/>
                <w:szCs w:val="24"/>
                <w:highlight w:val="none"/>
                <w:lang w:val="en-US" w:eastAsia="zh-CN" w:bidi="ar-SA"/>
              </w:rPr>
              <w:t>总排水量为</w:t>
            </w:r>
            <w:r>
              <w:rPr>
                <w:rFonts w:hint="eastAsia" w:ascii="Times New Roman" w:hAnsi="Times New Roman" w:cs="Times New Roman"/>
                <w:color w:val="auto"/>
                <w:kern w:val="2"/>
                <w:sz w:val="24"/>
                <w:szCs w:val="24"/>
                <w:highlight w:val="none"/>
                <w:lang w:val="en-US" w:eastAsia="zh-CN" w:bidi="ar-SA"/>
              </w:rPr>
              <w:t>24.724</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w:t>
            </w:r>
            <w:r>
              <w:rPr>
                <w:rFonts w:hint="eastAsia" w:ascii="Times New Roman" w:hAnsi="Times New Roman" w:cs="Times New Roman"/>
                <w:color w:val="auto"/>
                <w:kern w:val="2"/>
                <w:sz w:val="24"/>
                <w:szCs w:val="24"/>
                <w:highlight w:val="none"/>
                <w:lang w:val="en-US" w:eastAsia="zh-CN" w:bidi="ar-SA"/>
              </w:rPr>
              <w:t>9024.26</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/a）</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扩建污水处理站与原有污水处理站衔接过程，原有污水处理站占地规模为20m</w:t>
            </w:r>
            <w:r>
              <w:rPr>
                <w:rFonts w:hint="eastAsia" w:ascii="Times New Roman" w:hAnsi="Times New Roman" w:cs="Times New Roman"/>
                <w:color w:val="auto"/>
                <w:kern w:val="2"/>
                <w:sz w:val="24"/>
                <w:szCs w:val="24"/>
                <w:vertAlign w:val="superscript"/>
                <w:lang w:val="en-US" w:eastAsia="zh-CN" w:bidi="ar-SA"/>
              </w:rPr>
              <w:t>2</w:t>
            </w:r>
            <w:r>
              <w:rPr>
                <w:rFonts w:hint="eastAsia" w:ascii="Times New Roman" w:hAnsi="Times New Roman" w:cs="Times New Roman"/>
                <w:color w:val="auto"/>
                <w:kern w:val="2"/>
                <w:sz w:val="24"/>
                <w:szCs w:val="24"/>
                <w:lang w:val="en-US" w:eastAsia="zh-CN" w:bidi="ar-SA"/>
              </w:rPr>
              <w:t>，本次扩建在原址进行，占地面积扩大至40m</w:t>
            </w:r>
            <w:r>
              <w:rPr>
                <w:rFonts w:hint="eastAsia" w:ascii="Times New Roman" w:hAnsi="Times New Roman" w:cs="Times New Roman"/>
                <w:color w:val="auto"/>
                <w:kern w:val="2"/>
                <w:sz w:val="24"/>
                <w:szCs w:val="24"/>
                <w:vertAlign w:val="superscript"/>
                <w:lang w:val="en-US" w:eastAsia="zh-CN" w:bidi="ar-SA"/>
              </w:rPr>
              <w:t>2</w:t>
            </w:r>
            <w:r>
              <w:rPr>
                <w:rFonts w:hint="eastAsia" w:ascii="Times New Roman" w:hAnsi="Times New Roman" w:cs="Times New Roman"/>
                <w:color w:val="auto"/>
                <w:kern w:val="2"/>
                <w:sz w:val="24"/>
                <w:szCs w:val="24"/>
                <w:lang w:val="en-US" w:eastAsia="zh-CN" w:bidi="ar-SA"/>
              </w:rPr>
              <w:t>。建设过程为地基开挖后进行新的一体化设施建设，现有污水处理站先保留使用，直至新的污水处理站建好后，再将现有污水处理站拆除，保证现有医疗废水不直接排放。</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drawing>
                <wp:inline distT="0" distB="0" distL="114300" distR="114300">
                  <wp:extent cx="4312285" cy="2692400"/>
                  <wp:effectExtent l="0" t="0" r="0" b="0"/>
                  <wp:docPr id="14" name="ECB019B1-382A-4266-B25C-5B523AA43C14-1" descr="C:/Users/Administrator/AppData/Local/Temp/wps.MjaSam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CB019B1-382A-4266-B25C-5B523AA43C14-1" descr="C:/Users/Administrator/AppData/Local/Temp/wps.MjaSamwps"/>
                          <pic:cNvPicPr>
                            <a:picLocks noChangeAspect="1"/>
                          </pic:cNvPicPr>
                        </pic:nvPicPr>
                        <pic:blipFill>
                          <a:blip r:embed="rId12"/>
                          <a:srcRect l="6065" t="10725" r="3716" b="6591"/>
                          <a:stretch>
                            <a:fillRect/>
                          </a:stretch>
                        </pic:blipFill>
                        <pic:spPr>
                          <a:xfrm>
                            <a:off x="0" y="0"/>
                            <a:ext cx="4312285" cy="2692400"/>
                          </a:xfrm>
                          <a:prstGeom prst="rect">
                            <a:avLst/>
                          </a:prstGeom>
                        </pic:spPr>
                      </pic:pic>
                    </a:graphicData>
                  </a:graphic>
                </wp:inline>
              </w:drawing>
            </w:r>
          </w:p>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图4-1  本项目污水处理工艺流程图</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①格栅：拦截进水中较大的悬浮物和漂浮物，防止其进入后续系统，堵塞水泵；栅渣与污水处理产生的污泥等一同集中消毒、处置并运走。</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②调节池：由于污水水质、水量不稳定，为保证后续设备能正常运行，需设调节池。调节池采用玻璃钢结构。</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③</w:t>
            </w:r>
            <w:r>
              <w:rPr>
                <w:rFonts w:hint="eastAsia" w:ascii="Times New Roman" w:hAnsi="Times New Roman" w:cs="Times New Roman"/>
                <w:b w:val="0"/>
                <w:bCs w:val="0"/>
                <w:color w:val="auto"/>
                <w:sz w:val="24"/>
                <w:szCs w:val="24"/>
                <w:highlight w:val="none"/>
                <w:lang w:val="en-US" w:eastAsia="zh-CN"/>
              </w:rPr>
              <w:t>混凝</w:t>
            </w:r>
            <w:r>
              <w:rPr>
                <w:rFonts w:hint="default" w:ascii="Times New Roman" w:hAnsi="Times New Roman" w:eastAsia="宋体" w:cs="Times New Roman"/>
                <w:b w:val="0"/>
                <w:bCs w:val="0"/>
                <w:color w:val="auto"/>
                <w:sz w:val="24"/>
                <w:szCs w:val="24"/>
                <w:highlight w:val="none"/>
                <w:lang w:val="en-US" w:eastAsia="zh-CN"/>
              </w:rPr>
              <w:t>沉淀：</w:t>
            </w:r>
            <w:r>
              <w:rPr>
                <w:rFonts w:hint="eastAsia" w:ascii="Times New Roman" w:hAnsi="Times New Roman" w:cs="Times New Roman"/>
                <w:b w:val="0"/>
                <w:bCs w:val="0"/>
                <w:color w:val="auto"/>
                <w:sz w:val="24"/>
                <w:szCs w:val="24"/>
                <w:highlight w:val="none"/>
                <w:lang w:val="en-US" w:eastAsia="zh-CN"/>
              </w:rPr>
              <w:t>混凝剂采用聚丙烯酰胺（PAM）、聚合氯化铝（PAC）等，沉淀池池体采用钢结构，设置防腐措施</w:t>
            </w:r>
            <w:r>
              <w:rPr>
                <w:rFonts w:hint="default" w:ascii="Times New Roman" w:hAnsi="Times New Roman" w:eastAsia="宋体" w:cs="Times New Roman"/>
                <w:b w:val="0"/>
                <w:bCs w:val="0"/>
                <w:color w:val="auto"/>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w:t>
            </w:r>
            <w:r>
              <w:rPr>
                <w:rFonts w:hint="default" w:ascii="Times New Roman" w:hAnsi="Times New Roman" w:eastAsia="宋体" w:cs="Times New Roman"/>
                <w:b w:val="0"/>
                <w:bCs w:val="0"/>
                <w:color w:val="auto"/>
                <w:sz w:val="24"/>
                <w:szCs w:val="24"/>
                <w:highlight w:val="none"/>
                <w:lang w:val="en-US" w:eastAsia="zh-CN"/>
              </w:rPr>
              <w:t>消毒池：根据医疗机构污水消毒规范，污水消毒接触时间采用消毒接触池接触时间≥1h，接触池出口总余氯2-8mg/L。消毒剂采用二氧化氯进行消毒，杀死水中大肠杆菌之类的有害细菌，以达到排放标准要求。消毒池采用碳钢结构。</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本项目</w:t>
            </w:r>
            <w:r>
              <w:rPr>
                <w:rFonts w:hint="default" w:ascii="Times New Roman" w:hAnsi="Times New Roman" w:eastAsia="宋体" w:cs="Times New Roman"/>
                <w:b w:val="0"/>
                <w:bCs w:val="0"/>
                <w:color w:val="auto"/>
                <w:sz w:val="24"/>
                <w:szCs w:val="24"/>
                <w:highlight w:val="none"/>
                <w:lang w:val="en-US" w:eastAsia="zh-CN"/>
              </w:rPr>
              <w:t>消毒采用二氧化氯消毒工艺，二氧化氯在投加器中混合后通过动力水管投加到一体化污水处理设备中。对水中病原菌具有良好的灭菌效果，消毒效果较好，是医院废水预处理的成熟工艺，二氧化氯消毒属于《医院污水处理工程技术规范》（HJ2029-2013）的推荐消毒工艺，已被大多数医院采用，项目采用该工艺，废水能够达标排放，措施合理可行。</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⑤</w:t>
            </w:r>
            <w:r>
              <w:rPr>
                <w:rFonts w:hint="eastAsia" w:ascii="宋体" w:hAnsi="宋体" w:eastAsia="宋体" w:cs="宋体"/>
                <w:b w:val="0"/>
                <w:bCs w:val="0"/>
                <w:color w:val="auto"/>
                <w:sz w:val="24"/>
                <w:szCs w:val="24"/>
                <w:lang w:val="en-US" w:eastAsia="zh-CN"/>
              </w:rPr>
              <w:t>污泥池</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由斜管沉淀池沉淀下来的污泥进入污泥池，污泥池上清液回流至调节池。污泥采用生石灰消毒后采用泵提进入化粪池，进行污泥消化。池体采用碳钢结构。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根据《医院污水处理工艺工程技术规范》（HJ2029-2013）中4.2.4规定</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医院污水处理工程设计水量应在实测或测算的基础上留有设计裕量，设计裕量宜取实测值或测量值的10~20%</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，同时根据《医院污水处理工艺工程技术规范》（HJ2029-2013）中5.1.2规定</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医院污水处理工程建设规模，应考虑医院发展统筹规划，近、远期结合，以近期为主</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，本项目进入污水处理系统的污水量约为</w:t>
            </w:r>
            <w:r>
              <w:rPr>
                <w:rFonts w:hint="eastAsia" w:ascii="Times New Roman" w:hAnsi="Times New Roman" w:cs="Times New Roman"/>
                <w:color w:val="auto"/>
                <w:kern w:val="2"/>
                <w:sz w:val="24"/>
                <w:szCs w:val="24"/>
                <w:highlight w:val="none"/>
                <w:lang w:val="en-US" w:eastAsia="zh-CN" w:bidi="ar-SA"/>
              </w:rPr>
              <w:t>24.724</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w:t>
            </w:r>
            <w:r>
              <w:rPr>
                <w:rFonts w:hint="default" w:ascii="Times New Roman" w:hAnsi="Times New Roman" w:eastAsia="宋体" w:cs="Times New Roman"/>
                <w:color w:val="auto"/>
                <w:kern w:val="2"/>
                <w:sz w:val="24"/>
                <w:szCs w:val="24"/>
                <w:lang w:val="en-US" w:eastAsia="zh-CN" w:bidi="ar-SA"/>
              </w:rPr>
              <w:t>，建设单位考虑到医院统筹发展规划，计划建设的污水处理系统日最大处理规模为</w:t>
            </w:r>
            <w:r>
              <w:rPr>
                <w:rFonts w:hint="default" w:ascii="Times New Roman" w:hAnsi="Times New Roman" w:eastAsia="宋体" w:cs="Times New Roman"/>
                <w:color w:val="auto"/>
                <w:kern w:val="2"/>
                <w:sz w:val="24"/>
                <w:szCs w:val="24"/>
                <w:highlight w:val="none"/>
                <w:lang w:val="en-US" w:eastAsia="zh-CN" w:bidi="ar-SA"/>
              </w:rPr>
              <w:t>30m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w:t>
            </w:r>
            <w:r>
              <w:rPr>
                <w:rFonts w:hint="default" w:ascii="Times New Roman" w:hAnsi="Times New Roman" w:eastAsia="宋体" w:cs="Times New Roman"/>
                <w:color w:val="auto"/>
                <w:kern w:val="2"/>
                <w:sz w:val="24"/>
                <w:szCs w:val="24"/>
                <w:lang w:val="en-US" w:eastAsia="zh-CN" w:bidi="ar-SA"/>
              </w:rPr>
              <w:t>，可满足要求。根据《医院污水处理工艺工程技术规范》（HJ2029-2013）中6.1.3规定</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非传染病医院污水，若处理出水排入终端已建成由正常运行的二级污水处理厂的城市污水管网时，可采用</w:t>
            </w:r>
            <w:r>
              <w:rPr>
                <w:rFonts w:hint="eastAsia"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kern w:val="2"/>
                <w:sz w:val="24"/>
                <w:szCs w:val="24"/>
                <w:lang w:val="en-US" w:eastAsia="zh-CN" w:bidi="ar-SA"/>
              </w:rPr>
              <w:t>一级强化处理</w:t>
            </w:r>
            <w:r>
              <w:rPr>
                <w:rFonts w:hint="default" w:ascii="Times New Roman" w:hAnsi="Times New Roman" w:eastAsia="宋体" w:cs="Times New Roman"/>
                <w:color w:val="auto"/>
                <w:kern w:val="2"/>
                <w:sz w:val="24"/>
                <w:szCs w:val="24"/>
                <w:lang w:val="en-US" w:eastAsia="zh-CN" w:bidi="ar-SA"/>
              </w:rPr>
              <w:t>+消毒工艺</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，本项目污水处理站采用</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cs="Times New Roman"/>
                <w:color w:val="auto"/>
                <w:sz w:val="24"/>
                <w:szCs w:val="24"/>
                <w:lang w:val="en-US" w:eastAsia="zh-CN"/>
              </w:rPr>
              <w:t>格栅+调节池+</w:t>
            </w:r>
            <w:r>
              <w:rPr>
                <w:rFonts w:hint="eastAsia" w:ascii="Times New Roman" w:hAnsi="Times New Roman" w:cs="Times New Roman"/>
                <w:color w:val="auto"/>
                <w:sz w:val="24"/>
                <w:szCs w:val="24"/>
                <w:lang w:val="en-US" w:eastAsia="zh-CN"/>
              </w:rPr>
              <w:t>混凝</w:t>
            </w:r>
            <w:r>
              <w:rPr>
                <w:rFonts w:hint="default" w:ascii="Times New Roman" w:hAnsi="Times New Roman" w:cs="Times New Roman"/>
                <w:color w:val="auto"/>
                <w:sz w:val="24"/>
                <w:szCs w:val="24"/>
                <w:lang w:val="en-US" w:eastAsia="zh-CN"/>
              </w:rPr>
              <w:t>沉淀+消毒（二氧化氯）</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净化处理工艺，因此，本项目所用污水处理工艺满足要求。</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本项目运营过程中产生的废水经过院内污水处理设施净化处理后，能够满足相应标准限值要求，同时，本项目拟建污水处理设施设计净化处理工艺及规模均能满足相关标准及规范要求，因此，本项目拟采取的污水净化处理措施可行。</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1.3.2 本项目废水处理依托可行性分析</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安康市江南城市污水处理厂</w:t>
            </w:r>
            <w:r>
              <w:rPr>
                <w:rFonts w:hint="eastAsia" w:ascii="Times New Roman" w:hAnsi="Times New Roman" w:eastAsia="宋体" w:cs="Times New Roman"/>
                <w:color w:val="auto"/>
                <w:sz w:val="24"/>
                <w:szCs w:val="24"/>
                <w:highlight w:val="none"/>
                <w:lang w:val="en-US" w:eastAsia="zh-CN"/>
              </w:rPr>
              <w:t>位于</w:t>
            </w:r>
            <w:r>
              <w:rPr>
                <w:rFonts w:hint="eastAsia" w:ascii="Times New Roman" w:hAnsi="Times New Roman" w:cs="Times New Roman"/>
                <w:color w:val="auto"/>
                <w:sz w:val="24"/>
                <w:szCs w:val="24"/>
                <w:highlight w:val="none"/>
                <w:lang w:val="en-US" w:eastAsia="zh-CN"/>
              </w:rPr>
              <w:t>汉滨区东坝白庙村</w:t>
            </w:r>
            <w:r>
              <w:rPr>
                <w:rFonts w:hint="eastAsia" w:ascii="Times New Roman" w:hAnsi="Times New Roman" w:eastAsia="宋体" w:cs="Times New Roman"/>
                <w:color w:val="auto"/>
                <w:sz w:val="24"/>
                <w:szCs w:val="24"/>
                <w:highlight w:val="none"/>
                <w:lang w:val="en-US" w:eastAsia="zh-CN"/>
              </w:rPr>
              <w:t>，占地面积</w:t>
            </w:r>
            <w:r>
              <w:rPr>
                <w:rFonts w:hint="eastAsia" w:ascii="Times New Roman" w:hAnsi="Times New Roman" w:cs="Times New Roman"/>
                <w:color w:val="auto"/>
                <w:sz w:val="24"/>
                <w:szCs w:val="24"/>
                <w:highlight w:val="none"/>
                <w:lang w:val="en-US" w:eastAsia="zh-CN"/>
              </w:rPr>
              <w:t>102亩</w:t>
            </w:r>
            <w:r>
              <w:rPr>
                <w:rFonts w:hint="eastAsia" w:ascii="Times New Roman" w:hAnsi="Times New Roman" w:eastAsia="宋体" w:cs="Times New Roman"/>
                <w:color w:val="auto"/>
                <w:sz w:val="24"/>
                <w:szCs w:val="24"/>
                <w:highlight w:val="none"/>
                <w:lang w:val="en-US" w:eastAsia="zh-CN"/>
              </w:rPr>
              <w:t>，位于本项目地</w:t>
            </w:r>
            <w:r>
              <w:rPr>
                <w:rFonts w:hint="eastAsia" w:ascii="Times New Roman" w:hAnsi="Times New Roman" w:cs="Times New Roman"/>
                <w:color w:val="auto"/>
                <w:sz w:val="24"/>
                <w:szCs w:val="24"/>
                <w:highlight w:val="none"/>
                <w:lang w:val="en-US" w:eastAsia="zh-CN"/>
              </w:rPr>
              <w:t>北侧</w:t>
            </w:r>
            <w:r>
              <w:rPr>
                <w:rFonts w:hint="eastAsia" w:ascii="Times New Roman" w:hAnsi="Times New Roman" w:eastAsia="宋体" w:cs="Times New Roman"/>
                <w:color w:val="auto"/>
                <w:sz w:val="24"/>
                <w:szCs w:val="24"/>
                <w:highlight w:val="none"/>
                <w:lang w:val="en-US" w:eastAsia="zh-CN"/>
              </w:rPr>
              <w:t>约</w:t>
            </w:r>
            <w:r>
              <w:rPr>
                <w:rFonts w:hint="eastAsia" w:ascii="Times New Roman" w:hAnsi="Times New Roman" w:cs="Times New Roman"/>
                <w:color w:val="auto"/>
                <w:sz w:val="24"/>
                <w:szCs w:val="24"/>
                <w:highlight w:val="none"/>
                <w:lang w:val="en-US" w:eastAsia="zh-CN"/>
              </w:rPr>
              <w:t>5k</w:t>
            </w:r>
            <w:r>
              <w:rPr>
                <w:rFonts w:hint="eastAsia" w:ascii="Times New Roman" w:hAnsi="Times New Roman" w:eastAsia="宋体" w:cs="Times New Roman"/>
                <w:color w:val="auto"/>
                <w:sz w:val="24"/>
                <w:szCs w:val="24"/>
                <w:highlight w:val="none"/>
                <w:lang w:val="en-US" w:eastAsia="zh-CN"/>
              </w:rPr>
              <w:t>m处</w:t>
            </w:r>
            <w:r>
              <w:rPr>
                <w:rFonts w:hint="eastAsia" w:ascii="Times New Roman" w:hAnsi="Times New Roman" w:cs="Times New Roman"/>
                <w:color w:val="auto"/>
                <w:sz w:val="24"/>
                <w:szCs w:val="24"/>
                <w:highlight w:val="none"/>
                <w:lang w:val="en-US" w:eastAsia="zh-CN"/>
              </w:rPr>
              <w:t>，污水管线已铺设，</w:t>
            </w:r>
            <w:r>
              <w:rPr>
                <w:rFonts w:hint="eastAsia" w:ascii="Times New Roman" w:hAnsi="Times New Roman" w:eastAsia="宋体" w:cs="Times New Roman"/>
                <w:color w:val="auto"/>
                <w:sz w:val="24"/>
                <w:szCs w:val="24"/>
                <w:highlight w:val="none"/>
                <w:lang w:val="en-US" w:eastAsia="zh-CN"/>
              </w:rPr>
              <w:t>201</w:t>
            </w:r>
            <w:r>
              <w:rPr>
                <w:rFonts w:hint="eastAsia" w:ascii="Times New Roman" w:hAnsi="Times New Roman"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年建成投运，设计污水处理规模为</w:t>
            </w:r>
            <w:r>
              <w:rPr>
                <w:rFonts w:hint="eastAsia" w:ascii="Times New Roman" w:hAnsi="Times New Roman" w:cs="Times New Roman"/>
                <w:color w:val="auto"/>
                <w:sz w:val="24"/>
                <w:szCs w:val="24"/>
                <w:highlight w:val="none"/>
                <w:lang w:val="en-US" w:eastAsia="zh-CN"/>
              </w:rPr>
              <w:t>6万</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/d，</w:t>
            </w:r>
            <w:r>
              <w:rPr>
                <w:rFonts w:hint="eastAsia" w:ascii="Times New Roman" w:hAnsi="Times New Roman" w:cs="Times New Roman"/>
                <w:color w:val="auto"/>
                <w:sz w:val="24"/>
                <w:szCs w:val="24"/>
                <w:highlight w:val="none"/>
                <w:lang w:val="en-US" w:eastAsia="zh-CN"/>
              </w:rPr>
              <w:t>目前接纳污水量约为5.5万m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/d。</w:t>
            </w:r>
            <w:r>
              <w:rPr>
                <w:rFonts w:hint="eastAsia" w:ascii="Times New Roman" w:hAnsi="Times New Roman" w:eastAsia="宋体" w:cs="Times New Roman"/>
                <w:color w:val="auto"/>
                <w:sz w:val="24"/>
                <w:szCs w:val="24"/>
                <w:highlight w:val="none"/>
                <w:lang w:val="en-US" w:eastAsia="zh-CN"/>
              </w:rPr>
              <w:t>污水处理工艺采用</w:t>
            </w:r>
            <w:r>
              <w:rPr>
                <w:rFonts w:hint="eastAsia" w:ascii="Times New Roman" w:hAnsi="Times New Roman" w:cs="Times New Roman"/>
                <w:color w:val="auto"/>
                <w:sz w:val="24"/>
                <w:szCs w:val="24"/>
                <w:highlight w:val="none"/>
                <w:lang w:val="en-US" w:eastAsia="zh-CN"/>
              </w:rPr>
              <w:t>HBR+MBBR</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目前运行正常，</w:t>
            </w:r>
            <w:r>
              <w:rPr>
                <w:rFonts w:hint="eastAsia" w:ascii="Times New Roman" w:hAnsi="Times New Roman" w:eastAsia="宋体" w:cs="Times New Roman"/>
                <w:color w:val="auto"/>
                <w:sz w:val="24"/>
                <w:szCs w:val="24"/>
                <w:highlight w:val="none"/>
                <w:lang w:val="en-US" w:eastAsia="zh-CN"/>
              </w:rPr>
              <w:t>处理后的出水水质可达《城镇污水处理厂污染物排放标准》(GB18918-2002)中的一级A排放标准要求。</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本项目位于</w:t>
            </w:r>
            <w:r>
              <w:rPr>
                <w:rFonts w:hint="eastAsia" w:ascii="Times New Roman" w:hAnsi="Times New Roman" w:cs="Times New Roman"/>
                <w:color w:val="auto"/>
                <w:sz w:val="24"/>
                <w:szCs w:val="24"/>
                <w:highlight w:val="none"/>
                <w:lang w:val="en-US" w:eastAsia="zh-CN"/>
              </w:rPr>
              <w:t>安康市江南城市污水处理厂</w:t>
            </w:r>
            <w:r>
              <w:rPr>
                <w:rFonts w:hint="default" w:ascii="Times New Roman" w:hAnsi="Times New Roman" w:eastAsia="宋体" w:cs="Times New Roman"/>
                <w:color w:val="auto"/>
                <w:sz w:val="24"/>
                <w:szCs w:val="24"/>
                <w:highlight w:val="none"/>
                <w:lang w:val="en-US" w:eastAsia="zh-CN"/>
              </w:rPr>
              <w:t>收水范围内，管网已经敷设，</w:t>
            </w:r>
            <w:r>
              <w:rPr>
                <w:rFonts w:hint="eastAsia" w:ascii="Times New Roman" w:hAnsi="Times New Roman" w:cs="Times New Roman"/>
                <w:color w:val="auto"/>
                <w:sz w:val="24"/>
                <w:szCs w:val="24"/>
                <w:highlight w:val="none"/>
                <w:lang w:val="en-US" w:eastAsia="zh-CN"/>
              </w:rPr>
              <w:t>安康市江南城市污水处理厂</w:t>
            </w:r>
            <w:r>
              <w:rPr>
                <w:rFonts w:hint="default" w:ascii="Times New Roman" w:hAnsi="Times New Roman" w:eastAsia="宋体" w:cs="Times New Roman"/>
                <w:color w:val="auto"/>
                <w:sz w:val="24"/>
                <w:szCs w:val="24"/>
                <w:highlight w:val="none"/>
                <w:lang w:val="en-US" w:eastAsia="zh-CN"/>
              </w:rPr>
              <w:t>现有污水处理量为</w:t>
            </w:r>
            <w:r>
              <w:rPr>
                <w:rFonts w:hint="eastAsia" w:ascii="Times New Roman" w:hAnsi="Times New Roman" w:cs="Times New Roman"/>
                <w:color w:val="auto"/>
                <w:spacing w:val="-4"/>
                <w:kern w:val="0"/>
                <w:sz w:val="24"/>
                <w:highlight w:val="none"/>
                <w:lang w:val="en-US" w:eastAsia="zh-CN"/>
              </w:rPr>
              <w:t>5000</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pacing w:val="-4"/>
                <w:kern w:val="0"/>
                <w:sz w:val="24"/>
                <w:highlight w:val="none"/>
              </w:rPr>
              <w:t>/d</w:t>
            </w:r>
            <w:r>
              <w:rPr>
                <w:rFonts w:hint="default" w:ascii="Times New Roman" w:hAnsi="Times New Roman" w:cs="Times New Roman"/>
                <w:color w:val="auto"/>
                <w:spacing w:val="-4"/>
                <w:kern w:val="0"/>
                <w:sz w:val="24"/>
                <w:highlight w:val="none"/>
                <w:lang w:eastAsia="zh-CN"/>
              </w:rPr>
              <w:t>，</w:t>
            </w:r>
            <w:r>
              <w:rPr>
                <w:rFonts w:hint="default" w:ascii="Times New Roman" w:hAnsi="Times New Roman" w:cs="Times New Roman"/>
                <w:color w:val="auto"/>
                <w:spacing w:val="-4"/>
                <w:kern w:val="0"/>
                <w:sz w:val="24"/>
                <w:highlight w:val="none"/>
                <w:lang w:val="en-US" w:eastAsia="zh-CN"/>
              </w:rPr>
              <w:t>本项目运营过程中总污水排放量约</w:t>
            </w:r>
            <w:r>
              <w:rPr>
                <w:rFonts w:hint="eastAsia" w:ascii="Times New Roman" w:hAnsi="Times New Roman" w:cs="Times New Roman"/>
                <w:color w:val="auto"/>
                <w:kern w:val="2"/>
                <w:sz w:val="24"/>
                <w:szCs w:val="24"/>
                <w:highlight w:val="none"/>
                <w:lang w:val="en-US" w:eastAsia="zh-CN" w:bidi="ar-SA"/>
              </w:rPr>
              <w:t>24.724</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/d，约占</w:t>
            </w:r>
            <w:r>
              <w:rPr>
                <w:rFonts w:hint="eastAsia" w:ascii="Times New Roman" w:hAnsi="Times New Roman" w:cs="Times New Roman"/>
                <w:color w:val="auto"/>
                <w:kern w:val="2"/>
                <w:sz w:val="24"/>
                <w:szCs w:val="24"/>
                <w:highlight w:val="none"/>
                <w:lang w:val="en-US" w:eastAsia="zh-CN" w:bidi="ar-SA"/>
              </w:rPr>
              <w:t>安康市江南城市污水处理厂</w:t>
            </w:r>
            <w:r>
              <w:rPr>
                <w:rFonts w:hint="default" w:ascii="Times New Roman" w:hAnsi="Times New Roman" w:eastAsia="宋体" w:cs="Times New Roman"/>
                <w:color w:val="auto"/>
                <w:kern w:val="2"/>
                <w:sz w:val="24"/>
                <w:szCs w:val="24"/>
                <w:highlight w:val="none"/>
                <w:lang w:val="en-US" w:eastAsia="zh-CN" w:bidi="ar-SA"/>
              </w:rPr>
              <w:t>剩余处理规模的0.</w:t>
            </w:r>
            <w:r>
              <w:rPr>
                <w:rFonts w:hint="eastAsia" w:ascii="Times New Roman" w:hAnsi="Times New Roman" w:cs="Times New Roman"/>
                <w:color w:val="auto"/>
                <w:kern w:val="2"/>
                <w:sz w:val="24"/>
                <w:szCs w:val="24"/>
                <w:highlight w:val="none"/>
                <w:lang w:val="en-US" w:eastAsia="zh-CN" w:bidi="ar-SA"/>
              </w:rPr>
              <w:t>49</w:t>
            </w:r>
            <w:r>
              <w:rPr>
                <w:rFonts w:hint="default" w:ascii="Times New Roman" w:hAnsi="Times New Roman" w:eastAsia="宋体" w:cs="Times New Roman"/>
                <w:color w:val="auto"/>
                <w:kern w:val="2"/>
                <w:sz w:val="24"/>
                <w:szCs w:val="24"/>
                <w:highlight w:val="none"/>
                <w:lang w:val="en-US" w:eastAsia="zh-CN" w:bidi="ar-SA"/>
              </w:rPr>
              <w:t>%，因此，从水量上来说，本项目依托</w:t>
            </w:r>
            <w:r>
              <w:rPr>
                <w:rFonts w:hint="eastAsia" w:ascii="Times New Roman" w:hAnsi="Times New Roman" w:cs="Times New Roman"/>
                <w:color w:val="auto"/>
                <w:kern w:val="2"/>
                <w:sz w:val="24"/>
                <w:szCs w:val="24"/>
                <w:highlight w:val="none"/>
                <w:lang w:val="en-US" w:eastAsia="zh-CN" w:bidi="ar-SA"/>
              </w:rPr>
              <w:t>安康市江南城市污水处理厂</w:t>
            </w:r>
            <w:r>
              <w:rPr>
                <w:rFonts w:hint="default" w:ascii="Times New Roman" w:hAnsi="Times New Roman" w:eastAsia="宋体" w:cs="Times New Roman"/>
                <w:color w:val="auto"/>
                <w:kern w:val="2"/>
                <w:sz w:val="24"/>
                <w:szCs w:val="24"/>
                <w:highlight w:val="none"/>
                <w:lang w:val="en-US" w:eastAsia="zh-CN" w:bidi="ar-SA"/>
              </w:rPr>
              <w:t>进行净化处理可行；本项目运营过程中产生的废水经过院内污水处理设施净化处理后，出水水质能够满足《医疗机构水污染物排放标准》（GB18466</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2005）表2中预处理标准和《污水排入城镇下水道水质标准》（GB/T31962-2015）中B级标准限值要求，因此，本项目出水水质可满足</w:t>
            </w:r>
            <w:r>
              <w:rPr>
                <w:rFonts w:hint="eastAsia" w:ascii="Times New Roman" w:hAnsi="Times New Roman" w:cs="Times New Roman"/>
                <w:color w:val="auto"/>
                <w:kern w:val="2"/>
                <w:sz w:val="24"/>
                <w:szCs w:val="24"/>
                <w:highlight w:val="none"/>
                <w:lang w:val="en-US" w:eastAsia="zh-CN" w:bidi="ar-SA"/>
              </w:rPr>
              <w:t>安康市江南城市污水处理厂</w:t>
            </w:r>
            <w:r>
              <w:rPr>
                <w:rFonts w:hint="default" w:ascii="Times New Roman" w:hAnsi="Times New Roman" w:eastAsia="宋体" w:cs="Times New Roman"/>
                <w:color w:val="auto"/>
                <w:kern w:val="2"/>
                <w:sz w:val="24"/>
                <w:szCs w:val="24"/>
                <w:highlight w:val="none"/>
                <w:lang w:val="en-US" w:eastAsia="zh-CN" w:bidi="ar-SA"/>
              </w:rPr>
              <w:t>进水水质要求，从水质上来说，本项目依托</w:t>
            </w:r>
            <w:r>
              <w:rPr>
                <w:rFonts w:hint="eastAsia" w:ascii="Times New Roman" w:hAnsi="Times New Roman" w:cs="Times New Roman"/>
                <w:color w:val="auto"/>
                <w:kern w:val="2"/>
                <w:sz w:val="24"/>
                <w:szCs w:val="24"/>
                <w:highlight w:val="none"/>
                <w:lang w:val="en-US" w:eastAsia="zh-CN" w:bidi="ar-SA"/>
              </w:rPr>
              <w:t>安康市江南城市污水处理厂</w:t>
            </w:r>
            <w:r>
              <w:rPr>
                <w:rFonts w:hint="default" w:ascii="Times New Roman" w:hAnsi="Times New Roman" w:eastAsia="宋体" w:cs="Times New Roman"/>
                <w:color w:val="auto"/>
                <w:kern w:val="2"/>
                <w:sz w:val="24"/>
                <w:szCs w:val="24"/>
                <w:highlight w:val="none"/>
                <w:lang w:val="en-US" w:eastAsia="zh-CN" w:bidi="ar-SA"/>
              </w:rPr>
              <w:t>进行净化处理可行。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2"/>
                <w:highlight w:val="none"/>
                <w:lang w:val="en-US" w:eastAsia="zh-CN"/>
              </w:rPr>
              <w:t>综上所述，本项目污水处理</w:t>
            </w:r>
            <w:r>
              <w:rPr>
                <w:rFonts w:hint="default" w:ascii="Times New Roman" w:hAnsi="Times New Roman" w:eastAsia="宋体" w:cs="Times New Roman"/>
                <w:color w:val="auto"/>
                <w:kern w:val="2"/>
                <w:sz w:val="24"/>
                <w:szCs w:val="24"/>
                <w:highlight w:val="none"/>
                <w:lang w:val="en-US" w:eastAsia="zh-CN" w:bidi="ar-SA"/>
              </w:rPr>
              <w:t>依托</w:t>
            </w:r>
            <w:r>
              <w:rPr>
                <w:rFonts w:hint="eastAsia" w:ascii="Times New Roman" w:hAnsi="Times New Roman" w:cs="Times New Roman"/>
                <w:color w:val="auto"/>
                <w:kern w:val="2"/>
                <w:sz w:val="24"/>
                <w:szCs w:val="24"/>
                <w:highlight w:val="none"/>
                <w:lang w:val="en-US" w:eastAsia="zh-CN" w:bidi="ar-SA"/>
              </w:rPr>
              <w:t>安康市江南城市污水处理厂</w:t>
            </w:r>
            <w:r>
              <w:rPr>
                <w:rFonts w:hint="default" w:ascii="Times New Roman" w:hAnsi="Times New Roman" w:eastAsia="宋体" w:cs="Times New Roman"/>
                <w:color w:val="auto"/>
                <w:kern w:val="2"/>
                <w:sz w:val="24"/>
                <w:szCs w:val="24"/>
                <w:highlight w:val="none"/>
                <w:lang w:val="en-US" w:eastAsia="zh-CN" w:bidi="ar-SA"/>
              </w:rPr>
              <w:t>可行。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1.4</w:t>
            </w:r>
            <w:r>
              <w:rPr>
                <w:rFonts w:hint="default" w:ascii="Times New Roman" w:hAnsi="Times New Roman" w:eastAsia="宋体" w:cs="Times New Roman"/>
                <w:b/>
                <w:bCs/>
                <w:color w:val="auto"/>
                <w:sz w:val="24"/>
                <w:highlight w:val="none"/>
                <w:lang w:eastAsia="zh-CN"/>
              </w:rPr>
              <w:t>废水</w:t>
            </w:r>
            <w:r>
              <w:rPr>
                <w:rFonts w:hint="default" w:ascii="Times New Roman" w:hAnsi="Times New Roman" w:eastAsia="宋体" w:cs="Times New Roman"/>
                <w:b/>
                <w:bCs/>
                <w:color w:val="auto"/>
                <w:sz w:val="24"/>
                <w:highlight w:val="none"/>
                <w:lang w:val="en-US" w:eastAsia="zh-CN"/>
              </w:rPr>
              <w:t>污染物治理及排放基本信息</w:t>
            </w:r>
          </w:p>
          <w:p>
            <w:pPr>
              <w:adjustRightInd w:val="0"/>
              <w:snapToGri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本项目废水污染物治理及排放信息详见表4-4。</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 xml:space="preserve">4-4 </w:t>
            </w:r>
            <w:r>
              <w:rPr>
                <w:rFonts w:hint="default" w:ascii="Times New Roman" w:hAnsi="Times New Roman" w:eastAsia="宋体" w:cs="Times New Roman"/>
                <w:b/>
                <w:color w:val="auto"/>
                <w:sz w:val="24"/>
                <w:szCs w:val="24"/>
                <w:highlight w:val="none"/>
                <w:lang w:eastAsia="zh-CN"/>
              </w:rPr>
              <w:t>本</w:t>
            </w:r>
            <w:r>
              <w:rPr>
                <w:rFonts w:hint="default" w:ascii="Times New Roman" w:hAnsi="Times New Roman" w:eastAsia="宋体" w:cs="Times New Roman"/>
                <w:b/>
                <w:color w:val="auto"/>
                <w:sz w:val="24"/>
                <w:szCs w:val="24"/>
                <w:highlight w:val="none"/>
              </w:rPr>
              <w:t>项目</w:t>
            </w:r>
            <w:r>
              <w:rPr>
                <w:rFonts w:hint="default" w:ascii="Times New Roman" w:hAnsi="Times New Roman" w:eastAsia="宋体" w:cs="Times New Roman"/>
                <w:b/>
                <w:color w:val="auto"/>
                <w:sz w:val="24"/>
                <w:szCs w:val="24"/>
                <w:highlight w:val="none"/>
                <w:lang w:eastAsia="zh-CN"/>
              </w:rPr>
              <w:t>废水污染</w:t>
            </w:r>
            <w:r>
              <w:rPr>
                <w:rFonts w:hint="default" w:ascii="Times New Roman" w:hAnsi="Times New Roman" w:eastAsia="宋体" w:cs="Times New Roman"/>
                <w:b/>
                <w:color w:val="auto"/>
                <w:sz w:val="24"/>
                <w:szCs w:val="24"/>
                <w:highlight w:val="none"/>
                <w:lang w:val="en-US" w:eastAsia="zh-CN"/>
              </w:rPr>
              <w:t>治理设施及排放信息一览表</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9"/>
              <w:gridCol w:w="774"/>
              <w:gridCol w:w="901"/>
              <w:gridCol w:w="720"/>
              <w:gridCol w:w="627"/>
              <w:gridCol w:w="852"/>
              <w:gridCol w:w="771"/>
              <w:gridCol w:w="1703"/>
              <w:gridCol w:w="727"/>
              <w:gridCol w:w="782"/>
              <w:gridCol w:w="7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废水类型</w:t>
                  </w:r>
                </w:p>
              </w:tc>
              <w:tc>
                <w:tcPr>
                  <w:tcW w:w="2137"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治理设施情况</w:t>
                  </w:r>
                </w:p>
              </w:tc>
              <w:tc>
                <w:tcPr>
                  <w:tcW w:w="2619"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Calibri" w:cs="Times New Roman"/>
                      <w:color w:val="auto"/>
                      <w:highlight w:val="none"/>
                      <w:lang w:val="en-US" w:eastAsia="zh-CN"/>
                    </w:rPr>
                  </w:pPr>
                </w:p>
              </w:tc>
              <w:tc>
                <w:tcPr>
                  <w:tcW w:w="4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Calibri" w:cs="Times New Roman"/>
                      <w:color w:val="auto"/>
                      <w:highlight w:val="none"/>
                      <w:lang w:val="en-US" w:eastAsia="zh-CN"/>
                    </w:rPr>
                  </w:pPr>
                  <w:r>
                    <w:rPr>
                      <w:rFonts w:hint="default" w:ascii="Times New Roman" w:hAnsi="Times New Roman" w:eastAsia="Calibri" w:cs="Times New Roman"/>
                      <w:b/>
                      <w:bCs/>
                      <w:color w:val="auto"/>
                      <w:highlight w:val="none"/>
                      <w:lang w:val="en-US" w:eastAsia="zh-CN"/>
                    </w:rPr>
                    <w:t>治理设施编号</w:t>
                  </w:r>
                </w:p>
              </w:tc>
              <w:tc>
                <w:tcPr>
                  <w:tcW w:w="4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处理能力</w:t>
                  </w:r>
                </w:p>
              </w:tc>
              <w:tc>
                <w:tcPr>
                  <w:tcW w:w="3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治理工艺</w:t>
                  </w:r>
                </w:p>
              </w:tc>
              <w:tc>
                <w:tcPr>
                  <w:tcW w:w="3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治理效率</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是否为可行技术</w:t>
                  </w:r>
                </w:p>
              </w:tc>
              <w:tc>
                <w:tcPr>
                  <w:tcW w:w="4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排放方式</w:t>
                  </w:r>
                </w:p>
              </w:tc>
              <w:tc>
                <w:tcPr>
                  <w:tcW w:w="9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排放去向</w:t>
                  </w:r>
                </w:p>
              </w:tc>
              <w:tc>
                <w:tcPr>
                  <w:tcW w:w="4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排放规律</w:t>
                  </w: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排放口编号</w:t>
                  </w:r>
                </w:p>
              </w:tc>
              <w:tc>
                <w:tcPr>
                  <w:tcW w:w="421" w:type="pct"/>
                  <w:tcBorders>
                    <w:tl2br w:val="nil"/>
                    <w:tr2bl w:val="nil"/>
                  </w:tcBorders>
                  <w:noWrap w:val="0"/>
                  <w:vAlign w:val="center"/>
                </w:tcPr>
                <w:p>
                  <w:pPr>
                    <w:pStyle w:val="36"/>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cs="Times New Roman"/>
                      <w:color w:val="auto"/>
                      <w:sz w:val="21"/>
                      <w:szCs w:val="21"/>
                      <w:vertAlign w:val="baseline"/>
                      <w:lang w:val="en-US" w:eastAsia="zh-CN" w:bidi="ar-SA"/>
                    </w:rPr>
                  </w:pPr>
                  <w:r>
                    <w:rPr>
                      <w:rFonts w:hint="default" w:ascii="Times New Roman" w:hAnsi="Times New Roman" w:cs="Times New Roman"/>
                      <w:b/>
                      <w:bCs/>
                      <w:color w:val="auto"/>
                      <w:sz w:val="21"/>
                      <w:szCs w:val="21"/>
                      <w:vertAlign w:val="baseline"/>
                      <w:lang w:val="en-US" w:eastAsia="zh-CN"/>
                    </w:rPr>
                    <w:t>排放类型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highlight w:val="none"/>
                      <w:lang w:val="en-US" w:eastAsia="zh-CN"/>
                    </w:rPr>
                    <w:t>医院综合废水</w:t>
                  </w:r>
                </w:p>
              </w:tc>
              <w:tc>
                <w:tcPr>
                  <w:tcW w:w="4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TW001</w:t>
                  </w:r>
                </w:p>
              </w:tc>
              <w:tc>
                <w:tcPr>
                  <w:tcW w:w="4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30m</w:t>
                  </w:r>
                  <w:r>
                    <w:rPr>
                      <w:rFonts w:hint="default" w:ascii="Times New Roman" w:hAnsi="Times New Roman" w:eastAsia="宋体" w:cs="Times New Roman"/>
                      <w:color w:val="auto"/>
                      <w:highlight w:val="none"/>
                      <w:vertAlign w:val="superscript"/>
                      <w:lang w:val="en-US" w:eastAsia="zh-CN"/>
                    </w:rPr>
                    <w:t>3</w:t>
                  </w:r>
                </w:p>
              </w:tc>
              <w:tc>
                <w:tcPr>
                  <w:tcW w:w="3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 w:val="21"/>
                      <w:szCs w:val="21"/>
                      <w:lang w:val="en-US" w:eastAsia="zh-CN"/>
                    </w:rPr>
                    <w:t>化粪池+调节池+</w:t>
                  </w:r>
                  <w:r>
                    <w:rPr>
                      <w:rFonts w:hint="eastAsia" w:ascii="Times New Roman" w:hAnsi="Times New Roman" w:cs="Times New Roman"/>
                      <w:color w:val="auto"/>
                      <w:sz w:val="21"/>
                      <w:szCs w:val="21"/>
                      <w:lang w:val="en-US" w:eastAsia="zh-CN"/>
                    </w:rPr>
                    <w:t>混凝</w:t>
                  </w:r>
                  <w:r>
                    <w:rPr>
                      <w:rFonts w:hint="default" w:ascii="Times New Roman" w:hAnsi="Times New Roman" w:cs="Times New Roman"/>
                      <w:color w:val="auto"/>
                      <w:sz w:val="21"/>
                      <w:szCs w:val="21"/>
                      <w:lang w:val="en-US" w:eastAsia="zh-CN"/>
                    </w:rPr>
                    <w:t>沉淀+消毒</w:t>
                  </w:r>
                </w:p>
              </w:tc>
              <w:tc>
                <w:tcPr>
                  <w:tcW w:w="3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详见表4-2</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是</w:t>
                  </w:r>
                </w:p>
              </w:tc>
              <w:tc>
                <w:tcPr>
                  <w:tcW w:w="4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间接排放</w:t>
                  </w:r>
                </w:p>
              </w:tc>
              <w:tc>
                <w:tcPr>
                  <w:tcW w:w="9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生活污</w:t>
                  </w:r>
                  <w:r>
                    <w:rPr>
                      <w:rFonts w:hint="default" w:ascii="Times New Roman" w:hAnsi="Times New Roman" w:eastAsia="宋体" w:cs="Times New Roman"/>
                      <w:color w:val="auto"/>
                      <w:highlight w:val="none"/>
                      <w:lang w:val="en-US" w:eastAsia="zh-CN"/>
                    </w:rPr>
                    <w:t>水</w:t>
                  </w:r>
                  <w:r>
                    <w:rPr>
                      <w:rFonts w:hint="eastAsia" w:ascii="Times New Roman" w:hAnsi="Times New Roman" w:cs="Times New Roman"/>
                      <w:color w:val="auto"/>
                      <w:highlight w:val="none"/>
                      <w:lang w:val="en-US" w:eastAsia="zh-CN"/>
                    </w:rPr>
                    <w:t>、医疗废水等</w:t>
                  </w:r>
                  <w:r>
                    <w:rPr>
                      <w:rFonts w:hint="default" w:ascii="Times New Roman" w:hAnsi="Times New Roman" w:eastAsia="宋体" w:cs="Times New Roman"/>
                      <w:color w:val="auto"/>
                      <w:highlight w:val="none"/>
                      <w:lang w:val="en-US" w:eastAsia="zh-CN"/>
                    </w:rPr>
                    <w:t>经过化粪池预处理后，排至院内自建污水处理站进行净化处理满足相应标准限值要求后，纳入市政污水管网，并最终进入</w:t>
                  </w:r>
                  <w:r>
                    <w:rPr>
                      <w:rFonts w:hint="eastAsia" w:ascii="Times New Roman" w:hAnsi="Times New Roman" w:cs="Times New Roman"/>
                      <w:color w:val="auto"/>
                      <w:highlight w:val="none"/>
                      <w:lang w:val="en-US" w:eastAsia="zh-CN"/>
                    </w:rPr>
                    <w:t>安康市江南城市污水处理厂</w:t>
                  </w:r>
                  <w:r>
                    <w:rPr>
                      <w:rFonts w:hint="default" w:ascii="Times New Roman" w:hAnsi="Times New Roman" w:eastAsia="宋体" w:cs="Times New Roman"/>
                      <w:color w:val="auto"/>
                      <w:highlight w:val="none"/>
                      <w:lang w:val="en-US" w:eastAsia="zh-CN"/>
                    </w:rPr>
                    <w:t>进行净化处理</w:t>
                  </w:r>
                </w:p>
              </w:tc>
              <w:tc>
                <w:tcPr>
                  <w:tcW w:w="4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间断排放、流量不稳定</w:t>
                  </w: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DW001</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contextualSpacing/>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 w:val="21"/>
                      <w:szCs w:val="21"/>
                      <w:vertAlign w:val="baseline"/>
                      <w:lang w:val="en-US" w:eastAsia="zh-CN"/>
                    </w:rPr>
                    <w:t>企业总排口-一般排放口</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Calibri" w:cs="Times New Roman"/>
                <w:b/>
                <w:bCs/>
                <w:color w:val="auto"/>
                <w:sz w:val="24"/>
                <w:highlight w:val="none"/>
                <w:lang w:eastAsia="zh-CN"/>
              </w:rPr>
            </w:pPr>
            <w:r>
              <w:rPr>
                <w:rFonts w:hint="default" w:ascii="Times New Roman" w:hAnsi="Times New Roman" w:eastAsia="宋体" w:cs="Times New Roman"/>
                <w:b/>
                <w:bCs/>
                <w:color w:val="auto"/>
                <w:sz w:val="24"/>
                <w:highlight w:val="none"/>
                <w:lang w:val="en-US" w:eastAsia="zh-CN"/>
              </w:rPr>
              <w:t>1.5废</w:t>
            </w:r>
            <w:r>
              <w:rPr>
                <w:rFonts w:hint="default" w:ascii="Times New Roman" w:hAnsi="Times New Roman" w:eastAsia="宋体" w:cs="Times New Roman"/>
                <w:b/>
                <w:bCs/>
                <w:color w:val="auto"/>
                <w:sz w:val="24"/>
                <w:highlight w:val="none"/>
                <w:lang w:eastAsia="zh-CN"/>
              </w:rPr>
              <w:t>水例行监测要求</w:t>
            </w:r>
          </w:p>
          <w:p>
            <w:pPr>
              <w:adjustRightInd w:val="0"/>
              <w:snapToGri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根据《排污许可证申请与核发技术规范 医疗机构》（HJ1105-2020），本项目废水例行监测计划详见表4-5。</w:t>
            </w:r>
          </w:p>
          <w:p>
            <w:pPr>
              <w:pStyle w:val="36"/>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表4-5 废水监测计划</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373"/>
              <w:gridCol w:w="3188"/>
              <w:gridCol w:w="1299"/>
              <w:gridCol w:w="1577"/>
              <w:gridCol w:w="8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类别</w:t>
                  </w:r>
                </w:p>
              </w:tc>
              <w:tc>
                <w:tcPr>
                  <w:tcW w:w="75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监测点位</w:t>
                  </w:r>
                </w:p>
              </w:tc>
              <w:tc>
                <w:tcPr>
                  <w:tcW w:w="175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监测指标</w:t>
                  </w:r>
                </w:p>
              </w:tc>
              <w:tc>
                <w:tcPr>
                  <w:tcW w:w="71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监测频次</w:t>
                  </w:r>
                </w:p>
              </w:tc>
              <w:tc>
                <w:tcPr>
                  <w:tcW w:w="86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排放标准</w:t>
                  </w:r>
                </w:p>
              </w:tc>
              <w:tc>
                <w:tcPr>
                  <w:tcW w:w="48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废水</w:t>
                  </w:r>
                </w:p>
              </w:tc>
              <w:tc>
                <w:tcPr>
                  <w:tcW w:w="757"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DW001</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企业总排口</w:t>
                  </w:r>
                </w:p>
              </w:tc>
              <w:tc>
                <w:tcPr>
                  <w:tcW w:w="175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流量</w:t>
                  </w:r>
                </w:p>
              </w:tc>
              <w:tc>
                <w:tcPr>
                  <w:tcW w:w="71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自动监测</w:t>
                  </w:r>
                </w:p>
              </w:tc>
              <w:tc>
                <w:tcPr>
                  <w:tcW w:w="869"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《医疗机构水污染物排放标准》（GB18466</w:t>
                  </w:r>
                  <w:r>
                    <w:rPr>
                      <w:rFonts w:hint="eastAsia" w:ascii="Times New Roman" w:hAnsi="Times New Roman"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2005）表2预处理标准</w:t>
                  </w:r>
                </w:p>
              </w:tc>
              <w:tc>
                <w:tcPr>
                  <w:tcW w:w="487"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流量监测设置流量计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57"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757" w:type="pct"/>
                  <w:tcBorders>
                    <w:tl2br w:val="nil"/>
                    <w:tr2bl w:val="nil"/>
                  </w:tcBorders>
                  <w:noWrap w:val="0"/>
                  <w:vAlign w:val="center"/>
                </w:tcPr>
                <w:p>
                  <w:pPr>
                    <w:adjustRightInd w:val="0"/>
                    <w:snapToGrid w:val="0"/>
                    <w:spacing w:line="240" w:lineRule="exact"/>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pH</w:t>
                  </w:r>
                </w:p>
              </w:tc>
              <w:tc>
                <w:tcPr>
                  <w:tcW w:w="71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1次/12小时</w:t>
                  </w:r>
                </w:p>
              </w:tc>
              <w:tc>
                <w:tcPr>
                  <w:tcW w:w="869" w:type="pct"/>
                  <w:vMerge w:val="continue"/>
                  <w:tcBorders>
                    <w:tl2br w:val="nil"/>
                    <w:tr2bl w:val="nil"/>
                  </w:tcBorders>
                  <w:noWrap w:val="0"/>
                  <w:vAlign w:val="center"/>
                </w:tcPr>
                <w:p>
                  <w:pPr>
                    <w:pStyle w:val="36"/>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487"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57"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757" w:type="pct"/>
                  <w:tcBorders>
                    <w:tl2br w:val="nil"/>
                    <w:tr2bl w:val="nil"/>
                  </w:tcBorders>
                  <w:noWrap w:val="0"/>
                  <w:vAlign w:val="center"/>
                </w:tcPr>
                <w:p>
                  <w:pPr>
                    <w:adjustRightInd w:val="0"/>
                    <w:snapToGrid w:val="0"/>
                    <w:spacing w:line="240" w:lineRule="exact"/>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COD</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rPr>
                    <w:t>SS</w:t>
                  </w:r>
                </w:p>
              </w:tc>
              <w:tc>
                <w:tcPr>
                  <w:tcW w:w="71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1次/周</w:t>
                  </w:r>
                </w:p>
              </w:tc>
              <w:tc>
                <w:tcPr>
                  <w:tcW w:w="869" w:type="pct"/>
                  <w:vMerge w:val="continue"/>
                  <w:tcBorders>
                    <w:tl2br w:val="nil"/>
                    <w:tr2bl w:val="nil"/>
                  </w:tcBorders>
                  <w:noWrap w:val="0"/>
                  <w:vAlign w:val="center"/>
                </w:tcPr>
                <w:p>
                  <w:pPr>
                    <w:pStyle w:val="36"/>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487"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57"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757" w:type="pct"/>
                  <w:tcBorders>
                    <w:tl2br w:val="nil"/>
                    <w:tr2bl w:val="nil"/>
                  </w:tcBorders>
                  <w:noWrap w:val="0"/>
                  <w:vAlign w:val="center"/>
                </w:tcPr>
                <w:p>
                  <w:pPr>
                    <w:adjustRightInd w:val="0"/>
                    <w:snapToGrid w:val="0"/>
                    <w:spacing w:line="240" w:lineRule="exact"/>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粪大肠菌群</w:t>
                  </w:r>
                </w:p>
              </w:tc>
              <w:tc>
                <w:tcPr>
                  <w:tcW w:w="71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1次/月</w:t>
                  </w:r>
                </w:p>
              </w:tc>
              <w:tc>
                <w:tcPr>
                  <w:tcW w:w="869" w:type="pct"/>
                  <w:vMerge w:val="continue"/>
                  <w:tcBorders>
                    <w:tl2br w:val="nil"/>
                    <w:tr2bl w:val="nil"/>
                  </w:tcBorders>
                  <w:noWrap w:val="0"/>
                  <w:vAlign w:val="center"/>
                </w:tcPr>
                <w:p>
                  <w:pPr>
                    <w:pStyle w:val="36"/>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487"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57"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7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BOD</w:t>
                  </w:r>
                  <w:r>
                    <w:rPr>
                      <w:rFonts w:hint="default" w:ascii="Times New Roman" w:hAnsi="Times New Roman" w:eastAsia="宋体" w:cs="Times New Roman"/>
                      <w:bCs/>
                      <w:color w:val="auto"/>
                      <w:sz w:val="21"/>
                      <w:szCs w:val="21"/>
                      <w:vertAlign w:val="subscript"/>
                    </w:rPr>
                    <w:t>5</w:t>
                  </w:r>
                  <w:r>
                    <w:rPr>
                      <w:rFonts w:hint="default" w:ascii="Times New Roman" w:hAnsi="Times New Roman" w:eastAsia="宋体" w:cs="Times New Roman"/>
                      <w:bCs/>
                      <w:color w:val="auto"/>
                      <w:kern w:val="2"/>
                      <w:sz w:val="21"/>
                      <w:szCs w:val="21"/>
                      <w:lang w:val="en-US" w:eastAsia="zh-CN" w:bidi="ar-SA"/>
                    </w:rPr>
                    <w:t>、</w:t>
                  </w:r>
                  <w:r>
                    <w:rPr>
                      <w:rFonts w:hint="default" w:ascii="Times New Roman" w:hAnsi="Times New Roman" w:eastAsia="宋体" w:cs="Times New Roman"/>
                      <w:bCs/>
                      <w:color w:val="auto"/>
                      <w:sz w:val="21"/>
                      <w:szCs w:val="21"/>
                    </w:rPr>
                    <w:t>动植物油</w:t>
                  </w:r>
                  <w:r>
                    <w:rPr>
                      <w:rFonts w:hint="default" w:ascii="Times New Roman" w:hAnsi="Times New Roman" w:eastAsia="宋体" w:cs="Times New Roman"/>
                      <w:bCs/>
                      <w:color w:val="auto"/>
                      <w:sz w:val="21"/>
                      <w:szCs w:val="21"/>
                      <w:lang w:eastAsia="zh-CN"/>
                    </w:rPr>
                    <w:t>、阴离子表面活性剂</w:t>
                  </w:r>
                  <w:r>
                    <w:rPr>
                      <w:rFonts w:hint="default" w:ascii="Times New Roman" w:hAnsi="Times New Roman" w:eastAsia="宋体" w:cs="Times New Roman"/>
                      <w:bCs/>
                      <w:color w:val="auto"/>
                      <w:kern w:val="2"/>
                      <w:sz w:val="21"/>
                      <w:szCs w:val="21"/>
                      <w:lang w:val="en-US" w:eastAsia="zh-CN" w:bidi="ar-SA"/>
                    </w:rPr>
                    <w:t>、</w:t>
                  </w:r>
                  <w:r>
                    <w:rPr>
                      <w:rFonts w:hint="default" w:ascii="Times New Roman" w:hAnsi="Times New Roman" w:eastAsia="宋体" w:cs="Times New Roman"/>
                      <w:bCs/>
                      <w:color w:val="auto"/>
                      <w:sz w:val="21"/>
                      <w:szCs w:val="21"/>
                    </w:rPr>
                    <w:t>总余氯</w:t>
                  </w:r>
                </w:p>
              </w:tc>
              <w:tc>
                <w:tcPr>
                  <w:tcW w:w="71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1次/季度</w:t>
                  </w:r>
                </w:p>
              </w:tc>
              <w:tc>
                <w:tcPr>
                  <w:tcW w:w="869" w:type="pct"/>
                  <w:vMerge w:val="continue"/>
                  <w:tcBorders>
                    <w:tl2br w:val="nil"/>
                    <w:tr2bl w:val="nil"/>
                  </w:tcBorders>
                  <w:noWrap w:val="0"/>
                  <w:vAlign w:val="center"/>
                </w:tcPr>
                <w:p>
                  <w:pPr>
                    <w:pStyle w:val="36"/>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487"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bl>
          <w:p>
            <w:pPr>
              <w:pStyle w:val="4"/>
              <w:pageBreakBefore w:val="0"/>
              <w:widowControl w:val="0"/>
              <w:kinsoku/>
              <w:wordWrap/>
              <w:overflowPunct/>
              <w:topLinePunct w:val="0"/>
              <w:autoSpaceDE/>
              <w:autoSpaceDN/>
              <w:bidi w:val="0"/>
              <w:spacing w:before="0" w:after="0"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2废气</w:t>
            </w:r>
          </w:p>
          <w:p>
            <w:pPr>
              <w:adjustRightInd w:val="0"/>
              <w:snapToGri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本项目运营过程中产生的废气主要包括污水处理站废气、</w:t>
            </w:r>
            <w:r>
              <w:rPr>
                <w:rFonts w:hint="eastAsia" w:ascii="Times New Roman" w:hAnsi="Times New Roman" w:cs="Times New Roman"/>
                <w:color w:val="auto"/>
                <w:kern w:val="2"/>
                <w:sz w:val="24"/>
                <w:szCs w:val="24"/>
                <w:lang w:val="en-US" w:eastAsia="zh-CN" w:bidi="ar-SA"/>
              </w:rPr>
              <w:t>备用发电机废气、</w:t>
            </w:r>
            <w:r>
              <w:rPr>
                <w:rFonts w:hint="default" w:ascii="Times New Roman" w:hAnsi="Times New Roman" w:eastAsia="宋体" w:cs="Times New Roman"/>
                <w:color w:val="auto"/>
                <w:kern w:val="2"/>
                <w:sz w:val="24"/>
                <w:szCs w:val="24"/>
                <w:lang w:val="en-US" w:eastAsia="zh-CN" w:bidi="ar-SA"/>
              </w:rPr>
              <w:t>医疗废物暂存间废气</w:t>
            </w:r>
            <w:r>
              <w:rPr>
                <w:rFonts w:hint="eastAsia"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kern w:val="2"/>
                <w:sz w:val="24"/>
                <w:szCs w:val="24"/>
                <w:lang w:val="en-US" w:eastAsia="zh-CN" w:bidi="ar-SA"/>
              </w:rPr>
              <w:t>化验室</w:t>
            </w:r>
            <w:r>
              <w:rPr>
                <w:rFonts w:hint="eastAsia" w:ascii="Times New Roman" w:hAnsi="Times New Roman" w:eastAsia="宋体" w:cs="Times New Roman"/>
                <w:color w:val="auto"/>
                <w:kern w:val="2"/>
                <w:sz w:val="24"/>
                <w:szCs w:val="24"/>
                <w:lang w:val="en-US" w:eastAsia="zh-CN" w:bidi="ar-SA"/>
              </w:rPr>
              <w:t>废气</w:t>
            </w:r>
            <w:r>
              <w:rPr>
                <w:rFonts w:hint="default" w:ascii="Times New Roman" w:hAnsi="Times New Roman" w:eastAsia="宋体" w:cs="Times New Roman"/>
                <w:color w:val="auto"/>
                <w:kern w:val="2"/>
                <w:sz w:val="24"/>
                <w:szCs w:val="24"/>
                <w:lang w:val="en-US" w:eastAsia="zh-CN" w:bidi="ar-SA"/>
              </w:rPr>
              <w:t>等。</w:t>
            </w:r>
          </w:p>
          <w:p>
            <w:pPr>
              <w:adjustRightInd w:val="0"/>
              <w:snapToGrid w:val="0"/>
              <w:spacing w:line="360" w:lineRule="auto"/>
              <w:ind w:firstLine="482" w:firstLineChars="200"/>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2.1废气源强及产排情况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①</w:t>
            </w:r>
            <w:r>
              <w:rPr>
                <w:rFonts w:hint="default" w:ascii="Times New Roman" w:hAnsi="Times New Roman" w:eastAsia="宋体" w:cs="Times New Roman"/>
                <w:color w:val="auto"/>
                <w:sz w:val="24"/>
                <w:szCs w:val="24"/>
                <w:lang w:val="en-US" w:eastAsia="zh-CN"/>
              </w:rPr>
              <w:t>污水处理设施废气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医院</w:t>
            </w:r>
            <w:r>
              <w:rPr>
                <w:rFonts w:hint="default" w:ascii="Times New Roman" w:hAnsi="Times New Roman" w:eastAsia="宋体" w:cs="Times New Roman"/>
                <w:color w:val="auto"/>
                <w:sz w:val="24"/>
                <w:szCs w:val="24"/>
                <w:highlight w:val="none"/>
                <w:lang w:val="en-US" w:eastAsia="zh-CN"/>
              </w:rPr>
              <w:t>综合楼</w:t>
            </w:r>
            <w:r>
              <w:rPr>
                <w:rFonts w:hint="eastAsia" w:ascii="Times New Roman" w:hAnsi="Times New Roman" w:cs="Times New Roman"/>
                <w:color w:val="auto"/>
                <w:sz w:val="24"/>
                <w:szCs w:val="24"/>
                <w:highlight w:val="none"/>
                <w:lang w:val="en-US" w:eastAsia="zh-CN"/>
              </w:rPr>
              <w:t>南</w:t>
            </w:r>
            <w:r>
              <w:rPr>
                <w:rFonts w:hint="default" w:ascii="Times New Roman" w:hAnsi="Times New Roman" w:eastAsia="宋体" w:cs="Times New Roman"/>
                <w:color w:val="auto"/>
                <w:sz w:val="24"/>
                <w:szCs w:val="24"/>
                <w:highlight w:val="none"/>
                <w:lang w:val="en-US" w:eastAsia="zh-CN"/>
              </w:rPr>
              <w:t>侧设置一座处理规模为30m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/d的一体化污水处理设施，采用</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一级强化</w:t>
            </w:r>
            <w:r>
              <w:rPr>
                <w:rFonts w:hint="default" w:ascii="Times New Roman" w:hAnsi="Times New Roman" w:cs="Times New Roman"/>
                <w:color w:val="auto"/>
                <w:sz w:val="24"/>
                <w:szCs w:val="24"/>
                <w:highlight w:val="none"/>
                <w:lang w:val="en-US" w:eastAsia="zh-CN"/>
              </w:rPr>
              <w:t>+消毒（二氧化氯）</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工艺，该污水处理站在运行过程中会产生恶臭气体，主要污染物为氨、硫化氢等。参考美国EPA对城市污水处理厂恶臭污染物产生情况的研究，每处理1gBOD</w:t>
            </w:r>
            <w:r>
              <w:rPr>
                <w:rFonts w:hint="default" w:ascii="Times New Roman" w:hAnsi="Times New Roman" w:eastAsia="宋体" w:cs="Times New Roman"/>
                <w:color w:val="auto"/>
                <w:sz w:val="24"/>
                <w:szCs w:val="24"/>
                <w:highlight w:val="none"/>
                <w:vertAlign w:val="subscript"/>
                <w:lang w:val="en-US" w:eastAsia="zh-CN"/>
              </w:rPr>
              <w:t>5</w:t>
            </w:r>
            <w:r>
              <w:rPr>
                <w:rFonts w:hint="default" w:ascii="Times New Roman" w:hAnsi="Times New Roman" w:eastAsia="宋体" w:cs="Times New Roman"/>
                <w:color w:val="auto"/>
                <w:sz w:val="24"/>
                <w:szCs w:val="24"/>
                <w:highlight w:val="none"/>
                <w:lang w:val="en-US" w:eastAsia="zh-CN"/>
              </w:rPr>
              <w:t>可产生0.0031g的NH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和0.00012g的H</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S。本项目建成后新增废水约</w:t>
            </w:r>
            <w:r>
              <w:rPr>
                <w:rFonts w:hint="eastAsia" w:ascii="Times New Roman" w:hAnsi="Times New Roman" w:cs="Times New Roman"/>
                <w:color w:val="auto"/>
                <w:sz w:val="24"/>
                <w:szCs w:val="24"/>
                <w:highlight w:val="none"/>
                <w:lang w:val="en-US" w:eastAsia="zh-CN"/>
              </w:rPr>
              <w:t>9024.26</w:t>
            </w:r>
            <w:r>
              <w:rPr>
                <w:rFonts w:hint="default" w:ascii="Times New Roman" w:hAnsi="Times New Roman" w:eastAsia="宋体" w:cs="Times New Roman"/>
                <w:color w:val="auto"/>
                <w:sz w:val="24"/>
                <w:szCs w:val="24"/>
                <w:highlight w:val="none"/>
                <w:lang w:val="en-US" w:eastAsia="zh-CN"/>
              </w:rPr>
              <w:t>t/a，BOD</w:t>
            </w:r>
            <w:r>
              <w:rPr>
                <w:rFonts w:hint="default" w:ascii="Times New Roman" w:hAnsi="Times New Roman" w:eastAsia="宋体" w:cs="Times New Roman"/>
                <w:color w:val="auto"/>
                <w:sz w:val="24"/>
                <w:szCs w:val="24"/>
                <w:highlight w:val="none"/>
                <w:vertAlign w:val="subscript"/>
                <w:lang w:val="en-US" w:eastAsia="zh-CN"/>
              </w:rPr>
              <w:t>5</w:t>
            </w:r>
            <w:r>
              <w:rPr>
                <w:rFonts w:hint="default" w:ascii="Times New Roman" w:hAnsi="Times New Roman" w:eastAsia="宋体" w:cs="Times New Roman"/>
                <w:color w:val="auto"/>
                <w:sz w:val="24"/>
                <w:szCs w:val="24"/>
                <w:highlight w:val="none"/>
                <w:lang w:val="en-US" w:eastAsia="zh-CN"/>
              </w:rPr>
              <w:t>处理量为0.</w:t>
            </w:r>
            <w:r>
              <w:rPr>
                <w:rFonts w:hint="eastAsia" w:ascii="Times New Roman" w:hAnsi="Times New Roman" w:cs="Times New Roman"/>
                <w:color w:val="auto"/>
                <w:sz w:val="24"/>
                <w:szCs w:val="24"/>
                <w:highlight w:val="none"/>
                <w:lang w:val="en-US" w:eastAsia="zh-CN"/>
              </w:rPr>
              <w:t>813</w:t>
            </w:r>
            <w:r>
              <w:rPr>
                <w:rFonts w:hint="default" w:ascii="Times New Roman" w:hAnsi="Times New Roman" w:eastAsia="宋体" w:cs="Times New Roman"/>
                <w:color w:val="auto"/>
                <w:sz w:val="24"/>
                <w:szCs w:val="24"/>
                <w:highlight w:val="none"/>
                <w:lang w:val="en-US" w:eastAsia="zh-CN"/>
              </w:rPr>
              <w:t>t/a，则NH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S的产生量分别为0.00</w:t>
            </w:r>
            <w:r>
              <w:rPr>
                <w:rFonts w:hint="eastAsia" w:ascii="Times New Roman" w:hAnsi="Times New Roman"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lang w:val="en-US" w:eastAsia="zh-CN"/>
              </w:rPr>
              <w:t>t/a、0.000</w:t>
            </w:r>
            <w:r>
              <w:rPr>
                <w:rFonts w:hint="eastAsia" w:ascii="Times New Roman" w:hAnsi="Times New Roman" w:cs="Times New Roman"/>
                <w:color w:val="auto"/>
                <w:sz w:val="24"/>
                <w:szCs w:val="24"/>
                <w:highlight w:val="none"/>
                <w:lang w:val="en-US" w:eastAsia="zh-CN"/>
              </w:rPr>
              <w:t>098</w:t>
            </w:r>
            <w:r>
              <w:rPr>
                <w:rFonts w:hint="default" w:ascii="Times New Roman" w:hAnsi="Times New Roman" w:eastAsia="宋体" w:cs="Times New Roman"/>
                <w:color w:val="auto"/>
                <w:sz w:val="24"/>
                <w:szCs w:val="24"/>
                <w:highlight w:val="none"/>
                <w:lang w:val="en-US" w:eastAsia="zh-CN"/>
              </w:rPr>
              <w:t>t/a，排放速率分别为0.000</w:t>
            </w:r>
            <w:r>
              <w:rPr>
                <w:rFonts w:hint="eastAsia" w:ascii="Times New Roman" w:hAnsi="Times New Roman" w:cs="Times New Roman"/>
                <w:color w:val="auto"/>
                <w:sz w:val="24"/>
                <w:szCs w:val="24"/>
                <w:highlight w:val="none"/>
                <w:lang w:val="en-US" w:eastAsia="zh-CN"/>
              </w:rPr>
              <w:t>28</w:t>
            </w:r>
            <w:r>
              <w:rPr>
                <w:rFonts w:hint="default" w:ascii="Times New Roman" w:hAnsi="Times New Roman" w:eastAsia="宋体" w:cs="Times New Roman"/>
                <w:color w:val="auto"/>
                <w:sz w:val="24"/>
                <w:szCs w:val="24"/>
                <w:highlight w:val="none"/>
                <w:lang w:val="en-US" w:eastAsia="zh-CN"/>
              </w:rPr>
              <w:t>kg/h、0.00</w:t>
            </w:r>
            <w:r>
              <w:rPr>
                <w:rFonts w:hint="eastAsia" w:ascii="Times New Roman" w:hAnsi="Times New Roman"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01</w:t>
            </w:r>
            <w:r>
              <w:rPr>
                <w:rFonts w:hint="eastAsia" w:ascii="Times New Roman" w:hAnsi="Times New Roman"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kg/h。能够满足《医疗机构水污染物排放标准》（GB18466-2005）表3中规定的“污水处理站周边大气污染物最高允许浓度”限值要求。环评建议运行期加强污水处理站的维护与保养，确保其正常运行，做好密闭，及时清理污泥、定期喷洒除臭剂等。在采取以上措施后，运营期废气对周围环境污染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w:t>
            </w:r>
            <w:r>
              <w:rPr>
                <w:rFonts w:hint="eastAsia" w:ascii="Times New Roman" w:hAnsi="Times New Roman" w:cs="Times New Roman"/>
                <w:color w:val="auto"/>
                <w:sz w:val="24"/>
                <w:szCs w:val="24"/>
                <w:lang w:val="en-US" w:eastAsia="zh-CN"/>
              </w:rPr>
              <w:t>备用发电机废气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建设单位在</w:t>
            </w:r>
            <w:r>
              <w:rPr>
                <w:rFonts w:hint="eastAsia" w:ascii="Times New Roman" w:hAnsi="Times New Roman" w:cs="Times New Roman"/>
                <w:color w:val="auto"/>
                <w:sz w:val="24"/>
                <w:szCs w:val="24"/>
                <w:highlight w:val="none"/>
                <w:lang w:val="en-US" w:eastAsia="zh-CN"/>
              </w:rPr>
              <w:t>综合楼地下一层备用</w:t>
            </w:r>
            <w:r>
              <w:rPr>
                <w:rFonts w:hint="default" w:ascii="Times New Roman" w:hAnsi="Times New Roman" w:eastAsia="宋体" w:cs="Times New Roman"/>
                <w:color w:val="auto"/>
                <w:sz w:val="24"/>
                <w:szCs w:val="24"/>
                <w:highlight w:val="none"/>
                <w:lang w:val="en-US" w:eastAsia="zh-CN"/>
              </w:rPr>
              <w:t>发电机房安装1台</w:t>
            </w:r>
            <w:r>
              <w:rPr>
                <w:rFonts w:hint="eastAsia" w:ascii="Times New Roman" w:hAnsi="Times New Roman"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cs="Times New Roman"/>
                <w:color w:val="auto"/>
                <w:sz w:val="24"/>
                <w:szCs w:val="24"/>
                <w:highlight w:val="none"/>
                <w:lang w:val="en-US" w:eastAsia="zh-CN"/>
              </w:rPr>
              <w:t>k</w:t>
            </w:r>
            <w:r>
              <w:rPr>
                <w:rFonts w:hint="default" w:ascii="Times New Roman" w:hAnsi="Times New Roman" w:eastAsia="宋体" w:cs="Times New Roman"/>
                <w:color w:val="auto"/>
                <w:sz w:val="24"/>
                <w:szCs w:val="24"/>
                <w:highlight w:val="none"/>
                <w:lang w:val="en-US" w:eastAsia="zh-CN"/>
              </w:rPr>
              <w:t>W的柴油发电机组作为备用电源，作为备用应急电源发电，使用轻质柴油作为燃料。发电机一般情况下不运行，仅在停电时短时间启动，年运行时间约15h。同时为维持发电机正常状态，每三个月需启</w:t>
            </w:r>
            <w:r>
              <w:rPr>
                <w:rFonts w:hint="default" w:ascii="Times New Roman" w:hAnsi="Times New Roman" w:eastAsia="宋体" w:cs="Times New Roman"/>
                <w:color w:val="auto"/>
                <w:sz w:val="24"/>
                <w:szCs w:val="24"/>
                <w:lang w:val="en-US" w:eastAsia="zh-CN"/>
              </w:rPr>
              <w:t>动及维护一次，每次时间不超1小时。综上，本项目发电机年运行时间合计约19h。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同时评价建议项目使</w:t>
            </w:r>
            <w:r>
              <w:rPr>
                <w:rFonts w:hint="default" w:ascii="Times New Roman" w:hAnsi="Times New Roman" w:eastAsia="宋体" w:cs="Times New Roman"/>
                <w:color w:val="auto"/>
                <w:sz w:val="24"/>
                <w:szCs w:val="24"/>
                <w:lang w:val="en-US" w:eastAsia="zh-CN"/>
              </w:rPr>
              <w:t>用0</w:t>
            </w:r>
            <w:r>
              <w:rPr>
                <w:rFonts w:hint="eastAsia" w:ascii="Times New Roman" w:hAnsi="Times New Roman"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柴油（含硫率≤2%），根据环评工程师注册培训教材《社会区域》给出的计算参数，发电机单位耗油量为212.5g/kw·h，由此推算本项目备用发电机总耗油量为</w:t>
            </w:r>
            <w:r>
              <w:rPr>
                <w:rFonts w:hint="eastAsia" w:ascii="Times New Roman" w:hAnsi="Times New Roman" w:cs="Times New Roman"/>
                <w:color w:val="auto"/>
                <w:sz w:val="24"/>
                <w:szCs w:val="24"/>
                <w:lang w:val="en-US" w:eastAsia="zh-CN"/>
              </w:rPr>
              <w:t>0.404</w:t>
            </w:r>
            <w:r>
              <w:rPr>
                <w:rFonts w:hint="eastAsia" w:ascii="Times New Roman" w:hAnsi="Times New Roman" w:eastAsia="宋体" w:cs="Times New Roman"/>
                <w:color w:val="auto"/>
                <w:sz w:val="24"/>
                <w:szCs w:val="24"/>
                <w:lang w:val="en-US" w:eastAsia="zh-CN"/>
              </w:rPr>
              <w:t>t/a，（柴油的密度一般在0.83kg/L～0.85kg/L之间，本次取0.84kg/L），故本项目发电机年耗油量共计</w:t>
            </w:r>
            <w:r>
              <w:rPr>
                <w:rFonts w:hint="eastAsia" w:ascii="Times New Roman" w:hAnsi="Times New Roman" w:cs="Times New Roman"/>
                <w:color w:val="auto"/>
                <w:sz w:val="24"/>
                <w:szCs w:val="24"/>
                <w:lang w:val="en-US" w:eastAsia="zh-CN"/>
              </w:rPr>
              <w:t>480.952</w:t>
            </w:r>
            <w:r>
              <w:rPr>
                <w:rFonts w:hint="eastAsia" w:ascii="Times New Roman" w:hAnsi="Times New Roman" w:eastAsia="宋体" w:cs="Times New Roman"/>
                <w:color w:val="auto"/>
                <w:sz w:val="24"/>
                <w:szCs w:val="24"/>
                <w:lang w:val="en-US" w:eastAsia="zh-CN"/>
              </w:rPr>
              <w:t>L。</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根据《大气污染工程师手册》，当空气过剩系数为1时，1kg柴油产生的烟气量约为11Nm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。一般柴油发电机空气过剩系数为1.8，发电机每燃烧1kg柴油产生的烟气量为11×1.8=19.8Nm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，则项目发电机产生废气总量为</w:t>
            </w:r>
            <w:r>
              <w:rPr>
                <w:rFonts w:hint="eastAsia" w:ascii="Times New Roman" w:hAnsi="Times New Roman" w:cs="Times New Roman"/>
                <w:color w:val="auto"/>
                <w:sz w:val="24"/>
                <w:szCs w:val="24"/>
                <w:lang w:val="en-US" w:eastAsia="zh-CN"/>
              </w:rPr>
              <w:t>7999.2</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/a。依据《社会区域类环境影响评价》培训教材给出的计算参数，发电机运行污染物排放系数为：SO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4g/L，烟尘0.714g/L，NO</w:t>
            </w:r>
            <w:r>
              <w:rPr>
                <w:rFonts w:hint="default"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lang w:val="en-US" w:eastAsia="zh-CN"/>
              </w:rPr>
              <w:t>2.56g/L，HC1.49g/L。</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根据以上参数计算发电机组废气污染物排放量，详见</w:t>
            </w:r>
            <w:r>
              <w:rPr>
                <w:rFonts w:hint="eastAsia" w:ascii="Times New Roman" w:hAnsi="Times New Roman" w:cs="Times New Roman"/>
                <w:color w:val="auto"/>
                <w:sz w:val="24"/>
                <w:szCs w:val="24"/>
                <w:lang w:val="en-US" w:eastAsia="zh-CN"/>
              </w:rPr>
              <w:t>下</w:t>
            </w:r>
            <w:r>
              <w:rPr>
                <w:rFonts w:hint="default" w:ascii="Times New Roman" w:hAnsi="Times New Roman" w:eastAsia="宋体" w:cs="Times New Roman"/>
                <w:color w:val="auto"/>
                <w:sz w:val="24"/>
                <w:szCs w:val="24"/>
                <w:highlight w:val="none"/>
                <w:lang w:val="en-US" w:eastAsia="zh-CN"/>
              </w:rPr>
              <w:t>表4-</w:t>
            </w:r>
            <w:r>
              <w:rPr>
                <w:rFonts w:hint="eastAsia" w:ascii="Times New Roman" w:hAnsi="Times New Roman"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w:t>
            </w:r>
          </w:p>
          <w:p>
            <w:pPr>
              <w:pStyle w:val="36"/>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表4-6   项目发电机废气产排污量</w:t>
            </w:r>
          </w:p>
          <w:tbl>
            <w:tblPr>
              <w:tblStyle w:val="28"/>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501"/>
              <w:gridCol w:w="1460"/>
              <w:gridCol w:w="1790"/>
              <w:gridCol w:w="1759"/>
              <w:gridCol w:w="15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26" w:type="dxa"/>
                  <w:tcBorders>
                    <w:tl2br w:val="nil"/>
                    <w:tr2bl w:val="nil"/>
                  </w:tcBorders>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项目</w:t>
                  </w:r>
                </w:p>
              </w:tc>
              <w:tc>
                <w:tcPr>
                  <w:tcW w:w="1338" w:type="dxa"/>
                  <w:tcBorders>
                    <w:tl2br w:val="nil"/>
                    <w:tr2bl w:val="nil"/>
                  </w:tcBorders>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废气量</w:t>
                  </w:r>
                </w:p>
              </w:tc>
              <w:tc>
                <w:tcPr>
                  <w:tcW w:w="1301" w:type="dxa"/>
                  <w:tcBorders>
                    <w:tl2br w:val="nil"/>
                    <w:tr2bl w:val="nil"/>
                  </w:tcBorders>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污染物</w:t>
                  </w:r>
                </w:p>
              </w:tc>
              <w:tc>
                <w:tcPr>
                  <w:tcW w:w="1596" w:type="dxa"/>
                  <w:tcBorders>
                    <w:tl2br w:val="nil"/>
                    <w:tr2bl w:val="nil"/>
                  </w:tcBorders>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排放浓度</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1568" w:type="dxa"/>
                  <w:tcBorders>
                    <w:tl2br w:val="nil"/>
                    <w:tr2bl w:val="nil"/>
                  </w:tcBorders>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排放速率</w:t>
                  </w:r>
                  <w:r>
                    <w:rPr>
                      <w:rFonts w:hint="default" w:ascii="Times New Roman" w:hAnsi="Times New Roman" w:cs="Times New Roman"/>
                      <w:sz w:val="21"/>
                      <w:szCs w:val="21"/>
                      <w:highlight w:val="none"/>
                      <w:lang w:val="en-US" w:eastAsia="zh-CN"/>
                    </w:rPr>
                    <w:t>kg/h</w:t>
                  </w:r>
                </w:p>
              </w:tc>
              <w:tc>
                <w:tcPr>
                  <w:tcW w:w="1346" w:type="dxa"/>
                  <w:tcBorders>
                    <w:tl2br w:val="nil"/>
                    <w:tr2bl w:val="nil"/>
                  </w:tcBorders>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restart"/>
                  <w:tcBorders>
                    <w:tl2br w:val="nil"/>
                    <w:tr2bl w:val="nil"/>
                  </w:tcBorders>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备用发电机烟气</w:t>
                  </w:r>
                </w:p>
              </w:tc>
              <w:tc>
                <w:tcPr>
                  <w:tcW w:w="1338" w:type="dxa"/>
                  <w:vMerge w:val="restart"/>
                  <w:tcBorders>
                    <w:tl2br w:val="nil"/>
                    <w:tr2bl w:val="nil"/>
                  </w:tcBorders>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7999.2</w:t>
                  </w:r>
                  <w:r>
                    <w:rPr>
                      <w:rFonts w:hint="default" w:ascii="Times New Roman" w:hAnsi="Times New Roman" w:cs="Times New Roman"/>
                      <w:sz w:val="21"/>
                      <w:szCs w:val="21"/>
                      <w:lang w:val="en-US" w:eastAsia="zh-CN"/>
                    </w:rPr>
                    <w:t>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/a</w:t>
                  </w:r>
                </w:p>
              </w:tc>
              <w:tc>
                <w:tcPr>
                  <w:tcW w:w="13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颗粒物</w:t>
                  </w:r>
                </w:p>
              </w:tc>
              <w:tc>
                <w:tcPr>
                  <w:tcW w:w="15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2.26 </w:t>
                  </w:r>
                </w:p>
              </w:tc>
              <w:tc>
                <w:tcPr>
                  <w:tcW w:w="15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18</w:t>
                  </w:r>
                </w:p>
              </w:tc>
              <w:tc>
                <w:tcPr>
                  <w:tcW w:w="134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034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continue"/>
                  <w:tcBorders>
                    <w:tl2br w:val="nil"/>
                    <w:tr2bl w:val="nil"/>
                  </w:tcBorders>
                  <w:noWrap w:val="0"/>
                  <w:vAlign w:val="center"/>
                </w:tcPr>
                <w:p>
                  <w:pPr>
                    <w:pStyle w:val="10"/>
                    <w:keepNext w:val="0"/>
                    <w:keepLines w:val="0"/>
                    <w:suppressLineNumbers w:val="0"/>
                    <w:spacing w:before="0" w:beforeAutospacing="0" w:after="0" w:afterAutospacing="0"/>
                    <w:ind w:left="0" w:leftChars="0" w:right="0"/>
                    <w:jc w:val="center"/>
                    <w:rPr>
                      <w:rFonts w:hint="default" w:ascii="Times New Roman" w:hAnsi="Times New Roman" w:cs="Times New Roman"/>
                      <w:sz w:val="21"/>
                      <w:szCs w:val="21"/>
                      <w:lang w:val="en-US" w:eastAsia="zh-CN"/>
                    </w:rPr>
                  </w:pPr>
                </w:p>
              </w:tc>
              <w:tc>
                <w:tcPr>
                  <w:tcW w:w="1338" w:type="dxa"/>
                  <w:vMerge w:val="continue"/>
                  <w:tcBorders>
                    <w:tl2br w:val="nil"/>
                    <w:tr2bl w:val="nil"/>
                  </w:tcBorders>
                  <w:noWrap w:val="0"/>
                  <w:vAlign w:val="center"/>
                </w:tcPr>
                <w:p>
                  <w:pPr>
                    <w:pStyle w:val="10"/>
                    <w:keepNext w:val="0"/>
                    <w:keepLines w:val="0"/>
                    <w:suppressLineNumbers w:val="0"/>
                    <w:spacing w:before="0" w:beforeAutospacing="0" w:after="0" w:afterAutospacing="0"/>
                    <w:ind w:left="0" w:leftChars="0" w:right="0"/>
                    <w:jc w:val="left"/>
                    <w:rPr>
                      <w:rFonts w:hint="default" w:ascii="Times New Roman" w:hAnsi="Times New Roman" w:cs="Times New Roman"/>
                      <w:sz w:val="21"/>
                      <w:szCs w:val="21"/>
                      <w:lang w:val="en-US" w:eastAsia="zh-CN"/>
                    </w:rPr>
                  </w:pPr>
                </w:p>
              </w:tc>
              <w:tc>
                <w:tcPr>
                  <w:tcW w:w="1301"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SO</w:t>
                  </w:r>
                  <w:r>
                    <w:rPr>
                      <w:rFonts w:hint="default" w:ascii="Times New Roman" w:hAnsi="Times New Roman" w:cs="Times New Roman"/>
                      <w:sz w:val="21"/>
                      <w:szCs w:val="21"/>
                      <w:vertAlign w:val="subscript"/>
                      <w:lang w:val="en-US" w:eastAsia="zh-CN"/>
                    </w:rPr>
                    <w:t>2</w:t>
                  </w:r>
                </w:p>
              </w:tc>
              <w:tc>
                <w:tcPr>
                  <w:tcW w:w="15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12.66 </w:t>
                  </w:r>
                </w:p>
              </w:tc>
              <w:tc>
                <w:tcPr>
                  <w:tcW w:w="15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102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34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192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continue"/>
                  <w:tcBorders>
                    <w:tl2br w:val="nil"/>
                    <w:tr2bl w:val="nil"/>
                  </w:tcBorders>
                  <w:noWrap w:val="0"/>
                  <w:vAlign w:val="center"/>
                </w:tcPr>
                <w:p>
                  <w:pPr>
                    <w:pStyle w:val="10"/>
                    <w:keepNext w:val="0"/>
                    <w:keepLines w:val="0"/>
                    <w:suppressLineNumbers w:val="0"/>
                    <w:spacing w:before="0" w:beforeAutospacing="0" w:after="0" w:afterAutospacing="0"/>
                    <w:ind w:left="0" w:leftChars="0" w:right="0"/>
                    <w:jc w:val="center"/>
                    <w:rPr>
                      <w:rFonts w:hint="default" w:ascii="Times New Roman" w:hAnsi="Times New Roman" w:cs="Times New Roman"/>
                      <w:sz w:val="21"/>
                      <w:szCs w:val="21"/>
                      <w:lang w:val="en-US" w:eastAsia="zh-CN"/>
                    </w:rPr>
                  </w:pPr>
                </w:p>
              </w:tc>
              <w:tc>
                <w:tcPr>
                  <w:tcW w:w="1338" w:type="dxa"/>
                  <w:vMerge w:val="continue"/>
                  <w:tcBorders>
                    <w:tl2br w:val="nil"/>
                    <w:tr2bl w:val="nil"/>
                  </w:tcBorders>
                  <w:noWrap w:val="0"/>
                  <w:vAlign w:val="center"/>
                </w:tcPr>
                <w:p>
                  <w:pPr>
                    <w:pStyle w:val="10"/>
                    <w:keepNext w:val="0"/>
                    <w:keepLines w:val="0"/>
                    <w:suppressLineNumbers w:val="0"/>
                    <w:spacing w:before="0" w:beforeAutospacing="0" w:after="0" w:afterAutospacing="0"/>
                    <w:ind w:left="0" w:leftChars="0" w:right="0"/>
                    <w:jc w:val="left"/>
                    <w:rPr>
                      <w:rFonts w:hint="default" w:ascii="Times New Roman" w:hAnsi="Times New Roman" w:cs="Times New Roman"/>
                      <w:sz w:val="21"/>
                      <w:szCs w:val="21"/>
                      <w:lang w:val="en-US" w:eastAsia="zh-CN"/>
                    </w:rPr>
                  </w:pPr>
                </w:p>
              </w:tc>
              <w:tc>
                <w:tcPr>
                  <w:tcW w:w="1301"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NOx</w:t>
                  </w:r>
                </w:p>
              </w:tc>
              <w:tc>
                <w:tcPr>
                  <w:tcW w:w="15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8.10 </w:t>
                  </w:r>
                </w:p>
              </w:tc>
              <w:tc>
                <w:tcPr>
                  <w:tcW w:w="15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064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34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124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continue"/>
                  <w:tcBorders>
                    <w:tl2br w:val="nil"/>
                    <w:tr2bl w:val="nil"/>
                  </w:tcBorders>
                  <w:noWrap w:val="0"/>
                  <w:vAlign w:val="center"/>
                </w:tcPr>
                <w:p>
                  <w:pPr>
                    <w:pStyle w:val="10"/>
                    <w:keepNext w:val="0"/>
                    <w:keepLines w:val="0"/>
                    <w:suppressLineNumbers w:val="0"/>
                    <w:spacing w:before="0" w:beforeAutospacing="0" w:after="0" w:afterAutospacing="0"/>
                    <w:ind w:left="0" w:leftChars="0" w:right="0"/>
                    <w:jc w:val="center"/>
                    <w:rPr>
                      <w:rFonts w:hint="default" w:ascii="Times New Roman" w:hAnsi="Times New Roman" w:cs="Times New Roman"/>
                      <w:sz w:val="21"/>
                      <w:szCs w:val="21"/>
                      <w:lang w:val="en-US" w:eastAsia="zh-CN"/>
                    </w:rPr>
                  </w:pPr>
                </w:p>
              </w:tc>
              <w:tc>
                <w:tcPr>
                  <w:tcW w:w="1338" w:type="dxa"/>
                  <w:vMerge w:val="continue"/>
                  <w:tcBorders>
                    <w:tl2br w:val="nil"/>
                    <w:tr2bl w:val="nil"/>
                  </w:tcBorders>
                  <w:noWrap w:val="0"/>
                  <w:vAlign w:val="center"/>
                </w:tcPr>
                <w:p>
                  <w:pPr>
                    <w:pStyle w:val="10"/>
                    <w:keepNext w:val="0"/>
                    <w:keepLines w:val="0"/>
                    <w:suppressLineNumbers w:val="0"/>
                    <w:spacing w:before="0" w:beforeAutospacing="0" w:after="0" w:afterAutospacing="0"/>
                    <w:ind w:left="0" w:leftChars="0" w:right="0"/>
                    <w:jc w:val="left"/>
                    <w:rPr>
                      <w:rFonts w:hint="default" w:ascii="Times New Roman" w:hAnsi="Times New Roman" w:cs="Times New Roman"/>
                      <w:sz w:val="21"/>
                      <w:szCs w:val="21"/>
                      <w:lang w:val="en-US" w:eastAsia="zh-CN"/>
                    </w:rPr>
                  </w:pPr>
                </w:p>
              </w:tc>
              <w:tc>
                <w:tcPr>
                  <w:tcW w:w="1301" w:type="dxa"/>
                  <w:tcBorders>
                    <w:tl2br w:val="nil"/>
                    <w:tr2bl w:val="nil"/>
                  </w:tcBorders>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lang w:val="en-US" w:eastAsia="zh-CN"/>
                    </w:rPr>
                    <w:t>HC</w:t>
                  </w:r>
                </w:p>
              </w:tc>
              <w:tc>
                <w:tcPr>
                  <w:tcW w:w="15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4.72 </w:t>
                  </w:r>
                </w:p>
              </w:tc>
              <w:tc>
                <w:tcPr>
                  <w:tcW w:w="15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038</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34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072</w:t>
                  </w:r>
                </w:p>
              </w:tc>
            </w:tr>
          </w:tbl>
          <w:p>
            <w:pPr>
              <w:keepNext w:val="0"/>
              <w:keepLines w:val="0"/>
              <w:numPr>
                <w:ilvl w:val="0"/>
                <w:numId w:val="0"/>
              </w:numPr>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本项目柴油发电机设于地下室，采用自然通风与</w:t>
            </w:r>
            <w:r>
              <w:rPr>
                <w:rFonts w:hint="eastAsia" w:cs="Times New Roman"/>
                <w:color w:val="auto"/>
                <w:kern w:val="2"/>
                <w:sz w:val="24"/>
                <w:szCs w:val="24"/>
                <w:lang w:val="en-US" w:eastAsia="zh-CN" w:bidi="ar-SA"/>
              </w:rPr>
              <w:t>机械排风系统</w:t>
            </w:r>
            <w:r>
              <w:rPr>
                <w:rFonts w:hint="default" w:ascii="Times New Roman" w:hAnsi="Times New Roman" w:eastAsia="宋体" w:cs="Times New Roman"/>
                <w:color w:val="auto"/>
                <w:kern w:val="2"/>
                <w:sz w:val="24"/>
                <w:szCs w:val="24"/>
                <w:lang w:val="en-US" w:eastAsia="zh-CN" w:bidi="ar-SA"/>
              </w:rPr>
              <w:t>结合的方式交换发电机地下室空气，</w:t>
            </w:r>
            <w:r>
              <w:rPr>
                <w:rFonts w:hint="eastAsia"/>
                <w:color w:val="auto"/>
                <w:sz w:val="24"/>
                <w:szCs w:val="24"/>
                <w:highlight w:val="none"/>
                <w:lang w:val="en-US" w:eastAsia="zh-CN"/>
              </w:rPr>
              <w:t>楼外地面</w:t>
            </w:r>
            <w:r>
              <w:rPr>
                <w:rFonts w:hint="default" w:ascii="Times New Roman" w:hAnsi="Times New Roman" w:eastAsia="宋体" w:cs="Times New Roman"/>
                <w:color w:val="auto"/>
                <w:kern w:val="2"/>
                <w:sz w:val="24"/>
                <w:szCs w:val="24"/>
                <w:highlight w:val="none"/>
                <w:lang w:val="en-US" w:eastAsia="zh-CN" w:bidi="ar-SA"/>
              </w:rPr>
              <w:t>排放</w:t>
            </w:r>
            <w:r>
              <w:rPr>
                <w:rFonts w:hint="eastAsia"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③医疗废物暂存间废气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本项目医疗废物暂存间设置于</w:t>
            </w:r>
            <w:r>
              <w:rPr>
                <w:rFonts w:hint="eastAsia" w:ascii="Times New Roman" w:hAnsi="Times New Roman" w:eastAsia="宋体" w:cs="Times New Roman"/>
                <w:color w:val="auto"/>
                <w:sz w:val="24"/>
                <w:szCs w:val="24"/>
                <w:lang w:val="en-US" w:eastAsia="zh-CN"/>
              </w:rPr>
              <w:t>医院</w:t>
            </w:r>
            <w:r>
              <w:rPr>
                <w:rFonts w:hint="default" w:ascii="Times New Roman" w:hAnsi="Times New Roman" w:eastAsia="宋体" w:cs="Times New Roman"/>
                <w:color w:val="auto"/>
                <w:sz w:val="24"/>
                <w:szCs w:val="24"/>
                <w:highlight w:val="none"/>
                <w:lang w:val="en-US" w:eastAsia="zh-CN"/>
              </w:rPr>
              <w:t>综合楼</w:t>
            </w:r>
            <w:r>
              <w:rPr>
                <w:rFonts w:hint="eastAsia" w:ascii="Times New Roman" w:hAnsi="Times New Roman" w:eastAsia="宋体" w:cs="Times New Roman"/>
                <w:color w:val="auto"/>
                <w:sz w:val="24"/>
                <w:szCs w:val="24"/>
                <w:highlight w:val="none"/>
                <w:lang w:val="en-US" w:eastAsia="zh-CN"/>
              </w:rPr>
              <w:t>外部，东侧</w:t>
            </w:r>
            <w:r>
              <w:rPr>
                <w:rFonts w:hint="default" w:ascii="Times New Roman" w:hAnsi="Times New Roman" w:eastAsia="宋体" w:cs="Times New Roman"/>
                <w:color w:val="auto"/>
                <w:sz w:val="24"/>
                <w:szCs w:val="24"/>
                <w:lang w:val="en-US" w:eastAsia="zh-CN"/>
              </w:rPr>
              <w:t>，远离医疗区，且医疗废物暂存间严格按照《医疗废物管理条例》、《医疗卫生机构医疗废物管理办法》等中相关要求进行设置和管理，医疗废物经各科室收集后，盛装于专用的黄色袋内，袋口密封，并贴标签及警示标识，运至医疗废物暂存间。医疗废物暂存间密闭设置，其内医疗废物</w:t>
            </w:r>
            <w:r>
              <w:rPr>
                <w:rFonts w:hint="eastAsia" w:ascii="Times New Roman" w:hAnsi="Times New Roman" w:eastAsia="宋体" w:cs="Times New Roman"/>
                <w:color w:val="auto"/>
                <w:sz w:val="24"/>
                <w:szCs w:val="24"/>
                <w:lang w:val="en-US" w:eastAsia="zh-CN"/>
              </w:rPr>
              <w:t>定期清理</w:t>
            </w:r>
            <w:r>
              <w:rPr>
                <w:rFonts w:hint="default" w:ascii="Times New Roman" w:hAnsi="Times New Roman" w:eastAsia="宋体" w:cs="Times New Roman"/>
                <w:color w:val="auto"/>
                <w:sz w:val="24"/>
                <w:szCs w:val="24"/>
                <w:lang w:val="en-US" w:eastAsia="zh-CN"/>
              </w:rPr>
              <w:t>，且定期对医疗废物暂存间进行消毒，产生的异味气体量极少，本次评价不进行定量分析。综上所述，本项目运营过程中严格按照相关法律法规要求，规范医疗废物暂存，并做到日产日清，及时消毒，医疗废物暂存间运营过程中产生异味对周围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color w:val="auto"/>
                <w:sz w:val="24"/>
                <w:szCs w:val="24"/>
                <w:lang w:val="en-US" w:eastAsia="zh-CN"/>
              </w:rPr>
              <w:t>④</w:t>
            </w:r>
            <w:r>
              <w:rPr>
                <w:rFonts w:hint="eastAsia" w:ascii="宋体" w:hAnsi="宋体" w:cs="宋体"/>
                <w:color w:val="auto"/>
                <w:sz w:val="24"/>
                <w:szCs w:val="24"/>
                <w:lang w:val="en-US" w:eastAsia="zh-CN"/>
              </w:rPr>
              <w:t>化验室</w:t>
            </w:r>
            <w:r>
              <w:rPr>
                <w:rFonts w:hint="eastAsia" w:ascii="宋体" w:hAnsi="宋体" w:eastAsia="宋体" w:cs="宋体"/>
                <w:color w:val="auto"/>
                <w:sz w:val="24"/>
                <w:szCs w:val="24"/>
                <w:lang w:val="en-US" w:eastAsia="zh-CN"/>
              </w:rPr>
              <w:t>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医院</w:t>
            </w:r>
            <w:r>
              <w:rPr>
                <w:rFonts w:hint="eastAsia" w:ascii="宋体" w:hAnsi="宋体" w:cs="宋体"/>
                <w:color w:val="auto"/>
                <w:sz w:val="24"/>
                <w:szCs w:val="24"/>
                <w:lang w:val="en-US" w:eastAsia="zh-CN"/>
              </w:rPr>
              <w:t>化验室</w:t>
            </w:r>
            <w:r>
              <w:rPr>
                <w:rFonts w:hint="default" w:ascii="宋体" w:hAnsi="宋体" w:eastAsia="宋体" w:cs="宋体"/>
                <w:color w:val="auto"/>
                <w:sz w:val="24"/>
                <w:szCs w:val="24"/>
                <w:lang w:val="en-US" w:eastAsia="zh-CN"/>
              </w:rPr>
              <w:t>位于二层，</w:t>
            </w:r>
            <w:r>
              <w:rPr>
                <w:rFonts w:hint="eastAsia" w:ascii="宋体" w:hAnsi="宋体" w:cs="宋体"/>
                <w:color w:val="auto"/>
                <w:sz w:val="24"/>
                <w:szCs w:val="24"/>
                <w:lang w:val="en-US" w:eastAsia="zh-CN"/>
              </w:rPr>
              <w:t>化验室</w:t>
            </w:r>
            <w:r>
              <w:rPr>
                <w:rFonts w:hint="default" w:ascii="宋体" w:hAnsi="宋体" w:eastAsia="宋体" w:cs="宋体"/>
                <w:color w:val="auto"/>
                <w:sz w:val="24"/>
                <w:szCs w:val="24"/>
                <w:lang w:val="en-US" w:eastAsia="zh-CN"/>
              </w:rPr>
              <w:t>需要进行血液、体液、细菌等检验。</w:t>
            </w:r>
            <w:r>
              <w:rPr>
                <w:rFonts w:hint="eastAsia" w:ascii="宋体" w:hAnsi="宋体" w:cs="宋体"/>
                <w:color w:val="auto"/>
                <w:sz w:val="24"/>
                <w:szCs w:val="24"/>
                <w:lang w:val="en-US" w:eastAsia="zh-CN"/>
              </w:rPr>
              <w:t>化验室</w:t>
            </w:r>
            <w:r>
              <w:rPr>
                <w:rFonts w:hint="default" w:ascii="宋体" w:hAnsi="宋体" w:eastAsia="宋体" w:cs="宋体"/>
                <w:color w:val="auto"/>
                <w:sz w:val="24"/>
                <w:szCs w:val="24"/>
                <w:lang w:val="en-US" w:eastAsia="zh-CN"/>
              </w:rPr>
              <w:t>在平时工作中要使用到一些化学药品，这些药品极小部分要逸散至大气中，排放出极少量的无组织气体。本项目通过加强通风扩散，不会附近住宅区产生影响。</w:t>
            </w:r>
          </w:p>
          <w:p>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jc w:val="both"/>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val="en-US" w:eastAsia="zh-CN"/>
              </w:rPr>
              <w:t>2.2污染防治技术可行性分析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本项目运营过程中产生的各类废气污染物通过采取相应的污染防治措施，能够满足相应的标准限值要求，同时，根据《排污许可证申请与核发技术规范  医疗机构》（HJ1105-2020），项目所采用的废气污染治理措施均为其规定的可行技术。综上所述，本项目采取的各废气污染防治措施可行，且能够有效减轻项目运营过程中产生的各大气污染物对周围环境的污染影响。</w:t>
            </w:r>
          </w:p>
          <w:p>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jc w:val="both"/>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val="en-US" w:eastAsia="zh-CN"/>
              </w:rPr>
              <w:t>2.3废气例行监测要求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根据《排污许可证申请与核发技术规范  医疗机构》（HJ1105-2020），本项目废气例行监测计划详见表4-</w:t>
            </w:r>
            <w:r>
              <w:rPr>
                <w:rFonts w:hint="eastAsia"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p>
          <w:p>
            <w:pPr>
              <w:pStyle w:val="36"/>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表4-</w:t>
            </w:r>
            <w:r>
              <w:rPr>
                <w:rFonts w:hint="eastAsia" w:ascii="Times New Roman" w:hAnsi="Times New Roman" w:cs="Times New Roman"/>
                <w:b/>
                <w:bCs/>
                <w:color w:val="auto"/>
                <w:sz w:val="24"/>
                <w:szCs w:val="24"/>
                <w:lang w:val="en-US" w:eastAsia="zh-CN"/>
              </w:rPr>
              <w:t xml:space="preserve">7 </w:t>
            </w:r>
            <w:r>
              <w:rPr>
                <w:rFonts w:hint="default" w:ascii="Times New Roman" w:hAnsi="Times New Roman" w:cs="Times New Roman"/>
                <w:b/>
                <w:bCs/>
                <w:color w:val="auto"/>
                <w:sz w:val="24"/>
                <w:szCs w:val="24"/>
                <w:lang w:val="en-US" w:eastAsia="zh-CN"/>
              </w:rPr>
              <w:t xml:space="preserve"> 废气监测计划</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360"/>
              <w:gridCol w:w="2544"/>
              <w:gridCol w:w="1123"/>
              <w:gridCol w:w="27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4"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排放形式</w:t>
                  </w:r>
                </w:p>
              </w:tc>
              <w:tc>
                <w:tcPr>
                  <w:tcW w:w="750"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监测点位</w:t>
                  </w:r>
                </w:p>
              </w:tc>
              <w:tc>
                <w:tcPr>
                  <w:tcW w:w="140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污染物</w:t>
                  </w:r>
                </w:p>
              </w:tc>
              <w:tc>
                <w:tcPr>
                  <w:tcW w:w="61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监测频率</w:t>
                  </w:r>
                </w:p>
              </w:tc>
              <w:tc>
                <w:tcPr>
                  <w:tcW w:w="1502"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724"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无组织</w:t>
                  </w:r>
                </w:p>
              </w:tc>
              <w:tc>
                <w:tcPr>
                  <w:tcW w:w="750"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污水处理站周界</w:t>
                  </w:r>
                </w:p>
              </w:tc>
              <w:tc>
                <w:tcPr>
                  <w:tcW w:w="140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氨、硫化氢、臭气浓度</w:t>
                  </w:r>
                </w:p>
              </w:tc>
              <w:tc>
                <w:tcPr>
                  <w:tcW w:w="61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1次/季度</w:t>
                  </w:r>
                </w:p>
              </w:tc>
              <w:tc>
                <w:tcPr>
                  <w:tcW w:w="1502"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《医疗机构水污染物排放标准》（GB18466</w:t>
                  </w:r>
                  <w:r>
                    <w:rPr>
                      <w:rFonts w:hint="eastAsia" w:ascii="Times New Roman" w:hAnsi="Times New Roman" w:cs="Times New Roman"/>
                      <w:b w:val="0"/>
                      <w:bCs w:val="0"/>
                      <w:color w:val="auto"/>
                      <w:sz w:val="21"/>
                      <w:szCs w:val="21"/>
                      <w:vertAlign w:val="baseline"/>
                      <w:lang w:val="en-US" w:eastAsia="zh-CN"/>
                    </w:rPr>
                    <w:t>-</w:t>
                  </w:r>
                  <w:r>
                    <w:rPr>
                      <w:rFonts w:hint="default" w:ascii="Times New Roman" w:hAnsi="Times New Roman" w:cs="Times New Roman"/>
                      <w:b w:val="0"/>
                      <w:bCs w:val="0"/>
                      <w:color w:val="auto"/>
                      <w:sz w:val="21"/>
                      <w:szCs w:val="21"/>
                      <w:vertAlign w:val="baseline"/>
                      <w:lang w:val="en-US" w:eastAsia="zh-CN"/>
                    </w:rPr>
                    <w:t>2005）</w:t>
                  </w:r>
                </w:p>
              </w:tc>
            </w:tr>
          </w:tbl>
          <w:p>
            <w:pPr>
              <w:pStyle w:val="4"/>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3噪声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jc w:val="left"/>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3.1噪声源</w:t>
            </w:r>
            <w:r>
              <w:rPr>
                <w:rFonts w:hint="eastAsia" w:ascii="Times New Roman" w:hAnsi="Times New Roman" w:cs="Times New Roman"/>
                <w:b/>
                <w:bCs/>
                <w:color w:val="auto"/>
                <w:kern w:val="0"/>
                <w:sz w:val="24"/>
                <w:szCs w:val="24"/>
                <w:lang w:val="en-US" w:eastAsia="zh-CN" w:bidi="ar"/>
              </w:rPr>
              <w:t>强分析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本项目运营过程中的噪声主要包括污水处理站水泵、风机等运行时产生的机械设备噪声、</w:t>
            </w:r>
            <w:r>
              <w:rPr>
                <w:rFonts w:hint="default" w:ascii="Times New Roman" w:hAnsi="Times New Roman" w:eastAsia="宋体" w:cs="Times New Roman"/>
                <w:b w:val="0"/>
                <w:color w:val="auto"/>
                <w:sz w:val="24"/>
                <w:szCs w:val="24"/>
                <w:lang w:val="en-US" w:eastAsia="zh-CN"/>
              </w:rPr>
              <w:t>就诊病人产生的社会生活噪声以及车辆产生的交通噪声</w:t>
            </w:r>
            <w:r>
              <w:rPr>
                <w:rFonts w:hint="default" w:ascii="Times New Roman" w:hAnsi="Times New Roman" w:eastAsia="宋体" w:cs="Times New Roman"/>
                <w:color w:val="auto"/>
                <w:kern w:val="0"/>
                <w:sz w:val="24"/>
                <w:szCs w:val="24"/>
                <w:lang w:val="en-US" w:eastAsia="zh-CN" w:bidi="ar"/>
              </w:rPr>
              <w:t>，其噪声值约70~90dB(A)，具体噪声源噪声值见表4-</w:t>
            </w:r>
            <w:r>
              <w:rPr>
                <w:rFonts w:hint="eastAsia" w:ascii="Times New Roman" w:hAnsi="Times New Roman" w:cs="Times New Roman"/>
                <w:color w:val="auto"/>
                <w:kern w:val="0"/>
                <w:sz w:val="24"/>
                <w:szCs w:val="24"/>
                <w:lang w:val="en-US" w:eastAsia="zh-CN" w:bidi="ar"/>
              </w:rPr>
              <w:t>8</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2"/>
                <w:szCs w:val="22"/>
              </w:rPr>
            </w:pPr>
            <w:r>
              <w:rPr>
                <w:rFonts w:hint="default" w:ascii="Times New Roman" w:hAnsi="Times New Roman" w:eastAsia="宋体" w:cs="Times New Roman"/>
                <w:b/>
                <w:bCs/>
                <w:color w:val="auto"/>
                <w:kern w:val="0"/>
                <w:sz w:val="24"/>
                <w:szCs w:val="24"/>
                <w:lang w:val="en-US" w:eastAsia="zh-CN" w:bidi="ar"/>
              </w:rPr>
              <w:t>表4-</w:t>
            </w:r>
            <w:r>
              <w:rPr>
                <w:rFonts w:hint="eastAsia" w:ascii="Times New Roman" w:hAnsi="Times New Roman" w:cs="Times New Roman"/>
                <w:b/>
                <w:bCs/>
                <w:color w:val="auto"/>
                <w:kern w:val="0"/>
                <w:sz w:val="24"/>
                <w:szCs w:val="24"/>
                <w:lang w:val="en-US" w:eastAsia="zh-CN" w:bidi="ar"/>
              </w:rPr>
              <w:t xml:space="preserve">8 </w:t>
            </w:r>
            <w:r>
              <w:rPr>
                <w:rFonts w:hint="default" w:ascii="Times New Roman" w:hAnsi="Times New Roman" w:eastAsia="宋体" w:cs="Times New Roman"/>
                <w:b/>
                <w:bCs/>
                <w:color w:val="auto"/>
                <w:kern w:val="0"/>
                <w:sz w:val="24"/>
                <w:szCs w:val="24"/>
                <w:lang w:val="en-US" w:eastAsia="zh-CN" w:bidi="ar"/>
              </w:rPr>
              <w:t xml:space="preserve"> 主要噪声源及相应噪声排放情况表</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961"/>
              <w:gridCol w:w="887"/>
              <w:gridCol w:w="1498"/>
              <w:gridCol w:w="950"/>
              <w:gridCol w:w="667"/>
              <w:gridCol w:w="667"/>
              <w:gridCol w:w="668"/>
              <w:gridCol w:w="677"/>
              <w:gridCol w:w="7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主要噪声源</w:t>
                  </w:r>
                </w:p>
              </w:tc>
              <w:tc>
                <w:tcPr>
                  <w:tcW w:w="530"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噪声源强dB（A）</w:t>
                  </w:r>
                </w:p>
              </w:tc>
              <w:tc>
                <w:tcPr>
                  <w:tcW w:w="489"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数量（台/套）</w:t>
                  </w:r>
                </w:p>
              </w:tc>
              <w:tc>
                <w:tcPr>
                  <w:tcW w:w="826"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采取措施</w:t>
                  </w:r>
                </w:p>
              </w:tc>
              <w:tc>
                <w:tcPr>
                  <w:tcW w:w="524"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排放强度</w:t>
                  </w:r>
                  <w:r>
                    <w:rPr>
                      <w:rFonts w:hint="default" w:ascii="Times New Roman" w:hAnsi="Times New Roman" w:cs="Times New Roman"/>
                      <w:b/>
                      <w:bCs/>
                      <w:color w:val="auto"/>
                      <w:sz w:val="21"/>
                      <w:szCs w:val="21"/>
                      <w:vertAlign w:val="baseline"/>
                      <w:lang w:val="en-US" w:eastAsia="zh-CN"/>
                    </w:rPr>
                    <w:t>dB（A）</w:t>
                  </w:r>
                </w:p>
              </w:tc>
              <w:tc>
                <w:tcPr>
                  <w:tcW w:w="1477" w:type="pct"/>
                  <w:gridSpan w:val="4"/>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距厂界距离（m）</w:t>
                  </w:r>
                </w:p>
              </w:tc>
              <w:tc>
                <w:tcPr>
                  <w:tcW w:w="423"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距敏感点距离（m）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p>
              </w:tc>
              <w:tc>
                <w:tcPr>
                  <w:tcW w:w="530"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p>
              </w:tc>
              <w:tc>
                <w:tcPr>
                  <w:tcW w:w="489"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p>
              </w:tc>
              <w:tc>
                <w:tcPr>
                  <w:tcW w:w="826"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p>
              </w:tc>
              <w:tc>
                <w:tcPr>
                  <w:tcW w:w="524"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p>
              </w:tc>
              <w:tc>
                <w:tcPr>
                  <w:tcW w:w="36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东</w:t>
                  </w:r>
                </w:p>
              </w:tc>
              <w:tc>
                <w:tcPr>
                  <w:tcW w:w="36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南</w:t>
                  </w:r>
                </w:p>
              </w:tc>
              <w:tc>
                <w:tcPr>
                  <w:tcW w:w="368"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西</w:t>
                  </w:r>
                </w:p>
              </w:tc>
              <w:tc>
                <w:tcPr>
                  <w:tcW w:w="37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北</w:t>
                  </w:r>
                </w:p>
              </w:tc>
              <w:tc>
                <w:tcPr>
                  <w:tcW w:w="423"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污水处理站</w:t>
                  </w:r>
                  <w:r>
                    <w:rPr>
                      <w:rFonts w:hint="eastAsia" w:ascii="Times New Roman" w:hAnsi="Times New Roman" w:cs="Times New Roman"/>
                      <w:color w:val="auto"/>
                      <w:sz w:val="21"/>
                      <w:szCs w:val="21"/>
                      <w:highlight w:val="none"/>
                      <w:vertAlign w:val="baseline"/>
                      <w:lang w:val="en-US" w:eastAsia="zh-CN"/>
                    </w:rPr>
                    <w:t>水泵</w:t>
                  </w:r>
                </w:p>
              </w:tc>
              <w:tc>
                <w:tcPr>
                  <w:tcW w:w="530"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70</w:t>
                  </w:r>
                </w:p>
              </w:tc>
              <w:tc>
                <w:tcPr>
                  <w:tcW w:w="48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82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减振、</w:t>
                  </w:r>
                  <w:r>
                    <w:rPr>
                      <w:rFonts w:hint="default" w:ascii="Times New Roman" w:hAnsi="Times New Roman" w:cs="Times New Roman"/>
                      <w:color w:val="auto"/>
                      <w:sz w:val="21"/>
                      <w:szCs w:val="21"/>
                      <w:highlight w:val="none"/>
                      <w:vertAlign w:val="baseline"/>
                      <w:lang w:val="en-US" w:eastAsia="zh-CN"/>
                    </w:rPr>
                    <w:t>隔声</w:t>
                  </w:r>
                </w:p>
              </w:tc>
              <w:tc>
                <w:tcPr>
                  <w:tcW w:w="524"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5</w:t>
                  </w:r>
                  <w:r>
                    <w:rPr>
                      <w:rFonts w:hint="default" w:ascii="Times New Roman" w:hAnsi="Times New Roman" w:cs="Times New Roman"/>
                      <w:color w:val="auto"/>
                      <w:sz w:val="21"/>
                      <w:szCs w:val="21"/>
                      <w:highlight w:val="none"/>
                      <w:vertAlign w:val="baseline"/>
                      <w:lang w:val="en-US" w:eastAsia="zh-CN"/>
                    </w:rPr>
                    <w:t>0</w:t>
                  </w:r>
                </w:p>
              </w:tc>
              <w:tc>
                <w:tcPr>
                  <w:tcW w:w="36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r>
                    <w:rPr>
                      <w:rFonts w:hint="default" w:ascii="Times New Roman" w:hAnsi="Times New Roman" w:cs="Times New Roman"/>
                      <w:color w:val="auto"/>
                      <w:sz w:val="21"/>
                      <w:szCs w:val="21"/>
                      <w:highlight w:val="none"/>
                      <w:vertAlign w:val="baseline"/>
                      <w:lang w:val="en-US" w:eastAsia="zh-CN"/>
                    </w:rPr>
                    <w:t>0</w:t>
                  </w:r>
                </w:p>
              </w:tc>
              <w:tc>
                <w:tcPr>
                  <w:tcW w:w="36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368"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18</w:t>
                  </w:r>
                </w:p>
              </w:tc>
              <w:tc>
                <w:tcPr>
                  <w:tcW w:w="37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18</w:t>
                  </w:r>
                </w:p>
              </w:tc>
              <w:tc>
                <w:tcPr>
                  <w:tcW w:w="42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风机</w:t>
                  </w:r>
                </w:p>
              </w:tc>
              <w:tc>
                <w:tcPr>
                  <w:tcW w:w="530"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85</w:t>
                  </w:r>
                </w:p>
              </w:tc>
              <w:tc>
                <w:tcPr>
                  <w:tcW w:w="48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82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消声器</w:t>
                  </w:r>
                  <w:r>
                    <w:rPr>
                      <w:rFonts w:hint="default"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baseline"/>
                      <w:lang w:val="en-US" w:eastAsia="zh-CN"/>
                    </w:rPr>
                    <w:t>隔声</w:t>
                  </w:r>
                </w:p>
              </w:tc>
              <w:tc>
                <w:tcPr>
                  <w:tcW w:w="524"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65</w:t>
                  </w:r>
                </w:p>
              </w:tc>
              <w:tc>
                <w:tcPr>
                  <w:tcW w:w="36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2</w:t>
                  </w:r>
                  <w:r>
                    <w:rPr>
                      <w:rFonts w:hint="default" w:ascii="Times New Roman" w:hAnsi="Times New Roman" w:cs="Times New Roman"/>
                      <w:color w:val="auto"/>
                      <w:sz w:val="21"/>
                      <w:szCs w:val="21"/>
                      <w:highlight w:val="none"/>
                      <w:vertAlign w:val="baseline"/>
                      <w:lang w:val="en-US" w:eastAsia="zh-CN"/>
                    </w:rPr>
                    <w:t>0</w:t>
                  </w:r>
                </w:p>
              </w:tc>
              <w:tc>
                <w:tcPr>
                  <w:tcW w:w="36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2</w:t>
                  </w:r>
                </w:p>
              </w:tc>
              <w:tc>
                <w:tcPr>
                  <w:tcW w:w="368"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18</w:t>
                  </w:r>
                </w:p>
              </w:tc>
              <w:tc>
                <w:tcPr>
                  <w:tcW w:w="37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18</w:t>
                  </w:r>
                </w:p>
              </w:tc>
              <w:tc>
                <w:tcPr>
                  <w:tcW w:w="42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bidi="ar-SA"/>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空调主机</w:t>
                  </w:r>
                </w:p>
              </w:tc>
              <w:tc>
                <w:tcPr>
                  <w:tcW w:w="530"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75</w:t>
                  </w:r>
                </w:p>
              </w:tc>
              <w:tc>
                <w:tcPr>
                  <w:tcW w:w="48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10</w:t>
                  </w:r>
                </w:p>
              </w:tc>
              <w:tc>
                <w:tcPr>
                  <w:tcW w:w="82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低噪声设备、基础减振</w:t>
                  </w:r>
                </w:p>
              </w:tc>
              <w:tc>
                <w:tcPr>
                  <w:tcW w:w="524"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60</w:t>
                  </w:r>
                </w:p>
              </w:tc>
              <w:tc>
                <w:tcPr>
                  <w:tcW w:w="36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18</w:t>
                  </w:r>
                </w:p>
              </w:tc>
              <w:tc>
                <w:tcPr>
                  <w:tcW w:w="36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20</w:t>
                  </w:r>
                </w:p>
              </w:tc>
              <w:tc>
                <w:tcPr>
                  <w:tcW w:w="368"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22</w:t>
                  </w:r>
                </w:p>
              </w:tc>
              <w:tc>
                <w:tcPr>
                  <w:tcW w:w="37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20</w:t>
                  </w:r>
                </w:p>
              </w:tc>
              <w:tc>
                <w:tcPr>
                  <w:tcW w:w="42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备用发电机</w:t>
                  </w:r>
                </w:p>
              </w:tc>
              <w:tc>
                <w:tcPr>
                  <w:tcW w:w="530"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85</w:t>
                  </w:r>
                </w:p>
              </w:tc>
              <w:tc>
                <w:tcPr>
                  <w:tcW w:w="48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w:t>
                  </w:r>
                </w:p>
              </w:tc>
              <w:tc>
                <w:tcPr>
                  <w:tcW w:w="82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地下设置，隔声、减振</w:t>
                  </w:r>
                </w:p>
              </w:tc>
              <w:tc>
                <w:tcPr>
                  <w:tcW w:w="524"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65</w:t>
                  </w:r>
                </w:p>
              </w:tc>
              <w:tc>
                <w:tcPr>
                  <w:tcW w:w="36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15</w:t>
                  </w:r>
                </w:p>
              </w:tc>
              <w:tc>
                <w:tcPr>
                  <w:tcW w:w="36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10</w:t>
                  </w:r>
                </w:p>
              </w:tc>
              <w:tc>
                <w:tcPr>
                  <w:tcW w:w="368"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25</w:t>
                  </w:r>
                </w:p>
              </w:tc>
              <w:tc>
                <w:tcPr>
                  <w:tcW w:w="37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10</w:t>
                  </w:r>
                </w:p>
              </w:tc>
              <w:tc>
                <w:tcPr>
                  <w:tcW w:w="42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15</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jc w:val="left"/>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3.2</w:t>
            </w:r>
            <w:r>
              <w:rPr>
                <w:rFonts w:hint="eastAsia" w:ascii="Times New Roman" w:hAnsi="Times New Roman" w:eastAsia="宋体" w:cs="Times New Roman"/>
                <w:b/>
                <w:bCs/>
                <w:color w:val="auto"/>
                <w:kern w:val="0"/>
                <w:sz w:val="24"/>
                <w:szCs w:val="24"/>
                <w:lang w:val="en-US" w:eastAsia="zh-CN" w:bidi="ar"/>
              </w:rPr>
              <w:t>达标性分析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w:t>
            </w:r>
            <w:r>
              <w:rPr>
                <w:rFonts w:hint="eastAsia" w:ascii="Times New Roman" w:hAnsi="Times New Roman" w:eastAsia="宋体" w:cs="Times New Roman"/>
                <w:color w:val="auto"/>
                <w:kern w:val="0"/>
                <w:sz w:val="24"/>
                <w:szCs w:val="24"/>
                <w:lang w:val="en-US" w:eastAsia="zh-CN" w:bidi="ar"/>
              </w:rPr>
              <w:t>目前已运营，故本次噪声达标性以实际监测数据为依据，</w:t>
            </w:r>
            <w:r>
              <w:rPr>
                <w:rFonts w:hint="eastAsia" w:ascii="Times New Roman" w:hAnsi="Times New Roman" w:cs="Times New Roman"/>
                <w:color w:val="auto"/>
                <w:kern w:val="0"/>
                <w:sz w:val="24"/>
                <w:szCs w:val="24"/>
                <w:highlight w:val="none"/>
                <w:lang w:val="en-US" w:eastAsia="zh-CN" w:bidi="ar"/>
              </w:rPr>
              <w:t>陕西华康检验检测有限责任公司</w:t>
            </w:r>
            <w:r>
              <w:rPr>
                <w:rFonts w:hint="eastAsia" w:ascii="Times New Roman" w:hAnsi="Times New Roman" w:eastAsia="宋体" w:cs="Times New Roman"/>
                <w:color w:val="auto"/>
                <w:kern w:val="0"/>
                <w:sz w:val="24"/>
                <w:szCs w:val="24"/>
                <w:highlight w:val="none"/>
                <w:lang w:val="en-US" w:eastAsia="zh-CN" w:bidi="ar"/>
              </w:rPr>
              <w:t>于</w:t>
            </w:r>
            <w:r>
              <w:rPr>
                <w:rFonts w:hint="eastAsia" w:ascii="Times New Roman" w:hAnsi="Times New Roman" w:eastAsia="宋体" w:cs="Times New Roman"/>
                <w:color w:val="auto"/>
                <w:kern w:val="0"/>
                <w:sz w:val="24"/>
                <w:szCs w:val="24"/>
                <w:lang w:val="en-US" w:eastAsia="zh-CN" w:bidi="ar"/>
              </w:rPr>
              <w:t>202</w:t>
            </w:r>
            <w:r>
              <w:rPr>
                <w:rFonts w:hint="eastAsia" w:ascii="Times New Roman" w:hAnsi="Times New Roman" w:cs="Times New Roman"/>
                <w:color w:val="auto"/>
                <w:kern w:val="0"/>
                <w:sz w:val="24"/>
                <w:szCs w:val="24"/>
                <w:lang w:val="en-US" w:eastAsia="zh-CN" w:bidi="ar"/>
              </w:rPr>
              <w:t>4</w:t>
            </w:r>
            <w:r>
              <w:rPr>
                <w:rFonts w:hint="eastAsia" w:ascii="Times New Roman" w:hAnsi="Times New Roman" w:eastAsia="宋体" w:cs="Times New Roman"/>
                <w:color w:val="auto"/>
                <w:kern w:val="0"/>
                <w:sz w:val="24"/>
                <w:szCs w:val="24"/>
                <w:lang w:val="en-US" w:eastAsia="zh-CN" w:bidi="ar"/>
              </w:rPr>
              <w:t>年</w:t>
            </w:r>
            <w:r>
              <w:rPr>
                <w:rFonts w:hint="eastAsia" w:ascii="Times New Roman" w:hAnsi="Times New Roman" w:cs="Times New Roman"/>
                <w:color w:val="auto"/>
                <w:kern w:val="0"/>
                <w:sz w:val="24"/>
                <w:szCs w:val="24"/>
                <w:lang w:val="en-US" w:eastAsia="zh-CN" w:bidi="ar"/>
              </w:rPr>
              <w:t>5</w:t>
            </w:r>
            <w:r>
              <w:rPr>
                <w:rFonts w:hint="eastAsia" w:ascii="Times New Roman" w:hAnsi="Times New Roman" w:eastAsia="宋体" w:cs="Times New Roman"/>
                <w:color w:val="auto"/>
                <w:kern w:val="0"/>
                <w:sz w:val="24"/>
                <w:szCs w:val="24"/>
                <w:lang w:val="en-US" w:eastAsia="zh-CN" w:bidi="ar"/>
              </w:rPr>
              <w:t>月2</w:t>
            </w:r>
            <w:r>
              <w:rPr>
                <w:rFonts w:hint="eastAsia" w:ascii="Times New Roman" w:hAnsi="Times New Roman" w:cs="Times New Roman"/>
                <w:color w:val="auto"/>
                <w:kern w:val="0"/>
                <w:sz w:val="24"/>
                <w:szCs w:val="24"/>
                <w:lang w:val="en-US" w:eastAsia="zh-CN" w:bidi="ar"/>
              </w:rPr>
              <w:t>4</w:t>
            </w:r>
            <w:r>
              <w:rPr>
                <w:rFonts w:hint="eastAsia" w:ascii="Times New Roman" w:hAnsi="Times New Roman" w:eastAsia="宋体" w:cs="Times New Roman"/>
                <w:color w:val="auto"/>
                <w:kern w:val="0"/>
                <w:sz w:val="24"/>
                <w:szCs w:val="24"/>
                <w:lang w:val="en-US" w:eastAsia="zh-CN" w:bidi="ar"/>
              </w:rPr>
              <w:t>日对项目厂界四周及周边敏感点进行了监测，见下表</w:t>
            </w:r>
            <w:r>
              <w:rPr>
                <w:rFonts w:hint="eastAsia" w:ascii="Times New Roman" w:hAnsi="Times New Roman" w:cs="Times New Roman"/>
                <w:color w:val="auto"/>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4"/>
                <w:szCs w:val="24"/>
                <w:shd w:val="clear" w:color="auto" w:fill="auto"/>
              </w:rPr>
            </w:pPr>
            <w:r>
              <w:rPr>
                <w:rFonts w:hint="default" w:ascii="Times New Roman" w:hAnsi="Times New Roman" w:eastAsia="宋体" w:cs="Times New Roman"/>
                <w:b/>
                <w:bCs w:val="0"/>
                <w:color w:val="auto"/>
                <w:sz w:val="24"/>
                <w:szCs w:val="24"/>
                <w:shd w:val="clear" w:color="auto" w:fill="auto"/>
              </w:rPr>
              <w:t>表</w:t>
            </w:r>
            <w:r>
              <w:rPr>
                <w:rFonts w:hint="default" w:ascii="Times New Roman" w:hAnsi="Times New Roman" w:eastAsia="宋体" w:cs="Times New Roman"/>
                <w:b/>
                <w:bCs w:val="0"/>
                <w:color w:val="auto"/>
                <w:sz w:val="24"/>
                <w:szCs w:val="24"/>
                <w:shd w:val="clear" w:color="auto" w:fill="auto"/>
                <w:lang w:val="en-US" w:eastAsia="zh-CN"/>
              </w:rPr>
              <w:t>4-</w:t>
            </w:r>
            <w:r>
              <w:rPr>
                <w:rFonts w:hint="eastAsia" w:ascii="Times New Roman" w:hAnsi="Times New Roman" w:cs="Times New Roman"/>
                <w:b/>
                <w:bCs w:val="0"/>
                <w:color w:val="auto"/>
                <w:sz w:val="24"/>
                <w:szCs w:val="24"/>
                <w:shd w:val="clear" w:color="auto" w:fill="auto"/>
                <w:lang w:val="en-US" w:eastAsia="zh-CN"/>
              </w:rPr>
              <w:t xml:space="preserve">9 </w:t>
            </w:r>
            <w:r>
              <w:rPr>
                <w:rFonts w:hint="default" w:ascii="Times New Roman" w:hAnsi="Times New Roman" w:eastAsia="宋体" w:cs="Times New Roman"/>
                <w:b/>
                <w:bCs w:val="0"/>
                <w:color w:val="auto"/>
                <w:sz w:val="24"/>
                <w:szCs w:val="24"/>
                <w:shd w:val="clear" w:color="auto" w:fill="auto"/>
                <w:lang w:val="en-US" w:eastAsia="zh-CN"/>
              </w:rPr>
              <w:t xml:space="preserve"> </w:t>
            </w:r>
            <w:r>
              <w:rPr>
                <w:rFonts w:hint="eastAsia" w:ascii="Times New Roman" w:hAnsi="Times New Roman" w:cs="Times New Roman"/>
                <w:b/>
                <w:bCs w:val="0"/>
                <w:color w:val="auto"/>
                <w:sz w:val="24"/>
                <w:szCs w:val="24"/>
                <w:shd w:val="clear" w:color="auto" w:fill="auto"/>
                <w:lang w:val="en-US" w:eastAsia="zh-CN"/>
              </w:rPr>
              <w:t>项目运营期噪声监测</w:t>
            </w:r>
            <w:r>
              <w:rPr>
                <w:rFonts w:hint="default" w:ascii="Times New Roman" w:hAnsi="Times New Roman" w:eastAsia="宋体" w:cs="Times New Roman"/>
                <w:b/>
                <w:bCs w:val="0"/>
                <w:color w:val="auto"/>
                <w:sz w:val="24"/>
                <w:szCs w:val="24"/>
                <w:shd w:val="clear" w:color="auto" w:fill="auto"/>
              </w:rPr>
              <w:t>结果一览表</w:t>
            </w:r>
            <w:r>
              <w:rPr>
                <w:rFonts w:hint="eastAsia" w:ascii="Times New Roman" w:hAnsi="Times New Roman" w:cs="Times New Roman"/>
                <w:b/>
                <w:bCs w:val="0"/>
                <w:color w:val="auto"/>
                <w:sz w:val="24"/>
                <w:szCs w:val="24"/>
                <w:shd w:val="clear" w:color="auto" w:fill="auto"/>
                <w:lang w:val="en-US" w:eastAsia="zh-CN"/>
              </w:rPr>
              <w:t xml:space="preserve">   </w:t>
            </w:r>
            <w:r>
              <w:rPr>
                <w:rFonts w:hint="default" w:ascii="Times New Roman" w:hAnsi="Times New Roman" w:eastAsia="宋体" w:cs="Times New Roman"/>
                <w:b/>
                <w:bCs w:val="0"/>
                <w:color w:val="auto"/>
                <w:sz w:val="24"/>
                <w:szCs w:val="24"/>
                <w:shd w:val="clear" w:color="auto" w:fill="auto"/>
              </w:rPr>
              <w:t>单位：dB（A）</w:t>
            </w:r>
          </w:p>
          <w:tbl>
            <w:tblPr>
              <w:tblStyle w:val="28"/>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2532"/>
              <w:gridCol w:w="1157"/>
              <w:gridCol w:w="1213"/>
              <w:gridCol w:w="1323"/>
              <w:gridCol w:w="13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bCs/>
                      <w:color w:val="auto"/>
                      <w:sz w:val="21"/>
                      <w:szCs w:val="21"/>
                      <w:shd w:val="clear" w:color="auto" w:fill="auto"/>
                      <w:vertAlign w:val="baseline"/>
                      <w:lang w:val="en-US" w:eastAsia="zh-CN"/>
                    </w:rPr>
                  </w:pPr>
                  <w:r>
                    <w:rPr>
                      <w:rFonts w:hint="eastAsia" w:ascii="Times New Roman" w:hAnsi="Times New Roman" w:cs="Times New Roman"/>
                      <w:b/>
                      <w:bCs/>
                      <w:color w:val="auto"/>
                      <w:sz w:val="21"/>
                      <w:szCs w:val="21"/>
                      <w:shd w:val="clear" w:color="auto" w:fill="auto"/>
                      <w:vertAlign w:val="baseline"/>
                      <w:lang w:val="en-US" w:eastAsia="zh-CN"/>
                    </w:rPr>
                    <w:t>监测日期</w:t>
                  </w:r>
                </w:p>
              </w:tc>
              <w:tc>
                <w:tcPr>
                  <w:tcW w:w="1397"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bCs/>
                      <w:color w:val="auto"/>
                      <w:sz w:val="21"/>
                      <w:szCs w:val="21"/>
                      <w:shd w:val="clear" w:color="auto" w:fill="auto"/>
                      <w:vertAlign w:val="baseline"/>
                      <w:lang w:val="en-US" w:eastAsia="zh-CN"/>
                    </w:rPr>
                  </w:pPr>
                  <w:r>
                    <w:rPr>
                      <w:rFonts w:hint="eastAsia" w:ascii="Times New Roman" w:hAnsi="Times New Roman" w:cs="Times New Roman"/>
                      <w:b/>
                      <w:bCs/>
                      <w:color w:val="auto"/>
                      <w:sz w:val="21"/>
                      <w:szCs w:val="21"/>
                      <w:shd w:val="clear" w:color="auto" w:fill="auto"/>
                      <w:vertAlign w:val="baseline"/>
                      <w:lang w:val="en-US" w:eastAsia="zh-CN"/>
                    </w:rPr>
                    <w:t>监测点位</w:t>
                  </w:r>
                </w:p>
              </w:tc>
              <w:tc>
                <w:tcPr>
                  <w:tcW w:w="638"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bCs/>
                      <w:color w:val="auto"/>
                      <w:sz w:val="21"/>
                      <w:szCs w:val="21"/>
                      <w:shd w:val="clear" w:color="auto" w:fill="auto"/>
                      <w:vertAlign w:val="baseline"/>
                      <w:lang w:val="en-US" w:eastAsia="zh-CN"/>
                    </w:rPr>
                  </w:pPr>
                  <w:r>
                    <w:rPr>
                      <w:rFonts w:hint="eastAsia" w:ascii="Times New Roman" w:hAnsi="Times New Roman" w:cs="Times New Roman"/>
                      <w:b/>
                      <w:bCs/>
                      <w:color w:val="auto"/>
                      <w:sz w:val="21"/>
                      <w:szCs w:val="21"/>
                      <w:shd w:val="clear" w:color="auto" w:fill="auto"/>
                      <w:vertAlign w:val="baseline"/>
                      <w:lang w:val="en-US" w:eastAsia="zh-CN"/>
                    </w:rPr>
                    <w:t>昼间</w:t>
                  </w:r>
                </w:p>
              </w:tc>
              <w:tc>
                <w:tcPr>
                  <w:tcW w:w="669"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bCs/>
                      <w:color w:val="auto"/>
                      <w:sz w:val="21"/>
                      <w:szCs w:val="21"/>
                      <w:shd w:val="clear" w:color="auto" w:fill="auto"/>
                      <w:vertAlign w:val="baseline"/>
                      <w:lang w:val="en-US" w:eastAsia="zh-CN"/>
                    </w:rPr>
                  </w:pPr>
                  <w:r>
                    <w:rPr>
                      <w:rFonts w:hint="eastAsia" w:ascii="Times New Roman" w:hAnsi="Times New Roman" w:cs="Times New Roman"/>
                      <w:b/>
                      <w:bCs/>
                      <w:color w:val="auto"/>
                      <w:sz w:val="21"/>
                      <w:szCs w:val="21"/>
                      <w:shd w:val="clear" w:color="auto" w:fill="auto"/>
                      <w:vertAlign w:val="baseline"/>
                      <w:lang w:val="en-US" w:eastAsia="zh-CN"/>
                    </w:rPr>
                    <w:t>夜间</w:t>
                  </w:r>
                </w:p>
              </w:tc>
              <w:tc>
                <w:tcPr>
                  <w:tcW w:w="730"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b/>
                      <w:bCs/>
                      <w:color w:val="auto"/>
                      <w:sz w:val="21"/>
                      <w:szCs w:val="21"/>
                      <w:shd w:val="clear" w:color="auto" w:fill="auto"/>
                      <w:vertAlign w:val="baseline"/>
                      <w:lang w:val="en-US" w:eastAsia="zh-CN"/>
                    </w:rPr>
                  </w:pPr>
                  <w:r>
                    <w:rPr>
                      <w:rFonts w:hint="eastAsia" w:ascii="Times New Roman" w:hAnsi="Times New Roman" w:cs="Times New Roman"/>
                      <w:b/>
                      <w:bCs/>
                      <w:color w:val="auto"/>
                      <w:sz w:val="21"/>
                      <w:szCs w:val="21"/>
                      <w:shd w:val="clear" w:color="auto" w:fill="auto"/>
                      <w:vertAlign w:val="baseline"/>
                      <w:lang w:val="en-US" w:eastAsia="zh-CN"/>
                    </w:rPr>
                    <w:t>标准限值</w:t>
                  </w:r>
                </w:p>
              </w:tc>
              <w:tc>
                <w:tcPr>
                  <w:tcW w:w="757"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b/>
                      <w:bCs/>
                      <w:color w:val="auto"/>
                      <w:sz w:val="21"/>
                      <w:szCs w:val="21"/>
                      <w:shd w:val="clear" w:color="auto" w:fill="auto"/>
                      <w:vertAlign w:val="baseline"/>
                      <w:lang w:val="en-US" w:eastAsia="zh-CN"/>
                    </w:rPr>
                  </w:pPr>
                  <w:r>
                    <w:rPr>
                      <w:rFonts w:hint="eastAsia" w:ascii="Times New Roman" w:hAnsi="Times New Roman" w:cs="Times New Roman"/>
                      <w:b/>
                      <w:bCs/>
                      <w:color w:val="auto"/>
                      <w:sz w:val="21"/>
                      <w:szCs w:val="21"/>
                      <w:shd w:val="clear" w:color="auto" w:fill="auto"/>
                      <w:vertAlign w:val="baseline"/>
                      <w:lang w:val="en-US" w:eastAsia="zh-CN"/>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restar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eastAsia" w:ascii="Times New Roman" w:hAnsi="Times New Roman" w:cs="Times New Roman"/>
                      <w:color w:val="auto"/>
                      <w:sz w:val="21"/>
                      <w:szCs w:val="21"/>
                      <w:highlight w:val="none"/>
                      <w:shd w:val="clear" w:color="auto" w:fill="auto"/>
                      <w:vertAlign w:val="baseline"/>
                      <w:lang w:val="en-US" w:eastAsia="zh-CN"/>
                    </w:rPr>
                    <w:t>5月24日</w:t>
                  </w:r>
                </w:p>
              </w:tc>
              <w:tc>
                <w:tcPr>
                  <w:tcW w:w="1397"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val="0"/>
                      <w:bCs w:val="0"/>
                      <w:color w:val="auto"/>
                      <w:kern w:val="2"/>
                      <w:sz w:val="21"/>
                      <w:szCs w:val="21"/>
                      <w:shd w:val="clear" w:color="auto" w:fill="auto"/>
                      <w:vertAlign w:val="baseline"/>
                      <w:lang w:val="en-US" w:eastAsia="zh-CN" w:bidi="ar-SA"/>
                    </w:rPr>
                  </w:pPr>
                  <w:r>
                    <w:rPr>
                      <w:rFonts w:hint="eastAsia" w:ascii="Times New Roman" w:hAnsi="Times New Roman" w:cs="Times New Roman"/>
                      <w:b w:val="0"/>
                      <w:bCs w:val="0"/>
                      <w:color w:val="auto"/>
                      <w:kern w:val="2"/>
                      <w:sz w:val="21"/>
                      <w:szCs w:val="21"/>
                      <w:shd w:val="clear" w:color="auto" w:fill="auto"/>
                      <w:vertAlign w:val="baseline"/>
                      <w:lang w:val="en-US" w:eastAsia="zh-CN" w:bidi="ar-SA"/>
                    </w:rPr>
                    <w:t>东厂界</w:t>
                  </w:r>
                </w:p>
              </w:tc>
              <w:tc>
                <w:tcPr>
                  <w:tcW w:w="1157" w:type="dxa"/>
                  <w:tcBorders>
                    <w:tl2br w:val="nil"/>
                    <w:tr2bl w:val="nil"/>
                  </w:tcBorders>
                  <w:noWrap w:val="0"/>
                  <w:vAlign w:val="center"/>
                </w:tcPr>
                <w:p>
                  <w:pPr>
                    <w:pStyle w:val="71"/>
                    <w:rPr>
                      <w:rFonts w:hint="default" w:ascii="Times New Roman" w:hAnsi="Times New Roman" w:eastAsia="宋体" w:cs="Times New Roman"/>
                      <w:kern w:val="2"/>
                      <w:sz w:val="21"/>
                      <w:szCs w:val="21"/>
                      <w:highlight w:val="yellow"/>
                      <w:lang w:val="en-US" w:eastAsia="zh-CN" w:bidi="ar-SA"/>
                    </w:rPr>
                  </w:pPr>
                  <w:r>
                    <w:rPr>
                      <w:rFonts w:hint="eastAsia" w:ascii="Times New Roman" w:hAnsi="Times New Roman" w:cs="Times New Roman"/>
                      <w:color w:val="auto"/>
                      <w:sz w:val="21"/>
                      <w:szCs w:val="21"/>
                      <w:lang w:val="en-US" w:eastAsia="zh-CN"/>
                    </w:rPr>
                    <w:t>57</w:t>
                  </w:r>
                </w:p>
              </w:tc>
              <w:tc>
                <w:tcPr>
                  <w:tcW w:w="1213" w:type="dxa"/>
                  <w:tcBorders>
                    <w:tl2br w:val="nil"/>
                    <w:tr2bl w:val="nil"/>
                  </w:tcBorders>
                  <w:noWrap w:val="0"/>
                  <w:vAlign w:val="center"/>
                </w:tcPr>
                <w:p>
                  <w:pPr>
                    <w:pStyle w:val="71"/>
                    <w:rPr>
                      <w:rFonts w:hint="default" w:ascii="Times New Roman" w:hAnsi="Times New Roman" w:eastAsia="宋体" w:cs="Times New Roman"/>
                      <w:kern w:val="2"/>
                      <w:sz w:val="21"/>
                      <w:szCs w:val="21"/>
                      <w:highlight w:val="yellow"/>
                      <w:lang w:val="en-US" w:eastAsia="zh-CN" w:bidi="ar-SA"/>
                    </w:rPr>
                  </w:pPr>
                  <w:r>
                    <w:rPr>
                      <w:rFonts w:hint="eastAsia" w:ascii="Times New Roman" w:hAnsi="Times New Roman" w:cs="Times New Roman"/>
                      <w:color w:val="auto"/>
                      <w:sz w:val="21"/>
                      <w:szCs w:val="21"/>
                      <w:lang w:val="en-US" w:eastAsia="zh-CN"/>
                    </w:rPr>
                    <w:t>48</w:t>
                  </w:r>
                </w:p>
              </w:tc>
              <w:tc>
                <w:tcPr>
                  <w:tcW w:w="730" w:type="pct"/>
                  <w:vMerge w:val="restart"/>
                  <w:tcBorders>
                    <w:tl2br w:val="nil"/>
                    <w:tr2bl w:val="nil"/>
                  </w:tcBorders>
                  <w:noWrap w:val="0"/>
                  <w:vAlign w:val="center"/>
                </w:tcPr>
                <w:p>
                  <w:pPr>
                    <w:pStyle w:val="71"/>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昼间60</w:t>
                  </w:r>
                </w:p>
                <w:p>
                  <w:pPr>
                    <w:pStyle w:val="71"/>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夜间50</w:t>
                  </w:r>
                </w:p>
              </w:tc>
              <w:tc>
                <w:tcPr>
                  <w:tcW w:w="757" w:type="pct"/>
                  <w:vMerge w:val="restart"/>
                  <w:tcBorders>
                    <w:tl2br w:val="nil"/>
                    <w:tr2bl w:val="nil"/>
                  </w:tcBorders>
                  <w:noWrap w:val="0"/>
                  <w:vAlign w:val="center"/>
                </w:tcPr>
                <w:p>
                  <w:pPr>
                    <w:pStyle w:val="71"/>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continue"/>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cs="Times New Roman"/>
                      <w:color w:val="auto"/>
                      <w:sz w:val="21"/>
                      <w:szCs w:val="21"/>
                      <w:shd w:val="clear" w:color="auto" w:fill="auto"/>
                      <w:vertAlign w:val="baseline"/>
                      <w:lang w:val="en-US" w:eastAsia="zh-CN"/>
                    </w:rPr>
                  </w:pPr>
                </w:p>
              </w:tc>
              <w:tc>
                <w:tcPr>
                  <w:tcW w:w="1397"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val="0"/>
                      <w:bCs w:val="0"/>
                      <w:color w:val="auto"/>
                      <w:kern w:val="2"/>
                      <w:sz w:val="21"/>
                      <w:szCs w:val="21"/>
                      <w:shd w:val="clear" w:color="auto" w:fill="auto"/>
                      <w:vertAlign w:val="baseline"/>
                      <w:lang w:val="en-US" w:eastAsia="zh-CN" w:bidi="ar-SA"/>
                    </w:rPr>
                  </w:pPr>
                  <w:r>
                    <w:rPr>
                      <w:rFonts w:hint="eastAsia" w:ascii="Times New Roman" w:hAnsi="Times New Roman" w:cs="Times New Roman"/>
                      <w:b w:val="0"/>
                      <w:bCs w:val="0"/>
                      <w:color w:val="auto"/>
                      <w:kern w:val="2"/>
                      <w:sz w:val="21"/>
                      <w:szCs w:val="21"/>
                      <w:shd w:val="clear" w:color="auto" w:fill="auto"/>
                      <w:vertAlign w:val="baseline"/>
                      <w:lang w:val="en-US" w:eastAsia="zh-CN" w:bidi="ar-SA"/>
                    </w:rPr>
                    <w:t>南厂界</w:t>
                  </w:r>
                </w:p>
              </w:tc>
              <w:tc>
                <w:tcPr>
                  <w:tcW w:w="1157" w:type="dxa"/>
                  <w:tcBorders>
                    <w:tl2br w:val="nil"/>
                    <w:tr2bl w:val="nil"/>
                  </w:tcBorders>
                  <w:noWrap w:val="0"/>
                  <w:vAlign w:val="center"/>
                </w:tcPr>
                <w:p>
                  <w:pPr>
                    <w:pStyle w:val="71"/>
                    <w:rPr>
                      <w:rFonts w:hint="default" w:ascii="Times New Roman" w:hAnsi="Times New Roman" w:eastAsia="宋体" w:cs="Times New Roman"/>
                      <w:kern w:val="2"/>
                      <w:sz w:val="21"/>
                      <w:szCs w:val="21"/>
                      <w:highlight w:val="yellow"/>
                      <w:lang w:val="en-US" w:eastAsia="zh-CN" w:bidi="ar-SA"/>
                    </w:rPr>
                  </w:pPr>
                  <w:r>
                    <w:rPr>
                      <w:rFonts w:hint="eastAsia" w:ascii="Times New Roman" w:hAnsi="Times New Roman" w:cs="Times New Roman"/>
                      <w:color w:val="auto"/>
                      <w:sz w:val="21"/>
                      <w:szCs w:val="21"/>
                      <w:lang w:val="en-US" w:eastAsia="zh-CN"/>
                    </w:rPr>
                    <w:t>54</w:t>
                  </w:r>
                </w:p>
              </w:tc>
              <w:tc>
                <w:tcPr>
                  <w:tcW w:w="1213" w:type="dxa"/>
                  <w:tcBorders>
                    <w:tl2br w:val="nil"/>
                    <w:tr2bl w:val="nil"/>
                  </w:tcBorders>
                  <w:noWrap w:val="0"/>
                  <w:vAlign w:val="center"/>
                </w:tcPr>
                <w:p>
                  <w:pPr>
                    <w:pStyle w:val="71"/>
                    <w:rPr>
                      <w:rFonts w:hint="default" w:ascii="Times New Roman" w:hAnsi="Times New Roman" w:eastAsia="宋体" w:cs="Times New Roman"/>
                      <w:kern w:val="2"/>
                      <w:sz w:val="21"/>
                      <w:szCs w:val="21"/>
                      <w:highlight w:val="yellow"/>
                      <w:lang w:val="en-US" w:eastAsia="zh-CN" w:bidi="ar-SA"/>
                    </w:rPr>
                  </w:pPr>
                  <w:r>
                    <w:rPr>
                      <w:rFonts w:hint="eastAsia" w:ascii="Times New Roman" w:hAnsi="Times New Roman" w:cs="Times New Roman"/>
                      <w:color w:val="auto"/>
                      <w:sz w:val="21"/>
                      <w:szCs w:val="21"/>
                      <w:lang w:val="en-US" w:eastAsia="zh-CN"/>
                    </w:rPr>
                    <w:t>44</w:t>
                  </w:r>
                </w:p>
              </w:tc>
              <w:tc>
                <w:tcPr>
                  <w:tcW w:w="730" w:type="pct"/>
                  <w:vMerge w:val="continue"/>
                  <w:tcBorders>
                    <w:tl2br w:val="nil"/>
                    <w:tr2bl w:val="nil"/>
                  </w:tcBorders>
                  <w:noWrap w:val="0"/>
                  <w:vAlign w:val="center"/>
                </w:tcPr>
                <w:p>
                  <w:pPr>
                    <w:pStyle w:val="71"/>
                    <w:rPr>
                      <w:rFonts w:hint="eastAsia" w:ascii="Times New Roman" w:hAnsi="Times New Roman" w:cs="Times New Roman"/>
                      <w:sz w:val="21"/>
                      <w:szCs w:val="21"/>
                      <w:lang w:val="en-US" w:eastAsia="zh-CN"/>
                    </w:rPr>
                  </w:pPr>
                </w:p>
              </w:tc>
              <w:tc>
                <w:tcPr>
                  <w:tcW w:w="757" w:type="pct"/>
                  <w:vMerge w:val="continue"/>
                  <w:tcBorders>
                    <w:tl2br w:val="nil"/>
                    <w:tr2bl w:val="nil"/>
                  </w:tcBorders>
                  <w:noWrap w:val="0"/>
                  <w:vAlign w:val="center"/>
                </w:tcPr>
                <w:p>
                  <w:pPr>
                    <w:pStyle w:val="71"/>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continue"/>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cs="Times New Roman"/>
                      <w:color w:val="auto"/>
                      <w:sz w:val="21"/>
                      <w:szCs w:val="21"/>
                      <w:shd w:val="clear" w:color="auto" w:fill="auto"/>
                      <w:vertAlign w:val="baseline"/>
                      <w:lang w:val="en-US" w:eastAsia="zh-CN"/>
                    </w:rPr>
                  </w:pPr>
                </w:p>
              </w:tc>
              <w:tc>
                <w:tcPr>
                  <w:tcW w:w="1397"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val="0"/>
                      <w:bCs w:val="0"/>
                      <w:color w:val="auto"/>
                      <w:kern w:val="2"/>
                      <w:sz w:val="21"/>
                      <w:szCs w:val="21"/>
                      <w:shd w:val="clear" w:color="auto" w:fill="auto"/>
                      <w:vertAlign w:val="baseline"/>
                      <w:lang w:val="en-US" w:eastAsia="zh-CN" w:bidi="ar-SA"/>
                    </w:rPr>
                  </w:pPr>
                  <w:r>
                    <w:rPr>
                      <w:rFonts w:hint="eastAsia" w:ascii="Times New Roman" w:hAnsi="Times New Roman" w:cs="Times New Roman"/>
                      <w:b w:val="0"/>
                      <w:bCs w:val="0"/>
                      <w:color w:val="auto"/>
                      <w:kern w:val="2"/>
                      <w:sz w:val="21"/>
                      <w:szCs w:val="21"/>
                      <w:shd w:val="clear" w:color="auto" w:fill="auto"/>
                      <w:vertAlign w:val="baseline"/>
                      <w:lang w:val="en-US" w:eastAsia="zh-CN" w:bidi="ar-SA"/>
                    </w:rPr>
                    <w:t>西厂界</w:t>
                  </w:r>
                </w:p>
              </w:tc>
              <w:tc>
                <w:tcPr>
                  <w:tcW w:w="1157" w:type="dxa"/>
                  <w:tcBorders>
                    <w:tl2br w:val="nil"/>
                    <w:tr2bl w:val="nil"/>
                  </w:tcBorders>
                  <w:noWrap w:val="0"/>
                  <w:vAlign w:val="center"/>
                </w:tcPr>
                <w:p>
                  <w:pPr>
                    <w:pStyle w:val="71"/>
                    <w:rPr>
                      <w:rFonts w:hint="default" w:ascii="Times New Roman" w:hAnsi="Times New Roman" w:eastAsia="宋体" w:cs="Times New Roman"/>
                      <w:kern w:val="2"/>
                      <w:sz w:val="21"/>
                      <w:szCs w:val="21"/>
                      <w:highlight w:val="yellow"/>
                      <w:lang w:val="en-US" w:eastAsia="zh-CN" w:bidi="ar-SA"/>
                    </w:rPr>
                  </w:pPr>
                  <w:r>
                    <w:rPr>
                      <w:rFonts w:hint="eastAsia" w:ascii="Times New Roman" w:hAnsi="Times New Roman" w:cs="Times New Roman"/>
                      <w:color w:val="auto"/>
                      <w:sz w:val="21"/>
                      <w:szCs w:val="21"/>
                      <w:lang w:val="en-US" w:eastAsia="zh-CN"/>
                    </w:rPr>
                    <w:t>57</w:t>
                  </w:r>
                </w:p>
              </w:tc>
              <w:tc>
                <w:tcPr>
                  <w:tcW w:w="1213" w:type="dxa"/>
                  <w:tcBorders>
                    <w:tl2br w:val="nil"/>
                    <w:tr2bl w:val="nil"/>
                  </w:tcBorders>
                  <w:noWrap w:val="0"/>
                  <w:vAlign w:val="center"/>
                </w:tcPr>
                <w:p>
                  <w:pPr>
                    <w:pStyle w:val="71"/>
                    <w:rPr>
                      <w:rFonts w:hint="default" w:ascii="Times New Roman" w:hAnsi="Times New Roman" w:eastAsia="宋体" w:cs="Times New Roman"/>
                      <w:kern w:val="2"/>
                      <w:sz w:val="21"/>
                      <w:szCs w:val="21"/>
                      <w:highlight w:val="yellow"/>
                      <w:lang w:val="en-US" w:eastAsia="zh-CN" w:bidi="ar-SA"/>
                    </w:rPr>
                  </w:pPr>
                  <w:r>
                    <w:rPr>
                      <w:rFonts w:hint="eastAsia" w:ascii="Times New Roman" w:hAnsi="Times New Roman" w:cs="Times New Roman"/>
                      <w:color w:val="auto"/>
                      <w:sz w:val="21"/>
                      <w:szCs w:val="21"/>
                      <w:lang w:val="en-US" w:eastAsia="zh-CN"/>
                    </w:rPr>
                    <w:t>45</w:t>
                  </w:r>
                </w:p>
              </w:tc>
              <w:tc>
                <w:tcPr>
                  <w:tcW w:w="730" w:type="pct"/>
                  <w:vMerge w:val="continue"/>
                  <w:tcBorders>
                    <w:tl2br w:val="nil"/>
                    <w:tr2bl w:val="nil"/>
                  </w:tcBorders>
                  <w:noWrap w:val="0"/>
                  <w:vAlign w:val="center"/>
                </w:tcPr>
                <w:p>
                  <w:pPr>
                    <w:pStyle w:val="71"/>
                    <w:rPr>
                      <w:rFonts w:hint="default" w:ascii="Times New Roman" w:hAnsi="Times New Roman" w:cs="Times New Roman"/>
                      <w:sz w:val="21"/>
                      <w:szCs w:val="21"/>
                      <w:lang w:val="en-US" w:eastAsia="zh-CN"/>
                    </w:rPr>
                  </w:pPr>
                </w:p>
              </w:tc>
              <w:tc>
                <w:tcPr>
                  <w:tcW w:w="757" w:type="pct"/>
                  <w:vMerge w:val="continue"/>
                  <w:tcBorders>
                    <w:tl2br w:val="nil"/>
                    <w:tr2bl w:val="nil"/>
                  </w:tcBorders>
                  <w:noWrap w:val="0"/>
                  <w:vAlign w:val="center"/>
                </w:tcPr>
                <w:p>
                  <w:pPr>
                    <w:pStyle w:val="71"/>
                    <w:rPr>
                      <w:rFonts w:hint="default"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continue"/>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cs="Times New Roman"/>
                      <w:color w:val="auto"/>
                      <w:sz w:val="21"/>
                      <w:szCs w:val="21"/>
                      <w:shd w:val="clear" w:color="auto" w:fill="auto"/>
                      <w:vertAlign w:val="baseline"/>
                      <w:lang w:val="en-US" w:eastAsia="zh-CN"/>
                    </w:rPr>
                  </w:pPr>
                </w:p>
              </w:tc>
              <w:tc>
                <w:tcPr>
                  <w:tcW w:w="1397"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val="0"/>
                      <w:bCs w:val="0"/>
                      <w:color w:val="auto"/>
                      <w:kern w:val="2"/>
                      <w:sz w:val="21"/>
                      <w:szCs w:val="21"/>
                      <w:shd w:val="clear" w:color="auto" w:fill="auto"/>
                      <w:vertAlign w:val="baseline"/>
                      <w:lang w:val="en-US" w:eastAsia="zh-CN" w:bidi="ar-SA"/>
                    </w:rPr>
                  </w:pPr>
                  <w:r>
                    <w:rPr>
                      <w:rFonts w:hint="eastAsia" w:ascii="Times New Roman" w:hAnsi="Times New Roman" w:cs="Times New Roman"/>
                      <w:b w:val="0"/>
                      <w:bCs w:val="0"/>
                      <w:color w:val="auto"/>
                      <w:kern w:val="2"/>
                      <w:sz w:val="21"/>
                      <w:szCs w:val="21"/>
                      <w:shd w:val="clear" w:color="auto" w:fill="auto"/>
                      <w:vertAlign w:val="baseline"/>
                      <w:lang w:val="en-US" w:eastAsia="zh-CN" w:bidi="ar-SA"/>
                    </w:rPr>
                    <w:t>北厂界</w:t>
                  </w:r>
                </w:p>
              </w:tc>
              <w:tc>
                <w:tcPr>
                  <w:tcW w:w="1157" w:type="dxa"/>
                  <w:tcBorders>
                    <w:tl2br w:val="nil"/>
                    <w:tr2bl w:val="nil"/>
                  </w:tcBorders>
                  <w:noWrap w:val="0"/>
                  <w:vAlign w:val="center"/>
                </w:tcPr>
                <w:p>
                  <w:pPr>
                    <w:pStyle w:val="71"/>
                    <w:rPr>
                      <w:rFonts w:hint="default" w:ascii="Times New Roman" w:hAnsi="Times New Roman" w:eastAsia="宋体" w:cs="Times New Roman"/>
                      <w:kern w:val="2"/>
                      <w:sz w:val="21"/>
                      <w:szCs w:val="21"/>
                      <w:highlight w:val="yellow"/>
                      <w:lang w:val="en-US" w:eastAsia="zh-CN" w:bidi="ar-SA"/>
                    </w:rPr>
                  </w:pPr>
                  <w:r>
                    <w:rPr>
                      <w:rFonts w:hint="eastAsia" w:ascii="Times New Roman" w:hAnsi="Times New Roman" w:cs="Times New Roman"/>
                      <w:color w:val="auto"/>
                      <w:sz w:val="21"/>
                      <w:szCs w:val="21"/>
                      <w:lang w:val="en-US" w:eastAsia="zh-CN"/>
                    </w:rPr>
                    <w:t>53</w:t>
                  </w:r>
                </w:p>
              </w:tc>
              <w:tc>
                <w:tcPr>
                  <w:tcW w:w="1213" w:type="dxa"/>
                  <w:tcBorders>
                    <w:tl2br w:val="nil"/>
                    <w:tr2bl w:val="nil"/>
                  </w:tcBorders>
                  <w:noWrap w:val="0"/>
                  <w:vAlign w:val="center"/>
                </w:tcPr>
                <w:p>
                  <w:pPr>
                    <w:pStyle w:val="71"/>
                    <w:rPr>
                      <w:rFonts w:hint="default" w:ascii="Times New Roman" w:hAnsi="Times New Roman" w:eastAsia="宋体" w:cs="Times New Roman"/>
                      <w:kern w:val="2"/>
                      <w:sz w:val="21"/>
                      <w:szCs w:val="21"/>
                      <w:highlight w:val="yellow"/>
                      <w:lang w:val="en-US" w:eastAsia="zh-CN" w:bidi="ar-SA"/>
                    </w:rPr>
                  </w:pPr>
                  <w:r>
                    <w:rPr>
                      <w:rFonts w:hint="eastAsia" w:ascii="Times New Roman" w:hAnsi="Times New Roman" w:cs="Times New Roman"/>
                      <w:color w:val="auto"/>
                      <w:sz w:val="21"/>
                      <w:szCs w:val="21"/>
                      <w:lang w:val="en-US" w:eastAsia="zh-CN"/>
                    </w:rPr>
                    <w:t>46</w:t>
                  </w:r>
                </w:p>
              </w:tc>
              <w:tc>
                <w:tcPr>
                  <w:tcW w:w="730" w:type="pct"/>
                  <w:vMerge w:val="continue"/>
                  <w:tcBorders>
                    <w:tl2br w:val="nil"/>
                    <w:tr2bl w:val="nil"/>
                  </w:tcBorders>
                  <w:noWrap w:val="0"/>
                  <w:vAlign w:val="center"/>
                </w:tcPr>
                <w:p>
                  <w:pPr>
                    <w:pStyle w:val="71"/>
                    <w:rPr>
                      <w:rFonts w:hint="default" w:ascii="Times New Roman" w:hAnsi="Times New Roman" w:cs="Times New Roman"/>
                      <w:kern w:val="2"/>
                      <w:sz w:val="21"/>
                      <w:szCs w:val="21"/>
                      <w:lang w:val="en-US" w:eastAsia="zh-CN" w:bidi="ar-SA"/>
                    </w:rPr>
                  </w:pPr>
                </w:p>
              </w:tc>
              <w:tc>
                <w:tcPr>
                  <w:tcW w:w="757" w:type="pct"/>
                  <w:vMerge w:val="continue"/>
                  <w:tcBorders>
                    <w:tl2br w:val="nil"/>
                    <w:tr2bl w:val="nil"/>
                  </w:tcBorders>
                  <w:noWrap w:val="0"/>
                  <w:vAlign w:val="center"/>
                </w:tcPr>
                <w:p>
                  <w:pPr>
                    <w:pStyle w:val="71"/>
                    <w:rPr>
                      <w:rFonts w:hint="default" w:ascii="Times New Roman" w:hAnsi="Times New Roman" w:cs="Times New Roman"/>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continue"/>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cs="Times New Roman"/>
                      <w:color w:val="auto"/>
                      <w:sz w:val="21"/>
                      <w:szCs w:val="21"/>
                      <w:shd w:val="clear" w:color="auto" w:fill="auto"/>
                      <w:vertAlign w:val="baseline"/>
                      <w:lang w:val="en-US" w:eastAsia="zh-CN"/>
                    </w:rPr>
                  </w:pPr>
                </w:p>
              </w:tc>
              <w:tc>
                <w:tcPr>
                  <w:tcW w:w="2532" w:type="dxa"/>
                  <w:tcBorders>
                    <w:tl2br w:val="nil"/>
                    <w:tr2bl w:val="nil"/>
                  </w:tcBorders>
                  <w:noWrap w:val="0"/>
                  <w:vAlign w:val="center"/>
                </w:tcPr>
                <w:p>
                  <w:pPr>
                    <w:pStyle w:val="71"/>
                    <w:jc w:val="center"/>
                    <w:rPr>
                      <w:rFonts w:hint="default" w:ascii="Times New Roman" w:hAnsi="Times New Roman" w:cs="Times New Roman"/>
                      <w:b/>
                      <w:bCs/>
                      <w:color w:val="auto"/>
                      <w:kern w:val="2"/>
                      <w:sz w:val="21"/>
                      <w:szCs w:val="21"/>
                      <w:shd w:val="clear" w:color="auto" w:fill="auto"/>
                      <w:vertAlign w:val="baseline"/>
                      <w:lang w:val="en-US" w:eastAsia="zh-CN" w:bidi="ar-SA"/>
                    </w:rPr>
                  </w:pPr>
                  <w:r>
                    <w:rPr>
                      <w:rFonts w:hint="eastAsia" w:ascii="Times New Roman" w:hAnsi="Times New Roman" w:cs="Times New Roman"/>
                      <w:color w:val="auto"/>
                      <w:sz w:val="21"/>
                      <w:szCs w:val="21"/>
                      <w:lang w:val="en-US" w:eastAsia="zh-CN"/>
                    </w:rPr>
                    <w:t>城管执法大队家属院</w:t>
                  </w:r>
                </w:p>
              </w:tc>
              <w:tc>
                <w:tcPr>
                  <w:tcW w:w="1157" w:type="dxa"/>
                  <w:tcBorders>
                    <w:tl2br w:val="nil"/>
                    <w:tr2bl w:val="nil"/>
                  </w:tcBorders>
                  <w:noWrap w:val="0"/>
                  <w:vAlign w:val="center"/>
                </w:tcPr>
                <w:p>
                  <w:pPr>
                    <w:pStyle w:val="71"/>
                    <w:rPr>
                      <w:rFonts w:hint="default" w:ascii="Times New Roman" w:hAnsi="Times New Roman" w:eastAsia="宋体" w:cs="Times New Roman"/>
                      <w:kern w:val="2"/>
                      <w:sz w:val="21"/>
                      <w:szCs w:val="21"/>
                      <w:highlight w:val="yellow"/>
                      <w:lang w:val="en-US" w:eastAsia="zh-CN" w:bidi="ar-SA"/>
                    </w:rPr>
                  </w:pPr>
                  <w:r>
                    <w:rPr>
                      <w:rFonts w:hint="eastAsia" w:ascii="Times New Roman" w:hAnsi="Times New Roman" w:cs="Times New Roman"/>
                      <w:color w:val="auto"/>
                      <w:sz w:val="21"/>
                      <w:szCs w:val="21"/>
                      <w:lang w:val="en-US" w:eastAsia="zh-CN"/>
                    </w:rPr>
                    <w:t>57</w:t>
                  </w:r>
                </w:p>
              </w:tc>
              <w:tc>
                <w:tcPr>
                  <w:tcW w:w="1213" w:type="dxa"/>
                  <w:tcBorders>
                    <w:tl2br w:val="nil"/>
                    <w:tr2bl w:val="nil"/>
                  </w:tcBorders>
                  <w:noWrap w:val="0"/>
                  <w:vAlign w:val="center"/>
                </w:tcPr>
                <w:p>
                  <w:pPr>
                    <w:pStyle w:val="71"/>
                    <w:rPr>
                      <w:rFonts w:hint="default" w:ascii="Times New Roman" w:hAnsi="Times New Roman" w:eastAsia="宋体" w:cs="Times New Roman"/>
                      <w:kern w:val="2"/>
                      <w:sz w:val="21"/>
                      <w:szCs w:val="21"/>
                      <w:highlight w:val="yellow"/>
                      <w:lang w:val="en-US" w:eastAsia="zh-CN" w:bidi="ar-SA"/>
                    </w:rPr>
                  </w:pPr>
                  <w:r>
                    <w:rPr>
                      <w:rFonts w:hint="eastAsia" w:ascii="Times New Roman" w:hAnsi="Times New Roman" w:cs="Times New Roman"/>
                      <w:color w:val="auto"/>
                      <w:sz w:val="21"/>
                      <w:szCs w:val="21"/>
                      <w:lang w:val="en-US" w:eastAsia="zh-CN"/>
                    </w:rPr>
                    <w:t>49</w:t>
                  </w:r>
                </w:p>
              </w:tc>
              <w:tc>
                <w:tcPr>
                  <w:tcW w:w="730" w:type="pct"/>
                  <w:vMerge w:val="continue"/>
                  <w:tcBorders>
                    <w:tl2br w:val="nil"/>
                    <w:tr2bl w:val="nil"/>
                  </w:tcBorders>
                  <w:noWrap w:val="0"/>
                  <w:vAlign w:val="center"/>
                </w:tcPr>
                <w:p>
                  <w:pPr>
                    <w:pStyle w:val="71"/>
                    <w:rPr>
                      <w:rFonts w:hint="eastAsia" w:ascii="Times New Roman" w:hAnsi="Times New Roman" w:cs="Times New Roman"/>
                      <w:kern w:val="2"/>
                      <w:sz w:val="21"/>
                      <w:szCs w:val="21"/>
                      <w:lang w:val="en-US" w:eastAsia="zh-CN" w:bidi="ar-SA"/>
                    </w:rPr>
                  </w:pPr>
                </w:p>
              </w:tc>
              <w:tc>
                <w:tcPr>
                  <w:tcW w:w="757" w:type="pct"/>
                  <w:vMerge w:val="continue"/>
                  <w:tcBorders>
                    <w:tl2br w:val="nil"/>
                    <w:tr2bl w:val="nil"/>
                  </w:tcBorders>
                  <w:noWrap w:val="0"/>
                  <w:vAlign w:val="center"/>
                </w:tcPr>
                <w:p>
                  <w:pPr>
                    <w:pStyle w:val="71"/>
                    <w:rPr>
                      <w:rFonts w:hint="eastAsia" w:ascii="Times New Roman" w:hAnsi="Times New Roman" w:cs="Times New Roman"/>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continue"/>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cs="Times New Roman"/>
                      <w:color w:val="auto"/>
                      <w:sz w:val="21"/>
                      <w:szCs w:val="21"/>
                      <w:shd w:val="clear" w:color="auto" w:fill="auto"/>
                      <w:vertAlign w:val="baseline"/>
                      <w:lang w:val="en-US" w:eastAsia="zh-CN"/>
                    </w:rPr>
                  </w:pPr>
                </w:p>
              </w:tc>
              <w:tc>
                <w:tcPr>
                  <w:tcW w:w="2532" w:type="dxa"/>
                  <w:tcBorders>
                    <w:tl2br w:val="nil"/>
                    <w:tr2bl w:val="nil"/>
                  </w:tcBorders>
                  <w:noWrap w:val="0"/>
                  <w:vAlign w:val="center"/>
                </w:tcPr>
                <w:p>
                  <w:pPr>
                    <w:pStyle w:val="71"/>
                    <w:jc w:val="center"/>
                    <w:rPr>
                      <w:rFonts w:hint="eastAsia" w:ascii="Times New Roman" w:hAnsi="Times New Roman" w:cs="Times New Roman"/>
                      <w:b/>
                      <w:bCs/>
                      <w:color w:val="auto"/>
                      <w:kern w:val="2"/>
                      <w:sz w:val="21"/>
                      <w:szCs w:val="21"/>
                      <w:shd w:val="clear" w:color="auto" w:fill="auto"/>
                      <w:vertAlign w:val="baseline"/>
                      <w:lang w:val="en-US" w:eastAsia="zh-CN" w:bidi="ar-SA"/>
                    </w:rPr>
                  </w:pPr>
                  <w:r>
                    <w:rPr>
                      <w:rFonts w:hint="eastAsia" w:ascii="Times New Roman" w:hAnsi="Times New Roman" w:cs="Times New Roman"/>
                      <w:color w:val="auto"/>
                      <w:sz w:val="21"/>
                      <w:szCs w:val="21"/>
                      <w:lang w:val="en-US" w:eastAsia="zh-CN"/>
                    </w:rPr>
                    <w:t>香溪丽舍小区</w:t>
                  </w:r>
                </w:p>
              </w:tc>
              <w:tc>
                <w:tcPr>
                  <w:tcW w:w="1157" w:type="dxa"/>
                  <w:tcBorders>
                    <w:tl2br w:val="nil"/>
                    <w:tr2bl w:val="nil"/>
                  </w:tcBorders>
                  <w:noWrap w:val="0"/>
                  <w:vAlign w:val="center"/>
                </w:tcPr>
                <w:p>
                  <w:pPr>
                    <w:pStyle w:val="71"/>
                    <w:rPr>
                      <w:rFonts w:hint="default" w:ascii="Times New Roman" w:hAnsi="Times New Roman" w:eastAsia="宋体" w:cs="Times New Roman"/>
                      <w:kern w:val="2"/>
                      <w:sz w:val="21"/>
                      <w:szCs w:val="21"/>
                      <w:highlight w:val="yellow"/>
                      <w:lang w:val="en-US" w:eastAsia="zh-CN" w:bidi="ar-SA"/>
                    </w:rPr>
                  </w:pPr>
                  <w:r>
                    <w:rPr>
                      <w:rFonts w:hint="eastAsia" w:ascii="Times New Roman" w:hAnsi="Times New Roman" w:cs="Times New Roman"/>
                      <w:color w:val="auto"/>
                      <w:sz w:val="21"/>
                      <w:szCs w:val="21"/>
                      <w:lang w:val="en-US" w:eastAsia="zh-CN"/>
                    </w:rPr>
                    <w:t>52</w:t>
                  </w:r>
                </w:p>
              </w:tc>
              <w:tc>
                <w:tcPr>
                  <w:tcW w:w="1213" w:type="dxa"/>
                  <w:tcBorders>
                    <w:tl2br w:val="nil"/>
                    <w:tr2bl w:val="nil"/>
                  </w:tcBorders>
                  <w:noWrap w:val="0"/>
                  <w:vAlign w:val="center"/>
                </w:tcPr>
                <w:p>
                  <w:pPr>
                    <w:pStyle w:val="71"/>
                    <w:rPr>
                      <w:rFonts w:hint="default" w:ascii="Times New Roman" w:hAnsi="Times New Roman" w:eastAsia="宋体" w:cs="Times New Roman"/>
                      <w:kern w:val="2"/>
                      <w:sz w:val="21"/>
                      <w:szCs w:val="21"/>
                      <w:highlight w:val="yellow"/>
                      <w:lang w:val="en-US" w:eastAsia="zh-CN" w:bidi="ar-SA"/>
                    </w:rPr>
                  </w:pPr>
                  <w:r>
                    <w:rPr>
                      <w:rFonts w:hint="eastAsia" w:ascii="Times New Roman" w:hAnsi="Times New Roman" w:cs="Times New Roman"/>
                      <w:color w:val="auto"/>
                      <w:sz w:val="21"/>
                      <w:szCs w:val="21"/>
                      <w:lang w:val="en-US" w:eastAsia="zh-CN"/>
                    </w:rPr>
                    <w:t>46</w:t>
                  </w:r>
                </w:p>
              </w:tc>
              <w:tc>
                <w:tcPr>
                  <w:tcW w:w="730" w:type="pct"/>
                  <w:vMerge w:val="continue"/>
                  <w:tcBorders>
                    <w:tl2br w:val="nil"/>
                    <w:tr2bl w:val="nil"/>
                  </w:tcBorders>
                  <w:noWrap w:val="0"/>
                  <w:vAlign w:val="center"/>
                </w:tcPr>
                <w:p>
                  <w:pPr>
                    <w:pStyle w:val="71"/>
                    <w:rPr>
                      <w:rFonts w:hint="eastAsia" w:ascii="Times New Roman" w:hAnsi="Times New Roman" w:cs="Times New Roman"/>
                      <w:kern w:val="2"/>
                      <w:sz w:val="21"/>
                      <w:szCs w:val="21"/>
                      <w:lang w:val="en-US" w:eastAsia="zh-CN" w:bidi="ar-SA"/>
                    </w:rPr>
                  </w:pPr>
                </w:p>
              </w:tc>
              <w:tc>
                <w:tcPr>
                  <w:tcW w:w="757" w:type="pct"/>
                  <w:vMerge w:val="continue"/>
                  <w:tcBorders>
                    <w:tl2br w:val="nil"/>
                    <w:tr2bl w:val="nil"/>
                  </w:tcBorders>
                  <w:noWrap w:val="0"/>
                  <w:vAlign w:val="center"/>
                </w:tcPr>
                <w:p>
                  <w:pPr>
                    <w:pStyle w:val="71"/>
                    <w:rPr>
                      <w:rFonts w:hint="eastAsia" w:ascii="Times New Roman" w:hAnsi="Times New Roman" w:cs="Times New Roman"/>
                      <w:kern w:val="2"/>
                      <w:sz w:val="21"/>
                      <w:szCs w:val="21"/>
                      <w:lang w:val="en-US" w:eastAsia="zh-CN" w:bidi="ar-SA"/>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lang w:val="en-US" w:eastAsia="zh-CN" w:bidi="ar"/>
              </w:rPr>
              <w:t>由表4-</w:t>
            </w:r>
            <w:r>
              <w:rPr>
                <w:rFonts w:hint="eastAsia" w:ascii="Times New Roman" w:hAnsi="Times New Roman" w:cs="Times New Roman"/>
                <w:color w:val="auto"/>
                <w:kern w:val="0"/>
                <w:sz w:val="24"/>
                <w:szCs w:val="24"/>
                <w:lang w:val="en-US" w:eastAsia="zh-CN" w:bidi="ar"/>
              </w:rPr>
              <w:t>9监测</w:t>
            </w:r>
            <w:r>
              <w:rPr>
                <w:rFonts w:hint="default" w:ascii="Times New Roman" w:hAnsi="Times New Roman" w:eastAsia="宋体" w:cs="Times New Roman"/>
                <w:color w:val="auto"/>
                <w:kern w:val="0"/>
                <w:sz w:val="24"/>
                <w:szCs w:val="24"/>
                <w:lang w:val="en-US" w:eastAsia="zh-CN" w:bidi="ar"/>
              </w:rPr>
              <w:t>结果可以看出，项目运行期</w:t>
            </w:r>
            <w:r>
              <w:rPr>
                <w:rFonts w:hint="eastAsia" w:ascii="Times New Roman" w:hAnsi="Times New Roman" w:eastAsia="宋体" w:cs="Times New Roman"/>
                <w:color w:val="auto"/>
                <w:kern w:val="0"/>
                <w:sz w:val="24"/>
                <w:szCs w:val="24"/>
                <w:lang w:val="en-US" w:eastAsia="zh-CN" w:bidi="ar"/>
              </w:rPr>
              <w:t>各</w:t>
            </w:r>
            <w:r>
              <w:rPr>
                <w:rFonts w:hint="default" w:ascii="Times New Roman" w:hAnsi="Times New Roman" w:eastAsia="宋体" w:cs="Times New Roman"/>
                <w:color w:val="auto"/>
                <w:kern w:val="0"/>
                <w:sz w:val="24"/>
                <w:szCs w:val="24"/>
                <w:lang w:val="en-US" w:eastAsia="zh-CN" w:bidi="ar"/>
              </w:rPr>
              <w:t>厂界噪声均</w:t>
            </w:r>
            <w:r>
              <w:rPr>
                <w:rFonts w:hint="eastAsia" w:ascii="Times New Roman" w:hAnsi="Times New Roman" w:cs="Times New Roman"/>
                <w:color w:val="auto"/>
                <w:kern w:val="0"/>
                <w:sz w:val="24"/>
                <w:szCs w:val="24"/>
                <w:lang w:val="en-US" w:eastAsia="zh-CN" w:bidi="ar"/>
              </w:rPr>
              <w:t>满足</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工业企业厂界环境噪声排放标准</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GB3096-2008</w:t>
            </w:r>
            <w:r>
              <w:rPr>
                <w:rFonts w:hint="default" w:ascii="Times New Roman" w:hAnsi="Times New Roman" w:eastAsia="宋体" w:cs="Times New Roman"/>
                <w:color w:val="auto"/>
                <w:kern w:val="0"/>
                <w:sz w:val="24"/>
                <w:szCs w:val="24"/>
                <w:lang w:val="en-US" w:eastAsia="zh-CN" w:bidi="ar"/>
              </w:rPr>
              <w:t>）中2类标准</w:t>
            </w:r>
            <w:r>
              <w:rPr>
                <w:rFonts w:hint="eastAsia" w:ascii="Times New Roman" w:hAnsi="Times New Roman" w:cs="Times New Roman"/>
                <w:color w:val="auto"/>
                <w:kern w:val="0"/>
                <w:sz w:val="24"/>
                <w:szCs w:val="24"/>
                <w:lang w:val="en-US" w:eastAsia="zh-CN" w:bidi="ar"/>
              </w:rPr>
              <w:t>要求</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cs="Times New Roman"/>
                <w:color w:val="auto"/>
                <w:kern w:val="0"/>
                <w:sz w:val="24"/>
                <w:szCs w:val="24"/>
                <w:lang w:val="en-US" w:eastAsia="zh-CN" w:bidi="ar"/>
              </w:rPr>
              <w:t>周围各</w:t>
            </w:r>
            <w:r>
              <w:rPr>
                <w:rFonts w:hint="eastAsia" w:ascii="Times New Roman" w:hAnsi="Times New Roman" w:eastAsia="宋体" w:cs="Times New Roman"/>
                <w:color w:val="auto"/>
                <w:kern w:val="0"/>
                <w:sz w:val="24"/>
                <w:szCs w:val="24"/>
                <w:highlight w:val="none"/>
                <w:lang w:val="en-US" w:eastAsia="zh-CN" w:bidi="ar"/>
              </w:rPr>
              <w:t>敏感点</w:t>
            </w:r>
            <w:r>
              <w:rPr>
                <w:rFonts w:hint="eastAsia" w:ascii="Times New Roman" w:hAnsi="Times New Roman" w:cs="Times New Roman"/>
                <w:color w:val="auto"/>
                <w:kern w:val="0"/>
                <w:sz w:val="24"/>
                <w:szCs w:val="24"/>
                <w:highlight w:val="none"/>
                <w:lang w:val="en-US" w:eastAsia="zh-CN" w:bidi="ar"/>
              </w:rPr>
              <w:t>噪声满足</w:t>
            </w:r>
            <w:r>
              <w:rPr>
                <w:rFonts w:hint="default" w:ascii="Times New Roman" w:hAnsi="Times New Roman" w:eastAsia="宋体" w:cs="Times New Roman"/>
                <w:color w:val="auto"/>
                <w:kern w:val="0"/>
                <w:sz w:val="24"/>
                <w:szCs w:val="24"/>
                <w:highlight w:val="none"/>
                <w:lang w:val="en-US" w:eastAsia="zh-CN" w:bidi="ar"/>
              </w:rPr>
              <w:t>《声环境质量标准》（GB 3096-2008）中2类区标准限值要求。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3.3噪声例行监测计划</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根据《排污许可证申请与核发技术规范 医疗机构》（HJ1105-2020），本项目噪声例行监测计划详见表4-1</w:t>
            </w:r>
            <w:r>
              <w:rPr>
                <w:rFonts w:hint="eastAsia" w:ascii="Times New Roman" w:hAnsi="Times New Roman" w:cs="Times New Roman"/>
                <w:color w:val="auto"/>
                <w:kern w:val="0"/>
                <w:sz w:val="24"/>
                <w:szCs w:val="24"/>
                <w:lang w:val="en-US" w:eastAsia="zh-CN" w:bidi="ar"/>
              </w:rPr>
              <w:t>0</w:t>
            </w:r>
            <w:r>
              <w:rPr>
                <w:rFonts w:hint="default" w:ascii="Times New Roman" w:hAnsi="Times New Roman" w:eastAsia="宋体" w:cs="Times New Roman"/>
                <w:color w:val="auto"/>
                <w:kern w:val="0"/>
                <w:sz w:val="24"/>
                <w:szCs w:val="24"/>
                <w:lang w:val="en-US" w:eastAsia="zh-CN" w:bidi="ar"/>
              </w:rPr>
              <w:t>。</w:t>
            </w:r>
          </w:p>
          <w:p>
            <w:pPr>
              <w:pStyle w:val="36"/>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b/>
                <w:bCs/>
                <w:color w:val="auto"/>
                <w:sz w:val="24"/>
                <w:szCs w:val="24"/>
                <w:lang w:val="en-US" w:eastAsia="zh-CN"/>
              </w:rPr>
              <w:t>表4-1</w:t>
            </w:r>
            <w:r>
              <w:rPr>
                <w:rFonts w:hint="eastAsia" w:ascii="Times New Roman" w:hAnsi="Times New Roman" w:cs="Times New Roman"/>
                <w:b/>
                <w:bCs/>
                <w:color w:val="auto"/>
                <w:sz w:val="24"/>
                <w:szCs w:val="24"/>
                <w:lang w:val="en-US" w:eastAsia="zh-CN"/>
              </w:rPr>
              <w:t xml:space="preserve">0 </w:t>
            </w:r>
            <w:r>
              <w:rPr>
                <w:rFonts w:hint="default" w:ascii="Times New Roman" w:hAnsi="Times New Roman" w:cs="Times New Roman"/>
                <w:b/>
                <w:bCs/>
                <w:color w:val="auto"/>
                <w:sz w:val="24"/>
                <w:szCs w:val="24"/>
                <w:lang w:val="en-US" w:eastAsia="zh-CN"/>
              </w:rPr>
              <w:t xml:space="preserve"> 噪声监测计划</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377"/>
              <w:gridCol w:w="1613"/>
              <w:gridCol w:w="40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监测项目</w:t>
                  </w:r>
                </w:p>
              </w:tc>
              <w:tc>
                <w:tcPr>
                  <w:tcW w:w="75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监测点位</w:t>
                  </w:r>
                </w:p>
              </w:tc>
              <w:tc>
                <w:tcPr>
                  <w:tcW w:w="88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监测频次</w:t>
                  </w:r>
                </w:p>
              </w:tc>
              <w:tc>
                <w:tcPr>
                  <w:tcW w:w="221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等效连续A声级</w:t>
                  </w:r>
                </w:p>
              </w:tc>
              <w:tc>
                <w:tcPr>
                  <w:tcW w:w="75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厂界</w:t>
                  </w:r>
                  <w:r>
                    <w:rPr>
                      <w:rFonts w:hint="eastAsia" w:ascii="Times New Roman" w:hAnsi="Times New Roman" w:cs="Times New Roman"/>
                      <w:color w:val="auto"/>
                      <w:sz w:val="21"/>
                      <w:szCs w:val="21"/>
                      <w:vertAlign w:val="baseline"/>
                      <w:lang w:val="en-US" w:eastAsia="zh-CN"/>
                    </w:rPr>
                    <w:t>四周</w:t>
                  </w:r>
                </w:p>
              </w:tc>
              <w:tc>
                <w:tcPr>
                  <w:tcW w:w="88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1次/季度</w:t>
                  </w:r>
                </w:p>
              </w:tc>
              <w:tc>
                <w:tcPr>
                  <w:tcW w:w="221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snapToGrid w:val="0"/>
                      <w:color w:val="auto"/>
                      <w:sz w:val="21"/>
                      <w:szCs w:val="21"/>
                    </w:rPr>
                    <w:t>《</w:t>
                  </w:r>
                  <w:r>
                    <w:rPr>
                      <w:rFonts w:hint="eastAsia" w:ascii="Times New Roman" w:hAnsi="Times New Roman" w:cs="Times New Roman"/>
                      <w:snapToGrid w:val="0"/>
                      <w:color w:val="auto"/>
                      <w:sz w:val="21"/>
                      <w:szCs w:val="21"/>
                      <w:lang w:eastAsia="zh-CN"/>
                    </w:rPr>
                    <w:t>工业企业厂界环境噪声排放标准</w:t>
                  </w:r>
                  <w:r>
                    <w:rPr>
                      <w:rFonts w:hint="default" w:ascii="Times New Roman" w:hAnsi="Times New Roman" w:cs="Times New Roman"/>
                      <w:snapToGrid w:val="0"/>
                      <w:color w:val="auto"/>
                      <w:sz w:val="21"/>
                      <w:szCs w:val="21"/>
                    </w:rPr>
                    <w:t>》（</w:t>
                  </w:r>
                  <w:r>
                    <w:rPr>
                      <w:rFonts w:hint="eastAsia" w:ascii="Times New Roman" w:hAnsi="Times New Roman" w:cs="Times New Roman"/>
                      <w:snapToGrid w:val="0"/>
                      <w:color w:val="auto"/>
                      <w:sz w:val="21"/>
                      <w:szCs w:val="21"/>
                      <w:lang w:eastAsia="zh-CN"/>
                    </w:rPr>
                    <w:t>GB3096-2008</w:t>
                  </w:r>
                  <w:r>
                    <w:rPr>
                      <w:rFonts w:hint="default" w:ascii="Times New Roman" w:hAnsi="Times New Roman" w:cs="Times New Roman"/>
                      <w:snapToGrid w:val="0"/>
                      <w:color w:val="auto"/>
                      <w:sz w:val="21"/>
                      <w:szCs w:val="21"/>
                    </w:rPr>
                    <w:t>）</w:t>
                  </w:r>
                  <w:r>
                    <w:rPr>
                      <w:rFonts w:hint="default" w:ascii="Times New Roman" w:hAnsi="Times New Roman" w:cs="Times New Roman"/>
                      <w:snapToGrid w:val="0"/>
                      <w:color w:val="auto"/>
                      <w:sz w:val="21"/>
                      <w:szCs w:val="21"/>
                      <w:lang w:eastAsia="zh-CN"/>
                    </w:rPr>
                    <w:t>中</w:t>
                  </w:r>
                  <w:r>
                    <w:rPr>
                      <w:rFonts w:hint="default" w:ascii="Times New Roman" w:hAnsi="Times New Roman" w:cs="Times New Roman"/>
                      <w:snapToGrid w:val="0"/>
                      <w:color w:val="auto"/>
                      <w:sz w:val="21"/>
                      <w:szCs w:val="21"/>
                      <w:lang w:val="en-US" w:eastAsia="zh-CN"/>
                    </w:rPr>
                    <w:t>2类标准</w:t>
                  </w:r>
                </w:p>
              </w:tc>
            </w:tr>
          </w:tbl>
          <w:p>
            <w:pPr>
              <w:pStyle w:val="4"/>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4固体废弃物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4.1固体废物产生与处置情况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本项目运营过程中产生的固体废物有生活垃圾、</w:t>
            </w:r>
            <w:r>
              <w:rPr>
                <w:rFonts w:hint="eastAsia" w:ascii="Times New Roman" w:hAnsi="Times New Roman" w:cs="Times New Roman"/>
                <w:color w:val="auto"/>
                <w:kern w:val="0"/>
                <w:sz w:val="24"/>
                <w:szCs w:val="24"/>
                <w:lang w:val="en-US" w:eastAsia="zh-CN" w:bidi="ar"/>
              </w:rPr>
              <w:t>未被污染的输液瓶（袋）、</w:t>
            </w:r>
            <w:r>
              <w:rPr>
                <w:rFonts w:hint="default" w:ascii="Times New Roman" w:hAnsi="Times New Roman" w:eastAsia="宋体" w:cs="Times New Roman"/>
                <w:color w:val="auto"/>
                <w:kern w:val="0"/>
                <w:sz w:val="24"/>
                <w:szCs w:val="24"/>
                <w:lang w:val="en-US" w:eastAsia="zh-CN" w:bidi="ar"/>
              </w:rPr>
              <w:t>医疗废物、污水处理</w:t>
            </w:r>
            <w:r>
              <w:rPr>
                <w:rFonts w:hint="eastAsia" w:ascii="Times New Roman" w:hAnsi="Times New Roman" w:eastAsia="宋体" w:cs="Times New Roman"/>
                <w:color w:val="auto"/>
                <w:kern w:val="0"/>
                <w:sz w:val="24"/>
                <w:szCs w:val="24"/>
                <w:lang w:val="en-US" w:eastAsia="zh-CN" w:bidi="ar"/>
              </w:rPr>
              <w:t>站</w:t>
            </w:r>
            <w:r>
              <w:rPr>
                <w:rFonts w:hint="eastAsia" w:ascii="Times New Roman" w:hAnsi="Times New Roman" w:cs="Times New Roman"/>
                <w:color w:val="auto"/>
                <w:kern w:val="0"/>
                <w:sz w:val="24"/>
                <w:szCs w:val="24"/>
                <w:lang w:val="en-US" w:eastAsia="zh-CN" w:bidi="ar"/>
              </w:rPr>
              <w:t>及化粪池</w:t>
            </w:r>
            <w:r>
              <w:rPr>
                <w:rFonts w:hint="default" w:ascii="Times New Roman" w:hAnsi="Times New Roman" w:eastAsia="宋体" w:cs="Times New Roman"/>
                <w:color w:val="auto"/>
                <w:kern w:val="0"/>
                <w:sz w:val="24"/>
                <w:szCs w:val="24"/>
                <w:lang w:val="en-US" w:eastAsia="zh-CN" w:bidi="ar"/>
              </w:rPr>
              <w:t>产生的污泥等。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①生活垃圾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lang w:val="en-US" w:eastAsia="zh-CN" w:bidi="ar"/>
              </w:rPr>
              <w:t>本项目生活垃圾主要来源于住院病人、门诊病人</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医护人员</w:t>
            </w:r>
            <w:r>
              <w:rPr>
                <w:rFonts w:hint="eastAsia" w:ascii="Times New Roman" w:hAnsi="Times New Roman" w:cs="Times New Roman"/>
                <w:color w:val="auto"/>
                <w:kern w:val="0"/>
                <w:sz w:val="24"/>
                <w:szCs w:val="24"/>
                <w:lang w:val="en-US" w:eastAsia="zh-CN" w:bidi="ar"/>
              </w:rPr>
              <w:t>及陪护人员等产生的生活垃圾</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cs="Times New Roman"/>
                <w:color w:val="auto"/>
                <w:kern w:val="0"/>
                <w:sz w:val="24"/>
                <w:szCs w:val="24"/>
                <w:lang w:val="en-US" w:eastAsia="zh-CN" w:bidi="ar"/>
              </w:rPr>
              <w:t>生活垃圾实际运行中，产生量约为54.75t/a。</w:t>
            </w:r>
            <w:r>
              <w:rPr>
                <w:rFonts w:hint="default" w:ascii="Times New Roman" w:hAnsi="Times New Roman" w:eastAsia="宋体" w:cs="Times New Roman"/>
                <w:color w:val="auto"/>
                <w:kern w:val="0"/>
                <w:sz w:val="24"/>
                <w:szCs w:val="24"/>
                <w:lang w:val="en-US" w:eastAsia="zh-CN" w:bidi="ar"/>
              </w:rPr>
              <w:t>本项目运营过程中产生的生活垃圾分类收集后，由当地环卫部门统一清运处理处置。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②</w:t>
            </w:r>
            <w:r>
              <w:rPr>
                <w:rFonts w:hint="eastAsia" w:ascii="Times New Roman" w:hAnsi="Times New Roman" w:eastAsia="宋体" w:cs="Times New Roman"/>
                <w:color w:val="auto"/>
                <w:kern w:val="0"/>
                <w:sz w:val="24"/>
                <w:szCs w:val="24"/>
                <w:lang w:val="en-US" w:eastAsia="zh-CN" w:bidi="ar"/>
              </w:rPr>
              <w:t>未被污染的输液瓶（袋）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sz w:val="24"/>
                <w:szCs w:val="24"/>
                <w:lang w:val="en-US" w:eastAsia="zh-CN"/>
              </w:rPr>
              <w:t>本</w:t>
            </w:r>
            <w:r>
              <w:rPr>
                <w:rFonts w:hint="default" w:ascii="Times New Roman" w:hAnsi="Times New Roman" w:eastAsia="宋体" w:cs="Times New Roman"/>
                <w:color w:val="auto"/>
                <w:sz w:val="24"/>
                <w:szCs w:val="24"/>
                <w:lang w:eastAsia="zh-CN"/>
              </w:rPr>
              <w:t>项目产生的未被污染输液瓶（袋）量约为</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.5t/a，</w:t>
            </w:r>
            <w:r>
              <w:rPr>
                <w:rFonts w:hint="default" w:ascii="Times New Roman" w:hAnsi="Times New Roman" w:eastAsia="宋体" w:cs="Times New Roman"/>
                <w:color w:val="auto"/>
                <w:sz w:val="24"/>
                <w:szCs w:val="24"/>
                <w:lang w:eastAsia="zh-CN"/>
              </w:rPr>
              <w:t>根据原卫生部《关于明确医疗废物分类有关问题的通知》（卫办医发</w:t>
            </w:r>
            <w:r>
              <w:rPr>
                <w:rFonts w:hint="eastAsia" w:ascii="宋体" w:hAnsi="宋体" w:eastAsia="宋体" w:cs="宋体"/>
                <w:color w:val="auto"/>
                <w:sz w:val="24"/>
                <w:szCs w:val="24"/>
                <w:lang w:eastAsia="zh-CN"/>
              </w:rPr>
              <w:t>[</w:t>
            </w:r>
            <w:r>
              <w:rPr>
                <w:rFonts w:hint="default" w:ascii="Times New Roman" w:hAnsi="Times New Roman" w:eastAsia="宋体" w:cs="Times New Roman"/>
                <w:color w:val="auto"/>
                <w:sz w:val="24"/>
                <w:szCs w:val="24"/>
                <w:lang w:eastAsia="zh-CN"/>
              </w:rPr>
              <w:t>2005</w:t>
            </w:r>
            <w:r>
              <w:rPr>
                <w:rFonts w:hint="eastAsia" w:ascii="宋体" w:hAnsi="宋体" w:eastAsia="宋体" w:cs="宋体"/>
                <w:color w:val="auto"/>
                <w:sz w:val="24"/>
                <w:szCs w:val="24"/>
                <w:lang w:eastAsia="zh-CN"/>
              </w:rPr>
              <w:t>]</w:t>
            </w:r>
            <w:r>
              <w:rPr>
                <w:rFonts w:hint="default" w:ascii="Times New Roman" w:hAnsi="Times New Roman" w:eastAsia="宋体" w:cs="Times New Roman"/>
                <w:color w:val="auto"/>
                <w:sz w:val="24"/>
                <w:szCs w:val="24"/>
                <w:lang w:eastAsia="zh-CN"/>
              </w:rPr>
              <w:t>292号）规定</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医疗机构使用后的，未被病人血液、体液、排泄物污染的输液瓶（袋），不属于医疗废物，不必按照医疗废物进行管理，但这类废物回收利用时不能用于原用途，用于其他用途时应符合不危害人体健康的原则。对未被污染的输液瓶（袋）加强统一管理，严禁混入针头、一次性输液器、输液管等医疗废物。</w:t>
            </w:r>
            <w:r>
              <w:rPr>
                <w:rFonts w:hint="eastAsia" w:ascii="Times New Roman" w:hAnsi="Times New Roman" w:eastAsia="宋体" w:cs="Times New Roman"/>
                <w:color w:val="auto"/>
                <w:sz w:val="24"/>
                <w:szCs w:val="24"/>
                <w:lang w:eastAsia="zh-CN"/>
              </w:rPr>
              <w:t>”集中收集后交由</w:t>
            </w:r>
            <w:r>
              <w:rPr>
                <w:rFonts w:hint="eastAsia" w:ascii="Times New Roman" w:hAnsi="Times New Roman" w:cs="Times New Roman"/>
                <w:color w:val="auto"/>
                <w:sz w:val="24"/>
                <w:szCs w:val="24"/>
                <w:lang w:val="en-US" w:eastAsia="zh-CN"/>
              </w:rPr>
              <w:t>安康医疗处置中心</w:t>
            </w:r>
            <w:r>
              <w:rPr>
                <w:rFonts w:hint="eastAsia" w:ascii="Times New Roman" w:hAnsi="Times New Roman" w:eastAsia="宋体" w:cs="Times New Roman"/>
                <w:color w:val="auto"/>
                <w:sz w:val="24"/>
                <w:szCs w:val="24"/>
                <w:lang w:eastAsia="zh-CN"/>
              </w:rPr>
              <w:t>进行处置</w:t>
            </w:r>
            <w:r>
              <w:rPr>
                <w:rFonts w:hint="eastAsia" w:ascii="Times New Roman" w:hAnsi="Times New Roman" w:cs="Times New Roman"/>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③医疗废物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医疗废物主要是指医疗卫生机构在医疗、预防、保健以及其他相关活动中产生的具有直接或者间接感染性以及其他危害性的废物。根据《国家危险废物名录》（2021年版），属于HW01医疗废物。</w:t>
            </w:r>
            <w:r>
              <w:rPr>
                <w:rFonts w:hint="eastAsia" w:ascii="Times New Roman" w:hAnsi="Times New Roman" w:cs="Times New Roman"/>
                <w:color w:val="auto"/>
                <w:kern w:val="0"/>
                <w:sz w:val="24"/>
                <w:szCs w:val="24"/>
                <w:lang w:val="en-US" w:eastAsia="zh-CN" w:bidi="ar"/>
              </w:rPr>
              <w:t>本项目运营过程中产生的</w:t>
            </w:r>
            <w:r>
              <w:rPr>
                <w:rFonts w:hint="default" w:ascii="Times New Roman" w:hAnsi="Times New Roman" w:eastAsia="宋体" w:cs="Times New Roman"/>
                <w:color w:val="auto"/>
                <w:kern w:val="0"/>
                <w:sz w:val="24"/>
                <w:szCs w:val="24"/>
                <w:lang w:val="en-US" w:eastAsia="zh-CN" w:bidi="ar"/>
              </w:rPr>
              <w:t>医疗废物量</w:t>
            </w:r>
            <w:r>
              <w:rPr>
                <w:rFonts w:hint="eastAsia" w:ascii="Times New Roman" w:hAnsi="Times New Roman" w:cs="Times New Roman"/>
                <w:color w:val="auto"/>
                <w:kern w:val="0"/>
                <w:sz w:val="24"/>
                <w:szCs w:val="24"/>
                <w:lang w:val="en-US" w:eastAsia="zh-CN" w:bidi="ar"/>
              </w:rPr>
              <w:t>依据安康华兴妇产医院危险废物转移联单，根据建设单位提供资料，与其他月份相比2024年5月危废转移量最大，故以2024年5月为代表月份。根据2024年5月危险废物转移联单，2024年5月转移损伤性和感染性医疗废物共0.2029t。则项目医疗废物产生量约为2.435t/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rPr>
            </w:pPr>
            <w:r>
              <w:rPr>
                <w:rFonts w:hint="eastAsia" w:ascii="宋体" w:hAnsi="宋体" w:eastAsia="宋体" w:cs="宋体"/>
                <w:color w:val="auto"/>
                <w:kern w:val="0"/>
                <w:sz w:val="24"/>
                <w:szCs w:val="24"/>
                <w:lang w:val="en-US" w:eastAsia="zh-CN" w:bidi="ar"/>
              </w:rPr>
              <w:t>④</w:t>
            </w:r>
            <w:r>
              <w:rPr>
                <w:rFonts w:hint="default" w:ascii="Times New Roman" w:hAnsi="Times New Roman" w:cs="Times New Roman"/>
                <w:color w:val="auto"/>
                <w:sz w:val="24"/>
                <w:szCs w:val="24"/>
                <w:highlight w:val="none"/>
              </w:rPr>
              <w:t>污水处理</w:t>
            </w:r>
            <w:r>
              <w:rPr>
                <w:rFonts w:hint="eastAsia" w:ascii="Times New Roman" w:hAnsi="Times New Roman" w:cs="Times New Roman"/>
                <w:color w:val="auto"/>
                <w:sz w:val="24"/>
                <w:szCs w:val="24"/>
                <w:highlight w:val="none"/>
                <w:lang w:val="en-US" w:eastAsia="zh-CN"/>
              </w:rPr>
              <w:t>站和化粪池</w:t>
            </w:r>
            <w:r>
              <w:rPr>
                <w:rFonts w:hint="default" w:ascii="Times New Roman" w:hAnsi="Times New Roman" w:cs="Times New Roman"/>
                <w:color w:val="auto"/>
                <w:sz w:val="24"/>
                <w:szCs w:val="24"/>
                <w:highlight w:val="none"/>
              </w:rPr>
              <w:t>产生的污泥</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sz w:val="24"/>
                <w:szCs w:val="24"/>
              </w:rPr>
              <w:t>根据《国家危险废物名录》和《医疗机构水污染物排放标准》（GB18466-2005），医院污水处理系统产生的污泥含有病菌等物质属于危险固废，名录编号为HW01医疗废物831-001-01。</w:t>
            </w:r>
            <w:r>
              <w:rPr>
                <w:rFonts w:hint="default" w:ascii="Times New Roman" w:hAnsi="Times New Roman" w:cs="Times New Roman"/>
                <w:color w:val="auto"/>
                <w:sz w:val="24"/>
                <w:szCs w:val="24"/>
                <w:highlight w:val="none"/>
                <w:lang w:val="en-US" w:eastAsia="zh-CN"/>
              </w:rPr>
              <w:t>本</w:t>
            </w:r>
            <w:r>
              <w:rPr>
                <w:rFonts w:hint="default" w:ascii="Times New Roman" w:hAnsi="Times New Roman" w:cs="Times New Roman"/>
                <w:color w:val="auto"/>
                <w:sz w:val="24"/>
                <w:szCs w:val="24"/>
                <w:highlight w:val="none"/>
              </w:rPr>
              <w:t>项目污水处理</w:t>
            </w:r>
            <w:r>
              <w:rPr>
                <w:rFonts w:hint="eastAsia" w:ascii="Times New Roman" w:hAnsi="Times New Roman" w:cs="Times New Roman"/>
                <w:color w:val="auto"/>
                <w:sz w:val="24"/>
                <w:szCs w:val="24"/>
                <w:highlight w:val="none"/>
                <w:lang w:val="en-US" w:eastAsia="zh-CN"/>
              </w:rPr>
              <w:t>站</w:t>
            </w:r>
            <w:r>
              <w:rPr>
                <w:rFonts w:hint="default" w:ascii="Times New Roman" w:hAnsi="Times New Roman" w:cs="Times New Roman"/>
                <w:color w:val="auto"/>
                <w:sz w:val="24"/>
                <w:szCs w:val="24"/>
                <w:highlight w:val="none"/>
                <w:lang w:val="en-US" w:eastAsia="zh-CN"/>
              </w:rPr>
              <w:t>运行过程中</w:t>
            </w:r>
            <w:r>
              <w:rPr>
                <w:rFonts w:hint="default" w:ascii="Times New Roman" w:hAnsi="Times New Roman" w:cs="Times New Roman"/>
                <w:color w:val="auto"/>
                <w:sz w:val="24"/>
                <w:szCs w:val="24"/>
                <w:highlight w:val="none"/>
              </w:rPr>
              <w:t>污泥</w:t>
            </w:r>
            <w:r>
              <w:rPr>
                <w:rFonts w:hint="default" w:ascii="Times New Roman" w:hAnsi="Times New Roman" w:cs="Times New Roman"/>
                <w:color w:val="auto"/>
                <w:sz w:val="24"/>
                <w:szCs w:val="24"/>
                <w:highlight w:val="none"/>
                <w:lang w:val="en-US" w:eastAsia="zh-CN"/>
              </w:rPr>
              <w:t>产生</w:t>
            </w:r>
            <w:r>
              <w:rPr>
                <w:rFonts w:hint="default" w:ascii="Times New Roman" w:hAnsi="Times New Roman" w:cs="Times New Roman"/>
                <w:color w:val="auto"/>
                <w:sz w:val="24"/>
                <w:szCs w:val="24"/>
                <w:highlight w:val="none"/>
              </w:rPr>
              <w:t>量与污水处理量有关，根据类比</w:t>
            </w:r>
            <w:r>
              <w:rPr>
                <w:rFonts w:hint="eastAsia" w:ascii="Times New Roman" w:hAnsi="Times New Roman" w:cs="Times New Roman"/>
                <w:color w:val="auto"/>
                <w:sz w:val="24"/>
                <w:szCs w:val="24"/>
                <w:highlight w:val="none"/>
                <w:lang w:val="en-US" w:eastAsia="zh-CN"/>
              </w:rPr>
              <w:t>同类型医院</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本</w:t>
            </w:r>
            <w:r>
              <w:rPr>
                <w:rFonts w:hint="default" w:ascii="Times New Roman" w:hAnsi="Times New Roman" w:cs="Times New Roman"/>
                <w:color w:val="auto"/>
                <w:sz w:val="24"/>
                <w:szCs w:val="24"/>
                <w:highlight w:val="none"/>
              </w:rPr>
              <w:t>项目</w:t>
            </w:r>
            <w:r>
              <w:rPr>
                <w:rFonts w:hint="eastAsia" w:ascii="Times New Roman" w:hAnsi="Times New Roman" w:cs="Times New Roman"/>
                <w:color w:val="auto"/>
                <w:sz w:val="24"/>
                <w:szCs w:val="24"/>
                <w:highlight w:val="none"/>
                <w:lang w:val="en-US" w:eastAsia="zh-CN"/>
              </w:rPr>
              <w:t>污泥产生量约为5kg/d、1.825t/a。</w:t>
            </w:r>
            <w:r>
              <w:rPr>
                <w:rFonts w:hint="default" w:ascii="Times New Roman" w:hAnsi="Times New Roman" w:cs="Times New Roman"/>
                <w:color w:val="auto"/>
                <w:sz w:val="24"/>
                <w:szCs w:val="24"/>
                <w:highlight w:val="none"/>
              </w:rPr>
              <w:t>污水处理</w:t>
            </w:r>
            <w:r>
              <w:rPr>
                <w:rFonts w:hint="eastAsia" w:ascii="Times New Roman" w:hAnsi="Times New Roman" w:cs="Times New Roman"/>
                <w:color w:val="auto"/>
                <w:sz w:val="24"/>
                <w:szCs w:val="24"/>
                <w:highlight w:val="none"/>
                <w:lang w:val="en-US" w:eastAsia="zh-CN"/>
              </w:rPr>
              <w:t>站</w:t>
            </w:r>
            <w:r>
              <w:rPr>
                <w:rFonts w:hint="default" w:ascii="Times New Roman" w:hAnsi="Times New Roman" w:cs="Times New Roman"/>
                <w:color w:val="auto"/>
                <w:sz w:val="24"/>
                <w:szCs w:val="24"/>
                <w:highlight w:val="none"/>
              </w:rPr>
              <w:t>和化粪池产生</w:t>
            </w:r>
            <w:r>
              <w:rPr>
                <w:rFonts w:hint="default" w:ascii="Times New Roman" w:hAnsi="Times New Roman" w:cs="Times New Roman"/>
                <w:color w:val="auto"/>
                <w:sz w:val="24"/>
                <w:szCs w:val="24"/>
                <w:highlight w:val="none"/>
                <w:lang w:val="en-US" w:eastAsia="zh-CN"/>
              </w:rPr>
              <w:t>的</w:t>
            </w:r>
            <w:r>
              <w:rPr>
                <w:rFonts w:hint="default" w:ascii="Times New Roman" w:hAnsi="Times New Roman" w:cs="Times New Roman"/>
                <w:color w:val="auto"/>
                <w:sz w:val="24"/>
                <w:szCs w:val="24"/>
                <w:highlight w:val="none"/>
              </w:rPr>
              <w:t>污泥</w:t>
            </w:r>
            <w:r>
              <w:rPr>
                <w:rFonts w:hint="default" w:ascii="Times New Roman" w:hAnsi="Times New Roman" w:cs="Times New Roman"/>
                <w:color w:val="auto"/>
                <w:sz w:val="24"/>
                <w:szCs w:val="24"/>
                <w:highlight w:val="none"/>
                <w:lang w:val="en-US" w:eastAsia="zh-CN"/>
              </w:rPr>
              <w:t>均</w:t>
            </w:r>
            <w:r>
              <w:rPr>
                <w:rFonts w:hint="default" w:ascii="Times New Roman" w:hAnsi="Times New Roman" w:cs="Times New Roman"/>
                <w:color w:val="auto"/>
                <w:sz w:val="24"/>
                <w:szCs w:val="24"/>
                <w:highlight w:val="none"/>
              </w:rPr>
              <w:t>属危险废物，</w:t>
            </w:r>
            <w:r>
              <w:rPr>
                <w:rFonts w:hint="default" w:ascii="Times New Roman" w:hAnsi="Times New Roman" w:cs="Times New Roman"/>
                <w:color w:val="auto"/>
                <w:sz w:val="24"/>
                <w:szCs w:val="24"/>
                <w:highlight w:val="none"/>
                <w:lang w:val="en-US" w:eastAsia="zh-CN"/>
              </w:rPr>
              <w:t>需</w:t>
            </w:r>
            <w:r>
              <w:rPr>
                <w:rFonts w:hint="default" w:ascii="Times New Roman" w:hAnsi="Times New Roman" w:cs="Times New Roman"/>
                <w:color w:val="auto"/>
                <w:sz w:val="24"/>
                <w:szCs w:val="24"/>
                <w:highlight w:val="none"/>
              </w:rPr>
              <w:t>委托具有</w:t>
            </w:r>
            <w:r>
              <w:rPr>
                <w:rFonts w:hint="default" w:ascii="Times New Roman" w:hAnsi="Times New Roman" w:cs="Times New Roman"/>
                <w:color w:val="auto"/>
                <w:sz w:val="24"/>
                <w:szCs w:val="24"/>
                <w:highlight w:val="none"/>
                <w:lang w:val="en-US" w:eastAsia="zh-CN"/>
              </w:rPr>
              <w:t>相应危险废物</w:t>
            </w:r>
            <w:r>
              <w:rPr>
                <w:rFonts w:hint="default" w:ascii="Times New Roman" w:hAnsi="Times New Roman" w:cs="Times New Roman"/>
                <w:color w:val="auto"/>
                <w:sz w:val="24"/>
                <w:szCs w:val="24"/>
                <w:highlight w:val="none"/>
              </w:rPr>
              <w:t>处理资质的单位</w:t>
            </w:r>
            <w:r>
              <w:rPr>
                <w:rFonts w:hint="default" w:ascii="Times New Roman" w:hAnsi="Times New Roman" w:cs="Times New Roman"/>
                <w:color w:val="auto"/>
                <w:sz w:val="24"/>
                <w:szCs w:val="24"/>
                <w:highlight w:val="none"/>
                <w:lang w:val="en-US" w:eastAsia="zh-CN"/>
              </w:rPr>
              <w:t>上门抽吸清运处置。</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根据前述分析结果，本项目固体废物产生及处置情况详见表4-1</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val="en-US" w:eastAsia="zh-CN"/>
              </w:rPr>
              <w:t>。</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表4-1</w:t>
            </w:r>
            <w:r>
              <w:rPr>
                <w:rFonts w:hint="eastAsia" w:ascii="Times New Roman" w:hAnsi="Times New Roman" w:cs="Times New Roman"/>
                <w:b/>
                <w:bCs/>
                <w:color w:val="auto"/>
                <w:sz w:val="24"/>
                <w:szCs w:val="24"/>
                <w:lang w:val="en-US" w:eastAsia="zh-CN"/>
              </w:rPr>
              <w:t>1</w:t>
            </w:r>
            <w:r>
              <w:rPr>
                <w:rFonts w:hint="default" w:ascii="Times New Roman" w:hAnsi="Times New Roman" w:cs="Times New Roman"/>
                <w:b/>
                <w:bCs/>
                <w:color w:val="auto"/>
                <w:sz w:val="24"/>
                <w:szCs w:val="24"/>
                <w:lang w:val="en-US" w:eastAsia="zh-CN"/>
              </w:rPr>
              <w:t xml:space="preserve"> 本项目固体废物产生及处置情况一览表</w:t>
            </w:r>
          </w:p>
          <w:tbl>
            <w:tblPr>
              <w:tblStyle w:val="28"/>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31"/>
              <w:gridCol w:w="1412"/>
              <w:gridCol w:w="1117"/>
              <w:gridCol w:w="1115"/>
              <w:gridCol w:w="34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序号</w:t>
                  </w:r>
                </w:p>
              </w:tc>
              <w:tc>
                <w:tcPr>
                  <w:tcW w:w="734"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固废名称</w:t>
                  </w:r>
                </w:p>
              </w:tc>
              <w:tc>
                <w:tcPr>
                  <w:tcW w:w="77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产生量（t/a）</w:t>
                  </w:r>
                </w:p>
              </w:tc>
              <w:tc>
                <w:tcPr>
                  <w:tcW w:w="61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固废类别</w:t>
                  </w:r>
                </w:p>
              </w:tc>
              <w:tc>
                <w:tcPr>
                  <w:tcW w:w="615"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排放规律</w:t>
                  </w:r>
                </w:p>
              </w:tc>
              <w:tc>
                <w:tcPr>
                  <w:tcW w:w="187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w:t>
                  </w:r>
                </w:p>
              </w:tc>
              <w:tc>
                <w:tcPr>
                  <w:tcW w:w="734"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生活垃圾</w:t>
                  </w:r>
                </w:p>
              </w:tc>
              <w:tc>
                <w:tcPr>
                  <w:tcW w:w="77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54.75</w:t>
                  </w:r>
                </w:p>
              </w:tc>
              <w:tc>
                <w:tcPr>
                  <w:tcW w:w="61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生活垃圾</w:t>
                  </w:r>
                </w:p>
              </w:tc>
              <w:tc>
                <w:tcPr>
                  <w:tcW w:w="615"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b w:val="0"/>
                      <w:color w:val="auto"/>
                      <w:sz w:val="21"/>
                      <w:highlight w:val="none"/>
                      <w:lang w:val="en-US" w:eastAsia="zh-CN"/>
                    </w:rPr>
                    <w:t>间断</w:t>
                  </w:r>
                </w:p>
              </w:tc>
              <w:tc>
                <w:tcPr>
                  <w:tcW w:w="187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分类收集后，由当地环卫部门统一清运处理处置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w:t>
                  </w:r>
                </w:p>
              </w:tc>
              <w:tc>
                <w:tcPr>
                  <w:tcW w:w="734"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未被污染的输液瓶（袋）</w:t>
                  </w:r>
                </w:p>
              </w:tc>
              <w:tc>
                <w:tcPr>
                  <w:tcW w:w="77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0.5</w:t>
                  </w:r>
                </w:p>
              </w:tc>
              <w:tc>
                <w:tcPr>
                  <w:tcW w:w="61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一般固体废物</w:t>
                  </w:r>
                </w:p>
              </w:tc>
              <w:tc>
                <w:tcPr>
                  <w:tcW w:w="615"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b w:val="0"/>
                      <w:color w:val="auto"/>
                      <w:sz w:val="21"/>
                      <w:highlight w:val="none"/>
                      <w:lang w:val="en-US" w:eastAsia="zh-CN"/>
                    </w:rPr>
                    <w:t>间断</w:t>
                  </w:r>
                </w:p>
              </w:tc>
              <w:tc>
                <w:tcPr>
                  <w:tcW w:w="187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收集后，交由</w:t>
                  </w:r>
                  <w:r>
                    <w:rPr>
                      <w:rFonts w:hint="eastAsia" w:ascii="Times New Roman" w:hAnsi="Times New Roman" w:cs="Times New Roman"/>
                      <w:color w:val="auto"/>
                      <w:kern w:val="0"/>
                      <w:sz w:val="21"/>
                      <w:szCs w:val="21"/>
                      <w:highlight w:val="none"/>
                      <w:lang w:val="en-US" w:eastAsia="zh-CN" w:bidi="ar-SA"/>
                    </w:rPr>
                    <w:t>安康市医疗废物处置中心</w:t>
                  </w:r>
                  <w:r>
                    <w:rPr>
                      <w:rFonts w:hint="default" w:ascii="Times New Roman" w:hAnsi="Times New Roman" w:eastAsia="宋体" w:cs="Times New Roman"/>
                      <w:color w:val="auto"/>
                      <w:kern w:val="0"/>
                      <w:sz w:val="21"/>
                      <w:szCs w:val="21"/>
                      <w:highlight w:val="none"/>
                      <w:lang w:val="en-US" w:eastAsia="zh-CN" w:bidi="ar-SA"/>
                    </w:rPr>
                    <w:t>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w:t>
                  </w:r>
                </w:p>
              </w:tc>
              <w:tc>
                <w:tcPr>
                  <w:tcW w:w="734"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污泥</w:t>
                  </w:r>
                </w:p>
              </w:tc>
              <w:tc>
                <w:tcPr>
                  <w:tcW w:w="77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1.825</w:t>
                  </w:r>
                </w:p>
              </w:tc>
              <w:tc>
                <w:tcPr>
                  <w:tcW w:w="61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危险废物</w:t>
                  </w:r>
                </w:p>
              </w:tc>
              <w:tc>
                <w:tcPr>
                  <w:tcW w:w="615"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b w:val="0"/>
                      <w:color w:val="auto"/>
                      <w:sz w:val="21"/>
                      <w:highlight w:val="none"/>
                      <w:lang w:val="en-US" w:eastAsia="zh-CN"/>
                    </w:rPr>
                    <w:t>间断</w:t>
                  </w:r>
                </w:p>
              </w:tc>
              <w:tc>
                <w:tcPr>
                  <w:tcW w:w="187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定期由有相应危险废物处置资质单位上门抽吸清运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4</w:t>
                  </w:r>
                </w:p>
              </w:tc>
              <w:tc>
                <w:tcPr>
                  <w:tcW w:w="734"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医疗废物</w:t>
                  </w:r>
                </w:p>
              </w:tc>
              <w:tc>
                <w:tcPr>
                  <w:tcW w:w="77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2.435</w:t>
                  </w:r>
                </w:p>
              </w:tc>
              <w:tc>
                <w:tcPr>
                  <w:tcW w:w="616"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危险废物</w:t>
                  </w:r>
                </w:p>
              </w:tc>
              <w:tc>
                <w:tcPr>
                  <w:tcW w:w="615"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b w:val="0"/>
                      <w:color w:val="auto"/>
                      <w:sz w:val="21"/>
                      <w:highlight w:val="none"/>
                      <w:lang w:val="en-US" w:eastAsia="zh-CN"/>
                    </w:rPr>
                    <w:t>间断</w:t>
                  </w:r>
                </w:p>
              </w:tc>
              <w:tc>
                <w:tcPr>
                  <w:tcW w:w="187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分类收集后，暂存于医疗废物暂存间</w:t>
                  </w:r>
                  <w:r>
                    <w:rPr>
                      <w:rFonts w:hint="eastAsia" w:ascii="Times New Roman" w:hAnsi="Times New Roman" w:cs="Times New Roman"/>
                      <w:color w:val="auto"/>
                      <w:kern w:val="0"/>
                      <w:sz w:val="21"/>
                      <w:szCs w:val="21"/>
                      <w:highlight w:val="none"/>
                      <w:lang w:val="en-US" w:eastAsia="zh-CN" w:bidi="ar-SA"/>
                    </w:rPr>
                    <w:t>后</w:t>
                  </w:r>
                  <w:r>
                    <w:rPr>
                      <w:rFonts w:hint="default" w:ascii="Times New Roman" w:hAnsi="Times New Roman" w:eastAsia="宋体" w:cs="Times New Roman"/>
                      <w:color w:val="auto"/>
                      <w:kern w:val="0"/>
                      <w:sz w:val="21"/>
                      <w:szCs w:val="21"/>
                      <w:highlight w:val="none"/>
                      <w:lang w:val="en-US" w:eastAsia="zh-CN" w:bidi="ar-SA"/>
                    </w:rPr>
                    <w:t>交由</w:t>
                  </w:r>
                  <w:r>
                    <w:rPr>
                      <w:rFonts w:hint="eastAsia" w:ascii="Times New Roman" w:hAnsi="Times New Roman" w:cs="Times New Roman"/>
                      <w:color w:val="auto"/>
                      <w:kern w:val="0"/>
                      <w:sz w:val="21"/>
                      <w:szCs w:val="21"/>
                      <w:highlight w:val="none"/>
                      <w:lang w:val="en-US" w:eastAsia="zh-CN" w:bidi="ar-SA"/>
                    </w:rPr>
                    <w:t>安康市医疗废物处置中心</w:t>
                  </w:r>
                  <w:r>
                    <w:rPr>
                      <w:rFonts w:hint="default" w:ascii="Times New Roman" w:hAnsi="Times New Roman" w:eastAsia="宋体" w:cs="Times New Roman"/>
                      <w:color w:val="auto"/>
                      <w:kern w:val="0"/>
                      <w:sz w:val="21"/>
                      <w:szCs w:val="21"/>
                      <w:highlight w:val="none"/>
                      <w:lang w:val="en-US" w:eastAsia="zh-CN" w:bidi="ar-SA"/>
                    </w:rPr>
                    <w:t>处置</w:t>
                  </w:r>
                </w:p>
              </w:tc>
            </w:tr>
          </w:tbl>
          <w:p>
            <w:pPr>
              <w:pStyle w:val="36"/>
              <w:keepNext w:val="0"/>
              <w:keepLines w:val="0"/>
              <w:pageBreakBefore w:val="0"/>
              <w:widowControl/>
              <w:numPr>
                <w:ilvl w:val="0"/>
                <w:numId w:val="0"/>
              </w:numPr>
              <w:kinsoku/>
              <w:wordWrap/>
              <w:overflowPunct/>
              <w:topLinePunct w:val="0"/>
              <w:autoSpaceDE w:val="0"/>
              <w:autoSpaceDN w:val="0"/>
              <w:bidi w:val="0"/>
              <w:adjustRightInd w:val="0"/>
              <w:snapToGrid/>
              <w:spacing w:before="157" w:beforeLines="50" w:line="240" w:lineRule="auto"/>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表4-1</w:t>
            </w:r>
            <w:r>
              <w:rPr>
                <w:rFonts w:hint="eastAsia"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lang w:val="en-US" w:eastAsia="zh-CN"/>
              </w:rPr>
              <w:t xml:space="preserve"> 危险废物分析表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16"/>
              <w:gridCol w:w="1701"/>
              <w:gridCol w:w="1160"/>
              <w:gridCol w:w="1160"/>
              <w:gridCol w:w="1370"/>
              <w:gridCol w:w="16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序号</w:t>
                  </w:r>
                </w:p>
              </w:tc>
              <w:tc>
                <w:tcPr>
                  <w:tcW w:w="725"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固废名称</w:t>
                  </w:r>
                </w:p>
              </w:tc>
              <w:tc>
                <w:tcPr>
                  <w:tcW w:w="93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主要成分</w:t>
                  </w:r>
                </w:p>
              </w:tc>
              <w:tc>
                <w:tcPr>
                  <w:tcW w:w="63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危险特性</w:t>
                  </w:r>
                </w:p>
              </w:tc>
              <w:tc>
                <w:tcPr>
                  <w:tcW w:w="63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废物类别</w:t>
                  </w:r>
                </w:p>
              </w:tc>
              <w:tc>
                <w:tcPr>
                  <w:tcW w:w="755"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废物代码</w:t>
                  </w:r>
                </w:p>
              </w:tc>
              <w:tc>
                <w:tcPr>
                  <w:tcW w:w="91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鉴别依据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w:t>
                  </w:r>
                </w:p>
              </w:tc>
              <w:tc>
                <w:tcPr>
                  <w:tcW w:w="725"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医疗废物</w:t>
                  </w:r>
                </w:p>
              </w:tc>
              <w:tc>
                <w:tcPr>
                  <w:tcW w:w="93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感染性废物</w:t>
                  </w:r>
                </w:p>
              </w:tc>
              <w:tc>
                <w:tcPr>
                  <w:tcW w:w="63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In</w:t>
                  </w:r>
                </w:p>
              </w:tc>
              <w:tc>
                <w:tcPr>
                  <w:tcW w:w="639"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HW01</w:t>
                  </w:r>
                </w:p>
              </w:tc>
              <w:tc>
                <w:tcPr>
                  <w:tcW w:w="755"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841-001-01</w:t>
                  </w:r>
                </w:p>
              </w:tc>
              <w:tc>
                <w:tcPr>
                  <w:tcW w:w="913" w:type="pct"/>
                  <w:vMerge w:val="restar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《国家危险废物名录》（2021年版）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25"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93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损伤性废物</w:t>
                  </w:r>
                </w:p>
              </w:tc>
              <w:tc>
                <w:tcPr>
                  <w:tcW w:w="63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In</w:t>
                  </w:r>
                </w:p>
              </w:tc>
              <w:tc>
                <w:tcPr>
                  <w:tcW w:w="639"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55"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841-002-01</w:t>
                  </w:r>
                </w:p>
              </w:tc>
              <w:tc>
                <w:tcPr>
                  <w:tcW w:w="913"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25"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93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病理性废物</w:t>
                  </w:r>
                </w:p>
              </w:tc>
              <w:tc>
                <w:tcPr>
                  <w:tcW w:w="63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In</w:t>
                  </w:r>
                </w:p>
              </w:tc>
              <w:tc>
                <w:tcPr>
                  <w:tcW w:w="639"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55"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841-003-01</w:t>
                  </w:r>
                </w:p>
              </w:tc>
              <w:tc>
                <w:tcPr>
                  <w:tcW w:w="913"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25"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93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化学性废物</w:t>
                  </w:r>
                </w:p>
              </w:tc>
              <w:tc>
                <w:tcPr>
                  <w:tcW w:w="63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T/C/I/R</w:t>
                  </w:r>
                </w:p>
              </w:tc>
              <w:tc>
                <w:tcPr>
                  <w:tcW w:w="639"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55"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841-004-01</w:t>
                  </w:r>
                </w:p>
              </w:tc>
              <w:tc>
                <w:tcPr>
                  <w:tcW w:w="913"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25"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93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药物性废物</w:t>
                  </w:r>
                </w:p>
              </w:tc>
              <w:tc>
                <w:tcPr>
                  <w:tcW w:w="63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T</w:t>
                  </w:r>
                </w:p>
              </w:tc>
              <w:tc>
                <w:tcPr>
                  <w:tcW w:w="639"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55"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841-005-01</w:t>
                  </w:r>
                </w:p>
              </w:tc>
              <w:tc>
                <w:tcPr>
                  <w:tcW w:w="913"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w:t>
                  </w:r>
                </w:p>
              </w:tc>
              <w:tc>
                <w:tcPr>
                  <w:tcW w:w="725"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污泥</w:t>
                  </w:r>
                </w:p>
              </w:tc>
              <w:tc>
                <w:tcPr>
                  <w:tcW w:w="937"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感染性废物</w:t>
                  </w:r>
                </w:p>
              </w:tc>
              <w:tc>
                <w:tcPr>
                  <w:tcW w:w="639"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In</w:t>
                  </w:r>
                </w:p>
              </w:tc>
              <w:tc>
                <w:tcPr>
                  <w:tcW w:w="639"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55"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841-001-01</w:t>
                  </w:r>
                </w:p>
              </w:tc>
              <w:tc>
                <w:tcPr>
                  <w:tcW w:w="913" w:type="pct"/>
                  <w:vMerge w:val="continue"/>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4.2医疗废物暂存间合理性分析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sz w:val="24"/>
                <w:szCs w:val="24"/>
                <w:lang w:val="en-US" w:eastAsia="zh-CN"/>
              </w:rPr>
              <w:t>本项目</w:t>
            </w:r>
            <w:r>
              <w:rPr>
                <w:rFonts w:hint="eastAsia" w:ascii="Times New Roman" w:hAnsi="Times New Roman" w:cs="Times New Roman"/>
                <w:color w:val="auto"/>
                <w:sz w:val="24"/>
                <w:szCs w:val="24"/>
                <w:lang w:val="en-US" w:eastAsia="zh-CN"/>
              </w:rPr>
              <w:t>医院</w:t>
            </w:r>
            <w:r>
              <w:rPr>
                <w:rFonts w:hint="default" w:ascii="Times New Roman" w:hAnsi="Times New Roman" w:eastAsia="宋体" w:cs="Times New Roman"/>
                <w:color w:val="auto"/>
                <w:sz w:val="24"/>
                <w:szCs w:val="24"/>
                <w:highlight w:val="none"/>
                <w:lang w:val="en-US" w:eastAsia="zh-CN"/>
              </w:rPr>
              <w:t>综合楼</w:t>
            </w:r>
            <w:r>
              <w:rPr>
                <w:rFonts w:hint="eastAsia" w:ascii="Times New Roman" w:hAnsi="Times New Roman" w:cs="Times New Roman"/>
                <w:color w:val="auto"/>
                <w:sz w:val="24"/>
                <w:szCs w:val="24"/>
                <w:highlight w:val="none"/>
                <w:lang w:val="en-US" w:eastAsia="zh-CN"/>
              </w:rPr>
              <w:t>南侧</w:t>
            </w:r>
            <w:r>
              <w:rPr>
                <w:rFonts w:hint="default" w:ascii="Times New Roman" w:hAnsi="Times New Roman" w:eastAsia="宋体" w:cs="Times New Roman"/>
                <w:color w:val="auto"/>
                <w:sz w:val="24"/>
                <w:szCs w:val="24"/>
                <w:highlight w:val="none"/>
                <w:lang w:val="en-US" w:eastAsia="zh-CN"/>
              </w:rPr>
              <w:t>设置</w:t>
            </w:r>
            <w:r>
              <w:rPr>
                <w:rFonts w:hint="eastAsia" w:ascii="Times New Roman" w:hAnsi="Times New Roman" w:cs="Times New Roman"/>
                <w:color w:val="auto"/>
                <w:sz w:val="24"/>
                <w:szCs w:val="24"/>
                <w:highlight w:val="none"/>
                <w:lang w:val="en-US" w:eastAsia="zh-CN"/>
              </w:rPr>
              <w:t>一座</w:t>
            </w:r>
            <w:r>
              <w:rPr>
                <w:rFonts w:hint="default" w:ascii="Times New Roman" w:hAnsi="Times New Roman" w:eastAsia="宋体" w:cs="Times New Roman"/>
                <w:color w:val="auto"/>
                <w:sz w:val="24"/>
                <w:szCs w:val="24"/>
                <w:highlight w:val="none"/>
                <w:lang w:val="en-US" w:eastAsia="zh-CN"/>
              </w:rPr>
              <w:t>医疗废物暂存</w:t>
            </w:r>
            <w:r>
              <w:rPr>
                <w:rFonts w:hint="default" w:ascii="Times New Roman" w:hAnsi="Times New Roman" w:eastAsia="宋体" w:cs="Times New Roman"/>
                <w:color w:val="auto"/>
                <w:sz w:val="24"/>
                <w:szCs w:val="24"/>
                <w:lang w:val="en-US" w:eastAsia="zh-CN"/>
              </w:rPr>
              <w:t>间，</w:t>
            </w:r>
            <w:r>
              <w:rPr>
                <w:rFonts w:hint="eastAsia" w:ascii="Times New Roman" w:hAnsi="Times New Roman" w:cs="Times New Roman"/>
                <w:color w:val="auto"/>
                <w:sz w:val="24"/>
                <w:szCs w:val="24"/>
                <w:lang w:val="en-US" w:eastAsia="zh-CN"/>
              </w:rPr>
              <w:t>建筑面积约11.5m</w:t>
            </w:r>
            <w:r>
              <w:rPr>
                <w:rFonts w:hint="eastAsia" w:ascii="Times New Roman" w:hAnsi="Times New Roman" w:cs="Times New Roman"/>
                <w:color w:val="auto"/>
                <w:sz w:val="24"/>
                <w:szCs w:val="24"/>
                <w:vertAlign w:val="superscript"/>
                <w:lang w:val="en-US" w:eastAsia="zh-CN"/>
              </w:rPr>
              <w:t>2</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远离医疗区，方便医疗废物运送人员及运送工具、车辆等出入，并按照《医疗废物管理条例》、《医疗卫生机构医疗废物管理办法》等要求，有严密的封闭措施，设置明显的警示标识和防渗漏、防鼠、防蚊蝇、防盗及预防儿童接触等安全措施，同时，项目运营过程中，建设单位严格按照相关要求，使用防渗漏、防遗撒的专用运送工具，按照确定的内部医疗废物运送时间、路线，将医疗废物收集、运送至医疗废物暂存间，运送工具使用后及时消毒，医疗废物暂存间及暂存设施、设备定期消毒和清洁，能够有效避免医疗废物暂存过程中的污染影响。本项目运营过程中医疗废物产生量约</w:t>
            </w:r>
            <w:r>
              <w:rPr>
                <w:rFonts w:hint="eastAsia" w:ascii="Times New Roman" w:hAnsi="Times New Roman" w:cs="Times New Roman"/>
                <w:color w:val="auto"/>
                <w:sz w:val="24"/>
                <w:szCs w:val="24"/>
                <w:lang w:val="en-US" w:eastAsia="zh-CN"/>
              </w:rPr>
              <w:t>2.435</w:t>
            </w:r>
            <w:r>
              <w:rPr>
                <w:rFonts w:hint="default" w:ascii="Times New Roman" w:hAnsi="Times New Roman" w:eastAsia="宋体" w:cs="Times New Roman"/>
                <w:color w:val="auto"/>
                <w:sz w:val="24"/>
                <w:szCs w:val="24"/>
                <w:lang w:val="en-US" w:eastAsia="zh-CN"/>
              </w:rPr>
              <w:t>t/a，根据《医疗废物管理条例》，医疗废物暂时贮存的时间不得超过2天，能够满足本项目运营过程中产生的医疗废物的暂存要求。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4.3固体废物全过程控制与管理要求</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项目医疗废物处置的具体要求如下：</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a、医疗废物的分类收集</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医疗废物分类收集时必须首先确保在废物产生点，医疗废物和非医疗废物进入有不同颜色和标识的包装容器中，以便于后续实施不同的管理方法。禁止医疗废物和生活垃圾混合收集。在每一个废物产生地点，根据废物类型相应的配备三个收集箱，一个是专用的利器盒，一个是黄色塑料袋，盛装除损伤性废物以外的医疗废物，一个是黑色塑料袋，盛装普通生活垃圾。直接与废物接触的黄色塑料袋和黑色塑料袋可套装在一个体积相当的塑料桶内以固定塑料袋外形，该塑料桶应定期进行消毒处理。</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其分类收集制度如下：</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将感染性废物和损伤性废物分别用有警示标识的黄色包装物或容器物盛装封闭；</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病理性废物必须防腐处理后用黄色包装物盛装封闭；</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感染性废物、损伤性废物、病理性废物、药物性废物不得混合收集；</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在盛装医疗废物前，应当对医疗废物包装物或者容器进行认真检查，确保无破损、渗漏和其它缺陷；</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损伤性废物在废物产生单位配置适合的毁形装置并立即毁形后，放在防刺的有警示标识的利器盒；</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盛装医疗废物达到包装物或容器的3/4时，必须进行紧实严密的封口；</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禁止在非收集、非暂时储存地点倾倒、堆放医疗废物，禁止将医疗废物混入其它废物或生活垃圾；</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批量的过期、淘汰、变质的一般性废弃药品必须由药剂科回收，报药监局统一处理，并登记保存备查。</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b、消毒处理</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医疗废物从运走前首先进行灭菌消毒处理。</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c、医疗废物的转运</w:t>
            </w:r>
          </w:p>
          <w:p>
            <w:pPr>
              <w:pStyle w:val="36"/>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医疗废物的转运应由专人负责，定期到医疗科室收集医疗废物，至少每天一次，医疗废物产量较高的科室可能需要每日多次清理，确保产生点不积累医疗废物。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d、医疗废物的储存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项目医废暂存间拟设在</w:t>
            </w:r>
            <w:r>
              <w:rPr>
                <w:rFonts w:hint="eastAsia" w:ascii="Times New Roman" w:hAnsi="Times New Roman" w:cs="Times New Roman"/>
                <w:color w:val="auto"/>
                <w:kern w:val="0"/>
                <w:sz w:val="24"/>
                <w:szCs w:val="24"/>
                <w:highlight w:val="none"/>
                <w:lang w:val="en-US" w:eastAsia="zh-CN" w:bidi="ar-SA"/>
              </w:rPr>
              <w:t>医院综合楼南</w:t>
            </w:r>
            <w:r>
              <w:rPr>
                <w:rFonts w:hint="default" w:ascii="Times New Roman" w:hAnsi="Times New Roman" w:eastAsia="宋体" w:cs="Times New Roman"/>
                <w:color w:val="auto"/>
                <w:kern w:val="0"/>
                <w:sz w:val="24"/>
                <w:szCs w:val="24"/>
                <w:highlight w:val="none"/>
                <w:lang w:val="en-US" w:eastAsia="zh-CN" w:bidi="ar-SA"/>
              </w:rPr>
              <w:t>侧，远离医院</w:t>
            </w:r>
            <w:r>
              <w:rPr>
                <w:rFonts w:hint="eastAsia" w:ascii="Times New Roman" w:hAnsi="Times New Roman" w:cs="Times New Roman"/>
                <w:color w:val="auto"/>
                <w:kern w:val="0"/>
                <w:sz w:val="24"/>
                <w:szCs w:val="24"/>
                <w:highlight w:val="none"/>
                <w:lang w:val="en-US" w:eastAsia="zh-CN" w:bidi="ar-SA"/>
              </w:rPr>
              <w:t>住院区</w:t>
            </w:r>
            <w:r>
              <w:rPr>
                <w:rFonts w:hint="default" w:ascii="Times New Roman" w:hAnsi="Times New Roman" w:eastAsia="宋体" w:cs="Times New Roman"/>
                <w:color w:val="auto"/>
                <w:kern w:val="0"/>
                <w:sz w:val="24"/>
                <w:szCs w:val="24"/>
                <w:highlight w:val="none"/>
                <w:lang w:val="en-US" w:eastAsia="zh-CN" w:bidi="ar-SA"/>
              </w:rPr>
              <w:t>，符合医院总平面布置以及洁污分流的要求。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医疗废物暂存处需设有严密的封闭措施，地面和墙裙须进行防渗处理，地面设有良好的排水性能，易于清洁和消毒；避免阳光直射，有良好的照明设备和通风条件。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医疗废物暂存处需设有明显的“医疗废物”区域性标识。并张贴一些“严禁扔、摔医疗废物袋或容器”，“禁止吸烟、饮食”等警示标识。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医疗废物的最终去向：根据就近集中处置的原则，医疗废物收集后统一交由有资质单位处置。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管理措施：项目依照危险废物转移联单制度填写和保存转移联单，并对医疗废物进行登记，登记内容包括医疗废物的来源、种类、重量或者数量、交接时间、最终去向以及经办人签名等项目。对登记资料予以保存。严格按照《医疗废物集中处置技术规范》（环发〔2003〕206号）转运处置医疗废物，确保医疗废物暂存不得超过48小时。</w:t>
            </w:r>
          </w:p>
          <w:p>
            <w:pPr>
              <w:pStyle w:val="4"/>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5、地下水、土壤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（1）污染源和污染物类型分析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污废水主要包括医疗废水以及生活污水。在正常工况下，医疗废水及生活污水经管网收集后进入市政管网后排至污水处理厂处理，不会对区域地下水产生影响。但如果收集不当或设备维护不善出现跑冒滴漏等，污水就可能渗入地下，对地下水产生影响。根据类比调查，短期大量排放（如突发性事故引起的管线破裂或管线阻塞而造成溢流），一般能及时发现，并可通过一定方法加以控制，因此，短期排放地下水污染几率较小，而且可以立即得到解决；而长期少量排放如管网跑冒滴漏等，一般较难发现，造成长期泄漏，可对地下水产生一定影响。特别是同一地点的连续泄漏，造成的水环境污染会更严重些。此外项目所产医疗废物、生活垃圾若收集储存不当，也可能污染影响地下水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本项目污水管网、污水处理站、</w:t>
            </w:r>
            <w:r>
              <w:rPr>
                <w:rFonts w:hint="default" w:ascii="Times New Roman" w:hAnsi="Times New Roman" w:eastAsia="宋体" w:cs="Times New Roman"/>
                <w:color w:val="auto"/>
                <w:kern w:val="0"/>
                <w:sz w:val="24"/>
                <w:szCs w:val="24"/>
                <w:highlight w:val="none"/>
                <w:lang w:val="en-US" w:eastAsia="zh-CN" w:bidi="ar-SA"/>
              </w:rPr>
              <w:t>医疗废物暂存间采取以下地下水防治措施：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①源头控制</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在工艺、管道、设备、污水储存及处理构筑物采取相应措施，防止和降低污染物跑、冒、滴、漏</w:t>
            </w:r>
            <w:r>
              <w:rPr>
                <w:rFonts w:hint="eastAsia" w:ascii="Times New Roman" w:hAnsi="Times New Roman" w:eastAsia="宋体" w:cs="Times New Roman"/>
                <w:color w:val="auto"/>
                <w:kern w:val="0"/>
                <w:sz w:val="24"/>
                <w:szCs w:val="24"/>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②对污水处理站、医疗废物暂存间地面</w:t>
            </w:r>
            <w:r>
              <w:rPr>
                <w:rFonts w:hint="eastAsia" w:ascii="Times New Roman" w:hAnsi="Times New Roman" w:eastAsia="宋体" w:cs="Times New Roman"/>
                <w:color w:val="auto"/>
                <w:kern w:val="0"/>
                <w:sz w:val="24"/>
                <w:szCs w:val="24"/>
                <w:highlight w:val="none"/>
                <w:lang w:val="en-US" w:eastAsia="zh-CN" w:bidi="ar-SA"/>
              </w:rPr>
              <w:t>按照</w:t>
            </w:r>
            <w:r>
              <w:rPr>
                <w:rFonts w:hint="default" w:ascii="Times New Roman" w:hAnsi="Times New Roman" w:eastAsia="宋体" w:cs="Times New Roman"/>
                <w:color w:val="auto"/>
                <w:kern w:val="0"/>
                <w:sz w:val="24"/>
                <w:szCs w:val="24"/>
                <w:highlight w:val="none"/>
                <w:lang w:val="en-US" w:eastAsia="zh-CN" w:bidi="ar-SA"/>
              </w:rPr>
              <w:t>《危险废物贮存污染控制标准》（GB 18597-20</w:t>
            </w:r>
            <w:r>
              <w:rPr>
                <w:rFonts w:hint="eastAsia" w:ascii="Times New Roman" w:hAnsi="Times New Roman" w:cs="Times New Roman"/>
                <w:color w:val="auto"/>
                <w:kern w:val="0"/>
                <w:sz w:val="24"/>
                <w:szCs w:val="24"/>
                <w:highlight w:val="none"/>
                <w:lang w:val="en-US" w:eastAsia="zh-CN" w:bidi="ar-SA"/>
              </w:rPr>
              <w:t>23</w:t>
            </w:r>
            <w:r>
              <w:rPr>
                <w:rFonts w:hint="default" w:ascii="Times New Roman" w:hAnsi="Times New Roman" w:eastAsia="宋体" w:cs="Times New Roman"/>
                <w:color w:val="auto"/>
                <w:kern w:val="0"/>
                <w:sz w:val="24"/>
                <w:szCs w:val="24"/>
                <w:highlight w:val="none"/>
                <w:lang w:val="en-US" w:eastAsia="zh-CN" w:bidi="ar-SA"/>
              </w:rPr>
              <w:t>）中的相关要求</w:t>
            </w:r>
            <w:r>
              <w:rPr>
                <w:rFonts w:hint="eastAsia" w:ascii="Times New Roman" w:hAnsi="Times New Roman" w:eastAsia="宋体" w:cs="Times New Roman"/>
                <w:color w:val="auto"/>
                <w:kern w:val="0"/>
                <w:sz w:val="24"/>
                <w:szCs w:val="24"/>
                <w:highlight w:val="none"/>
                <w:lang w:val="en-US" w:eastAsia="zh-CN" w:bidi="ar-SA"/>
              </w:rPr>
              <w:t>进行</w:t>
            </w:r>
            <w:r>
              <w:rPr>
                <w:rFonts w:hint="default" w:ascii="Times New Roman" w:hAnsi="Times New Roman" w:eastAsia="宋体" w:cs="Times New Roman"/>
                <w:color w:val="auto"/>
                <w:kern w:val="0"/>
                <w:sz w:val="24"/>
                <w:szCs w:val="24"/>
                <w:highlight w:val="none"/>
                <w:lang w:val="en-US" w:eastAsia="zh-CN" w:bidi="ar-SA"/>
              </w:rPr>
              <w:t>防渗、防腐、硬化处理；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③污水处理站底部、侧面均采用防渗、防腐处理。废水采用管道输送，管道材料表面做防腐蚀处理；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highlight w:val="none"/>
                <w:lang w:val="en-US" w:eastAsia="zh-CN" w:bidi="ar-SA"/>
              </w:rPr>
              <w:t>本项目可能对地下水和土壤造成污染的污染源主要为污水处理站、污水管线及医疗废物暂存间。废水经污水处理站净化处理后排入市政污水管网，不直接向外环境排放废水，正常情况下不直接接触地下水和土壤。污水管线对地下水和土壤影响较小。医疗废物暂存间地面采取相应的防渗措施</w:t>
            </w:r>
            <w:r>
              <w:rPr>
                <w:rFonts w:hint="eastAsia" w:ascii="Times New Roman" w:hAnsi="Times New Roman" w:eastAsia="宋体" w:cs="Times New Roman"/>
                <w:color w:val="auto"/>
                <w:kern w:val="0"/>
                <w:sz w:val="24"/>
                <w:szCs w:val="24"/>
                <w:highlight w:val="none"/>
                <w:lang w:val="en-US" w:eastAsia="zh-CN" w:bidi="ar-SA"/>
              </w:rPr>
              <w:t>，医疗废物分类收集至医疗废物暂存箱后置于防渗托盘上</w:t>
            </w:r>
            <w:r>
              <w:rPr>
                <w:rFonts w:hint="default" w:ascii="Times New Roman" w:hAnsi="Times New Roman" w:eastAsia="宋体" w:cs="Times New Roman"/>
                <w:color w:val="auto"/>
                <w:kern w:val="0"/>
                <w:sz w:val="24"/>
                <w:szCs w:val="24"/>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（2）污染途径及防控措施分析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本项目运营期对地下水和土壤的主要污染途径是：污水管线及设备跑、冒、滴、漏造成污水泄漏，可能会通过包气带污染地下水。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为减轻本项目运营过程中对地下水和土壤环境的污染影响，应对污水管接口采取严格密封措施，管道铺设走向明确清晰，易于监督和维护，防止管道破损渗漏；污水管每隔一定距离应设置检查口，以利于检修和维护。同时对废水处理站、管线及医疗废物暂存间进行防腐、防渗处理，以减少对地下水和土壤环境的污染影响。</w:t>
            </w:r>
          </w:p>
          <w:p>
            <w:pPr>
              <w:pStyle w:val="35"/>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jc w:val="both"/>
              <w:textAlignment w:val="auto"/>
              <w:rPr>
                <w:rFonts w:hint="eastAsia" w:ascii="Times New Roman" w:cs="Times New Roman"/>
                <w:b w:val="0"/>
                <w:bCs w:val="0"/>
                <w:color w:val="auto"/>
                <w:kern w:val="0"/>
                <w:sz w:val="24"/>
                <w:szCs w:val="24"/>
                <w:lang w:val="en-US" w:eastAsia="zh-CN" w:bidi="ar"/>
              </w:rPr>
            </w:pPr>
            <w:r>
              <w:rPr>
                <w:rFonts w:hint="eastAsia" w:ascii="Times New Roman" w:cs="Times New Roman"/>
                <w:b w:val="0"/>
                <w:bCs w:val="0"/>
                <w:color w:val="auto"/>
                <w:kern w:val="0"/>
                <w:sz w:val="24"/>
                <w:szCs w:val="24"/>
                <w:lang w:val="en-US" w:eastAsia="zh-CN" w:bidi="ar"/>
              </w:rPr>
              <w:t>本项目分区防渗情况见下表4-13。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4"/>
                <w:szCs w:val="32"/>
                <w:lang w:val="en-US" w:eastAsia="zh-CN"/>
              </w:rPr>
            </w:pPr>
            <w:r>
              <w:rPr>
                <w:rFonts w:hint="default" w:ascii="Times New Roman" w:hAnsi="Times New Roman" w:cs="Times New Roman"/>
                <w:b/>
                <w:bCs/>
                <w:color w:val="auto"/>
                <w:sz w:val="24"/>
                <w:szCs w:val="32"/>
                <w:lang w:val="en-US" w:eastAsia="zh-CN"/>
              </w:rPr>
              <w:t>表4-1</w:t>
            </w:r>
            <w:r>
              <w:rPr>
                <w:rFonts w:hint="eastAsia" w:ascii="Times New Roman" w:hAnsi="Times New Roman" w:cs="Times New Roman"/>
                <w:b/>
                <w:bCs/>
                <w:color w:val="auto"/>
                <w:sz w:val="24"/>
                <w:szCs w:val="32"/>
                <w:lang w:val="en-US" w:eastAsia="zh-CN"/>
              </w:rPr>
              <w:t>3</w:t>
            </w:r>
            <w:r>
              <w:rPr>
                <w:rFonts w:hint="default" w:ascii="Times New Roman" w:hAnsi="Times New Roman" w:cs="Times New Roman"/>
                <w:b/>
                <w:bCs/>
                <w:color w:val="auto"/>
                <w:sz w:val="24"/>
                <w:szCs w:val="32"/>
                <w:lang w:val="en-US" w:eastAsia="zh-CN"/>
              </w:rPr>
              <w:t xml:space="preserve"> </w:t>
            </w:r>
            <w:r>
              <w:rPr>
                <w:rFonts w:hint="eastAsia" w:ascii="Times New Roman" w:hAnsi="Times New Roman" w:cs="Times New Roman"/>
                <w:b/>
                <w:bCs/>
                <w:color w:val="auto"/>
                <w:sz w:val="24"/>
                <w:szCs w:val="32"/>
                <w:lang w:val="en-US" w:eastAsia="zh-CN"/>
              </w:rPr>
              <w:t>项目分区</w:t>
            </w:r>
            <w:r>
              <w:rPr>
                <w:rFonts w:hint="default" w:ascii="Times New Roman" w:hAnsi="Times New Roman" w:cs="Times New Roman"/>
                <w:b/>
                <w:bCs/>
                <w:color w:val="auto"/>
                <w:sz w:val="24"/>
                <w:szCs w:val="32"/>
                <w:lang w:val="en-US" w:eastAsia="zh-CN"/>
              </w:rPr>
              <w:t>防渗等级一览表</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511"/>
              <w:gridCol w:w="1511"/>
              <w:gridCol w:w="1511"/>
              <w:gridCol w:w="1512"/>
              <w:gridCol w:w="15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场地名称</w:t>
                  </w:r>
                </w:p>
              </w:tc>
              <w:tc>
                <w:tcPr>
                  <w:tcW w:w="1511"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天然包气带防污性能</w:t>
                  </w:r>
                </w:p>
              </w:tc>
              <w:tc>
                <w:tcPr>
                  <w:tcW w:w="1511"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污染控制难易程度</w:t>
                  </w:r>
                </w:p>
              </w:tc>
              <w:tc>
                <w:tcPr>
                  <w:tcW w:w="1511"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污染物类型</w:t>
                  </w:r>
                </w:p>
              </w:tc>
              <w:tc>
                <w:tcPr>
                  <w:tcW w:w="1512"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防渗分区</w:t>
                  </w:r>
                </w:p>
              </w:tc>
              <w:tc>
                <w:tcPr>
                  <w:tcW w:w="1512"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防渗具体要求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污水处理站、医疗废物暂存间</w:t>
                  </w:r>
                </w:p>
              </w:tc>
              <w:tc>
                <w:tcPr>
                  <w:tcW w:w="1511"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弱</w:t>
                  </w:r>
                </w:p>
              </w:tc>
              <w:tc>
                <w:tcPr>
                  <w:tcW w:w="1511"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易</w:t>
                  </w:r>
                </w:p>
              </w:tc>
              <w:tc>
                <w:tcPr>
                  <w:tcW w:w="1511"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持久性有机污染物、常规污染物</w:t>
                  </w:r>
                </w:p>
              </w:tc>
              <w:tc>
                <w:tcPr>
                  <w:tcW w:w="1512"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重点防渗区</w:t>
                  </w:r>
                </w:p>
              </w:tc>
              <w:tc>
                <w:tcPr>
                  <w:tcW w:w="1512"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等效黏土防渗层</w:t>
                  </w:r>
                  <w:r>
                    <w:rPr>
                      <w:rFonts w:hint="default" w:ascii="Times New Roman" w:hAnsi="Times New Roman" w:eastAsia="宋体" w:cs="Times New Roman"/>
                      <w:b w:val="0"/>
                      <w:bCs w:val="0"/>
                      <w:color w:val="auto"/>
                      <w:kern w:val="0"/>
                      <w:sz w:val="21"/>
                      <w:szCs w:val="21"/>
                      <w:highlight w:val="none"/>
                      <w:lang w:val="en-US" w:eastAsia="zh-CN" w:bidi="ar-SA"/>
                    </w:rPr>
                    <w:t>Mb≥6.0m，K≤1×10</w:t>
                  </w:r>
                  <w:r>
                    <w:rPr>
                      <w:rFonts w:hint="default" w:ascii="Times New Roman" w:hAnsi="Times New Roman" w:eastAsia="宋体" w:cs="Times New Roman"/>
                      <w:b w:val="0"/>
                      <w:bCs w:val="0"/>
                      <w:color w:val="auto"/>
                      <w:kern w:val="0"/>
                      <w:sz w:val="21"/>
                      <w:szCs w:val="21"/>
                      <w:highlight w:val="none"/>
                      <w:vertAlign w:val="superscript"/>
                      <w:lang w:val="en-US" w:eastAsia="zh-CN" w:bidi="ar-SA"/>
                    </w:rPr>
                    <w:t>-7</w:t>
                  </w:r>
                  <w:r>
                    <w:rPr>
                      <w:rFonts w:hint="default" w:ascii="Times New Roman" w:hAnsi="Times New Roman" w:eastAsia="宋体" w:cs="Times New Roman"/>
                      <w:b w:val="0"/>
                      <w:bCs w:val="0"/>
                      <w:color w:val="auto"/>
                      <w:kern w:val="0"/>
                      <w:sz w:val="21"/>
                      <w:szCs w:val="21"/>
                      <w:highlight w:val="none"/>
                      <w:lang w:val="en-US" w:eastAsia="zh-CN" w:bidi="ar-SA"/>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其他区域</w:t>
                  </w:r>
                </w:p>
              </w:tc>
              <w:tc>
                <w:tcPr>
                  <w:tcW w:w="1511"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弱</w:t>
                  </w:r>
                </w:p>
              </w:tc>
              <w:tc>
                <w:tcPr>
                  <w:tcW w:w="1511"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易</w:t>
                  </w:r>
                </w:p>
              </w:tc>
              <w:tc>
                <w:tcPr>
                  <w:tcW w:w="1511"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常规污染物</w:t>
                  </w:r>
                </w:p>
              </w:tc>
              <w:tc>
                <w:tcPr>
                  <w:tcW w:w="1512"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简单防渗区</w:t>
                  </w:r>
                </w:p>
              </w:tc>
              <w:tc>
                <w:tcPr>
                  <w:tcW w:w="1512" w:type="dxa"/>
                  <w:tcBorders>
                    <w:tl2br w:val="nil"/>
                    <w:tr2bl w:val="nil"/>
                  </w:tcBorders>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一般地面硬化</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综上所述，本项目通过做好排水系统及医疗废物暂存间的防渗工作等，可以有效避免本项目运营过程中对地下水和土壤环境产生污染影响。</w:t>
            </w:r>
          </w:p>
          <w:p>
            <w:pPr>
              <w:pStyle w:val="4"/>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6、环境风险分析</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（1）危险物质和风险源分布情况</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根据《建设项目环境风险评价技术导则》（HJ169-2018）中确定突发环境事件风险物质，本项目涉及到的突发环境事件风险物质主要为</w:t>
            </w:r>
            <w:r>
              <w:rPr>
                <w:rFonts w:hint="eastAsia" w:ascii="Times New Roman" w:hAnsi="Times New Roman" w:eastAsia="宋体" w:cs="Times New Roman"/>
                <w:color w:val="auto"/>
                <w:kern w:val="0"/>
                <w:sz w:val="24"/>
                <w:szCs w:val="24"/>
                <w:lang w:val="en-US" w:eastAsia="zh-CN" w:bidi="ar"/>
              </w:rPr>
              <w:t>二氧化氯</w:t>
            </w:r>
            <w:r>
              <w:rPr>
                <w:rFonts w:hint="eastAsia" w:ascii="Times New Roman" w:hAnsi="Times New Roman" w:cs="Times New Roman"/>
                <w:color w:val="auto"/>
                <w:kern w:val="0"/>
                <w:sz w:val="24"/>
                <w:szCs w:val="24"/>
                <w:lang w:val="en-US" w:eastAsia="zh-CN" w:bidi="ar"/>
              </w:rPr>
              <w:t>和酒精</w:t>
            </w:r>
            <w:r>
              <w:rPr>
                <w:rFonts w:hint="default" w:ascii="Times New Roman" w:hAnsi="Times New Roman" w:eastAsia="宋体" w:cs="Times New Roman"/>
                <w:color w:val="auto"/>
                <w:kern w:val="0"/>
                <w:sz w:val="24"/>
                <w:szCs w:val="24"/>
                <w:lang w:val="en-US" w:eastAsia="zh-CN" w:bidi="ar"/>
              </w:rPr>
              <w:t>。本项目所用到的消毒剂二氧化氯，</w:t>
            </w:r>
            <w:r>
              <w:rPr>
                <w:rFonts w:hint="eastAsia" w:ascii="Times New Roman" w:hAnsi="Times New Roman" w:cs="Times New Roman"/>
                <w:color w:val="auto"/>
                <w:kern w:val="0"/>
                <w:sz w:val="24"/>
                <w:szCs w:val="24"/>
                <w:lang w:val="en-US" w:eastAsia="zh-CN" w:bidi="ar"/>
              </w:rPr>
              <w:t>贮存于污水处理站</w:t>
            </w:r>
            <w:r>
              <w:rPr>
                <w:rFonts w:hint="eastAsia" w:ascii="Times New Roman" w:hAnsi="Times New Roman"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本项目二氧化氯</w:t>
            </w:r>
            <w:r>
              <w:rPr>
                <w:rFonts w:hint="default" w:ascii="Times New Roman" w:hAnsi="Times New Roman" w:eastAsia="宋体" w:cs="Times New Roman"/>
                <w:color w:val="auto"/>
                <w:kern w:val="0"/>
                <w:sz w:val="24"/>
                <w:szCs w:val="24"/>
                <w:lang w:val="en-US" w:eastAsia="zh-CN" w:bidi="ar"/>
              </w:rPr>
              <w:t>最大储存量为10kg。</w:t>
            </w:r>
            <w:r>
              <w:rPr>
                <w:rFonts w:hint="eastAsia" w:ascii="Times New Roman" w:hAnsi="Times New Roman" w:cs="Times New Roman"/>
                <w:color w:val="auto"/>
                <w:kern w:val="0"/>
                <w:sz w:val="24"/>
                <w:szCs w:val="24"/>
                <w:lang w:val="en-US" w:eastAsia="zh-CN" w:bidi="ar"/>
              </w:rPr>
              <w:t>酒精最大存储量为0.0067t。</w:t>
            </w:r>
            <w:r>
              <w:rPr>
                <w:rFonts w:hint="default" w:ascii="Times New Roman" w:hAnsi="Times New Roman" w:eastAsia="宋体" w:cs="Times New Roman"/>
                <w:color w:val="auto"/>
                <w:kern w:val="0"/>
                <w:sz w:val="24"/>
                <w:szCs w:val="24"/>
                <w:lang w:val="en-US" w:eastAsia="zh-CN" w:bidi="ar"/>
              </w:rPr>
              <w:t>项目风险物质情况见下表。</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2"/>
                <w:sz w:val="24"/>
                <w:szCs w:val="32"/>
                <w:lang w:val="en-US" w:eastAsia="zh-CN" w:bidi="ar-SA"/>
              </w:rPr>
            </w:pPr>
            <w:r>
              <w:rPr>
                <w:rFonts w:hint="default" w:ascii="Times New Roman" w:hAnsi="Times New Roman" w:eastAsia="宋体" w:cs="Times New Roman"/>
                <w:b/>
                <w:bCs/>
                <w:color w:val="auto"/>
                <w:kern w:val="2"/>
                <w:sz w:val="24"/>
                <w:szCs w:val="32"/>
                <w:lang w:val="en-US" w:eastAsia="zh-CN" w:bidi="ar-SA"/>
              </w:rPr>
              <w:t>表4-1</w:t>
            </w:r>
            <w:r>
              <w:rPr>
                <w:rFonts w:hint="eastAsia" w:ascii="Times New Roman" w:hAnsi="Times New Roman" w:cs="Times New Roman"/>
                <w:b/>
                <w:bCs/>
                <w:color w:val="auto"/>
                <w:kern w:val="2"/>
                <w:sz w:val="24"/>
                <w:szCs w:val="32"/>
                <w:lang w:val="en-US" w:eastAsia="zh-CN" w:bidi="ar-SA"/>
              </w:rPr>
              <w:t>4</w:t>
            </w:r>
            <w:r>
              <w:rPr>
                <w:rFonts w:hint="default" w:ascii="Times New Roman" w:hAnsi="Times New Roman" w:eastAsia="宋体" w:cs="Times New Roman"/>
                <w:b/>
                <w:bCs/>
                <w:color w:val="auto"/>
                <w:kern w:val="2"/>
                <w:sz w:val="24"/>
                <w:szCs w:val="32"/>
                <w:lang w:val="en-US" w:eastAsia="zh-CN" w:bidi="ar-SA"/>
              </w:rPr>
              <w:t xml:space="preserve">  项目风险物质及Q值判定表</w:t>
            </w:r>
          </w:p>
          <w:tbl>
            <w:tblPr>
              <w:tblStyle w:val="27"/>
              <w:tblW w:w="494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695"/>
              <w:gridCol w:w="2220"/>
              <w:gridCol w:w="1419"/>
              <w:gridCol w:w="13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9"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lang w:val="en-US" w:eastAsia="zh-CN" w:bidi="ar"/>
                    </w:rPr>
                  </w:pPr>
                  <w:r>
                    <w:rPr>
                      <w:rFonts w:hint="eastAsia" w:ascii="Times New Roman" w:hAnsi="Times New Roman" w:cs="Times New Roman"/>
                      <w:b/>
                      <w:bCs/>
                      <w:color w:val="auto"/>
                      <w:kern w:val="0"/>
                      <w:sz w:val="21"/>
                      <w:szCs w:val="21"/>
                      <w:lang w:val="en-US" w:eastAsia="zh-CN" w:bidi="ar"/>
                    </w:rPr>
                    <w:t>序号</w:t>
                  </w:r>
                </w:p>
              </w:tc>
              <w:tc>
                <w:tcPr>
                  <w:tcW w:w="2695"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lang w:val="en-US" w:eastAsia="zh-CN" w:bidi="ar"/>
                    </w:rPr>
                  </w:pPr>
                  <w:r>
                    <w:rPr>
                      <w:rFonts w:hint="eastAsia" w:ascii="Times New Roman" w:hAnsi="Times New Roman" w:cs="Times New Roman"/>
                      <w:b/>
                      <w:bCs/>
                      <w:color w:val="auto"/>
                      <w:kern w:val="0"/>
                      <w:sz w:val="21"/>
                      <w:szCs w:val="21"/>
                      <w:lang w:val="en-US" w:eastAsia="zh-CN" w:bidi="ar"/>
                    </w:rPr>
                    <w:t>风险物质名称</w:t>
                  </w:r>
                </w:p>
              </w:tc>
              <w:tc>
                <w:tcPr>
                  <w:tcW w:w="2220"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最大存在量qn/t</w:t>
                  </w:r>
                </w:p>
              </w:tc>
              <w:tc>
                <w:tcPr>
                  <w:tcW w:w="1419"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临界量Qn/t</w:t>
                  </w:r>
                </w:p>
              </w:tc>
              <w:tc>
                <w:tcPr>
                  <w:tcW w:w="1373"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9"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w:t>
                  </w:r>
                </w:p>
              </w:tc>
              <w:tc>
                <w:tcPr>
                  <w:tcW w:w="2695"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二氧化氯</w:t>
                  </w:r>
                </w:p>
              </w:tc>
              <w:tc>
                <w:tcPr>
                  <w:tcW w:w="2220"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0.01</w:t>
                  </w:r>
                </w:p>
              </w:tc>
              <w:tc>
                <w:tcPr>
                  <w:tcW w:w="1419"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0.5</w:t>
                  </w:r>
                </w:p>
              </w:tc>
              <w:tc>
                <w:tcPr>
                  <w:tcW w:w="1373"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9"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w:t>
                  </w:r>
                </w:p>
              </w:tc>
              <w:tc>
                <w:tcPr>
                  <w:tcW w:w="2695"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乙醇</w:t>
                  </w:r>
                </w:p>
              </w:tc>
              <w:tc>
                <w:tcPr>
                  <w:tcW w:w="2220"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0.0067</w:t>
                  </w:r>
                </w:p>
              </w:tc>
              <w:tc>
                <w:tcPr>
                  <w:tcW w:w="1419"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500</w:t>
                  </w:r>
                </w:p>
              </w:tc>
              <w:tc>
                <w:tcPr>
                  <w:tcW w:w="1373" w:type="dxa"/>
                  <w:tcBorders>
                    <w:tl2br w:val="nil"/>
                    <w:tr2bl w:val="nil"/>
                  </w:tcBorders>
                  <w:noWrap w:val="0"/>
                  <w:vAlign w:val="center"/>
                </w:tcPr>
                <w:p>
                  <w:pPr>
                    <w:pStyle w:val="52"/>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0.000134</w:t>
                  </w:r>
                </w:p>
              </w:tc>
            </w:tr>
          </w:tbl>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根据表4-1</w:t>
            </w:r>
            <w:r>
              <w:rPr>
                <w:rFonts w:hint="eastAsia" w:ascii="Times New Roman" w:hAnsi="Times New Roman"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可知，则本项目Q值为0.</w:t>
            </w:r>
            <w:r>
              <w:rPr>
                <w:rFonts w:hint="eastAsia" w:ascii="Times New Roman" w:hAnsi="Times New Roman" w:cs="Times New Roman"/>
                <w:color w:val="auto"/>
                <w:kern w:val="0"/>
                <w:sz w:val="24"/>
                <w:szCs w:val="24"/>
                <w:lang w:val="en-US" w:eastAsia="zh-CN" w:bidi="ar"/>
              </w:rPr>
              <w:t>020134</w:t>
            </w:r>
            <w:r>
              <w:rPr>
                <w:rFonts w:hint="default" w:ascii="Times New Roman" w:hAnsi="Times New Roman" w:eastAsia="宋体" w:cs="Times New Roman"/>
                <w:color w:val="auto"/>
                <w:kern w:val="0"/>
                <w:sz w:val="24"/>
                <w:szCs w:val="24"/>
                <w:lang w:val="en-US" w:eastAsia="zh-CN" w:bidi="ar"/>
              </w:rPr>
              <w:t>＜1，</w:t>
            </w:r>
            <w:r>
              <w:rPr>
                <w:rFonts w:hint="eastAsia" w:ascii="Times New Roman" w:hAnsi="Times New Roman" w:cs="Times New Roman"/>
                <w:color w:val="auto"/>
                <w:kern w:val="0"/>
                <w:sz w:val="24"/>
                <w:szCs w:val="24"/>
                <w:lang w:val="en-US" w:eastAsia="zh-CN" w:bidi="ar"/>
              </w:rPr>
              <w:t>风险潜势为</w:t>
            </w:r>
            <w:r>
              <w:rPr>
                <w:rFonts w:hint="default" w:ascii="Times New Roman" w:hAnsi="Times New Roman" w:cs="Times New Roman"/>
                <w:color w:val="auto"/>
                <w:kern w:val="0"/>
                <w:sz w:val="24"/>
                <w:szCs w:val="24"/>
                <w:lang w:val="en-US" w:eastAsia="zh-CN" w:bidi="ar"/>
              </w:rPr>
              <w:fldChar w:fldCharType="begin"/>
            </w:r>
            <w:r>
              <w:rPr>
                <w:rFonts w:hint="default" w:ascii="Times New Roman" w:hAnsi="Times New Roman" w:cs="Times New Roman"/>
                <w:color w:val="auto"/>
                <w:kern w:val="0"/>
                <w:sz w:val="24"/>
                <w:szCs w:val="24"/>
                <w:lang w:val="en-US" w:eastAsia="zh-CN" w:bidi="ar"/>
              </w:rPr>
              <w:instrText xml:space="preserve"> = 1 \* ROMAN \* MERGEFORMAT </w:instrText>
            </w:r>
            <w:r>
              <w:rPr>
                <w:rFonts w:hint="default" w:ascii="Times New Roman" w:hAnsi="Times New Roman" w:cs="Times New Roman"/>
                <w:color w:val="auto"/>
                <w:kern w:val="0"/>
                <w:sz w:val="24"/>
                <w:szCs w:val="24"/>
                <w:lang w:val="en-US" w:eastAsia="zh-CN" w:bidi="ar"/>
              </w:rPr>
              <w:fldChar w:fldCharType="separate"/>
            </w:r>
            <w:r>
              <w:rPr>
                <w:rFonts w:hint="default" w:ascii="Times New Roman" w:hAnsi="Times New Roman" w:cs="Times New Roman"/>
                <w:color w:val="auto"/>
                <w:sz w:val="24"/>
                <w:szCs w:val="24"/>
              </w:rPr>
              <w:t>I</w:t>
            </w:r>
            <w:r>
              <w:rPr>
                <w:rFonts w:hint="default" w:ascii="Times New Roman" w:hAnsi="Times New Roman" w:cs="Times New Roman"/>
                <w:color w:val="auto"/>
                <w:kern w:val="0"/>
                <w:sz w:val="24"/>
                <w:szCs w:val="24"/>
                <w:lang w:val="en-US" w:eastAsia="zh-CN" w:bidi="ar"/>
              </w:rPr>
              <w:fldChar w:fldCharType="end"/>
            </w:r>
            <w:r>
              <w:rPr>
                <w:rFonts w:hint="eastAsia" w:ascii="Times New Roman" w:hAnsi="Times New Roman" w:cs="Times New Roman"/>
                <w:color w:val="auto"/>
                <w:kern w:val="0"/>
                <w:sz w:val="24"/>
                <w:szCs w:val="24"/>
                <w:lang w:val="en-US" w:eastAsia="zh-CN" w:bidi="ar"/>
              </w:rPr>
              <w:t>，开展简单分析即可。</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可能</w:t>
            </w:r>
            <w:r>
              <w:rPr>
                <w:rFonts w:hint="default" w:ascii="Times New Roman" w:hAnsi="Times New Roman" w:cs="Times New Roman"/>
                <w:color w:val="auto"/>
                <w:sz w:val="24"/>
                <w:szCs w:val="24"/>
                <w:lang w:val="en-US" w:eastAsia="zh-CN"/>
              </w:rPr>
              <w:t>影响途径</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①二氧化氯在使用和贮存的过程中可能发生的泄漏导致风险物质挥发到大气环境中。</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cs="Times New Roman"/>
                <w:color w:val="auto"/>
                <w:sz w:val="24"/>
                <w:szCs w:val="24"/>
                <w:highlight w:val="none"/>
                <w:lang w:val="en-US" w:eastAsia="zh-CN"/>
              </w:rPr>
              <w:t>污水处理站及管网发生事故，导致污水事故排放、泄漏等，污染地表水环境。</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医疗废物在收集、贮存、运输过程中发生泄漏，污染土壤，进而污染地下水环境。</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（3）</w:t>
            </w:r>
            <w:r>
              <w:rPr>
                <w:rFonts w:hint="default" w:ascii="Times New Roman" w:hAnsi="Times New Roman" w:cs="Times New Roman"/>
                <w:color w:val="auto"/>
                <w:sz w:val="24"/>
                <w:szCs w:val="24"/>
                <w:lang w:val="en-US" w:eastAsia="zh-CN"/>
              </w:rPr>
              <w:t>环境风险防范措施</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①</w:t>
            </w:r>
            <w:r>
              <w:rPr>
                <w:rFonts w:hint="eastAsia" w:ascii="Times New Roman" w:hAnsi="Times New Roman" w:cs="Times New Roman"/>
                <w:color w:val="auto"/>
                <w:sz w:val="24"/>
                <w:szCs w:val="24"/>
                <w:lang w:val="en-US" w:eastAsia="zh-CN"/>
              </w:rPr>
              <w:t>二氧化氯</w:t>
            </w:r>
            <w:r>
              <w:rPr>
                <w:rFonts w:hint="default" w:ascii="Times New Roman" w:hAnsi="Times New Roman" w:cs="Times New Roman"/>
                <w:color w:val="auto"/>
                <w:sz w:val="24"/>
                <w:szCs w:val="24"/>
                <w:lang w:val="en-US" w:eastAsia="zh-CN"/>
              </w:rPr>
              <w:t>风险防范措施</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二氧化氯</w:t>
            </w:r>
            <w:r>
              <w:rPr>
                <w:rFonts w:hint="default" w:ascii="Times New Roman" w:hAnsi="Times New Roman" w:cs="Times New Roman"/>
                <w:color w:val="auto"/>
                <w:sz w:val="24"/>
                <w:szCs w:val="24"/>
                <w:lang w:val="en-US" w:eastAsia="zh-CN"/>
              </w:rPr>
              <w:t>的购买、储存、保管、使用等需按照《危险化学品安全管理条例》的规定管理；运输时包装要完整，装载应稳妥，运输过程中要确保容器不泄漏、不倒塌、不坠落、不损坏，严禁与碱类、食用化学品等混装混运，运输车辆应配备泄漏应急处理设备，运输途中应防曝晒、雨淋，防高温；</w:t>
            </w:r>
            <w:r>
              <w:rPr>
                <w:rFonts w:hint="eastAsia" w:ascii="Times New Roman" w:hAnsi="Times New Roman" w:cs="Times New Roman"/>
                <w:color w:val="auto"/>
                <w:sz w:val="24"/>
                <w:szCs w:val="24"/>
                <w:lang w:val="en-US" w:eastAsia="zh-CN"/>
              </w:rPr>
              <w:t>二氧化氯</w:t>
            </w:r>
            <w:r>
              <w:rPr>
                <w:rFonts w:hint="default" w:ascii="Times New Roman" w:hAnsi="Times New Roman" w:cs="Times New Roman"/>
                <w:color w:val="auto"/>
                <w:sz w:val="24"/>
                <w:szCs w:val="24"/>
                <w:lang w:val="en-US" w:eastAsia="zh-CN"/>
              </w:rPr>
              <w:t>应储存于阴凉、通风的库房，并远离火种、热源，库温不宜超过30℃，应与碱类分开存放，切忌混储；负责医院污水处理的管理人员必须接受培训执证上岗，严格按操作规程进行操作，并定期对设备进行安全检测，避免与碱类接触，搬运时要轻装轻卸，防止包装及容器损坏；配备泄漏应急处理设备。</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②污水处理站风险防范措施</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污水处理站是医院污水处理的最后环节，为了保证其正常运行，防止环境风险的发生，应通过以下措施加强风险防范：选用优质机械电器、仪表等设备，关键设备一备一用，出现事故时能及时更换；对污水处理站提供双路电源和应急电源，保证污水处理站用电不间断，重要的设备需设置备用；加强医院污水收集管网的维护及管理，防止因管网破损、堵漏等原因造成医疗废水外渗；污水处理站应采用防渗等级不低于10</w:t>
            </w:r>
            <w:r>
              <w:rPr>
                <w:rFonts w:hint="default" w:ascii="Times New Roman" w:hAnsi="Times New Roman" w:eastAsia="宋体" w:cs="Times New Roman"/>
                <w:color w:val="auto"/>
                <w:sz w:val="24"/>
                <w:szCs w:val="24"/>
                <w:vertAlign w:val="superscript"/>
                <w:lang w:val="en-US" w:eastAsia="zh-CN"/>
              </w:rPr>
              <w:t>-7</w:t>
            </w:r>
            <w:r>
              <w:rPr>
                <w:rFonts w:hint="default" w:ascii="Times New Roman" w:hAnsi="Times New Roman" w:eastAsia="宋体" w:cs="Times New Roman"/>
                <w:color w:val="auto"/>
                <w:sz w:val="24"/>
                <w:szCs w:val="24"/>
                <w:lang w:val="en-US" w:eastAsia="zh-CN"/>
              </w:rPr>
              <w:t>cm/s的防渗材料；加强对污水处理站设备的检查、维护，确保设备正常运转，并备有应急的消毒剂，避免在污水处理设备出现事故的时候所排放的污水不经过消毒处理就排放情况的发生；制定风险应急预案，明确事故发生时的应急、抢险操作制度。</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③医疗垃圾收集、贮存、运输、处理风险防范措施</w:t>
            </w:r>
          </w:p>
          <w:p>
            <w:pPr>
              <w:pStyle w:val="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医院应当及时收集医疗废物，并按照类别分置于防渗漏、防锐器穿透的专用包装物或者密闭的容器内，收集时严防洒漏和违反操作规程，医疗废物专用包装物、容器应当有明显的警示标志和警示说明；医疗废物暂时贮存设施和设备，不得露天存放医疗废物，应做好医疗垃圾的密封、清运和消毒工作，同时加强管理，做好暂存间的防渗漏、防鼠、防蚊蝇、防蟑螂、防盗以及预防儿童接触等安全措施，定期进行医疗</w:t>
            </w:r>
            <w:r>
              <w:rPr>
                <w:rFonts w:hint="eastAsia" w:ascii="Times New Roman" w:hAnsi="Times New Roman" w:cs="Times New Roman"/>
                <w:color w:val="auto"/>
                <w:sz w:val="24"/>
                <w:szCs w:val="24"/>
                <w:lang w:val="en-US" w:eastAsia="zh-CN"/>
              </w:rPr>
              <w:t>废物</w:t>
            </w:r>
            <w:r>
              <w:rPr>
                <w:rFonts w:hint="default" w:ascii="Times New Roman" w:hAnsi="Times New Roman" w:eastAsia="宋体" w:cs="Times New Roman"/>
                <w:color w:val="auto"/>
                <w:sz w:val="24"/>
                <w:szCs w:val="24"/>
                <w:lang w:val="en-US" w:eastAsia="zh-CN"/>
              </w:rPr>
              <w:t>暂存间存储设施、设备的清洁和消毒工作，医疗废物2天收集一次；医疗废物暂存间应有遮盖措施，有明显的标识并远离医疗区、食品加工区和人员活动区以及生活垃圾存放场所；医疗卫生机构应当使用防渗漏、防遗撒的专用运送工具，按照本单位确定的内部医疗废物运送时间、路线，将医疗废物收集、运送至暂时贮存地点。</w:t>
            </w:r>
          </w:p>
          <w:p>
            <w:pPr>
              <w:pStyle w:val="4"/>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7、建设项目环保投资估算</w:t>
            </w:r>
          </w:p>
          <w:p>
            <w:pPr>
              <w:pStyle w:val="36"/>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sz w:val="24"/>
                <w:szCs w:val="22"/>
                <w:lang w:eastAsia="zh-CN"/>
              </w:rPr>
              <w:t>本项目总投</w:t>
            </w:r>
            <w:r>
              <w:rPr>
                <w:rFonts w:hint="default" w:ascii="Times New Roman" w:hAnsi="Times New Roman" w:eastAsia="宋体" w:cs="Times New Roman"/>
                <w:color w:val="auto"/>
                <w:sz w:val="24"/>
                <w:szCs w:val="22"/>
                <w:highlight w:val="none"/>
                <w:lang w:eastAsia="zh-CN"/>
              </w:rPr>
              <w:t>资</w:t>
            </w:r>
            <w:r>
              <w:rPr>
                <w:rFonts w:hint="eastAsia" w:ascii="Times New Roman" w:hAnsi="Times New Roman" w:eastAsia="宋体" w:cs="Times New Roman"/>
                <w:color w:val="auto"/>
                <w:sz w:val="24"/>
                <w:szCs w:val="22"/>
                <w:highlight w:val="none"/>
                <w:lang w:val="en-US" w:eastAsia="zh-CN"/>
              </w:rPr>
              <w:t>2</w:t>
            </w:r>
            <w:r>
              <w:rPr>
                <w:rFonts w:hint="eastAsia" w:ascii="Times New Roman" w:hAnsi="Times New Roman" w:cs="Times New Roman"/>
                <w:color w:val="auto"/>
                <w:sz w:val="24"/>
                <w:szCs w:val="22"/>
                <w:highlight w:val="none"/>
                <w:lang w:val="en-US" w:eastAsia="zh-CN"/>
              </w:rPr>
              <w:t>6</w:t>
            </w:r>
            <w:r>
              <w:rPr>
                <w:rFonts w:hint="default" w:ascii="Times New Roman" w:hAnsi="Times New Roman" w:eastAsia="宋体" w:cs="Times New Roman"/>
                <w:color w:val="auto"/>
                <w:sz w:val="24"/>
                <w:szCs w:val="22"/>
                <w:highlight w:val="none"/>
                <w:lang w:val="en-US" w:eastAsia="zh-CN"/>
              </w:rPr>
              <w:t>00万元，其中，环保投入</w:t>
            </w:r>
            <w:r>
              <w:rPr>
                <w:rFonts w:hint="eastAsia" w:ascii="Times New Roman" w:hAnsi="Times New Roman" w:cs="Times New Roman"/>
                <w:color w:val="auto"/>
                <w:sz w:val="24"/>
                <w:szCs w:val="22"/>
                <w:highlight w:val="none"/>
                <w:lang w:val="en-US" w:eastAsia="zh-CN"/>
              </w:rPr>
              <w:t>57.5</w:t>
            </w:r>
            <w:r>
              <w:rPr>
                <w:rFonts w:hint="default" w:ascii="Times New Roman" w:hAnsi="Times New Roman" w:eastAsia="宋体" w:cs="Times New Roman"/>
                <w:color w:val="auto"/>
                <w:sz w:val="24"/>
                <w:szCs w:val="22"/>
                <w:highlight w:val="none"/>
                <w:lang w:val="en-US" w:eastAsia="zh-CN"/>
              </w:rPr>
              <w:t>万元，占总投资的</w:t>
            </w:r>
            <w:r>
              <w:rPr>
                <w:rFonts w:hint="eastAsia" w:ascii="Times New Roman" w:hAnsi="Times New Roman" w:cs="Times New Roman"/>
                <w:color w:val="auto"/>
                <w:sz w:val="24"/>
                <w:szCs w:val="22"/>
                <w:highlight w:val="none"/>
                <w:lang w:val="en-US" w:eastAsia="zh-CN"/>
              </w:rPr>
              <w:t>2.21</w:t>
            </w:r>
            <w:r>
              <w:rPr>
                <w:rFonts w:hint="default" w:ascii="Times New Roman" w:hAnsi="Times New Roman" w:eastAsia="宋体" w:cs="Times New Roman"/>
                <w:color w:val="auto"/>
                <w:sz w:val="24"/>
                <w:szCs w:val="22"/>
                <w:highlight w:val="none"/>
                <w:lang w:val="en-US" w:eastAsia="zh-CN"/>
              </w:rPr>
              <w:t>%</w:t>
            </w:r>
            <w:r>
              <w:rPr>
                <w:rFonts w:hint="default" w:ascii="Times New Roman" w:hAnsi="Times New Roman" w:eastAsia="宋体" w:cs="Times New Roman"/>
                <w:color w:val="auto"/>
                <w:sz w:val="24"/>
                <w:szCs w:val="22"/>
                <w:lang w:val="en-US" w:eastAsia="zh-CN"/>
              </w:rPr>
              <w:t>，环保投入情况详见下表。</w:t>
            </w:r>
          </w:p>
          <w:p>
            <w:pPr>
              <w:pStyle w:val="36"/>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表4-1</w:t>
            </w:r>
            <w:r>
              <w:rPr>
                <w:rFonts w:hint="eastAsia" w:ascii="Times New Roman" w:hAnsi="Times New Roman"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CN"/>
              </w:rPr>
              <w:t xml:space="preserve"> 工程环保投资一览表</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28" w:type="dxa"/>
                <w:bottom w:w="57" w:type="dxa"/>
                <w:right w:w="28" w:type="dxa"/>
              </w:tblCellMar>
            </w:tblPr>
            <w:tblGrid>
              <w:gridCol w:w="963"/>
              <w:gridCol w:w="4837"/>
              <w:gridCol w:w="1484"/>
              <w:gridCol w:w="17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340" w:hRule="atLeast"/>
                <w:jc w:val="center"/>
              </w:trPr>
              <w:tc>
                <w:tcPr>
                  <w:tcW w:w="5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分类</w:t>
                  </w:r>
                </w:p>
              </w:tc>
              <w:tc>
                <w:tcPr>
                  <w:tcW w:w="26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建设项目内容</w:t>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数量</w:t>
                  </w:r>
                </w:p>
              </w:tc>
              <w:tc>
                <w:tcPr>
                  <w:tcW w:w="9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投资（万元）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90" w:hRule="atLeast"/>
                <w:jc w:val="center"/>
              </w:trPr>
              <w:tc>
                <w:tcPr>
                  <w:tcW w:w="53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废气</w:t>
                  </w:r>
                </w:p>
              </w:tc>
              <w:tc>
                <w:tcPr>
                  <w:tcW w:w="26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rPr>
                    <w:t>污水</w:t>
                  </w:r>
                  <w:r>
                    <w:rPr>
                      <w:rFonts w:hint="eastAsia" w:ascii="Times New Roman" w:hAnsi="Times New Roman" w:cs="Times New Roman"/>
                      <w:b w:val="0"/>
                      <w:bCs w:val="0"/>
                      <w:color w:val="auto"/>
                      <w:sz w:val="21"/>
                      <w:szCs w:val="21"/>
                      <w:highlight w:val="none"/>
                      <w:lang w:val="en-US" w:eastAsia="zh-CN"/>
                    </w:rPr>
                    <w:t>处理</w:t>
                  </w:r>
                  <w:r>
                    <w:rPr>
                      <w:rFonts w:hint="default" w:ascii="Times New Roman" w:hAnsi="Times New Roman" w:cs="Times New Roman"/>
                      <w:b w:val="0"/>
                      <w:bCs w:val="0"/>
                      <w:color w:val="auto"/>
                      <w:sz w:val="21"/>
                      <w:szCs w:val="21"/>
                      <w:highlight w:val="none"/>
                      <w:lang w:val="en-US" w:eastAsia="zh-CN"/>
                    </w:rPr>
                    <w:t>站</w:t>
                  </w:r>
                  <w:r>
                    <w:rPr>
                      <w:rFonts w:hint="eastAsia" w:ascii="Times New Roman" w:hAnsi="Times New Roman" w:cs="Times New Roman"/>
                      <w:b w:val="0"/>
                      <w:bCs w:val="0"/>
                      <w:color w:val="auto"/>
                      <w:sz w:val="21"/>
                      <w:szCs w:val="21"/>
                      <w:highlight w:val="none"/>
                      <w:lang w:val="en-US" w:eastAsia="zh-CN"/>
                    </w:rPr>
                    <w:t>密闭</w:t>
                  </w:r>
                  <w:r>
                    <w:rPr>
                      <w:rFonts w:hint="default" w:ascii="Times New Roman" w:hAnsi="Times New Roman" w:cs="Times New Roman"/>
                      <w:b w:val="0"/>
                      <w:bCs w:val="0"/>
                      <w:color w:val="auto"/>
                      <w:sz w:val="21"/>
                      <w:szCs w:val="21"/>
                      <w:highlight w:val="none"/>
                      <w:lang w:val="en-US" w:eastAsia="zh-CN"/>
                    </w:rPr>
                    <w:t>、定期除臭</w:t>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rPr>
                    <w:t>1套</w:t>
                  </w:r>
                </w:p>
              </w:tc>
              <w:tc>
                <w:tcPr>
                  <w:tcW w:w="9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5</w:t>
                  </w:r>
                  <w:r>
                    <w:rPr>
                      <w:rFonts w:hint="default" w:ascii="Times New Roman" w:hAnsi="Times New Roman" w:cs="Times New Roman"/>
                      <w:b w:val="0"/>
                      <w:bCs w:val="0"/>
                      <w:color w:val="auto"/>
                      <w:sz w:val="21"/>
                      <w:szCs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340" w:hRule="atLeast"/>
                <w:jc w:val="center"/>
              </w:trPr>
              <w:tc>
                <w:tcPr>
                  <w:tcW w:w="5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26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医疗废物暂存间抽排风系统</w:t>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rPr>
                    <w:t>1套</w:t>
                  </w:r>
                </w:p>
              </w:tc>
              <w:tc>
                <w:tcPr>
                  <w:tcW w:w="9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511" w:hRule="exact"/>
                <w:jc w:val="center"/>
              </w:trPr>
              <w:tc>
                <w:tcPr>
                  <w:tcW w:w="5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废水</w:t>
                  </w:r>
                </w:p>
              </w:tc>
              <w:tc>
                <w:tcPr>
                  <w:tcW w:w="26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一体化</w:t>
                  </w:r>
                  <w:r>
                    <w:rPr>
                      <w:rFonts w:hint="default" w:ascii="Times New Roman" w:hAnsi="Times New Roman" w:cs="Times New Roman"/>
                      <w:b w:val="0"/>
                      <w:bCs w:val="0"/>
                      <w:color w:val="auto"/>
                      <w:sz w:val="21"/>
                      <w:szCs w:val="21"/>
                      <w:highlight w:val="none"/>
                      <w:lang w:val="en-US" w:eastAsia="zh-CN"/>
                    </w:rPr>
                    <w:t>污水处理</w:t>
                  </w:r>
                  <w:r>
                    <w:rPr>
                      <w:rFonts w:hint="eastAsia" w:ascii="Times New Roman" w:hAnsi="Times New Roman" w:cs="Times New Roman"/>
                      <w:b w:val="0"/>
                      <w:bCs w:val="0"/>
                      <w:color w:val="auto"/>
                      <w:sz w:val="21"/>
                      <w:szCs w:val="21"/>
                      <w:highlight w:val="none"/>
                      <w:lang w:val="en-US" w:eastAsia="zh-CN"/>
                    </w:rPr>
                    <w:t>设备（一级强化+消毒）</w:t>
                  </w:r>
                  <w:r>
                    <w:rPr>
                      <w:rFonts w:hint="default" w:ascii="Times New Roman" w:hAnsi="Times New Roman" w:cs="Times New Roman"/>
                      <w:b w:val="0"/>
                      <w:bCs w:val="0"/>
                      <w:color w:val="auto"/>
                      <w:sz w:val="21"/>
                      <w:szCs w:val="21"/>
                      <w:highlight w:val="none"/>
                      <w:lang w:val="en-US" w:eastAsia="zh-CN"/>
                    </w:rPr>
                    <w:t>，30m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lang w:val="en-US" w:eastAsia="zh-CN"/>
                    </w:rPr>
                    <w:t>/d</w:t>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rPr>
                    <w:t>1座</w:t>
                  </w:r>
                </w:p>
              </w:tc>
              <w:tc>
                <w:tcPr>
                  <w:tcW w:w="9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36.8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340" w:hRule="atLeast"/>
                <w:jc w:val="center"/>
              </w:trPr>
              <w:tc>
                <w:tcPr>
                  <w:tcW w:w="5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噪声</w:t>
                  </w:r>
                </w:p>
              </w:tc>
              <w:tc>
                <w:tcPr>
                  <w:tcW w:w="26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基础减振、隔声、消声等</w:t>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w:t>
                  </w:r>
                </w:p>
              </w:tc>
              <w:tc>
                <w:tcPr>
                  <w:tcW w:w="9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340" w:hRule="atLeast"/>
                <w:jc w:val="center"/>
              </w:trPr>
              <w:tc>
                <w:tcPr>
                  <w:tcW w:w="5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固体废物</w:t>
                  </w:r>
                </w:p>
              </w:tc>
              <w:tc>
                <w:tcPr>
                  <w:tcW w:w="26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生活</w:t>
                  </w:r>
                  <w:r>
                    <w:rPr>
                      <w:rFonts w:hint="default" w:ascii="Times New Roman" w:hAnsi="Times New Roman" w:cs="Times New Roman"/>
                      <w:b w:val="0"/>
                      <w:bCs w:val="0"/>
                      <w:color w:val="auto"/>
                      <w:sz w:val="21"/>
                      <w:szCs w:val="21"/>
                      <w:highlight w:val="none"/>
                      <w:lang w:val="en-US" w:eastAsia="zh-CN"/>
                    </w:rPr>
                    <w:t>垃圾</w:t>
                  </w:r>
                  <w:r>
                    <w:rPr>
                      <w:rFonts w:hint="eastAsia" w:ascii="Times New Roman" w:hAnsi="Times New Roman" w:cs="Times New Roman"/>
                      <w:b w:val="0"/>
                      <w:bCs w:val="0"/>
                      <w:color w:val="auto"/>
                      <w:sz w:val="21"/>
                      <w:szCs w:val="21"/>
                      <w:highlight w:val="none"/>
                      <w:lang w:val="en-US" w:eastAsia="zh-CN"/>
                    </w:rPr>
                    <w:t>桶</w:t>
                  </w:r>
                  <w:r>
                    <w:rPr>
                      <w:rFonts w:hint="default" w:ascii="Times New Roman" w:hAnsi="Times New Roman" w:cs="Times New Roman"/>
                      <w:b w:val="0"/>
                      <w:bCs w:val="0"/>
                      <w:color w:val="auto"/>
                      <w:sz w:val="21"/>
                      <w:szCs w:val="21"/>
                      <w:highlight w:val="none"/>
                      <w:lang w:val="en-US" w:eastAsia="zh-CN"/>
                    </w:rPr>
                    <w:t>，</w:t>
                  </w:r>
                  <w:r>
                    <w:rPr>
                      <w:rFonts w:hint="eastAsia" w:ascii="Times New Roman" w:hAnsi="Times New Roman" w:cs="Times New Roman"/>
                      <w:b w:val="0"/>
                      <w:bCs w:val="0"/>
                      <w:color w:val="auto"/>
                      <w:sz w:val="21"/>
                      <w:szCs w:val="21"/>
                      <w:highlight w:val="none"/>
                      <w:lang w:val="en-US" w:eastAsia="zh-CN"/>
                    </w:rPr>
                    <w:t>医疗废物专用垃圾桶</w:t>
                  </w:r>
                  <w:r>
                    <w:rPr>
                      <w:rFonts w:hint="default" w:ascii="Times New Roman" w:hAnsi="Times New Roman" w:cs="Times New Roman"/>
                      <w:b w:val="0"/>
                      <w:bCs w:val="0"/>
                      <w:color w:val="auto"/>
                      <w:sz w:val="21"/>
                      <w:szCs w:val="21"/>
                      <w:highlight w:val="none"/>
                      <w:lang w:val="en-US" w:eastAsia="zh-CN"/>
                    </w:rPr>
                    <w:t>，医疗废物暂存间</w:t>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w:t>
                  </w:r>
                </w:p>
              </w:tc>
              <w:tc>
                <w:tcPr>
                  <w:tcW w:w="9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340" w:hRule="atLeast"/>
                <w:jc w:val="center"/>
              </w:trPr>
              <w:tc>
                <w:tcPr>
                  <w:tcW w:w="4018"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合计</w:t>
                  </w:r>
                </w:p>
              </w:tc>
              <w:tc>
                <w:tcPr>
                  <w:tcW w:w="9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57.5</w:t>
                  </w:r>
                </w:p>
              </w:tc>
            </w:tr>
          </w:tbl>
          <w:p>
            <w:pPr>
              <w:pStyle w:val="52"/>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color w:val="auto"/>
                <w:sz w:val="22"/>
                <w:szCs w:val="22"/>
                <w:lang w:val="en-US" w:eastAsia="zh-CN"/>
              </w:rPr>
            </w:pPr>
          </w:p>
        </w:tc>
      </w:tr>
    </w:tbl>
    <w:p>
      <w:pPr>
        <w:adjustRightInd w:val="0"/>
        <w:snapToGrid w:val="0"/>
        <w:spacing w:line="360" w:lineRule="auto"/>
        <w:rPr>
          <w:rFonts w:hint="eastAsia" w:cs="宋体"/>
          <w:b/>
          <w:color w:val="auto"/>
          <w:kern w:val="0"/>
          <w:sz w:val="28"/>
          <w:szCs w:val="28"/>
        </w:rPr>
        <w:sectPr>
          <w:pgSz w:w="11907" w:h="16840"/>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snapToGrid w:val="0"/>
          <w:color w:val="auto"/>
          <w:sz w:val="30"/>
          <w:szCs w:val="30"/>
        </w:rPr>
      </w:pPr>
      <w:r>
        <w:rPr>
          <w:rFonts w:hint="eastAsia" w:ascii="Times New Roman" w:hAnsi="Times New Roman"/>
          <w:snapToGrid w:val="0"/>
          <w:color w:val="auto"/>
          <w:sz w:val="30"/>
          <w:szCs w:val="30"/>
        </w:rPr>
        <w:t>五、</w:t>
      </w:r>
      <w:bookmarkStart w:id="3" w:name="_Hlk54167917"/>
      <w:r>
        <w:rPr>
          <w:rFonts w:hint="eastAsia" w:ascii="Times New Roman" w:hAnsi="Times New Roman"/>
          <w:snapToGrid w:val="0"/>
          <w:color w:val="auto"/>
          <w:sz w:val="30"/>
          <w:szCs w:val="30"/>
        </w:rPr>
        <w:t>环境保护措施监督检查清单</w:t>
      </w:r>
      <w:bookmarkEnd w:id="3"/>
    </w:p>
    <w:tbl>
      <w:tblPr>
        <w:tblStyle w:val="27"/>
        <w:tblW w:w="92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644"/>
        <w:gridCol w:w="1992"/>
        <w:gridCol w:w="1464"/>
        <w:gridCol w:w="28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l2br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2" w:firstLineChars="20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内容</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要素</w:t>
            </w:r>
          </w:p>
        </w:tc>
        <w:tc>
          <w:tcPr>
            <w:tcW w:w="1644"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排放口(编号、</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名称)/污染源</w:t>
            </w:r>
          </w:p>
        </w:tc>
        <w:tc>
          <w:tcPr>
            <w:tcW w:w="1992"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污染物项目</w:t>
            </w:r>
          </w:p>
        </w:tc>
        <w:tc>
          <w:tcPr>
            <w:tcW w:w="1464"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环境保护措施</w:t>
            </w:r>
          </w:p>
        </w:tc>
        <w:tc>
          <w:tcPr>
            <w:tcW w:w="2872"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大气环境</w:t>
            </w:r>
          </w:p>
        </w:tc>
        <w:tc>
          <w:tcPr>
            <w:tcW w:w="164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rPr>
              <w:t>污水处理</w:t>
            </w:r>
            <w:r>
              <w:rPr>
                <w:rFonts w:hint="default" w:ascii="Times New Roman" w:hAnsi="Times New Roman" w:cs="Times New Roman"/>
                <w:color w:val="auto"/>
                <w:sz w:val="24"/>
                <w:szCs w:val="24"/>
                <w:lang w:val="en-US" w:eastAsia="zh-CN"/>
              </w:rPr>
              <w:t>站</w:t>
            </w:r>
          </w:p>
        </w:tc>
        <w:tc>
          <w:tcPr>
            <w:tcW w:w="199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cs="Times New Roman"/>
                <w:color w:val="auto"/>
                <w:sz w:val="24"/>
                <w:szCs w:val="24"/>
              </w:rPr>
              <w:t>NH</w:t>
            </w:r>
            <w:r>
              <w:rPr>
                <w:rFonts w:hint="default" w:ascii="Times New Roman" w:hAnsi="Times New Roman" w:cs="Times New Roman"/>
                <w:color w:val="auto"/>
                <w:sz w:val="24"/>
                <w:szCs w:val="24"/>
                <w:vertAlign w:val="subscript"/>
              </w:rPr>
              <w:t>3</w:t>
            </w:r>
            <w:r>
              <w:rPr>
                <w:rFonts w:hint="default" w:ascii="Times New Roman" w:hAnsi="Times New Roman" w:cs="Times New Roman"/>
                <w:bCs/>
                <w:color w:val="auto"/>
                <w:sz w:val="24"/>
                <w:szCs w:val="24"/>
              </w:rPr>
              <w:t>、</w:t>
            </w: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S</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臭气浓度</w:t>
            </w:r>
          </w:p>
        </w:tc>
        <w:tc>
          <w:tcPr>
            <w:tcW w:w="146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喷洒除臭剂</w:t>
            </w:r>
          </w:p>
        </w:tc>
        <w:tc>
          <w:tcPr>
            <w:tcW w:w="287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sz w:val="24"/>
                <w:szCs w:val="24"/>
                <w:highlight w:val="yellow"/>
              </w:rPr>
            </w:pPr>
            <w:r>
              <w:rPr>
                <w:rFonts w:hint="default" w:ascii="Times New Roman" w:hAnsi="Times New Roman" w:cs="Times New Roman"/>
                <w:color w:val="auto"/>
                <w:sz w:val="24"/>
                <w:szCs w:val="24"/>
              </w:rPr>
              <w:t>《医疗机构水污染物排放标准》(GB18466-2005)表3标准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z w:val="24"/>
                <w:szCs w:val="24"/>
              </w:rPr>
            </w:pPr>
          </w:p>
        </w:tc>
        <w:tc>
          <w:tcPr>
            <w:tcW w:w="164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备用发电机废气</w:t>
            </w:r>
          </w:p>
        </w:tc>
        <w:tc>
          <w:tcPr>
            <w:tcW w:w="199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颗粒物</w:t>
            </w:r>
            <w:r>
              <w:rPr>
                <w:rFonts w:hint="eastAsia" w:ascii="Times New Roman" w:hAnsi="Times New Roman" w:cs="Times New Roman"/>
                <w:color w:val="auto"/>
                <w:sz w:val="24"/>
                <w:szCs w:val="24"/>
                <w:lang w:val="en-US" w:eastAsia="zh-CN"/>
              </w:rPr>
              <w:t>、SO</w:t>
            </w:r>
            <w:r>
              <w:rPr>
                <w:rFonts w:hint="eastAsia" w:ascii="Times New Roman" w:hAnsi="Times New Roman" w:cs="Times New Roman"/>
                <w:color w:val="auto"/>
                <w:sz w:val="24"/>
                <w:szCs w:val="24"/>
                <w:vertAlign w:val="subscript"/>
                <w:lang w:val="en-US" w:eastAsia="zh-CN"/>
              </w:rPr>
              <w:t>2、</w:t>
            </w:r>
            <w:r>
              <w:rPr>
                <w:rFonts w:hint="default" w:ascii="Times New Roman" w:hAnsi="Times New Roman" w:cs="Times New Roman"/>
                <w:sz w:val="24"/>
                <w:szCs w:val="24"/>
                <w:lang w:val="en-US" w:eastAsia="zh-CN"/>
              </w:rPr>
              <w:t>NOx</w:t>
            </w:r>
          </w:p>
        </w:tc>
        <w:tc>
          <w:tcPr>
            <w:tcW w:w="146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自然通风、机械排风</w:t>
            </w:r>
          </w:p>
        </w:tc>
        <w:tc>
          <w:tcPr>
            <w:tcW w:w="287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z w:val="24"/>
                <w:szCs w:val="24"/>
              </w:rPr>
            </w:pPr>
          </w:p>
        </w:tc>
        <w:tc>
          <w:tcPr>
            <w:tcW w:w="164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医疗废物暂存间</w:t>
            </w:r>
          </w:p>
        </w:tc>
        <w:tc>
          <w:tcPr>
            <w:tcW w:w="199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cs="Times New Roman"/>
                <w:color w:val="auto"/>
                <w:sz w:val="24"/>
                <w:szCs w:val="24"/>
                <w:lang w:val="en-US" w:eastAsia="zh-CN"/>
              </w:rPr>
              <w:t>臭气浓度</w:t>
            </w:r>
          </w:p>
        </w:tc>
        <w:tc>
          <w:tcPr>
            <w:tcW w:w="146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rPr>
              <w:t>定期消毒、加大通风</w:t>
            </w:r>
          </w:p>
        </w:tc>
        <w:tc>
          <w:tcPr>
            <w:tcW w:w="2872" w:type="dxa"/>
            <w:noWrap w:val="0"/>
            <w:vAlign w:val="center"/>
          </w:tcPr>
          <w:p>
            <w:pPr>
              <w:pStyle w:val="71"/>
              <w:keepNext w:val="0"/>
              <w:keepLines w:val="0"/>
              <w:pageBreakBefore w:val="0"/>
              <w:kinsoku/>
              <w:wordWrap/>
              <w:overflowPunct/>
              <w:topLinePunct w:val="0"/>
              <w:autoSpaceDE/>
              <w:autoSpaceDN/>
              <w:bidi w:val="0"/>
              <w:spacing w:line="36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2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z w:val="24"/>
                <w:szCs w:val="24"/>
              </w:rPr>
            </w:pPr>
          </w:p>
        </w:tc>
        <w:tc>
          <w:tcPr>
            <w:tcW w:w="164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化验室废气</w:t>
            </w:r>
          </w:p>
        </w:tc>
        <w:tc>
          <w:tcPr>
            <w:tcW w:w="199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bCs/>
                <w:color w:val="auto"/>
                <w:kern w:val="2"/>
                <w:sz w:val="24"/>
                <w:szCs w:val="24"/>
                <w:lang w:val="en-US" w:eastAsia="zh-CN" w:bidi="ar-SA"/>
              </w:rPr>
            </w:pPr>
            <w:r>
              <w:rPr>
                <w:rFonts w:hint="eastAsia" w:ascii="Times New Roman" w:hAnsi="Times New Roman" w:cs="Times New Roman"/>
                <w:bCs/>
                <w:color w:val="auto"/>
                <w:kern w:val="2"/>
                <w:sz w:val="24"/>
                <w:szCs w:val="24"/>
                <w:lang w:val="en-US" w:eastAsia="zh-CN" w:bidi="ar-SA"/>
              </w:rPr>
              <w:t>非甲烷总烃</w:t>
            </w:r>
          </w:p>
        </w:tc>
        <w:tc>
          <w:tcPr>
            <w:tcW w:w="146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加强通风扩散</w:t>
            </w:r>
          </w:p>
        </w:tc>
        <w:tc>
          <w:tcPr>
            <w:tcW w:w="2872" w:type="dxa"/>
            <w:noWrap w:val="0"/>
            <w:vAlign w:val="center"/>
          </w:tcPr>
          <w:p>
            <w:pPr>
              <w:pStyle w:val="71"/>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地表水环境</w:t>
            </w:r>
          </w:p>
        </w:tc>
        <w:tc>
          <w:tcPr>
            <w:tcW w:w="164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医院</w:t>
            </w:r>
            <w:r>
              <w:rPr>
                <w:rFonts w:hint="default" w:ascii="Times New Roman" w:hAnsi="Times New Roman" w:eastAsia="宋体" w:cs="Times New Roman"/>
                <w:color w:val="auto"/>
                <w:sz w:val="24"/>
                <w:szCs w:val="24"/>
                <w:lang w:val="en-US" w:eastAsia="zh-CN"/>
              </w:rPr>
              <w:t>综合</w:t>
            </w:r>
            <w:r>
              <w:rPr>
                <w:rFonts w:hint="default" w:ascii="Times New Roman" w:hAnsi="Times New Roman" w:eastAsia="宋体" w:cs="Times New Roman"/>
                <w:color w:val="auto"/>
                <w:sz w:val="24"/>
                <w:szCs w:val="24"/>
              </w:rPr>
              <w:t>废水</w:t>
            </w:r>
          </w:p>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DW001</w:t>
            </w:r>
            <w:r>
              <w:rPr>
                <w:rFonts w:hint="default" w:ascii="Times New Roman" w:hAnsi="Times New Roman" w:eastAsia="宋体" w:cs="Times New Roman"/>
                <w:color w:val="auto"/>
                <w:sz w:val="24"/>
                <w:szCs w:val="24"/>
                <w:lang w:eastAsia="zh-CN"/>
              </w:rPr>
              <w:t>）</w:t>
            </w:r>
          </w:p>
        </w:tc>
        <w:tc>
          <w:tcPr>
            <w:tcW w:w="199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rPr>
              <w:t>SS、COD、BOD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-N、动植物油、</w:t>
            </w:r>
            <w:r>
              <w:rPr>
                <w:rFonts w:hint="default" w:ascii="Times New Roman" w:hAnsi="Times New Roman" w:eastAsia="宋体" w:cs="Times New Roman"/>
                <w:color w:val="auto"/>
                <w:sz w:val="24"/>
                <w:szCs w:val="24"/>
                <w:lang w:eastAsia="zh-CN"/>
              </w:rPr>
              <w:t>粪大肠菌群</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总余氯、阴离子表面活性剂</w:t>
            </w:r>
          </w:p>
        </w:tc>
        <w:tc>
          <w:tcPr>
            <w:tcW w:w="146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化粪池、污水处理站</w:t>
            </w:r>
          </w:p>
        </w:tc>
        <w:tc>
          <w:tcPr>
            <w:tcW w:w="287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《医疗机构水污染排放标准》（GB18466-2005）表2中预处理标准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《污水排入城镇下水道水质标准》（GB31962-2015）B</w:t>
            </w:r>
            <w:r>
              <w:rPr>
                <w:rFonts w:hint="default" w:ascii="Times New Roman" w:hAnsi="Times New Roman" w:eastAsia="宋体" w:cs="Times New Roman"/>
                <w:color w:val="auto"/>
                <w:sz w:val="24"/>
                <w:szCs w:val="24"/>
                <w:lang w:val="en-US" w:eastAsia="zh-CN"/>
              </w:rPr>
              <w:t>级</w:t>
            </w:r>
            <w:r>
              <w:rPr>
                <w:rFonts w:hint="default" w:ascii="Times New Roman" w:hAnsi="Times New Roman" w:eastAsia="宋体" w:cs="Times New Roman"/>
                <w:color w:val="auto"/>
                <w:sz w:val="24"/>
                <w:szCs w:val="24"/>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声环境</w:t>
            </w:r>
          </w:p>
        </w:tc>
        <w:tc>
          <w:tcPr>
            <w:tcW w:w="164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厂界</w:t>
            </w:r>
          </w:p>
        </w:tc>
        <w:tc>
          <w:tcPr>
            <w:tcW w:w="199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等效连续A声</w:t>
            </w:r>
          </w:p>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级</w:t>
            </w:r>
          </w:p>
        </w:tc>
        <w:tc>
          <w:tcPr>
            <w:tcW w:w="146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隔声、减振</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消声等综合降噪措施</w:t>
            </w:r>
          </w:p>
        </w:tc>
        <w:tc>
          <w:tcPr>
            <w:tcW w:w="287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snapToGrid w:val="0"/>
                <w:color w:val="auto"/>
                <w:sz w:val="24"/>
                <w:szCs w:val="24"/>
                <w:highlight w:val="none"/>
              </w:rPr>
              <w:t>《</w:t>
            </w:r>
            <w:r>
              <w:rPr>
                <w:rFonts w:hint="eastAsia" w:ascii="Times New Roman" w:hAnsi="Times New Roman" w:cs="Times New Roman"/>
                <w:snapToGrid w:val="0"/>
                <w:color w:val="auto"/>
                <w:sz w:val="24"/>
                <w:szCs w:val="24"/>
                <w:highlight w:val="none"/>
                <w:lang w:eastAsia="zh-CN"/>
              </w:rPr>
              <w:t>工业企业厂界环境噪声排放标准</w:t>
            </w:r>
            <w:r>
              <w:rPr>
                <w:rFonts w:hint="default" w:ascii="Times New Roman" w:hAnsi="Times New Roman" w:cs="Times New Roman"/>
                <w:snapToGrid w:val="0"/>
                <w:color w:val="auto"/>
                <w:sz w:val="24"/>
                <w:szCs w:val="24"/>
                <w:highlight w:val="none"/>
              </w:rPr>
              <w:t>》（</w:t>
            </w:r>
            <w:r>
              <w:rPr>
                <w:rFonts w:hint="eastAsia" w:ascii="Times New Roman" w:hAnsi="Times New Roman" w:cs="Times New Roman"/>
                <w:snapToGrid w:val="0"/>
                <w:color w:val="auto"/>
                <w:sz w:val="24"/>
                <w:szCs w:val="24"/>
                <w:highlight w:val="none"/>
                <w:lang w:eastAsia="zh-CN"/>
              </w:rPr>
              <w:t>GB3096-2008</w:t>
            </w:r>
            <w:r>
              <w:rPr>
                <w:rFonts w:hint="default" w:ascii="Times New Roman" w:hAnsi="Times New Roman" w:cs="Times New Roman"/>
                <w:snapToGrid w:val="0"/>
                <w:color w:val="auto"/>
                <w:sz w:val="24"/>
                <w:szCs w:val="24"/>
                <w:highlight w:val="none"/>
              </w:rPr>
              <w:t>）</w:t>
            </w:r>
            <w:r>
              <w:rPr>
                <w:rFonts w:hint="default" w:ascii="Times New Roman" w:hAnsi="Times New Roman" w:eastAsia="宋体" w:cs="Times New Roman"/>
                <w:color w:val="auto"/>
                <w:sz w:val="24"/>
                <w:szCs w:val="24"/>
                <w:highlight w:val="none"/>
                <w:shd w:val="clear" w:color="auto" w:fill="auto"/>
              </w:rPr>
              <w:t>中</w:t>
            </w:r>
            <w:r>
              <w:rPr>
                <w:rFonts w:hint="default" w:ascii="Times New Roman" w:hAnsi="Times New Roman" w:eastAsia="宋体" w:cs="Times New Roman"/>
                <w:color w:val="auto"/>
                <w:sz w:val="24"/>
                <w:szCs w:val="24"/>
                <w:highlight w:val="none"/>
                <w:shd w:val="clear" w:color="auto" w:fill="auto"/>
                <w:lang w:val="en-US" w:eastAsia="zh-CN"/>
              </w:rPr>
              <w:t>2</w:t>
            </w:r>
            <w:r>
              <w:rPr>
                <w:rFonts w:hint="default" w:ascii="Times New Roman" w:hAnsi="Times New Roman" w:eastAsia="宋体" w:cs="Times New Roman"/>
                <w:color w:val="auto"/>
                <w:sz w:val="24"/>
                <w:szCs w:val="24"/>
                <w:highlight w:val="none"/>
                <w:shd w:val="clear" w:color="auto" w:fill="auto"/>
              </w:rPr>
              <w:t>类标准</w:t>
            </w:r>
            <w:r>
              <w:rPr>
                <w:rFonts w:hint="default" w:ascii="Times New Roman" w:hAnsi="Times New Roman" w:eastAsia="宋体" w:cs="Times New Roman"/>
                <w:color w:val="auto"/>
                <w:sz w:val="24"/>
                <w:szCs w:val="24"/>
                <w:highlight w:val="none"/>
                <w:shd w:val="clear" w:color="auto" w:fill="auto"/>
                <w:lang w:val="en-US" w:eastAsia="zh-CN"/>
              </w:rPr>
              <w:t>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电磁辐射</w:t>
            </w:r>
          </w:p>
        </w:tc>
        <w:tc>
          <w:tcPr>
            <w:tcW w:w="164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99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46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287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固体废物</w:t>
            </w:r>
          </w:p>
        </w:tc>
        <w:tc>
          <w:tcPr>
            <w:tcW w:w="164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生活垃圾</w:t>
            </w:r>
          </w:p>
        </w:tc>
        <w:tc>
          <w:tcPr>
            <w:tcW w:w="1992" w:type="dxa"/>
            <w:noWrap w:val="0"/>
            <w:vAlign w:val="center"/>
          </w:tcPr>
          <w:p>
            <w:pPr>
              <w:adjustRightInd w:val="0"/>
              <w:snapToGrid w:val="0"/>
              <w:jc w:val="center"/>
              <w:rPr>
                <w:rFonts w:hint="default" w:ascii="Times New Roman" w:hAnsi="Times New Roman"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生活垃圾</w:t>
            </w:r>
          </w:p>
        </w:tc>
        <w:tc>
          <w:tcPr>
            <w:tcW w:w="1464" w:type="dxa"/>
            <w:noWrap w:val="0"/>
            <w:vAlign w:val="center"/>
          </w:tcPr>
          <w:p>
            <w:pPr>
              <w:adjustRightInd w:val="0"/>
              <w:snapToGrid w:val="0"/>
              <w:jc w:val="center"/>
              <w:rPr>
                <w:rFonts w:hint="default" w:ascii="Times New Roman" w:hAnsi="Times New Roman"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分类收集，委托当地环卫部门统一清运</w:t>
            </w:r>
          </w:p>
        </w:tc>
        <w:tc>
          <w:tcPr>
            <w:tcW w:w="287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处理处置率100%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z w:val="24"/>
                <w:szCs w:val="24"/>
              </w:rPr>
            </w:pPr>
          </w:p>
        </w:tc>
        <w:tc>
          <w:tcPr>
            <w:tcW w:w="1644"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一般固废</w:t>
            </w:r>
          </w:p>
        </w:tc>
        <w:tc>
          <w:tcPr>
            <w:tcW w:w="1992"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未被污染的废输液瓶（袋）</w:t>
            </w:r>
          </w:p>
        </w:tc>
        <w:tc>
          <w:tcPr>
            <w:tcW w:w="1464"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集中收集后，交由安康市医疗废物处置中心处置</w:t>
            </w:r>
          </w:p>
        </w:tc>
        <w:tc>
          <w:tcPr>
            <w:tcW w:w="2872" w:type="dxa"/>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处理处置率100%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z w:val="24"/>
                <w:szCs w:val="24"/>
              </w:rPr>
            </w:pPr>
          </w:p>
        </w:tc>
        <w:tc>
          <w:tcPr>
            <w:tcW w:w="1644" w:type="dxa"/>
            <w:vMerge w:val="restart"/>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危险废物</w:t>
            </w:r>
          </w:p>
        </w:tc>
        <w:tc>
          <w:tcPr>
            <w:tcW w:w="1992" w:type="dxa"/>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4"/>
                <w:szCs w:val="24"/>
                <w:vertAlign w:val="baseline"/>
                <w:lang w:val="en-US" w:eastAsia="zh-CN" w:bidi="ar-SA"/>
              </w:rPr>
            </w:pPr>
            <w:r>
              <w:rPr>
                <w:rFonts w:hint="default" w:ascii="Times New Roman" w:hAnsi="Times New Roman" w:eastAsia="宋体" w:cs="Times New Roman"/>
                <w:color w:val="auto"/>
                <w:sz w:val="24"/>
                <w:szCs w:val="24"/>
                <w:vertAlign w:val="baseline"/>
                <w:lang w:val="en-US" w:eastAsia="zh-CN"/>
              </w:rPr>
              <w:t>污泥</w:t>
            </w:r>
          </w:p>
        </w:tc>
        <w:tc>
          <w:tcPr>
            <w:tcW w:w="1464" w:type="dxa"/>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4"/>
                <w:szCs w:val="24"/>
                <w:vertAlign w:val="baseline"/>
                <w:lang w:val="en-US" w:eastAsia="zh-CN" w:bidi="ar-SA"/>
              </w:rPr>
            </w:pPr>
            <w:r>
              <w:rPr>
                <w:rFonts w:hint="default" w:ascii="Times New Roman" w:hAnsi="Times New Roman" w:eastAsia="宋体" w:cs="Times New Roman"/>
                <w:color w:val="auto"/>
                <w:sz w:val="24"/>
                <w:szCs w:val="24"/>
                <w:vertAlign w:val="baseline"/>
                <w:lang w:val="en-US" w:eastAsia="zh-CN"/>
              </w:rPr>
              <w:t>定期由有相应危险废物处置资质单位上门抽吸清运</w:t>
            </w:r>
          </w:p>
        </w:tc>
        <w:tc>
          <w:tcPr>
            <w:tcW w:w="2872" w:type="dxa"/>
            <w:vMerge w:val="restart"/>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收集、暂存执行《危险废物贮存污染控制标准》（GB18597-20</w:t>
            </w:r>
            <w:r>
              <w:rPr>
                <w:rFonts w:hint="eastAsia" w:ascii="Times New Roman" w:hAnsi="Times New Roman" w:cs="Times New Roman"/>
                <w:color w:val="auto"/>
                <w:sz w:val="24"/>
                <w:szCs w:val="24"/>
                <w:lang w:val="en-US" w:eastAsia="zh-CN"/>
              </w:rPr>
              <w:t>23</w:t>
            </w:r>
            <w:r>
              <w:rPr>
                <w:rFonts w:hint="default" w:ascii="Times New Roman" w:hAnsi="Times New Roman" w:cs="Times New Roman"/>
                <w:color w:val="auto"/>
                <w:sz w:val="24"/>
                <w:szCs w:val="24"/>
                <w:lang w:val="en-US" w:eastAsia="zh-CN"/>
              </w:rPr>
              <w:t>）、《危险废物收集贮存运输技术规范》（HJ2025-2012）要求；安全管理执行《医疗废物管理条例》（国务院令380号）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2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z w:val="24"/>
                <w:szCs w:val="24"/>
              </w:rPr>
            </w:pPr>
          </w:p>
        </w:tc>
        <w:tc>
          <w:tcPr>
            <w:tcW w:w="1644" w:type="dxa"/>
            <w:vMerge w:val="continue"/>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sz w:val="24"/>
                <w:szCs w:val="24"/>
              </w:rPr>
            </w:pPr>
          </w:p>
        </w:tc>
        <w:tc>
          <w:tcPr>
            <w:tcW w:w="1992" w:type="dxa"/>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4"/>
                <w:szCs w:val="24"/>
                <w:vertAlign w:val="baseline"/>
                <w:lang w:val="en-US" w:eastAsia="zh-CN" w:bidi="ar-SA"/>
              </w:rPr>
            </w:pPr>
            <w:r>
              <w:rPr>
                <w:rFonts w:hint="default" w:ascii="Times New Roman" w:hAnsi="Times New Roman" w:eastAsia="宋体" w:cs="Times New Roman"/>
                <w:color w:val="auto"/>
                <w:sz w:val="24"/>
                <w:szCs w:val="24"/>
                <w:vertAlign w:val="baseline"/>
                <w:lang w:val="en-US" w:eastAsia="zh-CN"/>
              </w:rPr>
              <w:t>医疗废物</w:t>
            </w:r>
          </w:p>
        </w:tc>
        <w:tc>
          <w:tcPr>
            <w:tcW w:w="1464" w:type="dxa"/>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4"/>
                <w:szCs w:val="24"/>
                <w:vertAlign w:val="baseline"/>
                <w:lang w:val="en-US" w:eastAsia="zh-CN" w:bidi="ar-SA"/>
              </w:rPr>
            </w:pPr>
            <w:r>
              <w:rPr>
                <w:rFonts w:hint="default" w:ascii="Times New Roman" w:hAnsi="Times New Roman" w:eastAsia="宋体" w:cs="Times New Roman"/>
                <w:color w:val="auto"/>
                <w:sz w:val="24"/>
                <w:szCs w:val="24"/>
                <w:vertAlign w:val="baseline"/>
                <w:lang w:val="en-US" w:eastAsia="zh-CN"/>
              </w:rPr>
              <w:t>分类收集后，暂存于医疗废物暂存间</w:t>
            </w:r>
            <w:r>
              <w:rPr>
                <w:rFonts w:hint="eastAsia" w:ascii="Times New Roman" w:hAnsi="Times New Roman" w:cs="Times New Roman"/>
                <w:color w:val="auto"/>
                <w:sz w:val="24"/>
                <w:szCs w:val="24"/>
                <w:vertAlign w:val="baseline"/>
                <w:lang w:val="en-US" w:eastAsia="zh-CN"/>
              </w:rPr>
              <w:t>后交由</w:t>
            </w:r>
            <w:r>
              <w:rPr>
                <w:rFonts w:hint="eastAsia" w:ascii="Times New Roman" w:hAnsi="Times New Roman" w:cs="Times New Roman"/>
                <w:color w:val="auto"/>
                <w:sz w:val="24"/>
                <w:szCs w:val="24"/>
                <w:lang w:val="en-US" w:eastAsia="zh-CN"/>
              </w:rPr>
              <w:t>安康市医疗废物处置中心处置</w:t>
            </w:r>
          </w:p>
        </w:tc>
        <w:tc>
          <w:tcPr>
            <w:tcW w:w="2872" w:type="dxa"/>
            <w:vMerge w:val="continue"/>
            <w:noWrap w:val="0"/>
            <w:vAlign w:val="center"/>
          </w:tcPr>
          <w:p>
            <w:pPr>
              <w:pStyle w:val="71"/>
              <w:keepNext w:val="0"/>
              <w:keepLines w:val="0"/>
              <w:pageBreakBefore w:val="0"/>
              <w:kinsoku/>
              <w:wordWrap/>
              <w:overflowPunct/>
              <w:topLinePunct w:val="0"/>
              <w:autoSpaceDE/>
              <w:autoSpaceDN/>
              <w:bidi w:val="0"/>
              <w:spacing w:line="360" w:lineRule="exact"/>
              <w:textAlignment w:val="auto"/>
              <w:rPr>
                <w:rFonts w:hint="default" w:ascii="Times New Roman" w:hAnsi="Times New Roman"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sz w:val="24"/>
                <w:szCs w:val="24"/>
              </w:rPr>
              <w:t>土壤及地下水污染防治措施</w:t>
            </w:r>
          </w:p>
        </w:tc>
        <w:tc>
          <w:tcPr>
            <w:tcW w:w="797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医疗废物采用完好无损的医疗废物暂存箱盛装，收集后集中暂存在医疗废物暂存间，医疗废物暂存间按照《危险废物贮存污染控制标准》（GB18597-20</w:t>
            </w:r>
            <w:r>
              <w:rPr>
                <w:rFonts w:hint="eastAsia" w:ascii="Times New Roman" w:hAnsi="Times New Roman" w:eastAsia="宋体" w:cs="Times New Roman"/>
                <w:color w:val="auto"/>
                <w:kern w:val="2"/>
                <w:sz w:val="24"/>
                <w:szCs w:val="24"/>
                <w:lang w:val="en-US" w:eastAsia="zh-CN" w:bidi="ar-SA"/>
              </w:rPr>
              <w:t>23</w:t>
            </w:r>
            <w:r>
              <w:rPr>
                <w:rFonts w:hint="default" w:ascii="Times New Roman" w:hAnsi="Times New Roman" w:eastAsia="宋体" w:cs="Times New Roman"/>
                <w:color w:val="auto"/>
                <w:kern w:val="2"/>
                <w:sz w:val="24"/>
                <w:szCs w:val="24"/>
                <w:lang w:val="en-US" w:eastAsia="zh-CN" w:bidi="ar-SA"/>
              </w:rPr>
              <w:t>）做好防渗。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sz w:val="24"/>
                <w:szCs w:val="24"/>
              </w:rPr>
              <w:t>生态保护措施</w:t>
            </w:r>
          </w:p>
        </w:tc>
        <w:tc>
          <w:tcPr>
            <w:tcW w:w="797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环境风险</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pacing w:val="-8"/>
                <w:kern w:val="2"/>
                <w:sz w:val="24"/>
                <w:szCs w:val="24"/>
                <w:lang w:val="en-US" w:eastAsia="zh-CN" w:bidi="ar-SA"/>
              </w:rPr>
            </w:pPr>
            <w:r>
              <w:rPr>
                <w:rFonts w:hint="default" w:ascii="Times New Roman" w:hAnsi="Times New Roman" w:cs="Times New Roman"/>
                <w:color w:val="auto"/>
                <w:spacing w:val="-8"/>
                <w:sz w:val="24"/>
                <w:szCs w:val="24"/>
              </w:rPr>
              <w:t>防范措施</w:t>
            </w:r>
          </w:p>
        </w:tc>
        <w:tc>
          <w:tcPr>
            <w:tcW w:w="797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①加强对污水处理站设备的维修、保养，杜绝由于设备劳损、折旧带来的事故隐患；</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②加强职工的安全教育，提高安全防范意识；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③危险化学品必须储存在专用仓库、专用场地或者专用储存室内，其储存方式、方法与储存数量必须符合国家标准，并由专人管理，危险化学品出入库，必须进行核查登记，并定期检查库存；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rPr>
              <w:t>④定期对医疗废物包装物或者容器进行认真检查，确保无破损、渗漏和其他缺陷、危废暂存场所所在区及仓库配置消防器材及灭火器材</w:t>
            </w:r>
            <w:r>
              <w:rPr>
                <w:rFonts w:hint="default" w:ascii="Times New Roman" w:hAnsi="Times New Roman" w:eastAsia="宋体" w:cs="Times New Roman"/>
                <w:color w:val="auto"/>
                <w:kern w:val="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其他环境</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pacing w:val="-8"/>
                <w:kern w:val="2"/>
                <w:sz w:val="24"/>
                <w:szCs w:val="24"/>
                <w:lang w:val="en-US" w:eastAsia="zh-CN" w:bidi="ar-SA"/>
              </w:rPr>
            </w:pPr>
            <w:r>
              <w:rPr>
                <w:rFonts w:hint="default" w:ascii="Times New Roman" w:hAnsi="Times New Roman" w:cs="Times New Roman"/>
                <w:color w:val="auto"/>
                <w:spacing w:val="-8"/>
                <w:sz w:val="24"/>
                <w:szCs w:val="24"/>
              </w:rPr>
              <w:t>管理要求</w:t>
            </w:r>
          </w:p>
        </w:tc>
        <w:tc>
          <w:tcPr>
            <w:tcW w:w="797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
                <w:bCs/>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1、环保设施验收要求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rPr>
              <w:t>本项目竣工后，建设单位应当按照《关于发布&lt;建设项目竣工环境保护验收暂行办法&gt;的公告》（国环规环评[2017]4号）及国务院环境保护行政主管部门规定的标准和程序，</w:t>
            </w:r>
            <w:r>
              <w:rPr>
                <w:rFonts w:hint="default" w:ascii="Times New Roman" w:hAnsi="Times New Roman" w:eastAsia="宋体" w:cs="Times New Roman"/>
                <w:b w:val="0"/>
                <w:bCs w:val="0"/>
                <w:color w:val="auto"/>
                <w:kern w:val="2"/>
                <w:sz w:val="24"/>
                <w:szCs w:val="24"/>
                <w:lang w:val="en-US" w:eastAsia="zh-CN" w:bidi="ar-SA"/>
              </w:rPr>
              <w:t>自主开展环境保护验收。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
                <w:bCs/>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2、排污许可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rPr>
              <w:t>建设单位应根据《固定污染源排污许可分类管理名录》，进行排污许可申报，并按证排污。</w:t>
            </w:r>
          </w:p>
        </w:tc>
      </w:tr>
    </w:tbl>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snapToGrid w:val="0"/>
          <w:color w:val="auto"/>
          <w:sz w:val="30"/>
          <w:szCs w:val="30"/>
        </w:rPr>
      </w:pPr>
      <w:r>
        <w:rPr>
          <w:rFonts w:ascii="Times New Roman" w:hAnsi="Times New Roman"/>
          <w:snapToGrid w:val="0"/>
          <w:color w:val="auto"/>
        </w:rPr>
        <w:br w:type="page"/>
      </w:r>
      <w:r>
        <w:rPr>
          <w:rFonts w:hint="eastAsia" w:ascii="Times New Roman" w:hAnsi="Times New Roman"/>
          <w:snapToGrid w:val="0"/>
          <w:color w:val="auto"/>
          <w:sz w:val="30"/>
          <w:szCs w:val="30"/>
        </w:rPr>
        <w:t>六、结论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rPr>
            </w:pPr>
            <w:r>
              <w:rPr>
                <w:rFonts w:hint="eastAsia" w:eastAsia="宋体"/>
                <w:color w:val="auto"/>
                <w:sz w:val="24"/>
                <w:szCs w:val="24"/>
                <w:lang w:val="en-US" w:eastAsia="zh-CN"/>
              </w:rPr>
              <w:t>从环境保护角度，本建设项目环境影响可行。</w:t>
            </w:r>
          </w:p>
        </w:tc>
      </w:tr>
    </w:tbl>
    <w:p>
      <w:pPr>
        <w:rPr>
          <w:color w:val="auto"/>
        </w:rPr>
        <w:sectPr>
          <w:pgSz w:w="11906" w:h="16838"/>
          <w:pgMar w:top="1701" w:right="1361" w:bottom="1701" w:left="1587" w:header="851" w:footer="851" w:gutter="0"/>
          <w:pgBorders>
            <w:top w:val="none" w:sz="0" w:space="0"/>
            <w:left w:val="none" w:sz="0" w:space="0"/>
            <w:bottom w:val="none" w:sz="0" w:space="0"/>
            <w:right w:val="none" w:sz="0" w:space="0"/>
          </w:pgBorders>
          <w:cols w:space="720" w:num="1"/>
          <w:docGrid w:linePitch="312" w:charSpace="0"/>
        </w:sect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ascii="Times New Roman" w:hAnsi="Times New Roman"/>
          <w:snapToGrid w:val="0"/>
          <w:color w:val="auto"/>
          <w:sz w:val="32"/>
          <w:szCs w:val="32"/>
        </w:rPr>
      </w:pPr>
      <w:r>
        <w:rPr>
          <w:rFonts w:hint="eastAsia" w:ascii="Times New Roman" w:hAnsi="Times New Roman"/>
          <w:snapToGrid w:val="0"/>
          <w:color w:val="auto"/>
          <w:sz w:val="32"/>
          <w:szCs w:val="32"/>
        </w:rPr>
        <w:t>附</w:t>
      </w:r>
      <w:r>
        <w:rPr>
          <w:rFonts w:hint="eastAsia" w:ascii="Times New Roman" w:hAnsi="Times New Roman" w:eastAsia="宋体" w:cs="Times New Roman"/>
          <w:snapToGrid w:val="0"/>
          <w:color w:val="auto"/>
          <w:sz w:val="32"/>
          <w:szCs w:val="32"/>
        </w:rPr>
        <w:t>表</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Times New Roman" w:hAnsi="Times New Roman"/>
          <w:snapToGrid w:val="0"/>
          <w:color w:val="auto"/>
          <w:sz w:val="38"/>
          <w:szCs w:val="38"/>
        </w:rPr>
      </w:pPr>
      <w:r>
        <w:rPr>
          <w:rFonts w:hint="eastAsia" w:ascii="Times New Roman" w:hAnsi="Times New Roman"/>
          <w:snapToGrid w:val="0"/>
          <w:color w:val="auto"/>
          <w:sz w:val="38"/>
          <w:szCs w:val="38"/>
        </w:rPr>
        <w:t>建设项目污染物排放量汇总表</w:t>
      </w:r>
    </w:p>
    <w:tbl>
      <w:tblPr>
        <w:tblStyle w:val="2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98"/>
        <w:gridCol w:w="1655"/>
        <w:gridCol w:w="1326"/>
        <w:gridCol w:w="1229"/>
        <w:gridCol w:w="1520"/>
        <w:gridCol w:w="1520"/>
        <w:gridCol w:w="1520"/>
        <w:gridCol w:w="1761"/>
        <w:gridCol w:w="13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601" w:type="pct"/>
            <w:gridSpan w:val="2"/>
            <w:tcBorders>
              <w:tl2br w:val="nil"/>
              <w:tr2bl w:val="nil"/>
            </w:tcBorders>
            <w:noWrap w:val="0"/>
            <w:tcMar>
              <w:left w:w="28" w:type="dxa"/>
              <w:right w:w="28" w:type="dxa"/>
            </w:tcMar>
            <w:vAlign w:val="center"/>
          </w:tcPr>
          <w:p>
            <w:pPr>
              <w:pStyle w:val="35"/>
              <w:spacing w:beforeLines="0" w:afterLines="0" w:line="240" w:lineRule="auto"/>
              <w:jc w:val="center"/>
              <w:rPr>
                <w:rFonts w:hint="default" w:ascii="Times New Roman" w:hAnsi="Times New Roman" w:cs="Times New Roman"/>
                <w:snapToGrid w:val="0"/>
                <w:color w:val="auto"/>
                <w:spacing w:val="-6"/>
                <w:kern w:val="21"/>
                <w:sz w:val="21"/>
                <w:szCs w:val="21"/>
                <w:lang w:val="en-US" w:eastAsia="zh-CN"/>
              </w:rPr>
            </w:pPr>
            <w:r>
              <w:rPr>
                <w:rFonts w:hint="default" w:ascii="Times New Roman" w:hAnsi="Times New Roman" w:cs="Times New Roman"/>
                <w:color w:val="auto"/>
                <w:sz w:val="21"/>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1270</wp:posOffset>
                      </wp:positionV>
                      <wp:extent cx="1018540" cy="623570"/>
                      <wp:effectExtent l="2540" t="3810" r="7620" b="20320"/>
                      <wp:wrapNone/>
                      <wp:docPr id="4" name="直线 786"/>
                      <wp:cNvGraphicFramePr/>
                      <a:graphic xmlns:a="http://schemas.openxmlformats.org/drawingml/2006/main">
                        <a:graphicData uri="http://schemas.microsoft.com/office/word/2010/wordprocessingShape">
                          <wps:wsp>
                            <wps:cNvCnPr/>
                            <wps:spPr>
                              <a:xfrm>
                                <a:off x="0" y="0"/>
                                <a:ext cx="1018540" cy="6235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86" o:spid="_x0000_s1026" o:spt="20" style="position:absolute;left:0pt;margin-left:-1.2pt;margin-top:0.1pt;height:49.1pt;width:80.2pt;z-index:251661312;mso-width-relative:page;mso-height-relative:page;" filled="f" stroked="t" coordsize="21600,21600" o:gfxdata="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tFTd1QAAAAYBAAAPAAAAAAAAAAEAIAAAACIAAABkcnMvZG93bnJldi54bWxQSwECFAAUAAAA&#10;CACHTuJAm88HE/EBAADiAwAADgAAAAAAAAABACAAAAAkAQAAZHJzL2Uyb0RvYy54bWxQSwUGAAAA&#10;AAYABgBZAQAAhwUAAAAA&#10;">
                      <v:fill on="f" focussize="0,0"/>
                      <v:stroke color="#000000" joinstyle="round"/>
                      <v:imagedata o:title=""/>
                      <o:lock v:ext="edit" aspectratio="f"/>
                    </v:line>
                  </w:pict>
                </mc:Fallback>
              </mc:AlternateContent>
            </w:r>
            <w:r>
              <w:rPr>
                <w:rFonts w:hint="default" w:ascii="Times New Roman" w:hAnsi="Times New Roman" w:cs="Times New Roman"/>
                <w:snapToGrid w:val="0"/>
                <w:color w:val="auto"/>
                <w:spacing w:val="-6"/>
                <w:kern w:val="21"/>
                <w:sz w:val="21"/>
                <w:szCs w:val="21"/>
                <w:lang w:val="en-US" w:eastAsia="zh-CN"/>
              </w:rPr>
              <w:t xml:space="preserve">      </w:t>
            </w:r>
          </w:p>
          <w:p>
            <w:pPr>
              <w:pStyle w:val="35"/>
              <w:spacing w:beforeLines="0" w:afterLines="0" w:line="240" w:lineRule="auto"/>
              <w:jc w:val="center"/>
              <w:rPr>
                <w:rFonts w:hint="default" w:ascii="Times New Roman" w:hAnsi="Times New Roman" w:cs="Times New Roman"/>
                <w:snapToGrid w:val="0"/>
                <w:color w:val="auto"/>
                <w:spacing w:val="-6"/>
                <w:kern w:val="21"/>
                <w:sz w:val="21"/>
                <w:szCs w:val="21"/>
              </w:rPr>
            </w:pPr>
            <w:r>
              <w:rPr>
                <w:rFonts w:hint="default" w:ascii="Times New Roman" w:hAnsi="Times New Roman" w:cs="Times New Roman"/>
                <w:snapToGrid w:val="0"/>
                <w:color w:val="auto"/>
                <w:spacing w:val="-6"/>
                <w:kern w:val="21"/>
                <w:sz w:val="21"/>
                <w:szCs w:val="21"/>
                <w:lang w:val="en-US" w:eastAsia="zh-CN"/>
              </w:rPr>
              <w:t xml:space="preserve">        </w:t>
            </w:r>
            <w:r>
              <w:rPr>
                <w:rFonts w:hint="eastAsia" w:ascii="Times New Roman" w:cs="Times New Roman"/>
                <w:snapToGrid w:val="0"/>
                <w:color w:val="auto"/>
                <w:spacing w:val="-6"/>
                <w:kern w:val="21"/>
                <w:sz w:val="21"/>
                <w:szCs w:val="21"/>
                <w:lang w:val="en-US" w:eastAsia="zh-CN"/>
              </w:rPr>
              <w:t xml:space="preserve">    </w:t>
            </w:r>
            <w:r>
              <w:rPr>
                <w:rFonts w:hint="default" w:ascii="Times New Roman" w:hAnsi="Times New Roman" w:cs="Times New Roman"/>
                <w:snapToGrid w:val="0"/>
                <w:color w:val="auto"/>
                <w:spacing w:val="-6"/>
                <w:kern w:val="21"/>
                <w:sz w:val="21"/>
                <w:szCs w:val="21"/>
              </w:rPr>
              <w:t>项目</w:t>
            </w:r>
          </w:p>
          <w:p>
            <w:pPr>
              <w:pStyle w:val="35"/>
              <w:spacing w:beforeLines="0" w:afterLines="0" w:line="240" w:lineRule="auto"/>
              <w:jc w:val="left"/>
              <w:rPr>
                <w:rFonts w:hint="default" w:ascii="Times New Roman" w:hAnsi="Times New Roman" w:cs="Times New Roman"/>
                <w:snapToGrid w:val="0"/>
                <w:color w:val="auto"/>
                <w:spacing w:val="-6"/>
                <w:kern w:val="21"/>
                <w:sz w:val="21"/>
                <w:szCs w:val="21"/>
              </w:rPr>
            </w:pPr>
            <w:r>
              <w:rPr>
                <w:rFonts w:hint="default" w:ascii="Times New Roman" w:hAnsi="Times New Roman" w:cs="Times New Roman"/>
                <w:snapToGrid w:val="0"/>
                <w:color w:val="auto"/>
                <w:spacing w:val="-6"/>
                <w:kern w:val="21"/>
                <w:sz w:val="21"/>
                <w:szCs w:val="21"/>
              </w:rPr>
              <w:t>分类</w:t>
            </w:r>
          </w:p>
        </w:tc>
        <w:tc>
          <w:tcPr>
            <w:tcW w:w="613" w:type="pct"/>
            <w:tcBorders>
              <w:tl2br w:val="nil"/>
              <w:tr2bl w:val="nil"/>
            </w:tcBorders>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snapToGrid w:val="0"/>
                <w:color w:val="auto"/>
                <w:spacing w:val="-6"/>
                <w:kern w:val="21"/>
                <w:sz w:val="21"/>
                <w:szCs w:val="21"/>
              </w:rPr>
            </w:pPr>
            <w:r>
              <w:rPr>
                <w:rFonts w:hint="default" w:ascii="Times New Roman" w:hAnsi="Times New Roman" w:cs="Times New Roman"/>
                <w:snapToGrid w:val="0"/>
                <w:color w:val="auto"/>
                <w:spacing w:val="-6"/>
                <w:kern w:val="21"/>
                <w:sz w:val="21"/>
                <w:szCs w:val="21"/>
              </w:rPr>
              <w:t>污染物名称</w:t>
            </w:r>
          </w:p>
        </w:tc>
        <w:tc>
          <w:tcPr>
            <w:tcW w:w="491" w:type="pct"/>
            <w:tcBorders>
              <w:tl2br w:val="nil"/>
              <w:tr2bl w:val="nil"/>
            </w:tcBorders>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snapToGrid w:val="0"/>
                <w:color w:val="auto"/>
                <w:spacing w:val="-6"/>
                <w:kern w:val="21"/>
                <w:sz w:val="21"/>
                <w:szCs w:val="21"/>
              </w:rPr>
            </w:pPr>
            <w:r>
              <w:rPr>
                <w:rFonts w:hint="default" w:ascii="Times New Roman" w:hAnsi="Times New Roman" w:cs="Times New Roman"/>
                <w:snapToGrid w:val="0"/>
                <w:color w:val="auto"/>
                <w:spacing w:val="-6"/>
                <w:kern w:val="21"/>
                <w:sz w:val="21"/>
                <w:szCs w:val="21"/>
              </w:rPr>
              <w:t>现有工程排放量（固体废物产生量）</w:t>
            </w:r>
            <w:r>
              <w:rPr>
                <w:rFonts w:hint="default" w:ascii="Times New Roman" w:hAnsi="Times New Roman" w:cs="Times New Roman"/>
                <w:snapToGrid w:val="0"/>
                <w:color w:val="auto"/>
                <w:spacing w:val="-6"/>
                <w:kern w:val="21"/>
                <w:sz w:val="21"/>
                <w:szCs w:val="21"/>
              </w:rPr>
              <w:fldChar w:fldCharType="begin"/>
            </w:r>
            <w:r>
              <w:rPr>
                <w:rFonts w:hint="default" w:ascii="Times New Roman" w:hAnsi="Times New Roman" w:cs="Times New Roman"/>
                <w:snapToGrid w:val="0"/>
                <w:color w:val="auto"/>
                <w:spacing w:val="-6"/>
                <w:kern w:val="21"/>
                <w:sz w:val="21"/>
                <w:szCs w:val="21"/>
              </w:rPr>
              <w:instrText xml:space="preserve"> = 1 \* GB3 \* MERGEFORMAT </w:instrText>
            </w:r>
            <w:r>
              <w:rPr>
                <w:rFonts w:hint="default" w:ascii="Times New Roman" w:hAnsi="Times New Roman" w:cs="Times New Roman"/>
                <w:snapToGrid w:val="0"/>
                <w:color w:val="auto"/>
                <w:spacing w:val="-6"/>
                <w:kern w:val="21"/>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snapToGrid w:val="0"/>
                <w:color w:val="auto"/>
                <w:spacing w:val="-6"/>
                <w:kern w:val="21"/>
                <w:sz w:val="21"/>
                <w:szCs w:val="21"/>
              </w:rPr>
              <w:fldChar w:fldCharType="end"/>
            </w:r>
          </w:p>
        </w:tc>
        <w:tc>
          <w:tcPr>
            <w:tcW w:w="455" w:type="pct"/>
            <w:tcBorders>
              <w:tl2br w:val="nil"/>
              <w:tr2bl w:val="nil"/>
            </w:tcBorders>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snapToGrid w:val="0"/>
                <w:color w:val="auto"/>
                <w:spacing w:val="-6"/>
                <w:kern w:val="21"/>
                <w:sz w:val="21"/>
                <w:szCs w:val="21"/>
              </w:rPr>
            </w:pPr>
            <w:r>
              <w:rPr>
                <w:rFonts w:hint="default" w:ascii="Times New Roman" w:hAnsi="Times New Roman" w:cs="Times New Roman"/>
                <w:snapToGrid w:val="0"/>
                <w:color w:val="auto"/>
                <w:spacing w:val="-6"/>
                <w:kern w:val="21"/>
                <w:sz w:val="21"/>
                <w:szCs w:val="21"/>
              </w:rPr>
              <w:t>现有工程许可排放量</w:t>
            </w:r>
            <w:r>
              <w:rPr>
                <w:rFonts w:hint="default" w:ascii="Times New Roman" w:hAnsi="Times New Roman" w:cs="Times New Roman"/>
                <w:snapToGrid w:val="0"/>
                <w:color w:val="auto"/>
                <w:spacing w:val="-6"/>
                <w:kern w:val="21"/>
                <w:sz w:val="21"/>
                <w:szCs w:val="21"/>
              </w:rPr>
              <w:fldChar w:fldCharType="begin"/>
            </w:r>
            <w:r>
              <w:rPr>
                <w:rFonts w:hint="default" w:ascii="Times New Roman" w:hAnsi="Times New Roman" w:cs="Times New Roman"/>
                <w:snapToGrid w:val="0"/>
                <w:color w:val="auto"/>
                <w:spacing w:val="-6"/>
                <w:kern w:val="21"/>
                <w:sz w:val="21"/>
                <w:szCs w:val="21"/>
              </w:rPr>
              <w:instrText xml:space="preserve"> = 2 \* GB3 \* MERGEFORMAT </w:instrText>
            </w:r>
            <w:r>
              <w:rPr>
                <w:rFonts w:hint="default" w:ascii="Times New Roman" w:hAnsi="Times New Roman" w:cs="Times New Roman"/>
                <w:snapToGrid w:val="0"/>
                <w:color w:val="auto"/>
                <w:spacing w:val="-6"/>
                <w:kern w:val="21"/>
                <w:sz w:val="21"/>
                <w:szCs w:val="21"/>
              </w:rPr>
              <w:fldChar w:fldCharType="separate"/>
            </w:r>
            <w:r>
              <w:rPr>
                <w:rFonts w:hint="default" w:ascii="Times New Roman" w:hAnsi="Times New Roman" w:cs="Times New Roman"/>
                <w:snapToGrid w:val="0"/>
                <w:color w:val="auto"/>
                <w:spacing w:val="-6"/>
                <w:kern w:val="21"/>
                <w:sz w:val="21"/>
                <w:szCs w:val="21"/>
              </w:rPr>
              <w:t>②</w:t>
            </w:r>
            <w:r>
              <w:rPr>
                <w:rFonts w:hint="default" w:ascii="Times New Roman" w:hAnsi="Times New Roman" w:cs="Times New Roman"/>
                <w:snapToGrid w:val="0"/>
                <w:color w:val="auto"/>
                <w:spacing w:val="-6"/>
                <w:kern w:val="21"/>
                <w:sz w:val="21"/>
                <w:szCs w:val="21"/>
              </w:rPr>
              <w:fldChar w:fldCharType="end"/>
            </w:r>
          </w:p>
        </w:tc>
        <w:tc>
          <w:tcPr>
            <w:tcW w:w="563" w:type="pct"/>
            <w:tcBorders>
              <w:tl2br w:val="nil"/>
              <w:tr2bl w:val="nil"/>
            </w:tcBorders>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snapToGrid w:val="0"/>
                <w:color w:val="auto"/>
                <w:spacing w:val="-6"/>
                <w:kern w:val="21"/>
                <w:sz w:val="21"/>
                <w:szCs w:val="21"/>
              </w:rPr>
            </w:pPr>
            <w:r>
              <w:rPr>
                <w:rFonts w:hint="default" w:ascii="Times New Roman" w:hAnsi="Times New Roman" w:cs="Times New Roman"/>
                <w:snapToGrid w:val="0"/>
                <w:color w:val="auto"/>
                <w:spacing w:val="-6"/>
                <w:kern w:val="21"/>
                <w:sz w:val="21"/>
                <w:szCs w:val="21"/>
              </w:rPr>
              <w:t>在建工程排放量（固体废物产生量）</w:t>
            </w:r>
            <w:r>
              <w:rPr>
                <w:rFonts w:hint="default" w:ascii="Times New Roman" w:hAnsi="Times New Roman" w:cs="Times New Roman"/>
                <w:snapToGrid w:val="0"/>
                <w:color w:val="auto"/>
                <w:spacing w:val="-6"/>
                <w:kern w:val="21"/>
                <w:sz w:val="21"/>
                <w:szCs w:val="21"/>
              </w:rPr>
              <w:fldChar w:fldCharType="begin"/>
            </w:r>
            <w:r>
              <w:rPr>
                <w:rFonts w:hint="default" w:ascii="Times New Roman" w:hAnsi="Times New Roman" w:cs="Times New Roman"/>
                <w:snapToGrid w:val="0"/>
                <w:color w:val="auto"/>
                <w:spacing w:val="-6"/>
                <w:kern w:val="21"/>
                <w:sz w:val="21"/>
                <w:szCs w:val="21"/>
              </w:rPr>
              <w:instrText xml:space="preserve"> = 3 \* GB3 \* MERGEFORMAT </w:instrText>
            </w:r>
            <w:r>
              <w:rPr>
                <w:rFonts w:hint="default" w:ascii="Times New Roman" w:hAnsi="Times New Roman" w:cs="Times New Roman"/>
                <w:snapToGrid w:val="0"/>
                <w:color w:val="auto"/>
                <w:spacing w:val="-6"/>
                <w:kern w:val="21"/>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snapToGrid w:val="0"/>
                <w:color w:val="auto"/>
                <w:spacing w:val="-6"/>
                <w:kern w:val="21"/>
                <w:sz w:val="21"/>
                <w:szCs w:val="21"/>
              </w:rPr>
              <w:fldChar w:fldCharType="end"/>
            </w:r>
          </w:p>
        </w:tc>
        <w:tc>
          <w:tcPr>
            <w:tcW w:w="563" w:type="pct"/>
            <w:tcBorders>
              <w:tl2br w:val="nil"/>
              <w:tr2bl w:val="nil"/>
            </w:tcBorders>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snapToGrid w:val="0"/>
                <w:color w:val="auto"/>
                <w:spacing w:val="-6"/>
                <w:kern w:val="21"/>
                <w:sz w:val="21"/>
                <w:szCs w:val="21"/>
              </w:rPr>
            </w:pPr>
            <w:r>
              <w:rPr>
                <w:rFonts w:hint="default" w:ascii="Times New Roman" w:hAnsi="Times New Roman" w:cs="Times New Roman"/>
                <w:snapToGrid w:val="0"/>
                <w:color w:val="auto"/>
                <w:spacing w:val="-6"/>
                <w:kern w:val="21"/>
                <w:sz w:val="21"/>
                <w:szCs w:val="21"/>
              </w:rPr>
              <w:t>本项目排放量（固体废物产生量）</w:t>
            </w:r>
            <w:r>
              <w:rPr>
                <w:rFonts w:hint="default" w:ascii="Times New Roman" w:hAnsi="Times New Roman" w:cs="Times New Roman"/>
                <w:snapToGrid w:val="0"/>
                <w:color w:val="auto"/>
                <w:spacing w:val="-6"/>
                <w:kern w:val="21"/>
                <w:sz w:val="21"/>
                <w:szCs w:val="21"/>
              </w:rPr>
              <w:fldChar w:fldCharType="begin"/>
            </w:r>
            <w:r>
              <w:rPr>
                <w:rFonts w:hint="default" w:ascii="Times New Roman" w:hAnsi="Times New Roman" w:cs="Times New Roman"/>
                <w:snapToGrid w:val="0"/>
                <w:color w:val="auto"/>
                <w:spacing w:val="-6"/>
                <w:kern w:val="21"/>
                <w:sz w:val="21"/>
                <w:szCs w:val="21"/>
              </w:rPr>
              <w:instrText xml:space="preserve"> = 4 \* GB3 \* MERGEFORMAT </w:instrText>
            </w:r>
            <w:r>
              <w:rPr>
                <w:rFonts w:hint="default" w:ascii="Times New Roman" w:hAnsi="Times New Roman" w:cs="Times New Roman"/>
                <w:snapToGrid w:val="0"/>
                <w:color w:val="auto"/>
                <w:spacing w:val="-6"/>
                <w:kern w:val="21"/>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snapToGrid w:val="0"/>
                <w:color w:val="auto"/>
                <w:spacing w:val="-6"/>
                <w:kern w:val="21"/>
                <w:sz w:val="21"/>
                <w:szCs w:val="21"/>
              </w:rPr>
              <w:fldChar w:fldCharType="end"/>
            </w:r>
          </w:p>
        </w:tc>
        <w:tc>
          <w:tcPr>
            <w:tcW w:w="563" w:type="pct"/>
            <w:tcBorders>
              <w:tl2br w:val="nil"/>
              <w:tr2bl w:val="nil"/>
            </w:tcBorders>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snapToGrid w:val="0"/>
                <w:color w:val="auto"/>
                <w:spacing w:val="-16"/>
                <w:kern w:val="21"/>
                <w:sz w:val="21"/>
                <w:szCs w:val="21"/>
              </w:rPr>
            </w:pPr>
            <w:r>
              <w:rPr>
                <w:rFonts w:hint="default" w:ascii="Times New Roman" w:hAnsi="Times New Roman" w:cs="Times New Roman"/>
                <w:snapToGrid w:val="0"/>
                <w:color w:val="auto"/>
                <w:spacing w:val="-16"/>
                <w:kern w:val="21"/>
                <w:sz w:val="21"/>
                <w:szCs w:val="21"/>
              </w:rPr>
              <w:t>以新带老削减量（新建项目不填）</w:t>
            </w:r>
            <w:r>
              <w:rPr>
                <w:rFonts w:hint="default" w:ascii="Times New Roman" w:hAnsi="Times New Roman" w:cs="Times New Roman"/>
                <w:snapToGrid w:val="0"/>
                <w:color w:val="auto"/>
                <w:spacing w:val="-16"/>
                <w:kern w:val="21"/>
                <w:sz w:val="21"/>
                <w:szCs w:val="21"/>
              </w:rPr>
              <w:fldChar w:fldCharType="begin"/>
            </w:r>
            <w:r>
              <w:rPr>
                <w:rFonts w:hint="default" w:ascii="Times New Roman" w:hAnsi="Times New Roman" w:cs="Times New Roman"/>
                <w:snapToGrid w:val="0"/>
                <w:color w:val="auto"/>
                <w:spacing w:val="-16"/>
                <w:kern w:val="21"/>
                <w:sz w:val="21"/>
                <w:szCs w:val="21"/>
              </w:rPr>
              <w:instrText xml:space="preserve"> = 5 \* GB3 \* MERGEFORMAT </w:instrText>
            </w:r>
            <w:r>
              <w:rPr>
                <w:rFonts w:hint="default" w:ascii="Times New Roman" w:hAnsi="Times New Roman" w:cs="Times New Roman"/>
                <w:snapToGrid w:val="0"/>
                <w:color w:val="auto"/>
                <w:spacing w:val="-16"/>
                <w:kern w:val="21"/>
                <w:sz w:val="21"/>
                <w:szCs w:val="21"/>
              </w:rPr>
              <w:fldChar w:fldCharType="separate"/>
            </w:r>
            <w:r>
              <w:rPr>
                <w:rFonts w:hint="default" w:ascii="Times New Roman" w:hAnsi="Times New Roman" w:cs="Times New Roman"/>
                <w:color w:val="auto"/>
                <w:kern w:val="2"/>
                <w:sz w:val="21"/>
                <w:szCs w:val="21"/>
              </w:rPr>
              <w:t>⑤</w:t>
            </w:r>
            <w:r>
              <w:rPr>
                <w:rFonts w:hint="default" w:ascii="Times New Roman" w:hAnsi="Times New Roman" w:cs="Times New Roman"/>
                <w:snapToGrid w:val="0"/>
                <w:color w:val="auto"/>
                <w:spacing w:val="-16"/>
                <w:kern w:val="21"/>
                <w:sz w:val="21"/>
                <w:szCs w:val="21"/>
              </w:rPr>
              <w:fldChar w:fldCharType="end"/>
            </w:r>
          </w:p>
        </w:tc>
        <w:tc>
          <w:tcPr>
            <w:tcW w:w="652" w:type="pct"/>
            <w:tcBorders>
              <w:tl2br w:val="nil"/>
              <w:tr2bl w:val="nil"/>
            </w:tcBorders>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snapToGrid w:val="0"/>
                <w:color w:val="auto"/>
                <w:spacing w:val="-16"/>
                <w:kern w:val="21"/>
                <w:sz w:val="21"/>
                <w:szCs w:val="21"/>
              </w:rPr>
            </w:pPr>
            <w:r>
              <w:rPr>
                <w:rFonts w:hint="default" w:ascii="Times New Roman" w:hAnsi="Times New Roman" w:cs="Times New Roman"/>
                <w:snapToGrid w:val="0"/>
                <w:color w:val="auto"/>
                <w:spacing w:val="-16"/>
                <w:kern w:val="21"/>
                <w:sz w:val="21"/>
                <w:szCs w:val="21"/>
              </w:rPr>
              <w:t>本项目建成后全厂排放量（固体废物产生量）</w:t>
            </w:r>
            <w:r>
              <w:rPr>
                <w:rFonts w:hint="default" w:ascii="Times New Roman" w:hAnsi="Times New Roman" w:cs="Times New Roman"/>
                <w:snapToGrid w:val="0"/>
                <w:color w:val="auto"/>
                <w:spacing w:val="-16"/>
                <w:kern w:val="21"/>
                <w:sz w:val="21"/>
                <w:szCs w:val="21"/>
              </w:rPr>
              <w:fldChar w:fldCharType="begin"/>
            </w:r>
            <w:r>
              <w:rPr>
                <w:rFonts w:hint="default" w:ascii="Times New Roman" w:hAnsi="Times New Roman" w:cs="Times New Roman"/>
                <w:snapToGrid w:val="0"/>
                <w:color w:val="auto"/>
                <w:spacing w:val="-16"/>
                <w:kern w:val="21"/>
                <w:sz w:val="21"/>
                <w:szCs w:val="21"/>
              </w:rPr>
              <w:instrText xml:space="preserve"> = 6 \* GB3 \* MERGEFORMAT </w:instrText>
            </w:r>
            <w:r>
              <w:rPr>
                <w:rFonts w:hint="default" w:ascii="Times New Roman" w:hAnsi="Times New Roman" w:cs="Times New Roman"/>
                <w:snapToGrid w:val="0"/>
                <w:color w:val="auto"/>
                <w:spacing w:val="-16"/>
                <w:kern w:val="21"/>
                <w:sz w:val="21"/>
                <w:szCs w:val="21"/>
              </w:rPr>
              <w:fldChar w:fldCharType="separate"/>
            </w:r>
            <w:r>
              <w:rPr>
                <w:rFonts w:hint="default" w:ascii="Times New Roman" w:hAnsi="Times New Roman" w:cs="Times New Roman"/>
                <w:color w:val="auto"/>
                <w:kern w:val="2"/>
                <w:sz w:val="21"/>
                <w:szCs w:val="21"/>
              </w:rPr>
              <w:t>⑥</w:t>
            </w:r>
            <w:r>
              <w:rPr>
                <w:rFonts w:hint="default" w:ascii="Times New Roman" w:hAnsi="Times New Roman" w:cs="Times New Roman"/>
                <w:snapToGrid w:val="0"/>
                <w:color w:val="auto"/>
                <w:spacing w:val="-16"/>
                <w:kern w:val="21"/>
                <w:sz w:val="21"/>
                <w:szCs w:val="21"/>
              </w:rPr>
              <w:fldChar w:fldCharType="end"/>
            </w:r>
          </w:p>
        </w:tc>
        <w:tc>
          <w:tcPr>
            <w:tcW w:w="493" w:type="pct"/>
            <w:tcBorders>
              <w:tl2br w:val="nil"/>
              <w:tr2bl w:val="nil"/>
            </w:tcBorders>
            <w:noWrap w:val="0"/>
            <w:tcMar>
              <w:left w:w="28" w:type="dxa"/>
              <w:right w:w="28" w:type="dxa"/>
            </w:tcMar>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snapToGrid w:val="0"/>
                <w:color w:val="auto"/>
                <w:spacing w:val="-6"/>
                <w:kern w:val="21"/>
                <w:sz w:val="21"/>
                <w:szCs w:val="21"/>
              </w:rPr>
            </w:pPr>
            <w:r>
              <w:rPr>
                <w:rFonts w:hint="default" w:ascii="Times New Roman" w:hAnsi="Times New Roman" w:cs="Times New Roman"/>
                <w:snapToGrid w:val="0"/>
                <w:color w:val="auto"/>
                <w:spacing w:val="-6"/>
                <w:kern w:val="21"/>
                <w:sz w:val="21"/>
                <w:szCs w:val="21"/>
              </w:rPr>
              <w:t>变化量</w:t>
            </w:r>
          </w:p>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snapToGrid w:val="0"/>
                <w:color w:val="auto"/>
                <w:spacing w:val="-6"/>
                <w:kern w:val="21"/>
                <w:sz w:val="21"/>
                <w:szCs w:val="21"/>
              </w:rPr>
            </w:pPr>
            <w:r>
              <w:rPr>
                <w:rFonts w:hint="default" w:ascii="Times New Roman" w:hAnsi="Times New Roman" w:cs="Times New Roman"/>
                <w:snapToGrid w:val="0"/>
                <w:color w:val="auto"/>
                <w:spacing w:val="-6"/>
                <w:kern w:val="21"/>
                <w:sz w:val="21"/>
                <w:szCs w:val="21"/>
              </w:rPr>
              <w:fldChar w:fldCharType="begin"/>
            </w:r>
            <w:r>
              <w:rPr>
                <w:rFonts w:hint="default" w:ascii="Times New Roman" w:hAnsi="Times New Roman" w:cs="Times New Roman"/>
                <w:snapToGrid w:val="0"/>
                <w:color w:val="auto"/>
                <w:spacing w:val="-6"/>
                <w:kern w:val="21"/>
                <w:sz w:val="21"/>
                <w:szCs w:val="21"/>
              </w:rPr>
              <w:instrText xml:space="preserve"> = 7 \* GB3 \* MERGEFORMAT </w:instrText>
            </w:r>
            <w:r>
              <w:rPr>
                <w:rFonts w:hint="default" w:ascii="Times New Roman" w:hAnsi="Times New Roman" w:cs="Times New Roman"/>
                <w:snapToGrid w:val="0"/>
                <w:color w:val="auto"/>
                <w:spacing w:val="-6"/>
                <w:kern w:val="21"/>
                <w:sz w:val="21"/>
                <w:szCs w:val="21"/>
              </w:rPr>
              <w:fldChar w:fldCharType="separate"/>
            </w:r>
            <w:r>
              <w:rPr>
                <w:rFonts w:hint="default" w:ascii="Times New Roman" w:hAnsi="Times New Roman" w:cs="Times New Roman"/>
                <w:color w:val="auto"/>
                <w:kern w:val="2"/>
                <w:sz w:val="21"/>
                <w:szCs w:val="21"/>
              </w:rPr>
              <w:t>⑦</w:t>
            </w:r>
            <w:r>
              <w:rPr>
                <w:rFonts w:hint="default" w:ascii="Times New Roman" w:hAnsi="Times New Roman" w:cs="Times New Roman"/>
                <w:snapToGrid w:val="0"/>
                <w:color w:val="auto"/>
                <w:spacing w:val="-6"/>
                <w:kern w:val="21"/>
                <w:sz w:val="21"/>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1" w:type="pct"/>
            <w:gridSpan w:val="2"/>
            <w:vMerge w:val="restart"/>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废气</w:t>
            </w:r>
          </w:p>
        </w:tc>
        <w:tc>
          <w:tcPr>
            <w:tcW w:w="613"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bidi="ar-SA"/>
              </w:rPr>
            </w:pPr>
          </w:p>
        </w:tc>
        <w:tc>
          <w:tcPr>
            <w:tcW w:w="455"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bidi="ar-SA"/>
              </w:rPr>
            </w:pPr>
          </w:p>
        </w:tc>
        <w:tc>
          <w:tcPr>
            <w:tcW w:w="563"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rPr>
            </w:pPr>
          </w:p>
        </w:tc>
        <w:tc>
          <w:tcPr>
            <w:tcW w:w="1520" w:type="dxa"/>
            <w:tcBorders>
              <w:tl2br w:val="nil"/>
              <w:tr2bl w:val="nil"/>
            </w:tcBorders>
            <w:noWrap w:val="0"/>
            <w:vAlign w:val="center"/>
          </w:tcPr>
          <w:p>
            <w:pPr>
              <w:pStyle w:val="35"/>
              <w:spacing w:before="24" w:after="24" w:line="240" w:lineRule="auto"/>
              <w:ind w:left="420" w:leftChars="0" w:hanging="420" w:hangingChars="200"/>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cs="Times New Roman"/>
                <w:snapToGrid w:val="0"/>
                <w:color w:val="auto"/>
                <w:kern w:val="21"/>
                <w:sz w:val="21"/>
                <w:szCs w:val="21"/>
                <w:highlight w:val="none"/>
                <w:lang w:val="en-US" w:eastAsia="zh-CN"/>
              </w:rPr>
              <w:t>0.002</w:t>
            </w:r>
            <w:r>
              <w:rPr>
                <w:rFonts w:hint="eastAsia" w:ascii="Times New Roman" w:cs="Times New Roman"/>
                <w:snapToGrid w:val="0"/>
                <w:color w:val="auto"/>
                <w:kern w:val="21"/>
                <w:sz w:val="21"/>
                <w:szCs w:val="21"/>
                <w:highlight w:val="none"/>
                <w:lang w:val="en-US" w:eastAsia="zh-CN"/>
              </w:rPr>
              <w:t>5</w:t>
            </w:r>
            <w:r>
              <w:rPr>
                <w:rFonts w:hint="eastAsia" w:ascii="Times New Roman" w:hAnsi="Times New Roman" w:cs="Times New Roman"/>
                <w:color w:val="auto"/>
                <w:sz w:val="21"/>
                <w:szCs w:val="21"/>
                <w:highlight w:val="none"/>
                <w:lang w:val="en-US" w:eastAsia="zh-CN"/>
              </w:rPr>
              <w:t>t/a</w:t>
            </w:r>
          </w:p>
        </w:tc>
        <w:tc>
          <w:tcPr>
            <w:tcW w:w="1520" w:type="dxa"/>
            <w:tcBorders>
              <w:tl2br w:val="nil"/>
              <w:tr2bl w:val="nil"/>
            </w:tcBorders>
            <w:noWrap w:val="0"/>
            <w:vAlign w:val="center"/>
          </w:tcPr>
          <w:p>
            <w:pPr>
              <w:pStyle w:val="35"/>
              <w:spacing w:before="24" w:after="24" w:line="240" w:lineRule="auto"/>
              <w:ind w:left="420" w:leftChars="0" w:hanging="420" w:hangingChars="200"/>
              <w:rPr>
                <w:rFonts w:hint="eastAsia" w:ascii="Times New Roman" w:hAnsi="Times New Roman" w:eastAsia="宋体" w:cs="Times New Roman"/>
                <w:snapToGrid w:val="0"/>
                <w:color w:val="auto"/>
                <w:kern w:val="21"/>
                <w:sz w:val="21"/>
                <w:szCs w:val="21"/>
                <w:highlight w:val="none"/>
                <w:lang w:val="en-US" w:eastAsia="zh-CN"/>
              </w:rPr>
            </w:pPr>
          </w:p>
        </w:tc>
        <w:tc>
          <w:tcPr>
            <w:tcW w:w="1761" w:type="dxa"/>
            <w:tcBorders>
              <w:tl2br w:val="nil"/>
              <w:tr2bl w:val="nil"/>
            </w:tcBorders>
            <w:noWrap w:val="0"/>
            <w:vAlign w:val="center"/>
          </w:tcPr>
          <w:p>
            <w:pPr>
              <w:pStyle w:val="35"/>
              <w:spacing w:before="24" w:after="24" w:line="240" w:lineRule="auto"/>
              <w:ind w:left="420" w:leftChars="0" w:hanging="420" w:hangingChars="200"/>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rPr>
              <w:t>0.002</w:t>
            </w:r>
            <w:r>
              <w:rPr>
                <w:rFonts w:hint="eastAsia" w:ascii="Times New Roman" w:cs="Times New Roman"/>
                <w:snapToGrid w:val="0"/>
                <w:color w:val="auto"/>
                <w:kern w:val="21"/>
                <w:sz w:val="21"/>
                <w:szCs w:val="21"/>
                <w:highlight w:val="none"/>
                <w:lang w:val="en-US" w:eastAsia="zh-CN"/>
              </w:rPr>
              <w:t>5</w:t>
            </w:r>
            <w:r>
              <w:rPr>
                <w:rFonts w:hint="eastAsia" w:ascii="Times New Roman" w:hAnsi="Times New Roman" w:cs="Times New Roman"/>
                <w:color w:val="auto"/>
                <w:sz w:val="21"/>
                <w:szCs w:val="21"/>
                <w:highlight w:val="none"/>
                <w:lang w:val="en-US" w:eastAsia="zh-CN"/>
              </w:rPr>
              <w:t>t/a</w:t>
            </w:r>
          </w:p>
        </w:tc>
        <w:tc>
          <w:tcPr>
            <w:tcW w:w="1332" w:type="dxa"/>
            <w:tcBorders>
              <w:tl2br w:val="nil"/>
              <w:tr2bl w:val="nil"/>
            </w:tcBorders>
            <w:noWrap w:val="0"/>
            <w:vAlign w:val="center"/>
          </w:tcPr>
          <w:p>
            <w:pPr>
              <w:pStyle w:val="35"/>
              <w:spacing w:before="24" w:after="24" w:line="240" w:lineRule="auto"/>
              <w:ind w:left="420" w:leftChars="0" w:hanging="420" w:hangingChars="200"/>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rPr>
              <w:t>+</w:t>
            </w:r>
            <w:r>
              <w:rPr>
                <w:rFonts w:hint="eastAsia" w:ascii="Times New Roman" w:hAnsi="Times New Roman" w:cs="Times New Roman"/>
                <w:snapToGrid w:val="0"/>
                <w:color w:val="auto"/>
                <w:kern w:val="21"/>
                <w:sz w:val="21"/>
                <w:szCs w:val="21"/>
                <w:highlight w:val="none"/>
                <w:lang w:val="en-US" w:eastAsia="zh-CN"/>
              </w:rPr>
              <w:t>0.002</w:t>
            </w:r>
            <w:r>
              <w:rPr>
                <w:rFonts w:hint="eastAsia" w:ascii="Times New Roman" w:cs="Times New Roman"/>
                <w:snapToGrid w:val="0"/>
                <w:color w:val="auto"/>
                <w:kern w:val="21"/>
                <w:sz w:val="21"/>
                <w:szCs w:val="21"/>
                <w:highlight w:val="none"/>
                <w:lang w:val="en-US" w:eastAsia="zh-CN"/>
              </w:rPr>
              <w:t>5</w:t>
            </w:r>
            <w:r>
              <w:rPr>
                <w:rFonts w:hint="eastAsia" w:ascii="Times New Roman" w:hAnsi="Times New Roman" w:cs="Times New Roman"/>
                <w:color w:val="auto"/>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1" w:type="pct"/>
            <w:gridSpan w:val="2"/>
            <w:vMerge w:val="continue"/>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p>
        </w:tc>
        <w:tc>
          <w:tcPr>
            <w:tcW w:w="613"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S</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bidi="ar-SA"/>
              </w:rPr>
            </w:pPr>
          </w:p>
        </w:tc>
        <w:tc>
          <w:tcPr>
            <w:tcW w:w="455"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bidi="ar-SA"/>
              </w:rPr>
            </w:pPr>
          </w:p>
        </w:tc>
        <w:tc>
          <w:tcPr>
            <w:tcW w:w="563"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rPr>
            </w:pPr>
          </w:p>
        </w:tc>
        <w:tc>
          <w:tcPr>
            <w:tcW w:w="1520" w:type="dxa"/>
            <w:tcBorders>
              <w:tl2br w:val="nil"/>
              <w:tr2bl w:val="nil"/>
            </w:tcBorders>
            <w:noWrap w:val="0"/>
            <w:vAlign w:val="center"/>
          </w:tcPr>
          <w:p>
            <w:pPr>
              <w:pStyle w:val="35"/>
              <w:spacing w:before="24" w:after="24" w:line="240" w:lineRule="auto"/>
              <w:ind w:left="420" w:leftChars="0" w:hanging="420" w:hangingChars="200"/>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cs="Times New Roman"/>
                <w:snapToGrid w:val="0"/>
                <w:color w:val="auto"/>
                <w:kern w:val="21"/>
                <w:sz w:val="21"/>
                <w:szCs w:val="21"/>
                <w:highlight w:val="none"/>
                <w:lang w:val="en-US" w:eastAsia="zh-CN"/>
              </w:rPr>
              <w:t>0.0000</w:t>
            </w:r>
            <w:r>
              <w:rPr>
                <w:rFonts w:hint="eastAsia" w:ascii="Times New Roman" w:cs="Times New Roman"/>
                <w:snapToGrid w:val="0"/>
                <w:color w:val="auto"/>
                <w:kern w:val="21"/>
                <w:sz w:val="21"/>
                <w:szCs w:val="21"/>
                <w:highlight w:val="none"/>
                <w:lang w:val="en-US" w:eastAsia="zh-CN"/>
              </w:rPr>
              <w:t>98</w:t>
            </w:r>
            <w:r>
              <w:rPr>
                <w:rFonts w:hint="eastAsia" w:ascii="Times New Roman" w:hAnsi="Times New Roman" w:cs="Times New Roman"/>
                <w:color w:val="auto"/>
                <w:sz w:val="21"/>
                <w:szCs w:val="21"/>
                <w:highlight w:val="none"/>
                <w:lang w:val="en-US" w:eastAsia="zh-CN"/>
              </w:rPr>
              <w:t>t/a</w:t>
            </w:r>
          </w:p>
        </w:tc>
        <w:tc>
          <w:tcPr>
            <w:tcW w:w="1520" w:type="dxa"/>
            <w:tcBorders>
              <w:tl2br w:val="nil"/>
              <w:tr2bl w:val="nil"/>
            </w:tcBorders>
            <w:noWrap w:val="0"/>
            <w:vAlign w:val="center"/>
          </w:tcPr>
          <w:p>
            <w:pPr>
              <w:pStyle w:val="35"/>
              <w:spacing w:before="24" w:after="24" w:line="240" w:lineRule="auto"/>
              <w:ind w:left="420" w:leftChars="0" w:hanging="420" w:hangingChars="200"/>
              <w:rPr>
                <w:rFonts w:hint="eastAsia" w:ascii="Times New Roman" w:hAnsi="Times New Roman" w:eastAsia="宋体" w:cs="Times New Roman"/>
                <w:snapToGrid w:val="0"/>
                <w:color w:val="auto"/>
                <w:kern w:val="21"/>
                <w:sz w:val="21"/>
                <w:szCs w:val="21"/>
                <w:highlight w:val="none"/>
                <w:lang w:val="en-US" w:eastAsia="zh-CN"/>
              </w:rPr>
            </w:pPr>
          </w:p>
        </w:tc>
        <w:tc>
          <w:tcPr>
            <w:tcW w:w="1761" w:type="dxa"/>
            <w:tcBorders>
              <w:tl2br w:val="nil"/>
              <w:tr2bl w:val="nil"/>
            </w:tcBorders>
            <w:noWrap w:val="0"/>
            <w:vAlign w:val="center"/>
          </w:tcPr>
          <w:p>
            <w:pPr>
              <w:pStyle w:val="35"/>
              <w:spacing w:before="24" w:after="24" w:line="240" w:lineRule="auto"/>
              <w:ind w:left="420" w:leftChars="0" w:hanging="420" w:hangingChars="200"/>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rPr>
              <w:t>0.0000</w:t>
            </w:r>
            <w:r>
              <w:rPr>
                <w:rFonts w:hint="eastAsia" w:ascii="Times New Roman" w:cs="Times New Roman"/>
                <w:snapToGrid w:val="0"/>
                <w:color w:val="auto"/>
                <w:kern w:val="21"/>
                <w:sz w:val="21"/>
                <w:szCs w:val="21"/>
                <w:highlight w:val="none"/>
                <w:lang w:val="en-US" w:eastAsia="zh-CN"/>
              </w:rPr>
              <w:t>98</w:t>
            </w:r>
            <w:r>
              <w:rPr>
                <w:rFonts w:hint="eastAsia" w:ascii="Times New Roman" w:hAnsi="Times New Roman" w:cs="Times New Roman"/>
                <w:color w:val="auto"/>
                <w:sz w:val="21"/>
                <w:szCs w:val="21"/>
                <w:highlight w:val="none"/>
                <w:lang w:val="en-US" w:eastAsia="zh-CN"/>
              </w:rPr>
              <w:t>t/a</w:t>
            </w:r>
          </w:p>
        </w:tc>
        <w:tc>
          <w:tcPr>
            <w:tcW w:w="1332" w:type="dxa"/>
            <w:tcBorders>
              <w:tl2br w:val="nil"/>
              <w:tr2bl w:val="nil"/>
            </w:tcBorders>
            <w:noWrap w:val="0"/>
            <w:vAlign w:val="center"/>
          </w:tcPr>
          <w:p>
            <w:pPr>
              <w:pStyle w:val="35"/>
              <w:spacing w:before="24" w:after="24" w:line="240" w:lineRule="auto"/>
              <w:ind w:left="420" w:leftChars="0" w:hanging="420" w:hangingChars="200"/>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rPr>
              <w:t>+</w:t>
            </w:r>
            <w:r>
              <w:rPr>
                <w:rFonts w:hint="eastAsia" w:ascii="Times New Roman" w:hAnsi="Times New Roman" w:cs="Times New Roman"/>
                <w:snapToGrid w:val="0"/>
                <w:color w:val="auto"/>
                <w:kern w:val="21"/>
                <w:sz w:val="21"/>
                <w:szCs w:val="21"/>
                <w:highlight w:val="none"/>
                <w:lang w:val="en-US" w:eastAsia="zh-CN"/>
              </w:rPr>
              <w:t>0.0000</w:t>
            </w:r>
            <w:r>
              <w:rPr>
                <w:rFonts w:hint="eastAsia" w:ascii="Times New Roman" w:cs="Times New Roman"/>
                <w:snapToGrid w:val="0"/>
                <w:color w:val="auto"/>
                <w:kern w:val="21"/>
                <w:sz w:val="21"/>
                <w:szCs w:val="21"/>
                <w:highlight w:val="none"/>
                <w:lang w:val="en-US" w:eastAsia="zh-CN"/>
              </w:rPr>
              <w:t>98</w:t>
            </w:r>
            <w:r>
              <w:rPr>
                <w:rFonts w:hint="eastAsia" w:ascii="Times New Roman" w:hAnsi="Times New Roman" w:cs="Times New Roman"/>
                <w:color w:val="auto"/>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1" w:type="pct"/>
            <w:gridSpan w:val="2"/>
            <w:vMerge w:val="restart"/>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废水</w:t>
            </w:r>
          </w:p>
        </w:tc>
        <w:tc>
          <w:tcPr>
            <w:tcW w:w="613" w:type="pct"/>
            <w:tcBorders>
              <w:tl2br w:val="nil"/>
              <w:tr2bl w:val="nil"/>
            </w:tcBorders>
            <w:noWrap w:val="0"/>
            <w:vAlign w:val="center"/>
          </w:tcPr>
          <w:p>
            <w:pPr>
              <w:spacing w:before="24" w:beforeLines="10" w:after="24" w:afterLines="10"/>
              <w:jc w:val="center"/>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废水量</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bidi="ar-SA"/>
              </w:rPr>
            </w:pPr>
          </w:p>
        </w:tc>
        <w:tc>
          <w:tcPr>
            <w:tcW w:w="455"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none"/>
                <w:lang w:val="en-US" w:eastAsia="zh-CN" w:bidi="ar-SA"/>
              </w:rPr>
            </w:pPr>
          </w:p>
        </w:tc>
        <w:tc>
          <w:tcPr>
            <w:tcW w:w="563"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color w:val="auto"/>
                <w:sz w:val="21"/>
                <w:szCs w:val="21"/>
                <w:highlight w:val="none"/>
                <w:lang w:val="en-US" w:eastAsia="zh-CN"/>
              </w:rPr>
            </w:pPr>
          </w:p>
        </w:tc>
        <w:tc>
          <w:tcPr>
            <w:tcW w:w="563"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9024.26</w:t>
            </w:r>
            <w:r>
              <w:rPr>
                <w:rFonts w:hint="eastAsia" w:ascii="Times New Roman" w:hAnsi="Times New Roman" w:cs="Times New Roman"/>
                <w:color w:val="auto"/>
                <w:sz w:val="21"/>
                <w:szCs w:val="21"/>
                <w:highlight w:val="none"/>
                <w:lang w:val="en-US" w:eastAsia="zh-CN"/>
              </w:rPr>
              <w:t>t/a</w:t>
            </w:r>
          </w:p>
        </w:tc>
        <w:tc>
          <w:tcPr>
            <w:tcW w:w="563"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rPr>
            </w:pPr>
          </w:p>
        </w:tc>
        <w:tc>
          <w:tcPr>
            <w:tcW w:w="652"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s="Times New Roman"/>
                <w:color w:val="auto"/>
                <w:sz w:val="21"/>
                <w:szCs w:val="21"/>
                <w:highlight w:val="none"/>
                <w:lang w:val="en-US" w:eastAsia="zh-CN"/>
              </w:rPr>
              <w:t>9024.26</w:t>
            </w:r>
            <w:r>
              <w:rPr>
                <w:rFonts w:hint="eastAsia" w:ascii="Times New Roman" w:hAnsi="Times New Roman" w:cs="Times New Roman"/>
                <w:color w:val="auto"/>
                <w:sz w:val="21"/>
                <w:szCs w:val="21"/>
                <w:highlight w:val="none"/>
                <w:lang w:val="en-US" w:eastAsia="zh-CN"/>
              </w:rPr>
              <w:t>t/a</w:t>
            </w:r>
          </w:p>
        </w:tc>
        <w:tc>
          <w:tcPr>
            <w:tcW w:w="493"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s="Times New Roman"/>
                <w:color w:val="auto"/>
                <w:sz w:val="21"/>
                <w:szCs w:val="21"/>
                <w:highlight w:val="none"/>
                <w:lang w:val="en-US" w:eastAsia="zh-CN"/>
              </w:rPr>
              <w:t>+9024.26</w:t>
            </w:r>
            <w:r>
              <w:rPr>
                <w:rFonts w:hint="eastAsia" w:ascii="Times New Roman" w:hAnsi="Times New Roman" w:cs="Times New Roman"/>
                <w:color w:val="auto"/>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1" w:type="pct"/>
            <w:gridSpan w:val="2"/>
            <w:vMerge w:val="continue"/>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p>
        </w:tc>
        <w:tc>
          <w:tcPr>
            <w:tcW w:w="6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highlight w:val="none"/>
                <w:lang w:val="en-US" w:eastAsia="zh-CN"/>
              </w:rPr>
              <w:t>SS</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bidi="ar-SA"/>
              </w:rPr>
            </w:pPr>
          </w:p>
        </w:tc>
        <w:tc>
          <w:tcPr>
            <w:tcW w:w="455"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bidi="ar-SA"/>
              </w:rPr>
            </w:pPr>
          </w:p>
        </w:tc>
        <w:tc>
          <w:tcPr>
            <w:tcW w:w="563"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lang w:eastAsia="zh-CN"/>
              </w:rPr>
            </w:pP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cs="Times New Roman"/>
                <w:color w:val="auto"/>
                <w:highlight w:val="none"/>
                <w:lang w:val="en-US" w:eastAsia="zh-CN"/>
              </w:rPr>
              <w:t>0.162</w:t>
            </w:r>
            <w:r>
              <w:rPr>
                <w:rFonts w:hint="eastAsia" w:ascii="Times New Roman" w:hAnsi="Times New Roman" w:cs="Times New Roman"/>
                <w:color w:val="auto"/>
                <w:sz w:val="21"/>
                <w:szCs w:val="21"/>
                <w:highlight w:val="none"/>
                <w:lang w:val="en-US" w:eastAsia="zh-CN"/>
              </w:rPr>
              <w:t>t/a</w:t>
            </w: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none"/>
                <w:lang w:val="en-US" w:eastAsia="zh-CN"/>
              </w:rPr>
            </w:pP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color w:val="auto"/>
                <w:highlight w:val="none"/>
                <w:lang w:val="en-US" w:eastAsia="zh-CN"/>
              </w:rPr>
              <w:t>0.162</w:t>
            </w:r>
            <w:r>
              <w:rPr>
                <w:rFonts w:hint="eastAsia" w:ascii="Times New Roman" w:hAnsi="Times New Roman" w:cs="Times New Roman"/>
                <w:color w:val="auto"/>
                <w:sz w:val="21"/>
                <w:szCs w:val="21"/>
                <w:highlight w:val="none"/>
                <w:lang w:val="en-US" w:eastAsia="zh-CN"/>
              </w:rPr>
              <w:t>t/a</w:t>
            </w:r>
          </w:p>
        </w:tc>
        <w:tc>
          <w:tcPr>
            <w:tcW w:w="4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color w:val="auto"/>
                <w:highlight w:val="none"/>
                <w:lang w:val="en-US" w:eastAsia="zh-CN"/>
              </w:rPr>
              <w:t>+0.162</w:t>
            </w:r>
            <w:r>
              <w:rPr>
                <w:rFonts w:hint="eastAsia" w:ascii="Times New Roman" w:hAnsi="Times New Roman" w:cs="Times New Roman"/>
                <w:color w:val="auto"/>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1" w:type="pct"/>
            <w:gridSpan w:val="2"/>
            <w:vMerge w:val="continue"/>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p>
        </w:tc>
        <w:tc>
          <w:tcPr>
            <w:tcW w:w="6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color w:val="auto"/>
                <w:highlight w:val="none"/>
                <w:lang w:val="en-US" w:eastAsia="zh-CN"/>
              </w:rPr>
              <w:t>COD</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bidi="ar-SA"/>
              </w:rPr>
            </w:pPr>
          </w:p>
        </w:tc>
        <w:tc>
          <w:tcPr>
            <w:tcW w:w="455"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bidi="ar-SA"/>
              </w:rPr>
            </w:pPr>
          </w:p>
        </w:tc>
        <w:tc>
          <w:tcPr>
            <w:tcW w:w="563"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rPr>
            </w:pP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cs="Times New Roman"/>
                <w:color w:val="auto"/>
                <w:highlight w:val="none"/>
                <w:lang w:val="en-US" w:eastAsia="zh-CN"/>
              </w:rPr>
              <w:t>1.489</w:t>
            </w:r>
            <w:r>
              <w:rPr>
                <w:rFonts w:hint="eastAsia" w:ascii="Times New Roman" w:hAnsi="Times New Roman" w:cs="Times New Roman"/>
                <w:color w:val="auto"/>
                <w:sz w:val="21"/>
                <w:szCs w:val="21"/>
                <w:highlight w:val="none"/>
                <w:lang w:val="en-US" w:eastAsia="zh-CN"/>
              </w:rPr>
              <w:t>t/a</w:t>
            </w: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none"/>
                <w:lang w:val="en-US" w:eastAsia="zh-CN"/>
              </w:rPr>
            </w:pP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color w:val="auto"/>
                <w:highlight w:val="none"/>
                <w:lang w:val="en-US" w:eastAsia="zh-CN"/>
              </w:rPr>
              <w:t>1.489</w:t>
            </w:r>
            <w:r>
              <w:rPr>
                <w:rFonts w:hint="eastAsia" w:ascii="Times New Roman" w:hAnsi="Times New Roman" w:cs="Times New Roman"/>
                <w:color w:val="auto"/>
                <w:sz w:val="21"/>
                <w:szCs w:val="21"/>
                <w:highlight w:val="none"/>
                <w:lang w:val="en-US" w:eastAsia="zh-CN"/>
              </w:rPr>
              <w:t>t/a</w:t>
            </w:r>
          </w:p>
        </w:tc>
        <w:tc>
          <w:tcPr>
            <w:tcW w:w="4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color w:val="auto"/>
                <w:highlight w:val="none"/>
                <w:lang w:val="en-US" w:eastAsia="zh-CN"/>
              </w:rPr>
              <w:t>+1.489</w:t>
            </w:r>
            <w:r>
              <w:rPr>
                <w:rFonts w:hint="eastAsia" w:ascii="Times New Roman" w:hAnsi="Times New Roman" w:cs="Times New Roman"/>
                <w:color w:val="auto"/>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1" w:type="pct"/>
            <w:gridSpan w:val="2"/>
            <w:vMerge w:val="continue"/>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p>
        </w:tc>
        <w:tc>
          <w:tcPr>
            <w:tcW w:w="6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b w:val="0"/>
                <w:bCs w:val="0"/>
                <w:color w:val="auto"/>
                <w:highlight w:val="none"/>
                <w:lang w:val="en-US" w:eastAsia="zh-CN"/>
              </w:rPr>
              <w:t>BOD</w:t>
            </w:r>
            <w:r>
              <w:rPr>
                <w:rFonts w:hint="default" w:ascii="Times New Roman" w:hAnsi="Times New Roman" w:eastAsia="宋体" w:cs="Times New Roman"/>
                <w:b w:val="0"/>
                <w:bCs w:val="0"/>
                <w:color w:val="auto"/>
                <w:highlight w:val="none"/>
                <w:vertAlign w:val="subscript"/>
                <w:lang w:val="en-US" w:eastAsia="zh-CN"/>
              </w:rPr>
              <w:t>5</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bidi="ar-SA"/>
              </w:rPr>
            </w:pPr>
          </w:p>
        </w:tc>
        <w:tc>
          <w:tcPr>
            <w:tcW w:w="455"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none"/>
                <w:lang w:val="en-US" w:eastAsia="zh-CN" w:bidi="ar-SA"/>
              </w:rPr>
            </w:pP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lang w:val="en-US" w:eastAsia="zh-CN"/>
              </w:rPr>
            </w:pP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highlight w:val="none"/>
                <w:lang w:val="en-US" w:eastAsia="zh-CN"/>
              </w:rPr>
              <w:t>0.541</w:t>
            </w:r>
            <w:r>
              <w:rPr>
                <w:rFonts w:hint="eastAsia" w:ascii="Times New Roman" w:hAnsi="Times New Roman" w:cs="Times New Roman"/>
                <w:color w:val="auto"/>
                <w:sz w:val="21"/>
                <w:szCs w:val="21"/>
                <w:highlight w:val="none"/>
                <w:lang w:val="en-US" w:eastAsia="zh-CN"/>
              </w:rPr>
              <w:t>t/a</w:t>
            </w: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none"/>
                <w:lang w:val="en-US" w:eastAsia="zh-CN"/>
              </w:rPr>
            </w:pP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highlight w:val="none"/>
                <w:lang w:val="en-US" w:eastAsia="zh-CN"/>
              </w:rPr>
              <w:t>0.541</w:t>
            </w:r>
            <w:r>
              <w:rPr>
                <w:rFonts w:hint="eastAsia" w:ascii="Times New Roman" w:hAnsi="Times New Roman" w:cs="Times New Roman"/>
                <w:color w:val="auto"/>
                <w:sz w:val="21"/>
                <w:szCs w:val="21"/>
                <w:highlight w:val="none"/>
                <w:lang w:val="en-US" w:eastAsia="zh-CN"/>
              </w:rPr>
              <w:t>t/a</w:t>
            </w:r>
          </w:p>
        </w:tc>
        <w:tc>
          <w:tcPr>
            <w:tcW w:w="4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highlight w:val="none"/>
                <w:lang w:val="en-US" w:eastAsia="zh-CN"/>
              </w:rPr>
              <w:t>+0.541</w:t>
            </w:r>
            <w:r>
              <w:rPr>
                <w:rFonts w:hint="eastAsia" w:ascii="Times New Roman" w:hAnsi="Times New Roman" w:cs="Times New Roman"/>
                <w:color w:val="auto"/>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1" w:type="pct"/>
            <w:gridSpan w:val="2"/>
            <w:vMerge w:val="continue"/>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p>
        </w:tc>
        <w:tc>
          <w:tcPr>
            <w:tcW w:w="6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b w:val="0"/>
                <w:bCs w:val="0"/>
                <w:color w:val="auto"/>
                <w:highlight w:val="none"/>
                <w:lang w:val="en-US" w:eastAsia="zh-CN"/>
              </w:rPr>
              <w:t>NH</w:t>
            </w:r>
            <w:r>
              <w:rPr>
                <w:rFonts w:hint="default" w:ascii="Times New Roman" w:hAnsi="Times New Roman" w:eastAsia="宋体" w:cs="Times New Roman"/>
                <w:b w:val="0"/>
                <w:bCs w:val="0"/>
                <w:color w:val="auto"/>
                <w:highlight w:val="none"/>
                <w:vertAlign w:val="subscript"/>
                <w:lang w:val="en-US" w:eastAsia="zh-CN"/>
              </w:rPr>
              <w:t>3</w:t>
            </w:r>
            <w:r>
              <w:rPr>
                <w:rFonts w:hint="default" w:ascii="Times New Roman" w:hAnsi="Times New Roman" w:eastAsia="宋体" w:cs="Times New Roman"/>
                <w:b w:val="0"/>
                <w:bCs w:val="0"/>
                <w:color w:val="auto"/>
                <w:highlight w:val="none"/>
                <w:lang w:val="en-US" w:eastAsia="zh-CN"/>
              </w:rPr>
              <w:t>-N</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bidi="ar-SA"/>
              </w:rPr>
            </w:pPr>
          </w:p>
        </w:tc>
        <w:tc>
          <w:tcPr>
            <w:tcW w:w="455"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none"/>
                <w:lang w:val="en-US" w:eastAsia="zh-CN" w:bidi="ar-SA"/>
              </w:rPr>
            </w:pP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lang w:val="en-US" w:eastAsia="zh-CN"/>
              </w:rPr>
            </w:pP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highlight w:val="none"/>
                <w:lang w:val="en-US" w:eastAsia="zh-CN"/>
              </w:rPr>
              <w:t>0.180</w:t>
            </w:r>
            <w:r>
              <w:rPr>
                <w:rFonts w:hint="eastAsia" w:ascii="Times New Roman" w:hAnsi="Times New Roman" w:cs="Times New Roman"/>
                <w:color w:val="auto"/>
                <w:sz w:val="21"/>
                <w:szCs w:val="21"/>
                <w:highlight w:val="none"/>
                <w:lang w:val="en-US" w:eastAsia="zh-CN"/>
              </w:rPr>
              <w:t>t/a</w:t>
            </w: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none"/>
                <w:lang w:val="en-US" w:eastAsia="zh-CN"/>
              </w:rPr>
            </w:pP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highlight w:val="none"/>
                <w:lang w:val="en-US" w:eastAsia="zh-CN"/>
              </w:rPr>
              <w:t>0.180</w:t>
            </w:r>
            <w:r>
              <w:rPr>
                <w:rFonts w:hint="eastAsia" w:ascii="Times New Roman" w:hAnsi="Times New Roman" w:cs="Times New Roman"/>
                <w:color w:val="auto"/>
                <w:sz w:val="21"/>
                <w:szCs w:val="21"/>
                <w:highlight w:val="none"/>
                <w:lang w:val="en-US" w:eastAsia="zh-CN"/>
              </w:rPr>
              <w:t>t/a</w:t>
            </w:r>
          </w:p>
        </w:tc>
        <w:tc>
          <w:tcPr>
            <w:tcW w:w="4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highlight w:val="none"/>
                <w:lang w:val="en-US" w:eastAsia="zh-CN"/>
              </w:rPr>
              <w:t>+0.180</w:t>
            </w:r>
            <w:r>
              <w:rPr>
                <w:rFonts w:hint="eastAsia" w:ascii="Times New Roman" w:hAnsi="Times New Roman" w:cs="Times New Roman"/>
                <w:color w:val="auto"/>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1" w:type="pct"/>
            <w:gridSpan w:val="2"/>
            <w:vMerge w:val="continue"/>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p>
        </w:tc>
        <w:tc>
          <w:tcPr>
            <w:tcW w:w="6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eastAsia"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b w:val="0"/>
                <w:bCs w:val="0"/>
                <w:color w:val="auto"/>
                <w:highlight w:val="none"/>
                <w:lang w:val="en-US" w:eastAsia="zh-CN"/>
              </w:rPr>
              <w:t>粪大肠菌群</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bidi="ar-SA"/>
              </w:rPr>
            </w:pPr>
          </w:p>
        </w:tc>
        <w:tc>
          <w:tcPr>
            <w:tcW w:w="455"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none"/>
                <w:lang w:val="en-US" w:eastAsia="zh-CN" w:bidi="ar-SA"/>
              </w:rPr>
            </w:pP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lang w:val="en-US" w:eastAsia="zh-CN"/>
              </w:rPr>
            </w:pP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highlight w:val="none"/>
                <w:lang w:val="en-US" w:eastAsia="zh-CN"/>
              </w:rPr>
              <w:t>/</w:t>
            </w: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none"/>
                <w:lang w:val="en-US" w:eastAsia="zh-CN"/>
              </w:rPr>
            </w:pP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highlight w:val="none"/>
                <w:lang w:val="en-US" w:eastAsia="zh-CN"/>
              </w:rPr>
              <w:t>/</w:t>
            </w:r>
          </w:p>
        </w:tc>
        <w:tc>
          <w:tcPr>
            <w:tcW w:w="4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1" w:type="pct"/>
            <w:gridSpan w:val="2"/>
            <w:vMerge w:val="continue"/>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p>
        </w:tc>
        <w:tc>
          <w:tcPr>
            <w:tcW w:w="6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b w:val="0"/>
                <w:bCs w:val="0"/>
                <w:color w:val="auto"/>
                <w:highlight w:val="none"/>
                <w:lang w:val="en-US" w:eastAsia="zh-CN"/>
              </w:rPr>
              <w:t>动植物油</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yellow"/>
                <w:lang w:val="en-US" w:eastAsia="zh-CN" w:bidi="ar-SA"/>
              </w:rPr>
            </w:pPr>
          </w:p>
        </w:tc>
        <w:tc>
          <w:tcPr>
            <w:tcW w:w="455"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yellow"/>
                <w:lang w:val="en-US" w:eastAsia="zh-CN" w:bidi="ar-SA"/>
              </w:rPr>
            </w:pP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lang w:val="en-US" w:eastAsia="zh-CN"/>
              </w:rPr>
            </w:pP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highlight w:val="none"/>
                <w:lang w:val="en-US" w:eastAsia="zh-CN"/>
              </w:rPr>
              <w:t>0.036</w:t>
            </w:r>
            <w:r>
              <w:rPr>
                <w:rFonts w:hint="eastAsia" w:ascii="Times New Roman" w:hAnsi="Times New Roman" w:cs="Times New Roman"/>
                <w:color w:val="auto"/>
                <w:sz w:val="21"/>
                <w:szCs w:val="21"/>
                <w:highlight w:val="none"/>
                <w:lang w:val="en-US" w:eastAsia="zh-CN"/>
              </w:rPr>
              <w:t>t/a</w:t>
            </w: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none"/>
                <w:lang w:val="en-US" w:eastAsia="zh-CN"/>
              </w:rPr>
            </w:pP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highlight w:val="none"/>
                <w:lang w:val="en-US" w:eastAsia="zh-CN"/>
              </w:rPr>
              <w:t>0.036</w:t>
            </w:r>
            <w:r>
              <w:rPr>
                <w:rFonts w:hint="eastAsia" w:ascii="Times New Roman" w:hAnsi="Times New Roman" w:cs="Times New Roman"/>
                <w:color w:val="auto"/>
                <w:sz w:val="21"/>
                <w:szCs w:val="21"/>
                <w:highlight w:val="none"/>
                <w:lang w:val="en-US" w:eastAsia="zh-CN"/>
              </w:rPr>
              <w:t>t/a</w:t>
            </w:r>
          </w:p>
        </w:tc>
        <w:tc>
          <w:tcPr>
            <w:tcW w:w="4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highlight w:val="none"/>
                <w:lang w:val="en-US" w:eastAsia="zh-CN"/>
              </w:rPr>
              <w:t>+0.036</w:t>
            </w:r>
            <w:r>
              <w:rPr>
                <w:rFonts w:hint="eastAsia" w:ascii="Times New Roman" w:hAnsi="Times New Roman" w:cs="Times New Roman"/>
                <w:color w:val="auto"/>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1" w:type="pct"/>
            <w:gridSpan w:val="2"/>
            <w:vMerge w:val="continue"/>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p>
        </w:tc>
        <w:tc>
          <w:tcPr>
            <w:tcW w:w="6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snapToGrid w:val="0"/>
                <w:color w:val="auto"/>
                <w:kern w:val="21"/>
                <w:sz w:val="21"/>
                <w:szCs w:val="21"/>
                <w:lang w:val="en-US" w:eastAsia="zh-CN"/>
              </w:rPr>
            </w:pPr>
            <w:r>
              <w:rPr>
                <w:rFonts w:hint="eastAsia" w:ascii="Times New Roman" w:hAnsi="Times New Roman" w:cs="Times New Roman"/>
                <w:b w:val="0"/>
                <w:bCs w:val="0"/>
                <w:color w:val="auto"/>
                <w:highlight w:val="none"/>
                <w:lang w:val="en-US" w:eastAsia="zh-CN"/>
              </w:rPr>
              <w:t>总余氯</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yellow"/>
                <w:lang w:val="en-US" w:eastAsia="zh-CN" w:bidi="ar-SA"/>
              </w:rPr>
            </w:pPr>
          </w:p>
        </w:tc>
        <w:tc>
          <w:tcPr>
            <w:tcW w:w="455"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yellow"/>
                <w:lang w:val="en-US" w:eastAsia="zh-CN" w:bidi="ar-SA"/>
              </w:rPr>
            </w:pP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lang w:val="en-US" w:eastAsia="zh-CN"/>
              </w:rPr>
            </w:pP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none"/>
                <w:lang w:val="en-US" w:eastAsia="zh-CN"/>
              </w:rPr>
            </w:pP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4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1" w:type="pct"/>
            <w:gridSpan w:val="2"/>
            <w:vMerge w:val="continue"/>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p>
        </w:tc>
        <w:tc>
          <w:tcPr>
            <w:tcW w:w="6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snapToGrid w:val="0"/>
                <w:color w:val="auto"/>
                <w:kern w:val="21"/>
                <w:sz w:val="21"/>
                <w:szCs w:val="21"/>
                <w:lang w:val="en-US" w:eastAsia="zh-CN"/>
              </w:rPr>
            </w:pPr>
            <w:r>
              <w:rPr>
                <w:rFonts w:hint="eastAsia" w:ascii="Times New Roman" w:hAnsi="Times New Roman" w:cs="Times New Roman"/>
                <w:b w:val="0"/>
                <w:bCs w:val="0"/>
                <w:color w:val="auto"/>
                <w:highlight w:val="none"/>
                <w:lang w:val="en-US" w:eastAsia="zh-CN"/>
              </w:rPr>
              <w:t>阴离子表面活性剂</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yellow"/>
                <w:lang w:val="en-US" w:eastAsia="zh-CN" w:bidi="ar-SA"/>
              </w:rPr>
            </w:pPr>
          </w:p>
        </w:tc>
        <w:tc>
          <w:tcPr>
            <w:tcW w:w="455"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yellow"/>
                <w:lang w:val="en-US" w:eastAsia="zh-CN" w:bidi="ar-SA"/>
              </w:rPr>
            </w:pP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lang w:val="en-US" w:eastAsia="zh-CN"/>
              </w:rPr>
            </w:pP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highlight w:val="none"/>
                <w:lang w:val="en-US" w:eastAsia="zh-CN"/>
              </w:rPr>
              <w:t>0.009</w:t>
            </w:r>
            <w:r>
              <w:rPr>
                <w:rFonts w:hint="eastAsia" w:ascii="Times New Roman" w:hAnsi="Times New Roman" w:cs="Times New Roman"/>
                <w:color w:val="auto"/>
                <w:sz w:val="21"/>
                <w:szCs w:val="21"/>
                <w:highlight w:val="none"/>
                <w:lang w:val="en-US" w:eastAsia="zh-CN"/>
              </w:rPr>
              <w:t>t/a</w:t>
            </w:r>
          </w:p>
        </w:tc>
        <w:tc>
          <w:tcPr>
            <w:tcW w:w="563" w:type="pct"/>
            <w:tcBorders>
              <w:tl2br w:val="nil"/>
              <w:tr2bl w:val="nil"/>
            </w:tcBorders>
            <w:noWrap w:val="0"/>
            <w:vAlign w:val="center"/>
          </w:tcPr>
          <w:p>
            <w:pPr>
              <w:pStyle w:val="35"/>
              <w:spacing w:before="24" w:after="24" w:line="240" w:lineRule="auto"/>
              <w:rPr>
                <w:rFonts w:hint="eastAsia" w:ascii="Times New Roman" w:hAnsi="Times New Roman" w:eastAsia="宋体" w:cs="Times New Roman"/>
                <w:snapToGrid w:val="0"/>
                <w:color w:val="auto"/>
                <w:kern w:val="21"/>
                <w:sz w:val="21"/>
                <w:szCs w:val="21"/>
                <w:highlight w:val="none"/>
                <w:lang w:val="en-US" w:eastAsia="zh-CN"/>
              </w:rPr>
            </w:pP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highlight w:val="none"/>
                <w:lang w:val="en-US" w:eastAsia="zh-CN"/>
              </w:rPr>
              <w:t>0.009</w:t>
            </w:r>
            <w:r>
              <w:rPr>
                <w:rFonts w:hint="eastAsia" w:ascii="Times New Roman" w:hAnsi="Times New Roman" w:cs="Times New Roman"/>
                <w:color w:val="auto"/>
                <w:sz w:val="21"/>
                <w:szCs w:val="21"/>
                <w:highlight w:val="none"/>
                <w:lang w:val="en-US" w:eastAsia="zh-CN"/>
              </w:rPr>
              <w:t>t/a</w:t>
            </w:r>
          </w:p>
        </w:tc>
        <w:tc>
          <w:tcPr>
            <w:tcW w:w="4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highlight w:val="none"/>
                <w:lang w:val="en-US" w:eastAsia="zh-CN"/>
              </w:rPr>
              <w:t>+0.009</w:t>
            </w:r>
            <w:r>
              <w:rPr>
                <w:rFonts w:hint="eastAsia" w:ascii="Times New Roman" w:hAnsi="Times New Roman" w:cs="Times New Roman"/>
                <w:color w:val="auto"/>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 w:type="pct"/>
            <w:vMerge w:val="restart"/>
            <w:tcBorders>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固体废物</w:t>
            </w:r>
          </w:p>
        </w:tc>
        <w:tc>
          <w:tcPr>
            <w:tcW w:w="443" w:type="pct"/>
            <w:tcBorders>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生活垃圾</w:t>
            </w:r>
          </w:p>
        </w:tc>
        <w:tc>
          <w:tcPr>
            <w:tcW w:w="613" w:type="pct"/>
            <w:tcBorders>
              <w:tl2br w:val="nil"/>
              <w:tr2bl w:val="nil"/>
            </w:tcBorders>
            <w:noWrap w:val="0"/>
            <w:vAlign w:val="center"/>
          </w:tcPr>
          <w:p>
            <w:pPr>
              <w:spacing w:before="24" w:beforeLines="10" w:after="24" w:afterLines="10"/>
              <w:jc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生活垃圾</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yellow"/>
                <w:lang w:val="en-US" w:eastAsia="zh-CN" w:bidi="ar-SA"/>
              </w:rPr>
            </w:pPr>
          </w:p>
        </w:tc>
        <w:tc>
          <w:tcPr>
            <w:tcW w:w="455"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yellow"/>
                <w:lang w:val="en-US" w:eastAsia="zh-CN" w:bidi="ar-SA"/>
              </w:rPr>
            </w:pPr>
          </w:p>
        </w:tc>
        <w:tc>
          <w:tcPr>
            <w:tcW w:w="563"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lang w:val="en-US" w:eastAsia="zh-CN"/>
              </w:rPr>
            </w:pPr>
          </w:p>
        </w:tc>
        <w:tc>
          <w:tcPr>
            <w:tcW w:w="56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bidi="ar-SA"/>
              </w:rPr>
              <w:t>54.75</w:t>
            </w:r>
            <w:r>
              <w:rPr>
                <w:rFonts w:hint="eastAsia" w:ascii="Times New Roman" w:hAnsi="Times New Roman" w:cs="Times New Roman"/>
                <w:color w:val="auto"/>
                <w:sz w:val="21"/>
                <w:szCs w:val="21"/>
                <w:highlight w:val="none"/>
                <w:lang w:val="en-US" w:eastAsia="zh-CN"/>
              </w:rPr>
              <w:t>t/a</w:t>
            </w:r>
          </w:p>
        </w:tc>
        <w:tc>
          <w:tcPr>
            <w:tcW w:w="563"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rPr>
            </w:pPr>
          </w:p>
        </w:tc>
        <w:tc>
          <w:tcPr>
            <w:tcW w:w="652"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bidi="ar-SA"/>
              </w:rPr>
              <w:t>54.75</w:t>
            </w:r>
          </w:p>
        </w:tc>
        <w:tc>
          <w:tcPr>
            <w:tcW w:w="49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bidi="ar-SA"/>
              </w:rPr>
              <w:t>+54.75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 w:type="pct"/>
            <w:vMerge w:val="continue"/>
            <w:tcBorders>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eastAsia" w:ascii="Times New Roman" w:cs="Times New Roman"/>
                <w:snapToGrid w:val="0"/>
                <w:color w:val="auto"/>
                <w:kern w:val="21"/>
                <w:sz w:val="21"/>
                <w:szCs w:val="21"/>
                <w:lang w:val="en-US" w:eastAsia="zh-CN"/>
              </w:rPr>
            </w:pPr>
          </w:p>
        </w:tc>
        <w:tc>
          <w:tcPr>
            <w:tcW w:w="443" w:type="pct"/>
            <w:tcBorders>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cs="Times New Roman"/>
                <w:color w:val="auto"/>
                <w:sz w:val="21"/>
                <w:szCs w:val="21"/>
                <w:vertAlign w:val="baseline"/>
                <w:lang w:val="en-US" w:eastAsia="zh-CN"/>
              </w:rPr>
              <w:t>一般固废</w:t>
            </w:r>
          </w:p>
        </w:tc>
        <w:tc>
          <w:tcPr>
            <w:tcW w:w="613" w:type="pct"/>
            <w:tcBorders>
              <w:tl2br w:val="nil"/>
              <w:tr2bl w:val="nil"/>
            </w:tcBorders>
            <w:noWrap w:val="0"/>
            <w:vAlign w:val="center"/>
          </w:tcPr>
          <w:p>
            <w:pPr>
              <w:spacing w:before="24" w:beforeLines="10" w:after="24" w:afterLines="10"/>
              <w:jc w:val="center"/>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未被污染的输液瓶（袋）</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yellow"/>
                <w:lang w:val="en-US" w:eastAsia="zh-CN" w:bidi="ar-SA"/>
              </w:rPr>
            </w:pPr>
          </w:p>
        </w:tc>
        <w:tc>
          <w:tcPr>
            <w:tcW w:w="455"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yellow"/>
                <w:lang w:val="en-US" w:eastAsia="zh-CN" w:bidi="ar-SA"/>
              </w:rPr>
            </w:pPr>
          </w:p>
        </w:tc>
        <w:tc>
          <w:tcPr>
            <w:tcW w:w="563"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lang w:val="en-US" w:eastAsia="zh-CN"/>
              </w:rPr>
            </w:pPr>
          </w:p>
        </w:tc>
        <w:tc>
          <w:tcPr>
            <w:tcW w:w="56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bidi="ar-SA"/>
              </w:rPr>
              <w:t>0.5</w:t>
            </w:r>
            <w:r>
              <w:rPr>
                <w:rFonts w:hint="eastAsia" w:ascii="Times New Roman" w:hAnsi="Times New Roman" w:cs="Times New Roman"/>
                <w:color w:val="auto"/>
                <w:sz w:val="21"/>
                <w:szCs w:val="21"/>
                <w:highlight w:val="none"/>
                <w:lang w:val="en-US" w:eastAsia="zh-CN"/>
              </w:rPr>
              <w:t>t/a</w:t>
            </w:r>
          </w:p>
        </w:tc>
        <w:tc>
          <w:tcPr>
            <w:tcW w:w="563"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rPr>
            </w:pPr>
          </w:p>
        </w:tc>
        <w:tc>
          <w:tcPr>
            <w:tcW w:w="652"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Times New Roman" w:cs="Times New Roman"/>
                <w:color w:val="auto"/>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bidi="ar-SA"/>
              </w:rPr>
              <w:t>0.5</w:t>
            </w:r>
            <w:r>
              <w:rPr>
                <w:rFonts w:hint="eastAsia" w:ascii="Times New Roman" w:hAnsi="Times New Roman" w:cs="Times New Roman"/>
                <w:color w:val="auto"/>
                <w:sz w:val="21"/>
                <w:szCs w:val="21"/>
                <w:highlight w:val="none"/>
                <w:lang w:val="en-US" w:eastAsia="zh-CN"/>
              </w:rPr>
              <w:t>t/a</w:t>
            </w:r>
          </w:p>
        </w:tc>
        <w:tc>
          <w:tcPr>
            <w:tcW w:w="493" w:type="pct"/>
            <w:tcBorders>
              <w:tl2br w:val="nil"/>
              <w:tr2bl w:val="nil"/>
            </w:tcBorders>
            <w:noWrap w:val="0"/>
            <w:vAlign w:val="center"/>
          </w:tcPr>
          <w:p>
            <w:pPr>
              <w:pStyle w:val="36"/>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Times New Roman" w:cs="Times New Roman"/>
                <w:color w:val="auto"/>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bidi="ar-SA"/>
              </w:rPr>
              <w:t>+0.5</w:t>
            </w:r>
            <w:r>
              <w:rPr>
                <w:rFonts w:hint="eastAsia" w:ascii="Times New Roman" w:hAnsi="Times New Roman" w:cs="Times New Roman"/>
                <w:color w:val="auto"/>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 w:type="pct"/>
            <w:vMerge w:val="continue"/>
            <w:tcBorders>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snapToGrid w:val="0"/>
                <w:color w:val="auto"/>
                <w:kern w:val="21"/>
                <w:sz w:val="21"/>
                <w:szCs w:val="21"/>
              </w:rPr>
            </w:pPr>
          </w:p>
        </w:tc>
        <w:tc>
          <w:tcPr>
            <w:tcW w:w="443" w:type="pct"/>
            <w:vMerge w:val="restart"/>
            <w:tcBorders>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危险废物</w:t>
            </w:r>
          </w:p>
        </w:tc>
        <w:tc>
          <w:tcPr>
            <w:tcW w:w="613" w:type="pct"/>
            <w:tcBorders>
              <w:tl2br w:val="nil"/>
              <w:tr2bl w:val="nil"/>
            </w:tcBorders>
            <w:noWrap w:val="0"/>
            <w:vAlign w:val="center"/>
          </w:tcPr>
          <w:p>
            <w:pPr>
              <w:spacing w:before="24" w:beforeLines="10" w:after="24" w:afterLines="1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医疗废物</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yellow"/>
                <w:lang w:val="en-US" w:eastAsia="zh-CN" w:bidi="ar-SA"/>
              </w:rPr>
            </w:pPr>
          </w:p>
        </w:tc>
        <w:tc>
          <w:tcPr>
            <w:tcW w:w="455"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yellow"/>
                <w:lang w:val="en-US" w:eastAsia="zh-CN" w:bidi="ar-SA"/>
              </w:rPr>
            </w:pPr>
          </w:p>
        </w:tc>
        <w:tc>
          <w:tcPr>
            <w:tcW w:w="563" w:type="pct"/>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p>
        </w:tc>
        <w:tc>
          <w:tcPr>
            <w:tcW w:w="563" w:type="pct"/>
            <w:tcBorders>
              <w:tl2br w:val="nil"/>
              <w:tr2bl w:val="nil"/>
            </w:tcBorders>
            <w:noWrap w:val="0"/>
            <w:vAlign w:val="center"/>
          </w:tcPr>
          <w:p>
            <w:pPr>
              <w:widowControl/>
              <w:adjustRightInd w:val="0"/>
              <w:snapToGrid w:val="0"/>
              <w:jc w:val="center"/>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cs="Times New Roman"/>
                <w:snapToGrid w:val="0"/>
                <w:color w:val="auto"/>
                <w:kern w:val="21"/>
                <w:sz w:val="21"/>
                <w:szCs w:val="21"/>
                <w:highlight w:val="none"/>
                <w:lang w:val="en-US" w:eastAsia="zh-CN"/>
              </w:rPr>
              <w:t>2.435</w:t>
            </w:r>
            <w:r>
              <w:rPr>
                <w:rFonts w:hint="eastAsia" w:ascii="Times New Roman" w:hAnsi="Times New Roman" w:cs="Times New Roman"/>
                <w:color w:val="auto"/>
                <w:sz w:val="21"/>
                <w:szCs w:val="21"/>
                <w:highlight w:val="none"/>
                <w:lang w:val="en-US" w:eastAsia="zh-CN"/>
              </w:rPr>
              <w:t>t/a</w:t>
            </w:r>
          </w:p>
        </w:tc>
        <w:tc>
          <w:tcPr>
            <w:tcW w:w="563"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none"/>
                <w:lang w:val="en-US" w:eastAsia="zh-CN"/>
              </w:rPr>
            </w:pPr>
          </w:p>
        </w:tc>
        <w:tc>
          <w:tcPr>
            <w:tcW w:w="652" w:type="pct"/>
            <w:tcBorders>
              <w:tl2br w:val="nil"/>
              <w:tr2bl w:val="nil"/>
            </w:tcBorders>
            <w:noWrap w:val="0"/>
            <w:vAlign w:val="center"/>
          </w:tcPr>
          <w:p>
            <w:pPr>
              <w:widowControl/>
              <w:adjustRightInd w:val="0"/>
              <w:snapToGrid w:val="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rPr>
              <w:t>2.435</w:t>
            </w:r>
            <w:r>
              <w:rPr>
                <w:rFonts w:hint="eastAsia" w:ascii="Times New Roman" w:hAnsi="Times New Roman" w:cs="Times New Roman"/>
                <w:color w:val="auto"/>
                <w:sz w:val="21"/>
                <w:szCs w:val="21"/>
                <w:highlight w:val="none"/>
                <w:lang w:val="en-US" w:eastAsia="zh-CN"/>
              </w:rPr>
              <w:t>t/a</w:t>
            </w:r>
          </w:p>
        </w:tc>
        <w:tc>
          <w:tcPr>
            <w:tcW w:w="493" w:type="pct"/>
            <w:tcBorders>
              <w:tl2br w:val="nil"/>
              <w:tr2bl w:val="nil"/>
            </w:tcBorders>
            <w:noWrap w:val="0"/>
            <w:vAlign w:val="center"/>
          </w:tcPr>
          <w:p>
            <w:pPr>
              <w:widowControl/>
              <w:adjustRightInd w:val="0"/>
              <w:snapToGrid w:val="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rPr>
              <w:t>+2.435</w:t>
            </w:r>
            <w:r>
              <w:rPr>
                <w:rFonts w:hint="eastAsia" w:ascii="Times New Roman" w:hAnsi="Times New Roman" w:cs="Times New Roman"/>
                <w:color w:val="auto"/>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 w:type="pct"/>
            <w:vMerge w:val="continue"/>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p>
        </w:tc>
        <w:tc>
          <w:tcPr>
            <w:tcW w:w="443" w:type="pct"/>
            <w:vMerge w:val="continue"/>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p>
        </w:tc>
        <w:tc>
          <w:tcPr>
            <w:tcW w:w="613" w:type="pct"/>
            <w:tcBorders>
              <w:tl2br w:val="nil"/>
              <w:tr2bl w:val="nil"/>
            </w:tcBorders>
            <w:noWrap w:val="0"/>
            <w:vAlign w:val="center"/>
          </w:tcPr>
          <w:p>
            <w:pPr>
              <w:spacing w:before="24" w:beforeLines="10" w:after="24" w:afterLines="1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污泥</w:t>
            </w:r>
          </w:p>
        </w:tc>
        <w:tc>
          <w:tcPr>
            <w:tcW w:w="491"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yellow"/>
                <w:lang w:val="en-US" w:eastAsia="zh-CN" w:bidi="ar-SA"/>
              </w:rPr>
            </w:pPr>
          </w:p>
        </w:tc>
        <w:tc>
          <w:tcPr>
            <w:tcW w:w="455" w:type="pct"/>
            <w:tcBorders>
              <w:tl2br w:val="nil"/>
              <w:tr2bl w:val="nil"/>
            </w:tcBorders>
            <w:noWrap w:val="0"/>
            <w:vAlign w:val="center"/>
          </w:tcPr>
          <w:p>
            <w:pPr>
              <w:pStyle w:val="35"/>
              <w:spacing w:before="24" w:after="24" w:line="240" w:lineRule="auto"/>
              <w:rPr>
                <w:rFonts w:hint="default" w:ascii="Times New Roman" w:hAnsi="Times New Roman" w:eastAsia="宋体" w:cs="Times New Roman"/>
                <w:snapToGrid w:val="0"/>
                <w:color w:val="auto"/>
                <w:kern w:val="21"/>
                <w:sz w:val="21"/>
                <w:szCs w:val="21"/>
                <w:highlight w:val="yellow"/>
                <w:lang w:val="en-US" w:eastAsia="zh-CN" w:bidi="ar-SA"/>
              </w:rPr>
            </w:pPr>
          </w:p>
        </w:tc>
        <w:tc>
          <w:tcPr>
            <w:tcW w:w="563" w:type="pct"/>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rPr>
            </w:pPr>
          </w:p>
        </w:tc>
        <w:tc>
          <w:tcPr>
            <w:tcW w:w="563" w:type="pct"/>
            <w:tcBorders>
              <w:tl2br w:val="nil"/>
              <w:tr2bl w:val="nil"/>
            </w:tcBorders>
            <w:noWrap w:val="0"/>
            <w:vAlign w:val="center"/>
          </w:tcPr>
          <w:p>
            <w:pPr>
              <w:widowControl/>
              <w:adjustRightInd w:val="0"/>
              <w:snapToGrid w:val="0"/>
              <w:spacing w:before="24" w:beforeLines="10" w:after="24" w:afterLines="10"/>
              <w:jc w:val="center"/>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cs="Times New Roman"/>
                <w:snapToGrid w:val="0"/>
                <w:color w:val="auto"/>
                <w:kern w:val="21"/>
                <w:sz w:val="21"/>
                <w:szCs w:val="21"/>
                <w:highlight w:val="none"/>
                <w:lang w:val="en-US" w:eastAsia="zh-CN"/>
              </w:rPr>
              <w:t>1.825</w:t>
            </w:r>
            <w:r>
              <w:rPr>
                <w:rFonts w:hint="eastAsia" w:ascii="Times New Roman" w:hAnsi="Times New Roman" w:cs="Times New Roman"/>
                <w:color w:val="auto"/>
                <w:sz w:val="21"/>
                <w:szCs w:val="21"/>
                <w:highlight w:val="none"/>
                <w:lang w:val="en-US" w:eastAsia="zh-CN"/>
              </w:rPr>
              <w:t>t/a</w:t>
            </w:r>
          </w:p>
        </w:tc>
        <w:tc>
          <w:tcPr>
            <w:tcW w:w="563" w:type="pct"/>
            <w:tcBorders>
              <w:tl2br w:val="nil"/>
              <w:tr2bl w:val="nil"/>
            </w:tcBorders>
            <w:noWrap w:val="0"/>
            <w:vAlign w:val="center"/>
          </w:tcPr>
          <w:p>
            <w:pPr>
              <w:pStyle w:val="35"/>
              <w:spacing w:before="24" w:after="24" w:line="240" w:lineRule="auto"/>
              <w:rPr>
                <w:rFonts w:hint="default" w:ascii="Times New Roman" w:hAnsi="Times New Roman" w:cs="Times New Roman"/>
                <w:snapToGrid w:val="0"/>
                <w:color w:val="auto"/>
                <w:kern w:val="21"/>
                <w:sz w:val="21"/>
                <w:szCs w:val="21"/>
                <w:highlight w:val="none"/>
              </w:rPr>
            </w:pPr>
          </w:p>
        </w:tc>
        <w:tc>
          <w:tcPr>
            <w:tcW w:w="652" w:type="pct"/>
            <w:tcBorders>
              <w:tl2br w:val="nil"/>
              <w:tr2bl w:val="nil"/>
            </w:tcBorders>
            <w:noWrap w:val="0"/>
            <w:vAlign w:val="center"/>
          </w:tcPr>
          <w:p>
            <w:pPr>
              <w:widowControl/>
              <w:adjustRightInd w:val="0"/>
              <w:snapToGrid w:val="0"/>
              <w:spacing w:before="24" w:beforeLines="10" w:after="24" w:afterLines="1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rPr>
              <w:t>1.825</w:t>
            </w:r>
            <w:r>
              <w:rPr>
                <w:rFonts w:hint="eastAsia" w:ascii="Times New Roman" w:hAnsi="Times New Roman" w:cs="Times New Roman"/>
                <w:color w:val="auto"/>
                <w:sz w:val="21"/>
                <w:szCs w:val="21"/>
                <w:highlight w:val="none"/>
                <w:lang w:val="en-US" w:eastAsia="zh-CN"/>
              </w:rPr>
              <w:t>t/a</w:t>
            </w:r>
          </w:p>
        </w:tc>
        <w:tc>
          <w:tcPr>
            <w:tcW w:w="493" w:type="pct"/>
            <w:tcBorders>
              <w:tl2br w:val="nil"/>
              <w:tr2bl w:val="nil"/>
            </w:tcBorders>
            <w:noWrap w:val="0"/>
            <w:vAlign w:val="center"/>
          </w:tcPr>
          <w:p>
            <w:pPr>
              <w:widowControl/>
              <w:adjustRightInd w:val="0"/>
              <w:snapToGrid w:val="0"/>
              <w:spacing w:before="24" w:beforeLines="10" w:after="24" w:afterLines="1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rPr>
              <w:t>+1.825</w:t>
            </w:r>
            <w:r>
              <w:rPr>
                <w:rFonts w:hint="eastAsia" w:ascii="Times New Roman" w:hAnsi="Times New Roman" w:cs="Times New Roman"/>
                <w:color w:val="auto"/>
                <w:sz w:val="21"/>
                <w:szCs w:val="21"/>
                <w:highlight w:val="none"/>
                <w:lang w:val="en-US" w:eastAsia="zh-CN"/>
              </w:rPr>
              <w:t>t/a</w:t>
            </w:r>
          </w:p>
        </w:tc>
      </w:tr>
    </w:tbl>
    <w:p>
      <w:pPr>
        <w:pStyle w:val="35"/>
        <w:spacing w:before="192" w:beforeLines="80" w:after="24"/>
        <w:jc w:val="left"/>
        <w:rPr>
          <w:rFonts w:hint="eastAsia" w:ascii="Times New Roman" w:hAnsi="Times New Roman"/>
          <w:color w:val="auto"/>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ascii="Times New Roman"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ascii="Times New Roman" w:cs="宋体"/>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hint="eastAsia" w:ascii="Times New Roman" w:cs="宋体"/>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hint="eastAsia" w:ascii="Times New Roman" w:cs="宋体"/>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hint="eastAsia" w:ascii="Times New Roman" w:cs="宋体"/>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hint="eastAsia" w:ascii="Times New Roman" w:cs="宋体"/>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ascii="Times New Roman"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ascii="Times New Roman" w:cs="宋体"/>
          <w:color w:val="auto"/>
          <w:szCs w:val="21"/>
        </w:rPr>
        <w:t>①</w:t>
      </w:r>
      <w:r>
        <w:rPr>
          <w:rFonts w:ascii="Times New Roman"/>
          <w:snapToGrid w:val="0"/>
          <w:color w:val="auto"/>
          <w:spacing w:val="-6"/>
          <w:kern w:val="21"/>
          <w:szCs w:val="21"/>
        </w:rPr>
        <w:fldChar w:fldCharType="end"/>
      </w: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fldChar w:fldCharType="begin"/>
    </w:r>
    <w:r>
      <w:rPr>
        <w:rStyle w:val="31"/>
      </w:rPr>
      <w:instrText xml:space="preserve">PAGE  </w:instrTex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7</w:t>
    </w:r>
    <w:r>
      <w:rPr>
        <w:rFonts w:hint="default" w:ascii="Times New Roman" w:hAnsi="Times New Roman" w:cs="Times New Roman"/>
      </w:rPr>
      <w:fldChar w:fldCharType="end"/>
    </w:r>
  </w:p>
  <w:p>
    <w:pPr>
      <w:pStyle w:val="17"/>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31</w:t>
    </w:r>
    <w:r>
      <w:rPr>
        <w:rFonts w:hint="default" w:ascii="Times New Roman" w:hAnsi="Times New Roman" w:cs="Times New Roman"/>
      </w:rPr>
      <w:fldChar w:fldCharType="end"/>
    </w:r>
  </w:p>
  <w:p>
    <w:pPr>
      <w:pStyle w:val="17"/>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E080D"/>
    <w:multiLevelType w:val="singleLevel"/>
    <w:tmpl w:val="BB8E080D"/>
    <w:lvl w:ilvl="0" w:tentative="0">
      <w:start w:val="1"/>
      <w:numFmt w:val="decimal"/>
      <w:lvlText w:val="%1."/>
      <w:lvlJc w:val="left"/>
      <w:pPr>
        <w:tabs>
          <w:tab w:val="left" w:pos="312"/>
        </w:tabs>
      </w:pPr>
    </w:lvl>
  </w:abstractNum>
  <w:abstractNum w:abstractNumId="1">
    <w:nsid w:val="DD614BEF"/>
    <w:multiLevelType w:val="singleLevel"/>
    <w:tmpl w:val="DD614BEF"/>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2">
    <w:nsid w:val="E4BA5300"/>
    <w:multiLevelType w:val="singleLevel"/>
    <w:tmpl w:val="E4BA5300"/>
    <w:lvl w:ilvl="0" w:tentative="0">
      <w:start w:val="4"/>
      <w:numFmt w:val="decimal"/>
      <w:suff w:val="nothing"/>
      <w:lvlText w:val="%1、"/>
      <w:lvlJc w:val="left"/>
    </w:lvl>
  </w:abstractNum>
  <w:abstractNum w:abstractNumId="3">
    <w:nsid w:val="EC1166B0"/>
    <w:multiLevelType w:val="singleLevel"/>
    <w:tmpl w:val="EC1166B0"/>
    <w:lvl w:ilvl="0" w:tentative="0">
      <w:start w:val="1"/>
      <w:numFmt w:val="decimal"/>
      <w:lvlText w:val="%1."/>
      <w:lvlJc w:val="left"/>
      <w:pPr>
        <w:tabs>
          <w:tab w:val="left" w:pos="312"/>
        </w:tabs>
      </w:pPr>
    </w:lvl>
  </w:abstractNum>
  <w:abstractNum w:abstractNumId="4">
    <w:nsid w:val="01F83037"/>
    <w:multiLevelType w:val="multilevel"/>
    <w:tmpl w:val="01F83037"/>
    <w:lvl w:ilvl="0" w:tentative="0">
      <w:start w:val="1"/>
      <w:numFmt w:val="decimal"/>
      <w:pStyle w:val="70"/>
      <w:lvlText w:val="（%1）"/>
      <w:lvlJc w:val="left"/>
      <w:pPr>
        <w:ind w:left="902" w:hanging="420"/>
      </w:pPr>
      <w:rPr>
        <w:rFonts w:hint="default" w:ascii="Times New Roman" w:hAnsi="Times New Roman" w:eastAsia="宋体"/>
        <w:sz w:val="21"/>
        <w:szCs w:val="21"/>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8FC573D"/>
    <w:multiLevelType w:val="multilevel"/>
    <w:tmpl w:val="08FC573D"/>
    <w:lvl w:ilvl="0" w:tentative="0">
      <w:start w:val="1"/>
      <w:numFmt w:val="decimal"/>
      <w:pStyle w:val="56"/>
      <w:lvlText w:val="%1."/>
      <w:lvlJc w:val="left"/>
      <w:pPr>
        <w:ind w:left="420" w:hanging="420"/>
      </w:pPr>
      <w:rPr>
        <w:rFonts w:hint="default" w:ascii="Times New Roman" w:hAnsi="Times New Roman" w:eastAsia="Times New Roman" w:cs="Times New Roman"/>
        <w:b/>
        <w:bCs/>
        <w:spacing w:val="-3"/>
        <w:w w:val="100"/>
        <w:sz w:val="24"/>
        <w:szCs w:val="19"/>
        <w:lang w:val="zh-CN" w:eastAsia="zh-CN" w:bidi="zh-CN"/>
      </w:rPr>
    </w:lvl>
    <w:lvl w:ilvl="1" w:tentative="0">
      <w:start w:val="1"/>
      <w:numFmt w:val="lowerLetter"/>
      <w:lvlText w:val="%2)"/>
      <w:lvlJc w:val="left"/>
      <w:pPr>
        <w:ind w:left="868" w:hanging="420"/>
      </w:pPr>
    </w:lvl>
    <w:lvl w:ilvl="2" w:tentative="0">
      <w:start w:val="1"/>
      <w:numFmt w:val="lowerRoman"/>
      <w:lvlText w:val="%3."/>
      <w:lvlJc w:val="right"/>
      <w:pPr>
        <w:ind w:left="1288" w:hanging="420"/>
      </w:pPr>
    </w:lvl>
    <w:lvl w:ilvl="3" w:tentative="0">
      <w:start w:val="1"/>
      <w:numFmt w:val="decimal"/>
      <w:lvlText w:val="%4."/>
      <w:lvlJc w:val="left"/>
      <w:pPr>
        <w:ind w:left="1708" w:hanging="420"/>
      </w:pPr>
    </w:lvl>
    <w:lvl w:ilvl="4" w:tentative="0">
      <w:start w:val="1"/>
      <w:numFmt w:val="lowerLetter"/>
      <w:lvlText w:val="%5)"/>
      <w:lvlJc w:val="left"/>
      <w:pPr>
        <w:ind w:left="2128" w:hanging="420"/>
      </w:pPr>
    </w:lvl>
    <w:lvl w:ilvl="5" w:tentative="0">
      <w:start w:val="1"/>
      <w:numFmt w:val="lowerRoman"/>
      <w:lvlText w:val="%6."/>
      <w:lvlJc w:val="right"/>
      <w:pPr>
        <w:ind w:left="2548" w:hanging="420"/>
      </w:pPr>
    </w:lvl>
    <w:lvl w:ilvl="6" w:tentative="0">
      <w:start w:val="1"/>
      <w:numFmt w:val="decimal"/>
      <w:lvlText w:val="%7."/>
      <w:lvlJc w:val="left"/>
      <w:pPr>
        <w:ind w:left="2968" w:hanging="420"/>
      </w:pPr>
    </w:lvl>
    <w:lvl w:ilvl="7" w:tentative="0">
      <w:start w:val="1"/>
      <w:numFmt w:val="lowerLetter"/>
      <w:lvlText w:val="%8)"/>
      <w:lvlJc w:val="left"/>
      <w:pPr>
        <w:ind w:left="3388" w:hanging="420"/>
      </w:pPr>
    </w:lvl>
    <w:lvl w:ilvl="8" w:tentative="0">
      <w:start w:val="1"/>
      <w:numFmt w:val="lowerRoman"/>
      <w:lvlText w:val="%9."/>
      <w:lvlJc w:val="right"/>
      <w:pPr>
        <w:ind w:left="3808" w:hanging="420"/>
      </w:pPr>
    </w:lvl>
  </w:abstractNum>
  <w:abstractNum w:abstractNumId="6">
    <w:nsid w:val="1521FFAC"/>
    <w:multiLevelType w:val="singleLevel"/>
    <w:tmpl w:val="1521FFAC"/>
    <w:lvl w:ilvl="0" w:tentative="0">
      <w:start w:val="1"/>
      <w:numFmt w:val="decimal"/>
      <w:suff w:val="nothing"/>
      <w:lvlText w:val="%1、"/>
      <w:lvlJc w:val="left"/>
    </w:lvl>
  </w:abstractNum>
  <w:abstractNum w:abstractNumId="7">
    <w:nsid w:val="43A84AAD"/>
    <w:multiLevelType w:val="singleLevel"/>
    <w:tmpl w:val="43A84AAD"/>
    <w:lvl w:ilvl="0" w:tentative="0">
      <w:start w:val="1"/>
      <w:numFmt w:val="decimal"/>
      <w:suff w:val="nothing"/>
      <w:lvlText w:val="（%1）"/>
      <w:lvlJc w:val="left"/>
    </w:lvl>
  </w:abstractNum>
  <w:abstractNum w:abstractNumId="8">
    <w:nsid w:val="50F92F61"/>
    <w:multiLevelType w:val="singleLevel"/>
    <w:tmpl w:val="50F92F61"/>
    <w:lvl w:ilvl="0" w:tentative="0">
      <w:start w:val="1"/>
      <w:numFmt w:val="decimal"/>
      <w:suff w:val="nothing"/>
      <w:lvlText w:val="（%1）"/>
      <w:lvlJc w:val="left"/>
    </w:lvl>
  </w:abstractNum>
  <w:abstractNum w:abstractNumId="9">
    <w:nsid w:val="7B52EFFC"/>
    <w:multiLevelType w:val="singleLevel"/>
    <w:tmpl w:val="7B52EFFC"/>
    <w:lvl w:ilvl="0" w:tentative="0">
      <w:start w:val="6"/>
      <w:numFmt w:val="decimal"/>
      <w:suff w:val="nothing"/>
      <w:lvlText w:val="（%1）"/>
      <w:lvlJc w:val="left"/>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7"/>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1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MThlMmQ4NWFhMTc4OTI0NjRmZWY0NTZkNmQ1MjkifQ=="/>
    <w:docVar w:name="KSO_WPS_MARK_KEY" w:val="e6800815-0910-457e-8c9e-60c228fed3c3"/>
  </w:docVars>
  <w:rsids>
    <w:rsidRoot w:val="00172A27"/>
    <w:rsid w:val="000027C2"/>
    <w:rsid w:val="000060B3"/>
    <w:rsid w:val="00035E6F"/>
    <w:rsid w:val="000410C6"/>
    <w:rsid w:val="0004364B"/>
    <w:rsid w:val="00043A52"/>
    <w:rsid w:val="00046753"/>
    <w:rsid w:val="000579E6"/>
    <w:rsid w:val="00061B1F"/>
    <w:rsid w:val="000733C4"/>
    <w:rsid w:val="00074783"/>
    <w:rsid w:val="0008070B"/>
    <w:rsid w:val="00080C4F"/>
    <w:rsid w:val="00080F07"/>
    <w:rsid w:val="000810AC"/>
    <w:rsid w:val="00081A02"/>
    <w:rsid w:val="000820E0"/>
    <w:rsid w:val="00082231"/>
    <w:rsid w:val="000824D2"/>
    <w:rsid w:val="00092D38"/>
    <w:rsid w:val="0009377B"/>
    <w:rsid w:val="000A052B"/>
    <w:rsid w:val="000A20C9"/>
    <w:rsid w:val="000A6BC6"/>
    <w:rsid w:val="000B058F"/>
    <w:rsid w:val="000B4467"/>
    <w:rsid w:val="000B4DB9"/>
    <w:rsid w:val="000B52EC"/>
    <w:rsid w:val="000C09AC"/>
    <w:rsid w:val="000C390D"/>
    <w:rsid w:val="000C767F"/>
    <w:rsid w:val="000D5A44"/>
    <w:rsid w:val="000E3ED2"/>
    <w:rsid w:val="00113836"/>
    <w:rsid w:val="001140B1"/>
    <w:rsid w:val="00114A85"/>
    <w:rsid w:val="00121063"/>
    <w:rsid w:val="001254F9"/>
    <w:rsid w:val="00126685"/>
    <w:rsid w:val="00131F42"/>
    <w:rsid w:val="001357F1"/>
    <w:rsid w:val="00137686"/>
    <w:rsid w:val="00140FA8"/>
    <w:rsid w:val="00141BD5"/>
    <w:rsid w:val="00142FEB"/>
    <w:rsid w:val="00143A2D"/>
    <w:rsid w:val="00145A41"/>
    <w:rsid w:val="00145A5A"/>
    <w:rsid w:val="00146A55"/>
    <w:rsid w:val="00147BAD"/>
    <w:rsid w:val="00150DE8"/>
    <w:rsid w:val="0015158D"/>
    <w:rsid w:val="00151675"/>
    <w:rsid w:val="0015267B"/>
    <w:rsid w:val="00154618"/>
    <w:rsid w:val="00157435"/>
    <w:rsid w:val="00161B5A"/>
    <w:rsid w:val="00163FEE"/>
    <w:rsid w:val="0016640A"/>
    <w:rsid w:val="00172D4C"/>
    <w:rsid w:val="0017504D"/>
    <w:rsid w:val="0017671A"/>
    <w:rsid w:val="00177422"/>
    <w:rsid w:val="00182D3D"/>
    <w:rsid w:val="00184590"/>
    <w:rsid w:val="001870D1"/>
    <w:rsid w:val="0018781E"/>
    <w:rsid w:val="0019262D"/>
    <w:rsid w:val="00193D8C"/>
    <w:rsid w:val="00196A20"/>
    <w:rsid w:val="001A1B35"/>
    <w:rsid w:val="001A48A2"/>
    <w:rsid w:val="001A5B1A"/>
    <w:rsid w:val="001A6F61"/>
    <w:rsid w:val="001B209A"/>
    <w:rsid w:val="001B3C88"/>
    <w:rsid w:val="001B3F7F"/>
    <w:rsid w:val="001B72B8"/>
    <w:rsid w:val="001B7463"/>
    <w:rsid w:val="001C69B3"/>
    <w:rsid w:val="001D2FFD"/>
    <w:rsid w:val="001D5595"/>
    <w:rsid w:val="001D6124"/>
    <w:rsid w:val="001D7874"/>
    <w:rsid w:val="001D7F22"/>
    <w:rsid w:val="001E366C"/>
    <w:rsid w:val="001F0F17"/>
    <w:rsid w:val="001F17C8"/>
    <w:rsid w:val="001F3347"/>
    <w:rsid w:val="001F69E4"/>
    <w:rsid w:val="002125B4"/>
    <w:rsid w:val="002155B8"/>
    <w:rsid w:val="00217A14"/>
    <w:rsid w:val="00222286"/>
    <w:rsid w:val="00223169"/>
    <w:rsid w:val="00224839"/>
    <w:rsid w:val="002249B2"/>
    <w:rsid w:val="00226574"/>
    <w:rsid w:val="002278EC"/>
    <w:rsid w:val="0023280E"/>
    <w:rsid w:val="0023513B"/>
    <w:rsid w:val="002377D1"/>
    <w:rsid w:val="002427D4"/>
    <w:rsid w:val="0024385D"/>
    <w:rsid w:val="002452AB"/>
    <w:rsid w:val="002506BC"/>
    <w:rsid w:val="00254345"/>
    <w:rsid w:val="00262C4D"/>
    <w:rsid w:val="00264557"/>
    <w:rsid w:val="0027181C"/>
    <w:rsid w:val="002718F2"/>
    <w:rsid w:val="002762A9"/>
    <w:rsid w:val="002805AB"/>
    <w:rsid w:val="00284204"/>
    <w:rsid w:val="00291773"/>
    <w:rsid w:val="002934E2"/>
    <w:rsid w:val="002A168C"/>
    <w:rsid w:val="002A3DC7"/>
    <w:rsid w:val="002B49E2"/>
    <w:rsid w:val="002B530A"/>
    <w:rsid w:val="002B7B00"/>
    <w:rsid w:val="002B7C44"/>
    <w:rsid w:val="002C2B17"/>
    <w:rsid w:val="002C4972"/>
    <w:rsid w:val="002D3DD0"/>
    <w:rsid w:val="002D5332"/>
    <w:rsid w:val="002E1B4F"/>
    <w:rsid w:val="002E1F3A"/>
    <w:rsid w:val="002E298A"/>
    <w:rsid w:val="002E2DC4"/>
    <w:rsid w:val="002F53A2"/>
    <w:rsid w:val="002F7295"/>
    <w:rsid w:val="003010A8"/>
    <w:rsid w:val="00301269"/>
    <w:rsid w:val="00301978"/>
    <w:rsid w:val="0030332C"/>
    <w:rsid w:val="003051C2"/>
    <w:rsid w:val="0030608D"/>
    <w:rsid w:val="00306706"/>
    <w:rsid w:val="00307065"/>
    <w:rsid w:val="00312296"/>
    <w:rsid w:val="00314F0E"/>
    <w:rsid w:val="00321D8E"/>
    <w:rsid w:val="00323008"/>
    <w:rsid w:val="00324C42"/>
    <w:rsid w:val="00325928"/>
    <w:rsid w:val="00332863"/>
    <w:rsid w:val="00334316"/>
    <w:rsid w:val="00334406"/>
    <w:rsid w:val="0033684D"/>
    <w:rsid w:val="00337B42"/>
    <w:rsid w:val="00341B42"/>
    <w:rsid w:val="0034348F"/>
    <w:rsid w:val="00352BC2"/>
    <w:rsid w:val="00356653"/>
    <w:rsid w:val="0035743F"/>
    <w:rsid w:val="00357BE2"/>
    <w:rsid w:val="0036170C"/>
    <w:rsid w:val="003631BF"/>
    <w:rsid w:val="00366E0F"/>
    <w:rsid w:val="00381A72"/>
    <w:rsid w:val="00384676"/>
    <w:rsid w:val="00384C7A"/>
    <w:rsid w:val="00390857"/>
    <w:rsid w:val="003A1CBE"/>
    <w:rsid w:val="003A4BF3"/>
    <w:rsid w:val="003A5E9D"/>
    <w:rsid w:val="003B420D"/>
    <w:rsid w:val="003C4966"/>
    <w:rsid w:val="003C6C16"/>
    <w:rsid w:val="003D2AB5"/>
    <w:rsid w:val="003D3E59"/>
    <w:rsid w:val="003D637A"/>
    <w:rsid w:val="003D794D"/>
    <w:rsid w:val="003E0987"/>
    <w:rsid w:val="003E3058"/>
    <w:rsid w:val="003E5630"/>
    <w:rsid w:val="003E76A9"/>
    <w:rsid w:val="003E7D8E"/>
    <w:rsid w:val="003F0809"/>
    <w:rsid w:val="003F2BBF"/>
    <w:rsid w:val="003F5594"/>
    <w:rsid w:val="003F6A8C"/>
    <w:rsid w:val="003F755C"/>
    <w:rsid w:val="00406F01"/>
    <w:rsid w:val="0041390C"/>
    <w:rsid w:val="00416D50"/>
    <w:rsid w:val="00416FD5"/>
    <w:rsid w:val="00417772"/>
    <w:rsid w:val="00420E6A"/>
    <w:rsid w:val="00425A9E"/>
    <w:rsid w:val="00426D6B"/>
    <w:rsid w:val="00430920"/>
    <w:rsid w:val="00431E6C"/>
    <w:rsid w:val="00433CE7"/>
    <w:rsid w:val="00434656"/>
    <w:rsid w:val="00441546"/>
    <w:rsid w:val="00451710"/>
    <w:rsid w:val="004524F1"/>
    <w:rsid w:val="00452738"/>
    <w:rsid w:val="00455F29"/>
    <w:rsid w:val="00456091"/>
    <w:rsid w:val="00457F71"/>
    <w:rsid w:val="00460D64"/>
    <w:rsid w:val="0046281E"/>
    <w:rsid w:val="00463E90"/>
    <w:rsid w:val="00466321"/>
    <w:rsid w:val="00477B4C"/>
    <w:rsid w:val="00484969"/>
    <w:rsid w:val="00484B9B"/>
    <w:rsid w:val="004855F6"/>
    <w:rsid w:val="0048661E"/>
    <w:rsid w:val="00486C20"/>
    <w:rsid w:val="004925B7"/>
    <w:rsid w:val="00494670"/>
    <w:rsid w:val="004A05AE"/>
    <w:rsid w:val="004A3823"/>
    <w:rsid w:val="004B16CB"/>
    <w:rsid w:val="004D685B"/>
    <w:rsid w:val="004E2833"/>
    <w:rsid w:val="004E379F"/>
    <w:rsid w:val="004E5C18"/>
    <w:rsid w:val="004E6946"/>
    <w:rsid w:val="004F1AD8"/>
    <w:rsid w:val="004F2F8D"/>
    <w:rsid w:val="004F575E"/>
    <w:rsid w:val="005039CB"/>
    <w:rsid w:val="0050558F"/>
    <w:rsid w:val="00506286"/>
    <w:rsid w:val="00510813"/>
    <w:rsid w:val="00511990"/>
    <w:rsid w:val="00511DE0"/>
    <w:rsid w:val="00512136"/>
    <w:rsid w:val="00513F85"/>
    <w:rsid w:val="00514870"/>
    <w:rsid w:val="00514B9B"/>
    <w:rsid w:val="00517F02"/>
    <w:rsid w:val="0052021C"/>
    <w:rsid w:val="00524303"/>
    <w:rsid w:val="005258A2"/>
    <w:rsid w:val="005401AE"/>
    <w:rsid w:val="00542E07"/>
    <w:rsid w:val="00545424"/>
    <w:rsid w:val="00554A7B"/>
    <w:rsid w:val="0055572C"/>
    <w:rsid w:val="0056106A"/>
    <w:rsid w:val="00564C81"/>
    <w:rsid w:val="005720AE"/>
    <w:rsid w:val="00575974"/>
    <w:rsid w:val="00580CD9"/>
    <w:rsid w:val="00592A19"/>
    <w:rsid w:val="00594D77"/>
    <w:rsid w:val="005969E4"/>
    <w:rsid w:val="005A06B7"/>
    <w:rsid w:val="005A1759"/>
    <w:rsid w:val="005A42C4"/>
    <w:rsid w:val="005A68A7"/>
    <w:rsid w:val="005B2C0C"/>
    <w:rsid w:val="005C0026"/>
    <w:rsid w:val="005C772F"/>
    <w:rsid w:val="005D0FA6"/>
    <w:rsid w:val="005D36AB"/>
    <w:rsid w:val="005D43D7"/>
    <w:rsid w:val="005D6D54"/>
    <w:rsid w:val="005F22DA"/>
    <w:rsid w:val="005F3123"/>
    <w:rsid w:val="005F3837"/>
    <w:rsid w:val="006001D4"/>
    <w:rsid w:val="00602125"/>
    <w:rsid w:val="006045D1"/>
    <w:rsid w:val="00604FB2"/>
    <w:rsid w:val="006108BD"/>
    <w:rsid w:val="00617B10"/>
    <w:rsid w:val="00617CC3"/>
    <w:rsid w:val="00622102"/>
    <w:rsid w:val="00625F5E"/>
    <w:rsid w:val="00634D62"/>
    <w:rsid w:val="00636CEC"/>
    <w:rsid w:val="006377A6"/>
    <w:rsid w:val="00637A3D"/>
    <w:rsid w:val="006411EF"/>
    <w:rsid w:val="006516B8"/>
    <w:rsid w:val="00662275"/>
    <w:rsid w:val="006654FF"/>
    <w:rsid w:val="006748B8"/>
    <w:rsid w:val="006775C3"/>
    <w:rsid w:val="006801D8"/>
    <w:rsid w:val="0069290A"/>
    <w:rsid w:val="00695CBD"/>
    <w:rsid w:val="00696E82"/>
    <w:rsid w:val="0069775A"/>
    <w:rsid w:val="00697813"/>
    <w:rsid w:val="006A3EE8"/>
    <w:rsid w:val="006A72BF"/>
    <w:rsid w:val="006B03F2"/>
    <w:rsid w:val="006B37DC"/>
    <w:rsid w:val="006B4F68"/>
    <w:rsid w:val="006B7582"/>
    <w:rsid w:val="006B7C5C"/>
    <w:rsid w:val="006C0592"/>
    <w:rsid w:val="006C0C91"/>
    <w:rsid w:val="006C272E"/>
    <w:rsid w:val="006C4440"/>
    <w:rsid w:val="006C5479"/>
    <w:rsid w:val="006D13B5"/>
    <w:rsid w:val="006D4AD9"/>
    <w:rsid w:val="006E12FF"/>
    <w:rsid w:val="006E2B1E"/>
    <w:rsid w:val="006E607E"/>
    <w:rsid w:val="006F52FE"/>
    <w:rsid w:val="006F603D"/>
    <w:rsid w:val="006F618F"/>
    <w:rsid w:val="00706C5D"/>
    <w:rsid w:val="007128BD"/>
    <w:rsid w:val="007164D3"/>
    <w:rsid w:val="00730C30"/>
    <w:rsid w:val="00732922"/>
    <w:rsid w:val="0075162E"/>
    <w:rsid w:val="007533D8"/>
    <w:rsid w:val="00754034"/>
    <w:rsid w:val="00754EA3"/>
    <w:rsid w:val="00756556"/>
    <w:rsid w:val="007618C4"/>
    <w:rsid w:val="00767980"/>
    <w:rsid w:val="00770AA7"/>
    <w:rsid w:val="00770ABB"/>
    <w:rsid w:val="00770B19"/>
    <w:rsid w:val="00770BF7"/>
    <w:rsid w:val="0077463F"/>
    <w:rsid w:val="007812EB"/>
    <w:rsid w:val="007836EA"/>
    <w:rsid w:val="00783D4E"/>
    <w:rsid w:val="00784CDA"/>
    <w:rsid w:val="007906C4"/>
    <w:rsid w:val="007940EA"/>
    <w:rsid w:val="007967E8"/>
    <w:rsid w:val="007A2170"/>
    <w:rsid w:val="007A22BF"/>
    <w:rsid w:val="007A3323"/>
    <w:rsid w:val="007B112C"/>
    <w:rsid w:val="007B72B8"/>
    <w:rsid w:val="007B7A58"/>
    <w:rsid w:val="007C21B5"/>
    <w:rsid w:val="007C7959"/>
    <w:rsid w:val="007D4732"/>
    <w:rsid w:val="007D5391"/>
    <w:rsid w:val="007E4BD2"/>
    <w:rsid w:val="007F526D"/>
    <w:rsid w:val="00801393"/>
    <w:rsid w:val="00802F88"/>
    <w:rsid w:val="0081293E"/>
    <w:rsid w:val="00815465"/>
    <w:rsid w:val="008172D2"/>
    <w:rsid w:val="00817E9A"/>
    <w:rsid w:val="008264AC"/>
    <w:rsid w:val="008306BD"/>
    <w:rsid w:val="00831A80"/>
    <w:rsid w:val="00833743"/>
    <w:rsid w:val="008340A4"/>
    <w:rsid w:val="008421EC"/>
    <w:rsid w:val="00844EE8"/>
    <w:rsid w:val="00852FCF"/>
    <w:rsid w:val="00856B2C"/>
    <w:rsid w:val="008640CD"/>
    <w:rsid w:val="0087135F"/>
    <w:rsid w:val="00871775"/>
    <w:rsid w:val="00872D94"/>
    <w:rsid w:val="008735A2"/>
    <w:rsid w:val="0087558B"/>
    <w:rsid w:val="00880364"/>
    <w:rsid w:val="00882487"/>
    <w:rsid w:val="00891592"/>
    <w:rsid w:val="00891E9E"/>
    <w:rsid w:val="008A09DA"/>
    <w:rsid w:val="008A2F68"/>
    <w:rsid w:val="008A60DB"/>
    <w:rsid w:val="008A6C72"/>
    <w:rsid w:val="008B0569"/>
    <w:rsid w:val="008B10A9"/>
    <w:rsid w:val="008B4FA6"/>
    <w:rsid w:val="008B5282"/>
    <w:rsid w:val="008B7C17"/>
    <w:rsid w:val="008C0B45"/>
    <w:rsid w:val="008C2D01"/>
    <w:rsid w:val="008C40E6"/>
    <w:rsid w:val="008D0F7A"/>
    <w:rsid w:val="008D1617"/>
    <w:rsid w:val="008D5BE4"/>
    <w:rsid w:val="008D68E4"/>
    <w:rsid w:val="008E0506"/>
    <w:rsid w:val="008E0CFF"/>
    <w:rsid w:val="008E2696"/>
    <w:rsid w:val="008E5D6B"/>
    <w:rsid w:val="008E76F0"/>
    <w:rsid w:val="008F15FE"/>
    <w:rsid w:val="008F2D29"/>
    <w:rsid w:val="008F5187"/>
    <w:rsid w:val="008F60D8"/>
    <w:rsid w:val="009002AF"/>
    <w:rsid w:val="00902727"/>
    <w:rsid w:val="0090312B"/>
    <w:rsid w:val="0091736D"/>
    <w:rsid w:val="00924B68"/>
    <w:rsid w:val="00926F50"/>
    <w:rsid w:val="0093037A"/>
    <w:rsid w:val="00930B36"/>
    <w:rsid w:val="0094154D"/>
    <w:rsid w:val="00941B31"/>
    <w:rsid w:val="00947533"/>
    <w:rsid w:val="0095155F"/>
    <w:rsid w:val="0095402E"/>
    <w:rsid w:val="00954429"/>
    <w:rsid w:val="009563CE"/>
    <w:rsid w:val="00960097"/>
    <w:rsid w:val="00963773"/>
    <w:rsid w:val="009701F4"/>
    <w:rsid w:val="00970B05"/>
    <w:rsid w:val="00976328"/>
    <w:rsid w:val="0097680D"/>
    <w:rsid w:val="00982438"/>
    <w:rsid w:val="0098404C"/>
    <w:rsid w:val="009848B0"/>
    <w:rsid w:val="00985283"/>
    <w:rsid w:val="00995992"/>
    <w:rsid w:val="00996C69"/>
    <w:rsid w:val="00996E42"/>
    <w:rsid w:val="009A03E5"/>
    <w:rsid w:val="009A092F"/>
    <w:rsid w:val="009A0F3B"/>
    <w:rsid w:val="009A1BB4"/>
    <w:rsid w:val="009A2628"/>
    <w:rsid w:val="009A3200"/>
    <w:rsid w:val="009B0897"/>
    <w:rsid w:val="009B34B2"/>
    <w:rsid w:val="009B7BD9"/>
    <w:rsid w:val="009C2A8A"/>
    <w:rsid w:val="009C7DD5"/>
    <w:rsid w:val="009E227D"/>
    <w:rsid w:val="009E2998"/>
    <w:rsid w:val="009E33C4"/>
    <w:rsid w:val="009E5019"/>
    <w:rsid w:val="00A04310"/>
    <w:rsid w:val="00A04F1B"/>
    <w:rsid w:val="00A0501B"/>
    <w:rsid w:val="00A07B2F"/>
    <w:rsid w:val="00A1399F"/>
    <w:rsid w:val="00A14947"/>
    <w:rsid w:val="00A14CF2"/>
    <w:rsid w:val="00A21100"/>
    <w:rsid w:val="00A32A83"/>
    <w:rsid w:val="00A32D8E"/>
    <w:rsid w:val="00A3328B"/>
    <w:rsid w:val="00A368DB"/>
    <w:rsid w:val="00A423AA"/>
    <w:rsid w:val="00A53EC6"/>
    <w:rsid w:val="00A546E1"/>
    <w:rsid w:val="00A55C0F"/>
    <w:rsid w:val="00A57C91"/>
    <w:rsid w:val="00A6412E"/>
    <w:rsid w:val="00A73034"/>
    <w:rsid w:val="00A76A9E"/>
    <w:rsid w:val="00A8713F"/>
    <w:rsid w:val="00A90BA1"/>
    <w:rsid w:val="00A97A9A"/>
    <w:rsid w:val="00A97C51"/>
    <w:rsid w:val="00AA0671"/>
    <w:rsid w:val="00AA2531"/>
    <w:rsid w:val="00AB1E09"/>
    <w:rsid w:val="00AB5139"/>
    <w:rsid w:val="00AB5330"/>
    <w:rsid w:val="00AB7747"/>
    <w:rsid w:val="00AC14CE"/>
    <w:rsid w:val="00AC2A56"/>
    <w:rsid w:val="00AC58A7"/>
    <w:rsid w:val="00AD055E"/>
    <w:rsid w:val="00AD47A7"/>
    <w:rsid w:val="00AF0CBF"/>
    <w:rsid w:val="00AF257F"/>
    <w:rsid w:val="00AF278A"/>
    <w:rsid w:val="00AF33CF"/>
    <w:rsid w:val="00AF4D50"/>
    <w:rsid w:val="00AF6179"/>
    <w:rsid w:val="00B0517A"/>
    <w:rsid w:val="00B104AD"/>
    <w:rsid w:val="00B11C0F"/>
    <w:rsid w:val="00B1295A"/>
    <w:rsid w:val="00B13EF3"/>
    <w:rsid w:val="00B1712A"/>
    <w:rsid w:val="00B20A45"/>
    <w:rsid w:val="00B22C5C"/>
    <w:rsid w:val="00B248C3"/>
    <w:rsid w:val="00B24F30"/>
    <w:rsid w:val="00B27ED8"/>
    <w:rsid w:val="00B304FB"/>
    <w:rsid w:val="00B31ABF"/>
    <w:rsid w:val="00B33BE3"/>
    <w:rsid w:val="00B44EC6"/>
    <w:rsid w:val="00B474BF"/>
    <w:rsid w:val="00B50C0C"/>
    <w:rsid w:val="00B53B5D"/>
    <w:rsid w:val="00B5731F"/>
    <w:rsid w:val="00B6055E"/>
    <w:rsid w:val="00B6317D"/>
    <w:rsid w:val="00B71F06"/>
    <w:rsid w:val="00B7723F"/>
    <w:rsid w:val="00B80534"/>
    <w:rsid w:val="00B8433C"/>
    <w:rsid w:val="00B87491"/>
    <w:rsid w:val="00B87667"/>
    <w:rsid w:val="00B9208C"/>
    <w:rsid w:val="00BA29E9"/>
    <w:rsid w:val="00BA7142"/>
    <w:rsid w:val="00BB07C4"/>
    <w:rsid w:val="00BB237C"/>
    <w:rsid w:val="00BB41A3"/>
    <w:rsid w:val="00BB7547"/>
    <w:rsid w:val="00BC32DC"/>
    <w:rsid w:val="00BC35B6"/>
    <w:rsid w:val="00BD1B51"/>
    <w:rsid w:val="00BD288B"/>
    <w:rsid w:val="00BD4596"/>
    <w:rsid w:val="00BD54BA"/>
    <w:rsid w:val="00BD618A"/>
    <w:rsid w:val="00BD7824"/>
    <w:rsid w:val="00BE1405"/>
    <w:rsid w:val="00BE312D"/>
    <w:rsid w:val="00BE3925"/>
    <w:rsid w:val="00BF1C20"/>
    <w:rsid w:val="00C0168F"/>
    <w:rsid w:val="00C078BF"/>
    <w:rsid w:val="00C10578"/>
    <w:rsid w:val="00C135BC"/>
    <w:rsid w:val="00C15C95"/>
    <w:rsid w:val="00C251D8"/>
    <w:rsid w:val="00C2596A"/>
    <w:rsid w:val="00C27537"/>
    <w:rsid w:val="00C30C2A"/>
    <w:rsid w:val="00C328FE"/>
    <w:rsid w:val="00C33507"/>
    <w:rsid w:val="00C403F1"/>
    <w:rsid w:val="00C4409D"/>
    <w:rsid w:val="00C44E72"/>
    <w:rsid w:val="00C44FF5"/>
    <w:rsid w:val="00C45A06"/>
    <w:rsid w:val="00C4626D"/>
    <w:rsid w:val="00C47733"/>
    <w:rsid w:val="00C47E5B"/>
    <w:rsid w:val="00C6135B"/>
    <w:rsid w:val="00C61E4B"/>
    <w:rsid w:val="00C64BFF"/>
    <w:rsid w:val="00C704E9"/>
    <w:rsid w:val="00C763C9"/>
    <w:rsid w:val="00C7750F"/>
    <w:rsid w:val="00C80057"/>
    <w:rsid w:val="00C82232"/>
    <w:rsid w:val="00C82913"/>
    <w:rsid w:val="00C91041"/>
    <w:rsid w:val="00C9441A"/>
    <w:rsid w:val="00C972B1"/>
    <w:rsid w:val="00C973F0"/>
    <w:rsid w:val="00CA2CCE"/>
    <w:rsid w:val="00CA43FD"/>
    <w:rsid w:val="00CA7656"/>
    <w:rsid w:val="00CA7EF8"/>
    <w:rsid w:val="00CB2ABA"/>
    <w:rsid w:val="00CB35DD"/>
    <w:rsid w:val="00CC489B"/>
    <w:rsid w:val="00CD08BF"/>
    <w:rsid w:val="00CD0DEA"/>
    <w:rsid w:val="00CD2BCD"/>
    <w:rsid w:val="00CD3A4C"/>
    <w:rsid w:val="00CE10E9"/>
    <w:rsid w:val="00CE2910"/>
    <w:rsid w:val="00CE5393"/>
    <w:rsid w:val="00CF36BE"/>
    <w:rsid w:val="00CF6000"/>
    <w:rsid w:val="00D003F3"/>
    <w:rsid w:val="00D0364F"/>
    <w:rsid w:val="00D06834"/>
    <w:rsid w:val="00D074B4"/>
    <w:rsid w:val="00D22432"/>
    <w:rsid w:val="00D308ED"/>
    <w:rsid w:val="00D365EF"/>
    <w:rsid w:val="00D36D86"/>
    <w:rsid w:val="00D40D69"/>
    <w:rsid w:val="00D428AA"/>
    <w:rsid w:val="00D44827"/>
    <w:rsid w:val="00D47D5F"/>
    <w:rsid w:val="00D50A34"/>
    <w:rsid w:val="00D53EFA"/>
    <w:rsid w:val="00D56A00"/>
    <w:rsid w:val="00D61166"/>
    <w:rsid w:val="00D73438"/>
    <w:rsid w:val="00D77BD0"/>
    <w:rsid w:val="00D811A9"/>
    <w:rsid w:val="00D94A7C"/>
    <w:rsid w:val="00D95896"/>
    <w:rsid w:val="00D97781"/>
    <w:rsid w:val="00DA4D92"/>
    <w:rsid w:val="00DB2983"/>
    <w:rsid w:val="00DC1257"/>
    <w:rsid w:val="00DC3DC0"/>
    <w:rsid w:val="00DC5B2B"/>
    <w:rsid w:val="00DD318D"/>
    <w:rsid w:val="00DD3237"/>
    <w:rsid w:val="00DD46DF"/>
    <w:rsid w:val="00DF2E12"/>
    <w:rsid w:val="00DF4290"/>
    <w:rsid w:val="00DF514A"/>
    <w:rsid w:val="00DF6690"/>
    <w:rsid w:val="00DF6804"/>
    <w:rsid w:val="00E0358D"/>
    <w:rsid w:val="00E03C5C"/>
    <w:rsid w:val="00E04323"/>
    <w:rsid w:val="00E070A2"/>
    <w:rsid w:val="00E07D31"/>
    <w:rsid w:val="00E156C3"/>
    <w:rsid w:val="00E22A39"/>
    <w:rsid w:val="00E2656A"/>
    <w:rsid w:val="00E270E3"/>
    <w:rsid w:val="00E366A9"/>
    <w:rsid w:val="00E412D0"/>
    <w:rsid w:val="00E46AF4"/>
    <w:rsid w:val="00E52724"/>
    <w:rsid w:val="00E56322"/>
    <w:rsid w:val="00E56B6A"/>
    <w:rsid w:val="00E60982"/>
    <w:rsid w:val="00E62C62"/>
    <w:rsid w:val="00E654C1"/>
    <w:rsid w:val="00E65D97"/>
    <w:rsid w:val="00E678AF"/>
    <w:rsid w:val="00E71382"/>
    <w:rsid w:val="00E71618"/>
    <w:rsid w:val="00E72A5A"/>
    <w:rsid w:val="00E73354"/>
    <w:rsid w:val="00E9242D"/>
    <w:rsid w:val="00EA32F3"/>
    <w:rsid w:val="00EA52E2"/>
    <w:rsid w:val="00EB1035"/>
    <w:rsid w:val="00EB5255"/>
    <w:rsid w:val="00EB5C47"/>
    <w:rsid w:val="00EB5D20"/>
    <w:rsid w:val="00EB6519"/>
    <w:rsid w:val="00EC674E"/>
    <w:rsid w:val="00ED0639"/>
    <w:rsid w:val="00ED2E28"/>
    <w:rsid w:val="00EE022D"/>
    <w:rsid w:val="00EE161F"/>
    <w:rsid w:val="00EE21D9"/>
    <w:rsid w:val="00EE2E49"/>
    <w:rsid w:val="00EF4755"/>
    <w:rsid w:val="00EF5855"/>
    <w:rsid w:val="00EF6D6F"/>
    <w:rsid w:val="00EF7135"/>
    <w:rsid w:val="00F027DB"/>
    <w:rsid w:val="00F058B4"/>
    <w:rsid w:val="00F12CD2"/>
    <w:rsid w:val="00F14A7A"/>
    <w:rsid w:val="00F178C6"/>
    <w:rsid w:val="00F21EDB"/>
    <w:rsid w:val="00F22985"/>
    <w:rsid w:val="00F229B0"/>
    <w:rsid w:val="00F27D86"/>
    <w:rsid w:val="00F32E94"/>
    <w:rsid w:val="00F3383E"/>
    <w:rsid w:val="00F365D0"/>
    <w:rsid w:val="00F419C8"/>
    <w:rsid w:val="00F4282D"/>
    <w:rsid w:val="00F465A7"/>
    <w:rsid w:val="00F50B7C"/>
    <w:rsid w:val="00F54768"/>
    <w:rsid w:val="00F550E6"/>
    <w:rsid w:val="00F575CA"/>
    <w:rsid w:val="00F74345"/>
    <w:rsid w:val="00F80A0A"/>
    <w:rsid w:val="00F82B19"/>
    <w:rsid w:val="00F9212D"/>
    <w:rsid w:val="00F948FD"/>
    <w:rsid w:val="00F965DA"/>
    <w:rsid w:val="00F97C15"/>
    <w:rsid w:val="00FA0E19"/>
    <w:rsid w:val="00FA406A"/>
    <w:rsid w:val="00FB503A"/>
    <w:rsid w:val="00FB516C"/>
    <w:rsid w:val="00FC1F85"/>
    <w:rsid w:val="00FC393E"/>
    <w:rsid w:val="00FD0236"/>
    <w:rsid w:val="00FD18F4"/>
    <w:rsid w:val="00FD54DB"/>
    <w:rsid w:val="00FD619F"/>
    <w:rsid w:val="00FE2DE9"/>
    <w:rsid w:val="00FE3A44"/>
    <w:rsid w:val="00FE5BFE"/>
    <w:rsid w:val="00FF0A4E"/>
    <w:rsid w:val="00FF1CDB"/>
    <w:rsid w:val="01194ED0"/>
    <w:rsid w:val="01290F7E"/>
    <w:rsid w:val="01455EBE"/>
    <w:rsid w:val="015D1E09"/>
    <w:rsid w:val="01863CD4"/>
    <w:rsid w:val="02012BF4"/>
    <w:rsid w:val="02175E3E"/>
    <w:rsid w:val="022F2BE8"/>
    <w:rsid w:val="0263763D"/>
    <w:rsid w:val="02697903"/>
    <w:rsid w:val="02707D5C"/>
    <w:rsid w:val="02C1531D"/>
    <w:rsid w:val="02D36DFE"/>
    <w:rsid w:val="02EB4148"/>
    <w:rsid w:val="02F96569"/>
    <w:rsid w:val="03384292"/>
    <w:rsid w:val="03473EC9"/>
    <w:rsid w:val="03541A15"/>
    <w:rsid w:val="039842CF"/>
    <w:rsid w:val="03D96696"/>
    <w:rsid w:val="03EA7B21"/>
    <w:rsid w:val="04041F66"/>
    <w:rsid w:val="041B0491"/>
    <w:rsid w:val="04345187"/>
    <w:rsid w:val="0442423B"/>
    <w:rsid w:val="04510922"/>
    <w:rsid w:val="04644D21"/>
    <w:rsid w:val="048E56D2"/>
    <w:rsid w:val="04A47A5C"/>
    <w:rsid w:val="04C609C8"/>
    <w:rsid w:val="04E15062"/>
    <w:rsid w:val="04E330F7"/>
    <w:rsid w:val="04FE4606"/>
    <w:rsid w:val="053A44A3"/>
    <w:rsid w:val="05502633"/>
    <w:rsid w:val="055244B0"/>
    <w:rsid w:val="05C173E2"/>
    <w:rsid w:val="05E868EF"/>
    <w:rsid w:val="05F83EAE"/>
    <w:rsid w:val="05FB28F4"/>
    <w:rsid w:val="06293905"/>
    <w:rsid w:val="063E7D85"/>
    <w:rsid w:val="064B76EB"/>
    <w:rsid w:val="06BA630B"/>
    <w:rsid w:val="07293586"/>
    <w:rsid w:val="07295285"/>
    <w:rsid w:val="07413D40"/>
    <w:rsid w:val="07636392"/>
    <w:rsid w:val="07770C56"/>
    <w:rsid w:val="079B3727"/>
    <w:rsid w:val="07A43BB2"/>
    <w:rsid w:val="07CA6A21"/>
    <w:rsid w:val="07CE3A39"/>
    <w:rsid w:val="07DC6755"/>
    <w:rsid w:val="080E345D"/>
    <w:rsid w:val="08191757"/>
    <w:rsid w:val="0830503C"/>
    <w:rsid w:val="086C1887"/>
    <w:rsid w:val="08714B2F"/>
    <w:rsid w:val="089808CE"/>
    <w:rsid w:val="08C63886"/>
    <w:rsid w:val="08F17FDE"/>
    <w:rsid w:val="091B505B"/>
    <w:rsid w:val="092217DD"/>
    <w:rsid w:val="092326CA"/>
    <w:rsid w:val="093A7294"/>
    <w:rsid w:val="098328E9"/>
    <w:rsid w:val="09B259BF"/>
    <w:rsid w:val="09F0705F"/>
    <w:rsid w:val="0A0A75A9"/>
    <w:rsid w:val="0A1C5EDC"/>
    <w:rsid w:val="0A263993"/>
    <w:rsid w:val="0A2C5771"/>
    <w:rsid w:val="0A2D3AC2"/>
    <w:rsid w:val="0A64056F"/>
    <w:rsid w:val="0A697674"/>
    <w:rsid w:val="0A8D13D6"/>
    <w:rsid w:val="0AA755DF"/>
    <w:rsid w:val="0ACA7D3C"/>
    <w:rsid w:val="0ADC7BEA"/>
    <w:rsid w:val="0AE946C8"/>
    <w:rsid w:val="0B120D44"/>
    <w:rsid w:val="0B2C09F5"/>
    <w:rsid w:val="0B5A00BC"/>
    <w:rsid w:val="0B8415DD"/>
    <w:rsid w:val="0BB91287"/>
    <w:rsid w:val="0BBF58D6"/>
    <w:rsid w:val="0BD27BF6"/>
    <w:rsid w:val="0C094A37"/>
    <w:rsid w:val="0C3B3C7D"/>
    <w:rsid w:val="0C7E4044"/>
    <w:rsid w:val="0C8321CC"/>
    <w:rsid w:val="0C8C2957"/>
    <w:rsid w:val="0CAB2EAE"/>
    <w:rsid w:val="0CC9374C"/>
    <w:rsid w:val="0CD1012F"/>
    <w:rsid w:val="0D49574D"/>
    <w:rsid w:val="0D621C7D"/>
    <w:rsid w:val="0DD7042E"/>
    <w:rsid w:val="0DFE5677"/>
    <w:rsid w:val="0DFF319D"/>
    <w:rsid w:val="0E5A6C0E"/>
    <w:rsid w:val="0E675F71"/>
    <w:rsid w:val="0E73034D"/>
    <w:rsid w:val="0E872788"/>
    <w:rsid w:val="0E884609"/>
    <w:rsid w:val="0E981627"/>
    <w:rsid w:val="0EAC50D3"/>
    <w:rsid w:val="0EC95C60"/>
    <w:rsid w:val="0ED4568F"/>
    <w:rsid w:val="0EE84129"/>
    <w:rsid w:val="0EF80286"/>
    <w:rsid w:val="0F046E28"/>
    <w:rsid w:val="0F13775A"/>
    <w:rsid w:val="0F184516"/>
    <w:rsid w:val="0F2A7D0D"/>
    <w:rsid w:val="0F321009"/>
    <w:rsid w:val="0F36156E"/>
    <w:rsid w:val="0F562702"/>
    <w:rsid w:val="0F5F45FE"/>
    <w:rsid w:val="0F64374A"/>
    <w:rsid w:val="0F7C23EC"/>
    <w:rsid w:val="0F9A112B"/>
    <w:rsid w:val="0F9B0EE8"/>
    <w:rsid w:val="0F9D2C6D"/>
    <w:rsid w:val="0FA117CD"/>
    <w:rsid w:val="0FF84240"/>
    <w:rsid w:val="100920B1"/>
    <w:rsid w:val="101C7FFA"/>
    <w:rsid w:val="1048142A"/>
    <w:rsid w:val="106D2F64"/>
    <w:rsid w:val="107435F9"/>
    <w:rsid w:val="10B63710"/>
    <w:rsid w:val="10D0497D"/>
    <w:rsid w:val="10F10820"/>
    <w:rsid w:val="10FA3219"/>
    <w:rsid w:val="111C2F7A"/>
    <w:rsid w:val="112370E0"/>
    <w:rsid w:val="11357581"/>
    <w:rsid w:val="11665CA1"/>
    <w:rsid w:val="1193257A"/>
    <w:rsid w:val="121C4847"/>
    <w:rsid w:val="126716DF"/>
    <w:rsid w:val="12AD766B"/>
    <w:rsid w:val="13190FE1"/>
    <w:rsid w:val="13675A6C"/>
    <w:rsid w:val="13763FD4"/>
    <w:rsid w:val="13854144"/>
    <w:rsid w:val="13936861"/>
    <w:rsid w:val="13951726"/>
    <w:rsid w:val="139975C2"/>
    <w:rsid w:val="14027543"/>
    <w:rsid w:val="14396509"/>
    <w:rsid w:val="143E0206"/>
    <w:rsid w:val="143F310F"/>
    <w:rsid w:val="14576279"/>
    <w:rsid w:val="14C303F0"/>
    <w:rsid w:val="14DD2C3C"/>
    <w:rsid w:val="153C6A85"/>
    <w:rsid w:val="154F45A9"/>
    <w:rsid w:val="1596315C"/>
    <w:rsid w:val="15C947BC"/>
    <w:rsid w:val="15CE5C1A"/>
    <w:rsid w:val="16087E1D"/>
    <w:rsid w:val="161C1A47"/>
    <w:rsid w:val="161C2B3E"/>
    <w:rsid w:val="16A06855"/>
    <w:rsid w:val="16D4115B"/>
    <w:rsid w:val="16E55B68"/>
    <w:rsid w:val="170410BC"/>
    <w:rsid w:val="17173305"/>
    <w:rsid w:val="171952CC"/>
    <w:rsid w:val="17196E2E"/>
    <w:rsid w:val="17271AD2"/>
    <w:rsid w:val="1767588B"/>
    <w:rsid w:val="17701D14"/>
    <w:rsid w:val="17735226"/>
    <w:rsid w:val="17D9680D"/>
    <w:rsid w:val="180A0097"/>
    <w:rsid w:val="18115FA7"/>
    <w:rsid w:val="18192FFE"/>
    <w:rsid w:val="181E7C06"/>
    <w:rsid w:val="182D72AF"/>
    <w:rsid w:val="189F624C"/>
    <w:rsid w:val="18CC709A"/>
    <w:rsid w:val="18FB66E5"/>
    <w:rsid w:val="19DB3E9B"/>
    <w:rsid w:val="1A1C66C0"/>
    <w:rsid w:val="1A312930"/>
    <w:rsid w:val="1A367D04"/>
    <w:rsid w:val="1A42393B"/>
    <w:rsid w:val="1A6424DC"/>
    <w:rsid w:val="1A9439EA"/>
    <w:rsid w:val="1AAD45DE"/>
    <w:rsid w:val="1ADA757F"/>
    <w:rsid w:val="1AEA68A2"/>
    <w:rsid w:val="1AF36F52"/>
    <w:rsid w:val="1B046F80"/>
    <w:rsid w:val="1B222279"/>
    <w:rsid w:val="1B286C09"/>
    <w:rsid w:val="1B3267B5"/>
    <w:rsid w:val="1B40161D"/>
    <w:rsid w:val="1B441859"/>
    <w:rsid w:val="1B4C3C75"/>
    <w:rsid w:val="1B6606B1"/>
    <w:rsid w:val="1BBF2F5B"/>
    <w:rsid w:val="1BC157A5"/>
    <w:rsid w:val="1BC907B6"/>
    <w:rsid w:val="1BF223F6"/>
    <w:rsid w:val="1BFA04B2"/>
    <w:rsid w:val="1C301CEA"/>
    <w:rsid w:val="1C424017"/>
    <w:rsid w:val="1C5E7925"/>
    <w:rsid w:val="1C7207C3"/>
    <w:rsid w:val="1C9C6787"/>
    <w:rsid w:val="1CB47EF8"/>
    <w:rsid w:val="1CB50350"/>
    <w:rsid w:val="1CEA7866"/>
    <w:rsid w:val="1CFD070F"/>
    <w:rsid w:val="1D0E51AB"/>
    <w:rsid w:val="1D1D198F"/>
    <w:rsid w:val="1D5E3A3C"/>
    <w:rsid w:val="1D5F6196"/>
    <w:rsid w:val="1D6132A5"/>
    <w:rsid w:val="1D8E56D5"/>
    <w:rsid w:val="1D934FD4"/>
    <w:rsid w:val="1DDE77F9"/>
    <w:rsid w:val="1E242DEF"/>
    <w:rsid w:val="1E403142"/>
    <w:rsid w:val="1E6C42CC"/>
    <w:rsid w:val="1E7A43DA"/>
    <w:rsid w:val="1EEF4A73"/>
    <w:rsid w:val="1F337392"/>
    <w:rsid w:val="1F3C1B5B"/>
    <w:rsid w:val="1F3D4EEA"/>
    <w:rsid w:val="1F540602"/>
    <w:rsid w:val="1FE7539E"/>
    <w:rsid w:val="20267C51"/>
    <w:rsid w:val="20671BE0"/>
    <w:rsid w:val="20963CB8"/>
    <w:rsid w:val="20A81A1B"/>
    <w:rsid w:val="20B07FB6"/>
    <w:rsid w:val="20B23F81"/>
    <w:rsid w:val="20B303E0"/>
    <w:rsid w:val="20B646FB"/>
    <w:rsid w:val="20DB0A4F"/>
    <w:rsid w:val="210112AE"/>
    <w:rsid w:val="210670D2"/>
    <w:rsid w:val="21301766"/>
    <w:rsid w:val="213B74B1"/>
    <w:rsid w:val="214473ED"/>
    <w:rsid w:val="215A2310"/>
    <w:rsid w:val="2181419D"/>
    <w:rsid w:val="218E547E"/>
    <w:rsid w:val="21DE318A"/>
    <w:rsid w:val="21EF5B80"/>
    <w:rsid w:val="22327245"/>
    <w:rsid w:val="22506794"/>
    <w:rsid w:val="22576990"/>
    <w:rsid w:val="229A4090"/>
    <w:rsid w:val="229E4C02"/>
    <w:rsid w:val="22C8590B"/>
    <w:rsid w:val="22F05754"/>
    <w:rsid w:val="22F47480"/>
    <w:rsid w:val="23053D2D"/>
    <w:rsid w:val="231F7E9A"/>
    <w:rsid w:val="2345688D"/>
    <w:rsid w:val="234C4337"/>
    <w:rsid w:val="23650030"/>
    <w:rsid w:val="237512A9"/>
    <w:rsid w:val="2386596E"/>
    <w:rsid w:val="23A25FFA"/>
    <w:rsid w:val="23B91D93"/>
    <w:rsid w:val="23B93A58"/>
    <w:rsid w:val="23DE1C48"/>
    <w:rsid w:val="23E80E4F"/>
    <w:rsid w:val="240210CD"/>
    <w:rsid w:val="243064DD"/>
    <w:rsid w:val="24646DD6"/>
    <w:rsid w:val="248471B3"/>
    <w:rsid w:val="24997BA4"/>
    <w:rsid w:val="24BF09F7"/>
    <w:rsid w:val="24CE623B"/>
    <w:rsid w:val="252D53FE"/>
    <w:rsid w:val="25603A8E"/>
    <w:rsid w:val="25626093"/>
    <w:rsid w:val="257858B7"/>
    <w:rsid w:val="258B22EB"/>
    <w:rsid w:val="25D157F3"/>
    <w:rsid w:val="25D30D3F"/>
    <w:rsid w:val="25EC2D81"/>
    <w:rsid w:val="265C0D35"/>
    <w:rsid w:val="266F2816"/>
    <w:rsid w:val="26804A23"/>
    <w:rsid w:val="26993D37"/>
    <w:rsid w:val="26A24901"/>
    <w:rsid w:val="26A677A2"/>
    <w:rsid w:val="27581865"/>
    <w:rsid w:val="2766271F"/>
    <w:rsid w:val="277057A2"/>
    <w:rsid w:val="278422F1"/>
    <w:rsid w:val="27902C12"/>
    <w:rsid w:val="27DF0D46"/>
    <w:rsid w:val="28077075"/>
    <w:rsid w:val="280F7575"/>
    <w:rsid w:val="286120B7"/>
    <w:rsid w:val="28831482"/>
    <w:rsid w:val="28C32FF7"/>
    <w:rsid w:val="28E11E81"/>
    <w:rsid w:val="28F434A6"/>
    <w:rsid w:val="29206EB8"/>
    <w:rsid w:val="2929140D"/>
    <w:rsid w:val="2944527A"/>
    <w:rsid w:val="29595666"/>
    <w:rsid w:val="295E440C"/>
    <w:rsid w:val="29824521"/>
    <w:rsid w:val="29852332"/>
    <w:rsid w:val="29874881"/>
    <w:rsid w:val="29970FD2"/>
    <w:rsid w:val="29995DFC"/>
    <w:rsid w:val="299E56AF"/>
    <w:rsid w:val="29A742E4"/>
    <w:rsid w:val="29B936AE"/>
    <w:rsid w:val="29E325E0"/>
    <w:rsid w:val="29EE4632"/>
    <w:rsid w:val="2A050F0E"/>
    <w:rsid w:val="2A443FBA"/>
    <w:rsid w:val="2A452503"/>
    <w:rsid w:val="2A6858BF"/>
    <w:rsid w:val="2AB078A1"/>
    <w:rsid w:val="2AB6453E"/>
    <w:rsid w:val="2AF72B6B"/>
    <w:rsid w:val="2AF75C96"/>
    <w:rsid w:val="2B0958A0"/>
    <w:rsid w:val="2B125D10"/>
    <w:rsid w:val="2B152E60"/>
    <w:rsid w:val="2BA936A8"/>
    <w:rsid w:val="2BBB5AFF"/>
    <w:rsid w:val="2BCA60F5"/>
    <w:rsid w:val="2BD355F5"/>
    <w:rsid w:val="2BE13630"/>
    <w:rsid w:val="2C054667"/>
    <w:rsid w:val="2C30064B"/>
    <w:rsid w:val="2C315A5A"/>
    <w:rsid w:val="2C3E3FCE"/>
    <w:rsid w:val="2C4B1C25"/>
    <w:rsid w:val="2C7B1692"/>
    <w:rsid w:val="2C7B4A02"/>
    <w:rsid w:val="2C7B576D"/>
    <w:rsid w:val="2C866B0B"/>
    <w:rsid w:val="2D032CF2"/>
    <w:rsid w:val="2D07633D"/>
    <w:rsid w:val="2D102879"/>
    <w:rsid w:val="2D32459D"/>
    <w:rsid w:val="2D325067"/>
    <w:rsid w:val="2D464F15"/>
    <w:rsid w:val="2D4C6855"/>
    <w:rsid w:val="2D6419B4"/>
    <w:rsid w:val="2D646521"/>
    <w:rsid w:val="2D773D38"/>
    <w:rsid w:val="2D98284A"/>
    <w:rsid w:val="2D9E56F5"/>
    <w:rsid w:val="2DD571C4"/>
    <w:rsid w:val="2DD815E9"/>
    <w:rsid w:val="2E00644A"/>
    <w:rsid w:val="2E3540B7"/>
    <w:rsid w:val="2E667F96"/>
    <w:rsid w:val="2E8226AB"/>
    <w:rsid w:val="2EB3183F"/>
    <w:rsid w:val="2ECC7A03"/>
    <w:rsid w:val="2EE44FC3"/>
    <w:rsid w:val="2F106D68"/>
    <w:rsid w:val="2F1F67B3"/>
    <w:rsid w:val="2F3555AC"/>
    <w:rsid w:val="2F37233F"/>
    <w:rsid w:val="2F84574C"/>
    <w:rsid w:val="2FA21B63"/>
    <w:rsid w:val="2FD065E6"/>
    <w:rsid w:val="2FD96870"/>
    <w:rsid w:val="2FE42670"/>
    <w:rsid w:val="300246FB"/>
    <w:rsid w:val="30580BC9"/>
    <w:rsid w:val="306E4220"/>
    <w:rsid w:val="311E2ED7"/>
    <w:rsid w:val="315619EE"/>
    <w:rsid w:val="315C449C"/>
    <w:rsid w:val="31605B7D"/>
    <w:rsid w:val="31804E5C"/>
    <w:rsid w:val="319D35B5"/>
    <w:rsid w:val="31B23EFF"/>
    <w:rsid w:val="31B82709"/>
    <w:rsid w:val="31CD6F8B"/>
    <w:rsid w:val="31D05482"/>
    <w:rsid w:val="31D76BE3"/>
    <w:rsid w:val="31F02B20"/>
    <w:rsid w:val="32400B34"/>
    <w:rsid w:val="32481D9F"/>
    <w:rsid w:val="32614536"/>
    <w:rsid w:val="32634685"/>
    <w:rsid w:val="32664B9F"/>
    <w:rsid w:val="327615E4"/>
    <w:rsid w:val="32943604"/>
    <w:rsid w:val="329E6876"/>
    <w:rsid w:val="32B9147B"/>
    <w:rsid w:val="333015F2"/>
    <w:rsid w:val="334B6320"/>
    <w:rsid w:val="33613373"/>
    <w:rsid w:val="336E20A7"/>
    <w:rsid w:val="336F3663"/>
    <w:rsid w:val="33D934D4"/>
    <w:rsid w:val="33FB393B"/>
    <w:rsid w:val="33FE2F6A"/>
    <w:rsid w:val="340E07E5"/>
    <w:rsid w:val="34235BF7"/>
    <w:rsid w:val="34340F62"/>
    <w:rsid w:val="3439614F"/>
    <w:rsid w:val="343B7289"/>
    <w:rsid w:val="34BF2D59"/>
    <w:rsid w:val="34DC0891"/>
    <w:rsid w:val="34EA39B0"/>
    <w:rsid w:val="34ED2E14"/>
    <w:rsid w:val="35044A71"/>
    <w:rsid w:val="350672C8"/>
    <w:rsid w:val="357C77C0"/>
    <w:rsid w:val="358B6C75"/>
    <w:rsid w:val="358C5FA8"/>
    <w:rsid w:val="35BF6203"/>
    <w:rsid w:val="35C15DF1"/>
    <w:rsid w:val="35CF28E2"/>
    <w:rsid w:val="36074A7F"/>
    <w:rsid w:val="3660379A"/>
    <w:rsid w:val="36764B6C"/>
    <w:rsid w:val="367802FD"/>
    <w:rsid w:val="36923549"/>
    <w:rsid w:val="36B75FBF"/>
    <w:rsid w:val="36B95969"/>
    <w:rsid w:val="36BD0C45"/>
    <w:rsid w:val="36D7484C"/>
    <w:rsid w:val="37064428"/>
    <w:rsid w:val="371D1809"/>
    <w:rsid w:val="375978F1"/>
    <w:rsid w:val="375A306E"/>
    <w:rsid w:val="376A3655"/>
    <w:rsid w:val="376E6E13"/>
    <w:rsid w:val="37735EDE"/>
    <w:rsid w:val="37A94B75"/>
    <w:rsid w:val="37B63C1C"/>
    <w:rsid w:val="37D15916"/>
    <w:rsid w:val="37E00298"/>
    <w:rsid w:val="38033FE5"/>
    <w:rsid w:val="38155536"/>
    <w:rsid w:val="386C1A40"/>
    <w:rsid w:val="38B16CBE"/>
    <w:rsid w:val="38B302F9"/>
    <w:rsid w:val="38F12CD3"/>
    <w:rsid w:val="38F35529"/>
    <w:rsid w:val="38F94775"/>
    <w:rsid w:val="39005119"/>
    <w:rsid w:val="392971ED"/>
    <w:rsid w:val="39325651"/>
    <w:rsid w:val="395468E7"/>
    <w:rsid w:val="395F7896"/>
    <w:rsid w:val="39715F8D"/>
    <w:rsid w:val="39AE1B2A"/>
    <w:rsid w:val="39C173D5"/>
    <w:rsid w:val="39E84962"/>
    <w:rsid w:val="39FE21BD"/>
    <w:rsid w:val="3A1B7E92"/>
    <w:rsid w:val="3A872856"/>
    <w:rsid w:val="3B323BFB"/>
    <w:rsid w:val="3B37173C"/>
    <w:rsid w:val="3B3763D1"/>
    <w:rsid w:val="3B533C15"/>
    <w:rsid w:val="3B954675"/>
    <w:rsid w:val="3BA450D3"/>
    <w:rsid w:val="3BB20947"/>
    <w:rsid w:val="3BC10890"/>
    <w:rsid w:val="3BC75CC8"/>
    <w:rsid w:val="3BD36B6B"/>
    <w:rsid w:val="3BDC59AB"/>
    <w:rsid w:val="3C2F6E1E"/>
    <w:rsid w:val="3C3822C5"/>
    <w:rsid w:val="3C4F64BA"/>
    <w:rsid w:val="3C7A6486"/>
    <w:rsid w:val="3C7D68CA"/>
    <w:rsid w:val="3CBC3660"/>
    <w:rsid w:val="3CDA245A"/>
    <w:rsid w:val="3D00517C"/>
    <w:rsid w:val="3D1E06B7"/>
    <w:rsid w:val="3DB72FC9"/>
    <w:rsid w:val="3E7611AD"/>
    <w:rsid w:val="3EDA0523"/>
    <w:rsid w:val="3F305FD0"/>
    <w:rsid w:val="3F78764C"/>
    <w:rsid w:val="3F8976A7"/>
    <w:rsid w:val="3F8E5FAB"/>
    <w:rsid w:val="3FB96525"/>
    <w:rsid w:val="3FD00C93"/>
    <w:rsid w:val="3FF66F6D"/>
    <w:rsid w:val="401775F8"/>
    <w:rsid w:val="406106C5"/>
    <w:rsid w:val="407A6407"/>
    <w:rsid w:val="407D3107"/>
    <w:rsid w:val="40A47108"/>
    <w:rsid w:val="40BC6B48"/>
    <w:rsid w:val="40CA3013"/>
    <w:rsid w:val="40CD7820"/>
    <w:rsid w:val="41062CDB"/>
    <w:rsid w:val="410F4ECA"/>
    <w:rsid w:val="41157BD2"/>
    <w:rsid w:val="41214BFD"/>
    <w:rsid w:val="41755AF9"/>
    <w:rsid w:val="419E1BE1"/>
    <w:rsid w:val="41D144D1"/>
    <w:rsid w:val="4200449D"/>
    <w:rsid w:val="42115E79"/>
    <w:rsid w:val="423A3BCC"/>
    <w:rsid w:val="424E57D2"/>
    <w:rsid w:val="425A1AF5"/>
    <w:rsid w:val="429408BA"/>
    <w:rsid w:val="42A15FF5"/>
    <w:rsid w:val="42B26C49"/>
    <w:rsid w:val="42BA3201"/>
    <w:rsid w:val="42D000A5"/>
    <w:rsid w:val="42D0338F"/>
    <w:rsid w:val="42ED78AA"/>
    <w:rsid w:val="4300244D"/>
    <w:rsid w:val="43100A85"/>
    <w:rsid w:val="43353D6B"/>
    <w:rsid w:val="433A6FE6"/>
    <w:rsid w:val="43480868"/>
    <w:rsid w:val="4350713C"/>
    <w:rsid w:val="43553FA0"/>
    <w:rsid w:val="436653E0"/>
    <w:rsid w:val="436E056C"/>
    <w:rsid w:val="4373773F"/>
    <w:rsid w:val="43A57C06"/>
    <w:rsid w:val="43AE261B"/>
    <w:rsid w:val="43BC2E35"/>
    <w:rsid w:val="43C4431A"/>
    <w:rsid w:val="43DA2B56"/>
    <w:rsid w:val="43E23D3A"/>
    <w:rsid w:val="440B7689"/>
    <w:rsid w:val="441D50F9"/>
    <w:rsid w:val="4489074A"/>
    <w:rsid w:val="44B951CC"/>
    <w:rsid w:val="44CD14E0"/>
    <w:rsid w:val="44F20B0B"/>
    <w:rsid w:val="44FD1107"/>
    <w:rsid w:val="45286A89"/>
    <w:rsid w:val="452E5F4C"/>
    <w:rsid w:val="45423DD8"/>
    <w:rsid w:val="45612018"/>
    <w:rsid w:val="458946E9"/>
    <w:rsid w:val="45A47C0E"/>
    <w:rsid w:val="45F3209F"/>
    <w:rsid w:val="46165839"/>
    <w:rsid w:val="46195BE7"/>
    <w:rsid w:val="465771CD"/>
    <w:rsid w:val="46577FD6"/>
    <w:rsid w:val="466B618C"/>
    <w:rsid w:val="46916704"/>
    <w:rsid w:val="46A937CA"/>
    <w:rsid w:val="46D955A7"/>
    <w:rsid w:val="47133957"/>
    <w:rsid w:val="471D56A3"/>
    <w:rsid w:val="47392CA0"/>
    <w:rsid w:val="474156AB"/>
    <w:rsid w:val="47572D70"/>
    <w:rsid w:val="47583443"/>
    <w:rsid w:val="47884751"/>
    <w:rsid w:val="47A07E0C"/>
    <w:rsid w:val="47B2035D"/>
    <w:rsid w:val="47B4536F"/>
    <w:rsid w:val="47D03ABA"/>
    <w:rsid w:val="47DD0DE5"/>
    <w:rsid w:val="47F006C5"/>
    <w:rsid w:val="47F01094"/>
    <w:rsid w:val="483A0154"/>
    <w:rsid w:val="486927EA"/>
    <w:rsid w:val="4870272E"/>
    <w:rsid w:val="487D18C0"/>
    <w:rsid w:val="48AD7FE2"/>
    <w:rsid w:val="48B17E2A"/>
    <w:rsid w:val="48BD2566"/>
    <w:rsid w:val="48C96F02"/>
    <w:rsid w:val="48CD574D"/>
    <w:rsid w:val="48F141FE"/>
    <w:rsid w:val="490F0B1A"/>
    <w:rsid w:val="495D72AE"/>
    <w:rsid w:val="49826FB4"/>
    <w:rsid w:val="498B0D8C"/>
    <w:rsid w:val="498D0A91"/>
    <w:rsid w:val="49B02FC2"/>
    <w:rsid w:val="49B51A72"/>
    <w:rsid w:val="49DC7715"/>
    <w:rsid w:val="4A023139"/>
    <w:rsid w:val="4A7B576F"/>
    <w:rsid w:val="4ACE42D5"/>
    <w:rsid w:val="4AE23073"/>
    <w:rsid w:val="4AF561A9"/>
    <w:rsid w:val="4B706FD5"/>
    <w:rsid w:val="4BB80B77"/>
    <w:rsid w:val="4BC81249"/>
    <w:rsid w:val="4BCE5679"/>
    <w:rsid w:val="4C2A5B73"/>
    <w:rsid w:val="4C4A0649"/>
    <w:rsid w:val="4C7E5ECA"/>
    <w:rsid w:val="4C876AA5"/>
    <w:rsid w:val="4CAE5032"/>
    <w:rsid w:val="4CCE79E7"/>
    <w:rsid w:val="4D0B6926"/>
    <w:rsid w:val="4D0E00FB"/>
    <w:rsid w:val="4D1557C3"/>
    <w:rsid w:val="4D176606"/>
    <w:rsid w:val="4D3A5B11"/>
    <w:rsid w:val="4D7032B3"/>
    <w:rsid w:val="4DB43B1F"/>
    <w:rsid w:val="4DCC28BC"/>
    <w:rsid w:val="4DEC4FB0"/>
    <w:rsid w:val="4E057ED4"/>
    <w:rsid w:val="4E075D8A"/>
    <w:rsid w:val="4E2D698F"/>
    <w:rsid w:val="4E8815B0"/>
    <w:rsid w:val="4EA15B5B"/>
    <w:rsid w:val="4EB4192F"/>
    <w:rsid w:val="4EB711FD"/>
    <w:rsid w:val="4EB750C2"/>
    <w:rsid w:val="4EB81371"/>
    <w:rsid w:val="4EBB3F9B"/>
    <w:rsid w:val="4EC00FAD"/>
    <w:rsid w:val="4F622668"/>
    <w:rsid w:val="4F8E2E90"/>
    <w:rsid w:val="4F9843DC"/>
    <w:rsid w:val="4FC62A8C"/>
    <w:rsid w:val="4FCA7AFF"/>
    <w:rsid w:val="4FE20F0D"/>
    <w:rsid w:val="4FE51552"/>
    <w:rsid w:val="4FFF7EBF"/>
    <w:rsid w:val="500876B4"/>
    <w:rsid w:val="50293A41"/>
    <w:rsid w:val="503C14CC"/>
    <w:rsid w:val="50504C4B"/>
    <w:rsid w:val="505B0029"/>
    <w:rsid w:val="508C1920"/>
    <w:rsid w:val="509B22D6"/>
    <w:rsid w:val="509C604E"/>
    <w:rsid w:val="509C6E7C"/>
    <w:rsid w:val="50DF67A8"/>
    <w:rsid w:val="51153463"/>
    <w:rsid w:val="512457EF"/>
    <w:rsid w:val="512E229F"/>
    <w:rsid w:val="51363FC9"/>
    <w:rsid w:val="51382EF2"/>
    <w:rsid w:val="514E4A5E"/>
    <w:rsid w:val="51612D0E"/>
    <w:rsid w:val="5162104E"/>
    <w:rsid w:val="51735001"/>
    <w:rsid w:val="517624AB"/>
    <w:rsid w:val="51844C69"/>
    <w:rsid w:val="51D00756"/>
    <w:rsid w:val="5205063A"/>
    <w:rsid w:val="520B348B"/>
    <w:rsid w:val="521072C2"/>
    <w:rsid w:val="521F2DEA"/>
    <w:rsid w:val="526151A2"/>
    <w:rsid w:val="52C41D96"/>
    <w:rsid w:val="52CF6BB0"/>
    <w:rsid w:val="52F75FF0"/>
    <w:rsid w:val="5325189C"/>
    <w:rsid w:val="53281E1B"/>
    <w:rsid w:val="533C7B78"/>
    <w:rsid w:val="53456529"/>
    <w:rsid w:val="537E5CF4"/>
    <w:rsid w:val="53A039CC"/>
    <w:rsid w:val="53A1505A"/>
    <w:rsid w:val="53B114DB"/>
    <w:rsid w:val="53D0547E"/>
    <w:rsid w:val="53FC02D4"/>
    <w:rsid w:val="54063E08"/>
    <w:rsid w:val="543437E8"/>
    <w:rsid w:val="54505C8A"/>
    <w:rsid w:val="548325CB"/>
    <w:rsid w:val="54941C56"/>
    <w:rsid w:val="54CB581D"/>
    <w:rsid w:val="54F73313"/>
    <w:rsid w:val="54F80955"/>
    <w:rsid w:val="550C3100"/>
    <w:rsid w:val="55195BAE"/>
    <w:rsid w:val="5527238A"/>
    <w:rsid w:val="555170A7"/>
    <w:rsid w:val="55673B07"/>
    <w:rsid w:val="5587536D"/>
    <w:rsid w:val="559B174B"/>
    <w:rsid w:val="559E03CC"/>
    <w:rsid w:val="559E60B2"/>
    <w:rsid w:val="559F444C"/>
    <w:rsid w:val="55CB5595"/>
    <w:rsid w:val="55CE0CF4"/>
    <w:rsid w:val="55D6790C"/>
    <w:rsid w:val="55F247CF"/>
    <w:rsid w:val="56251BC3"/>
    <w:rsid w:val="562D63B6"/>
    <w:rsid w:val="5669226E"/>
    <w:rsid w:val="569E30A4"/>
    <w:rsid w:val="56B22A9C"/>
    <w:rsid w:val="56F41648"/>
    <w:rsid w:val="57276214"/>
    <w:rsid w:val="573554AD"/>
    <w:rsid w:val="57381A26"/>
    <w:rsid w:val="57387FCA"/>
    <w:rsid w:val="57442D03"/>
    <w:rsid w:val="576C6B84"/>
    <w:rsid w:val="57A44166"/>
    <w:rsid w:val="57A5206E"/>
    <w:rsid w:val="57B72A76"/>
    <w:rsid w:val="57C3426C"/>
    <w:rsid w:val="57CE1F93"/>
    <w:rsid w:val="57F55AE4"/>
    <w:rsid w:val="585B234B"/>
    <w:rsid w:val="586438F5"/>
    <w:rsid w:val="587A3141"/>
    <w:rsid w:val="588743D1"/>
    <w:rsid w:val="5887701A"/>
    <w:rsid w:val="58BC5B1C"/>
    <w:rsid w:val="58C223CA"/>
    <w:rsid w:val="58C26F24"/>
    <w:rsid w:val="58C93B54"/>
    <w:rsid w:val="58DE0A9E"/>
    <w:rsid w:val="591D21F1"/>
    <w:rsid w:val="592B5B02"/>
    <w:rsid w:val="594D25DB"/>
    <w:rsid w:val="598F38D1"/>
    <w:rsid w:val="59C0439F"/>
    <w:rsid w:val="59C91CE7"/>
    <w:rsid w:val="59F3128B"/>
    <w:rsid w:val="59F502E5"/>
    <w:rsid w:val="5A2A3404"/>
    <w:rsid w:val="5A4A7340"/>
    <w:rsid w:val="5A564B11"/>
    <w:rsid w:val="5A947947"/>
    <w:rsid w:val="5AA34176"/>
    <w:rsid w:val="5AA568D8"/>
    <w:rsid w:val="5ABE2233"/>
    <w:rsid w:val="5AD156AD"/>
    <w:rsid w:val="5AEE066B"/>
    <w:rsid w:val="5B1A5345"/>
    <w:rsid w:val="5B1E5033"/>
    <w:rsid w:val="5B683D91"/>
    <w:rsid w:val="5B8027F4"/>
    <w:rsid w:val="5B8060D3"/>
    <w:rsid w:val="5B834092"/>
    <w:rsid w:val="5BA364E3"/>
    <w:rsid w:val="5BC153B9"/>
    <w:rsid w:val="5BDE7F73"/>
    <w:rsid w:val="5BDF5D95"/>
    <w:rsid w:val="5BFE7528"/>
    <w:rsid w:val="5C0D7460"/>
    <w:rsid w:val="5C3B671B"/>
    <w:rsid w:val="5C537F09"/>
    <w:rsid w:val="5C574B68"/>
    <w:rsid w:val="5C702331"/>
    <w:rsid w:val="5C980683"/>
    <w:rsid w:val="5CB749F7"/>
    <w:rsid w:val="5CD00DCE"/>
    <w:rsid w:val="5D1F7620"/>
    <w:rsid w:val="5D944335"/>
    <w:rsid w:val="5DE057CC"/>
    <w:rsid w:val="5E2467F1"/>
    <w:rsid w:val="5E4F5D8C"/>
    <w:rsid w:val="5E5277AF"/>
    <w:rsid w:val="5E5A3B45"/>
    <w:rsid w:val="5EA92593"/>
    <w:rsid w:val="5EAC3328"/>
    <w:rsid w:val="5EB014D6"/>
    <w:rsid w:val="5EB34C8F"/>
    <w:rsid w:val="5F1A2B43"/>
    <w:rsid w:val="5F1F0576"/>
    <w:rsid w:val="5F4B77EB"/>
    <w:rsid w:val="5F9E593F"/>
    <w:rsid w:val="5FB11210"/>
    <w:rsid w:val="5FB27D79"/>
    <w:rsid w:val="5FB667B6"/>
    <w:rsid w:val="5FB837BB"/>
    <w:rsid w:val="5FC46C3B"/>
    <w:rsid w:val="5FC86518"/>
    <w:rsid w:val="5FF97B31"/>
    <w:rsid w:val="5FFC5E7F"/>
    <w:rsid w:val="600F01B2"/>
    <w:rsid w:val="60327B64"/>
    <w:rsid w:val="6062696C"/>
    <w:rsid w:val="60897BC7"/>
    <w:rsid w:val="608C39E9"/>
    <w:rsid w:val="60CC405A"/>
    <w:rsid w:val="60F762DD"/>
    <w:rsid w:val="611D37B0"/>
    <w:rsid w:val="61671AD0"/>
    <w:rsid w:val="61B9440B"/>
    <w:rsid w:val="61E215D8"/>
    <w:rsid w:val="621B3775"/>
    <w:rsid w:val="621F5ABD"/>
    <w:rsid w:val="62220662"/>
    <w:rsid w:val="62364782"/>
    <w:rsid w:val="623E7365"/>
    <w:rsid w:val="62436329"/>
    <w:rsid w:val="625E13B5"/>
    <w:rsid w:val="629F59D6"/>
    <w:rsid w:val="62AF0801"/>
    <w:rsid w:val="62ED232C"/>
    <w:rsid w:val="63622617"/>
    <w:rsid w:val="63695EA1"/>
    <w:rsid w:val="637B3DDE"/>
    <w:rsid w:val="6394356A"/>
    <w:rsid w:val="63C61B2C"/>
    <w:rsid w:val="63D13234"/>
    <w:rsid w:val="63D40BE9"/>
    <w:rsid w:val="63D72F92"/>
    <w:rsid w:val="63E406E2"/>
    <w:rsid w:val="64102431"/>
    <w:rsid w:val="6421433B"/>
    <w:rsid w:val="647153D0"/>
    <w:rsid w:val="647B5883"/>
    <w:rsid w:val="649335D3"/>
    <w:rsid w:val="64A5243A"/>
    <w:rsid w:val="64CC1A6B"/>
    <w:rsid w:val="64F531DE"/>
    <w:rsid w:val="65141AEF"/>
    <w:rsid w:val="6530528B"/>
    <w:rsid w:val="65373578"/>
    <w:rsid w:val="65551AA5"/>
    <w:rsid w:val="65876E75"/>
    <w:rsid w:val="658B1F3A"/>
    <w:rsid w:val="65B31A18"/>
    <w:rsid w:val="65E25E59"/>
    <w:rsid w:val="66247C25"/>
    <w:rsid w:val="6672542F"/>
    <w:rsid w:val="66903420"/>
    <w:rsid w:val="66BC030D"/>
    <w:rsid w:val="66C8777A"/>
    <w:rsid w:val="671F124A"/>
    <w:rsid w:val="67495F2D"/>
    <w:rsid w:val="677A33C6"/>
    <w:rsid w:val="67EE0AE5"/>
    <w:rsid w:val="681E4308"/>
    <w:rsid w:val="681F6961"/>
    <w:rsid w:val="68204298"/>
    <w:rsid w:val="68236AE6"/>
    <w:rsid w:val="68272F3B"/>
    <w:rsid w:val="68610A2F"/>
    <w:rsid w:val="68805514"/>
    <w:rsid w:val="68827FD8"/>
    <w:rsid w:val="68CB0526"/>
    <w:rsid w:val="68FC0874"/>
    <w:rsid w:val="69316E2F"/>
    <w:rsid w:val="694E2071"/>
    <w:rsid w:val="69766163"/>
    <w:rsid w:val="697A3B33"/>
    <w:rsid w:val="69D44760"/>
    <w:rsid w:val="69D614B9"/>
    <w:rsid w:val="69DE1E3D"/>
    <w:rsid w:val="69EC54F9"/>
    <w:rsid w:val="69F41510"/>
    <w:rsid w:val="69FA7C16"/>
    <w:rsid w:val="6A520EC7"/>
    <w:rsid w:val="6A79091F"/>
    <w:rsid w:val="6A7C1DA5"/>
    <w:rsid w:val="6A7F7BFD"/>
    <w:rsid w:val="6A975464"/>
    <w:rsid w:val="6AC923B7"/>
    <w:rsid w:val="6AF87E20"/>
    <w:rsid w:val="6AFF0850"/>
    <w:rsid w:val="6B322639"/>
    <w:rsid w:val="6B3B1C73"/>
    <w:rsid w:val="6B7A3F4B"/>
    <w:rsid w:val="6B9B4E69"/>
    <w:rsid w:val="6BA3077B"/>
    <w:rsid w:val="6BAD748F"/>
    <w:rsid w:val="6BBB2524"/>
    <w:rsid w:val="6BC2189E"/>
    <w:rsid w:val="6BE83CEB"/>
    <w:rsid w:val="6C0E7507"/>
    <w:rsid w:val="6C636C38"/>
    <w:rsid w:val="6C805F2E"/>
    <w:rsid w:val="6C9E6F7E"/>
    <w:rsid w:val="6CE02CFC"/>
    <w:rsid w:val="6CED0FA8"/>
    <w:rsid w:val="6D10284F"/>
    <w:rsid w:val="6D98320E"/>
    <w:rsid w:val="6DB01C5D"/>
    <w:rsid w:val="6DB34098"/>
    <w:rsid w:val="6DB545B6"/>
    <w:rsid w:val="6DE02FB4"/>
    <w:rsid w:val="6E25722B"/>
    <w:rsid w:val="6E514CED"/>
    <w:rsid w:val="6E8322B7"/>
    <w:rsid w:val="6E85580E"/>
    <w:rsid w:val="6EA12F07"/>
    <w:rsid w:val="6EB44992"/>
    <w:rsid w:val="6EB563D5"/>
    <w:rsid w:val="6EC627BC"/>
    <w:rsid w:val="6ED92677"/>
    <w:rsid w:val="6EFE208D"/>
    <w:rsid w:val="6F1A48B6"/>
    <w:rsid w:val="6F1E3173"/>
    <w:rsid w:val="6F225983"/>
    <w:rsid w:val="6F343142"/>
    <w:rsid w:val="6F3E2352"/>
    <w:rsid w:val="6F517350"/>
    <w:rsid w:val="6FFC5590"/>
    <w:rsid w:val="70187047"/>
    <w:rsid w:val="702C0CB5"/>
    <w:rsid w:val="706D1DD0"/>
    <w:rsid w:val="707E4BD9"/>
    <w:rsid w:val="70811C0D"/>
    <w:rsid w:val="70856B87"/>
    <w:rsid w:val="708E3DDC"/>
    <w:rsid w:val="709B2013"/>
    <w:rsid w:val="70D3588E"/>
    <w:rsid w:val="70D527EE"/>
    <w:rsid w:val="7119270D"/>
    <w:rsid w:val="711B535F"/>
    <w:rsid w:val="712714D2"/>
    <w:rsid w:val="713339AD"/>
    <w:rsid w:val="71392C89"/>
    <w:rsid w:val="7141612A"/>
    <w:rsid w:val="715B5300"/>
    <w:rsid w:val="716562BC"/>
    <w:rsid w:val="719150BF"/>
    <w:rsid w:val="71D27F8A"/>
    <w:rsid w:val="71F47640"/>
    <w:rsid w:val="723C6047"/>
    <w:rsid w:val="72553024"/>
    <w:rsid w:val="7260272A"/>
    <w:rsid w:val="727A7B45"/>
    <w:rsid w:val="72850208"/>
    <w:rsid w:val="729208F3"/>
    <w:rsid w:val="729939CE"/>
    <w:rsid w:val="72E048B4"/>
    <w:rsid w:val="73122968"/>
    <w:rsid w:val="731F5D5E"/>
    <w:rsid w:val="732E34EB"/>
    <w:rsid w:val="73C51AD5"/>
    <w:rsid w:val="73C51B92"/>
    <w:rsid w:val="741E793C"/>
    <w:rsid w:val="7425712B"/>
    <w:rsid w:val="745E3944"/>
    <w:rsid w:val="747B468F"/>
    <w:rsid w:val="74853969"/>
    <w:rsid w:val="7490294A"/>
    <w:rsid w:val="74B62F71"/>
    <w:rsid w:val="74BB4445"/>
    <w:rsid w:val="74BD5EA9"/>
    <w:rsid w:val="74DB0DB6"/>
    <w:rsid w:val="74DD23F4"/>
    <w:rsid w:val="74DE2FD2"/>
    <w:rsid w:val="74F636CF"/>
    <w:rsid w:val="75120509"/>
    <w:rsid w:val="754461E9"/>
    <w:rsid w:val="75751E30"/>
    <w:rsid w:val="757F1DB6"/>
    <w:rsid w:val="75B9419A"/>
    <w:rsid w:val="75F272B5"/>
    <w:rsid w:val="7600639C"/>
    <w:rsid w:val="76213C2A"/>
    <w:rsid w:val="7635099D"/>
    <w:rsid w:val="76510DDE"/>
    <w:rsid w:val="76573696"/>
    <w:rsid w:val="767D19B8"/>
    <w:rsid w:val="76A3661C"/>
    <w:rsid w:val="76B01B31"/>
    <w:rsid w:val="76C73367"/>
    <w:rsid w:val="77762421"/>
    <w:rsid w:val="777F42A5"/>
    <w:rsid w:val="779C67B0"/>
    <w:rsid w:val="77B56B1F"/>
    <w:rsid w:val="7808174F"/>
    <w:rsid w:val="780F09F4"/>
    <w:rsid w:val="78252B45"/>
    <w:rsid w:val="78401430"/>
    <w:rsid w:val="7859644F"/>
    <w:rsid w:val="788C3B40"/>
    <w:rsid w:val="78A90480"/>
    <w:rsid w:val="790C1713"/>
    <w:rsid w:val="792425B9"/>
    <w:rsid w:val="795F7A95"/>
    <w:rsid w:val="79731A23"/>
    <w:rsid w:val="797415D3"/>
    <w:rsid w:val="79990A67"/>
    <w:rsid w:val="799C690A"/>
    <w:rsid w:val="79F04B91"/>
    <w:rsid w:val="7A364017"/>
    <w:rsid w:val="7A456BC1"/>
    <w:rsid w:val="7A756E44"/>
    <w:rsid w:val="7A8265E1"/>
    <w:rsid w:val="7B14665D"/>
    <w:rsid w:val="7B1F1E03"/>
    <w:rsid w:val="7B42766E"/>
    <w:rsid w:val="7B5F523F"/>
    <w:rsid w:val="7B686D42"/>
    <w:rsid w:val="7B841746"/>
    <w:rsid w:val="7B986240"/>
    <w:rsid w:val="7BA56DE4"/>
    <w:rsid w:val="7BDC67C1"/>
    <w:rsid w:val="7BDE0856"/>
    <w:rsid w:val="7BE14791"/>
    <w:rsid w:val="7BEF1A41"/>
    <w:rsid w:val="7BF9642E"/>
    <w:rsid w:val="7C342546"/>
    <w:rsid w:val="7C3930C6"/>
    <w:rsid w:val="7C694787"/>
    <w:rsid w:val="7C6C5AC7"/>
    <w:rsid w:val="7C727ADF"/>
    <w:rsid w:val="7C7F5507"/>
    <w:rsid w:val="7C822E92"/>
    <w:rsid w:val="7C8C376F"/>
    <w:rsid w:val="7C9D1B23"/>
    <w:rsid w:val="7CC6544B"/>
    <w:rsid w:val="7D0239FF"/>
    <w:rsid w:val="7D272678"/>
    <w:rsid w:val="7D2E13B8"/>
    <w:rsid w:val="7D5E40CD"/>
    <w:rsid w:val="7D7D196C"/>
    <w:rsid w:val="7D844C8D"/>
    <w:rsid w:val="7D873EB8"/>
    <w:rsid w:val="7D8C4BD1"/>
    <w:rsid w:val="7D9F66B2"/>
    <w:rsid w:val="7DB832AA"/>
    <w:rsid w:val="7DBC111A"/>
    <w:rsid w:val="7DCD56F2"/>
    <w:rsid w:val="7DD2430B"/>
    <w:rsid w:val="7DDA033E"/>
    <w:rsid w:val="7DFA5FB2"/>
    <w:rsid w:val="7E095C89"/>
    <w:rsid w:val="7E3A287F"/>
    <w:rsid w:val="7E441A00"/>
    <w:rsid w:val="7E4E1E86"/>
    <w:rsid w:val="7E952391"/>
    <w:rsid w:val="7EA1645A"/>
    <w:rsid w:val="7ED24865"/>
    <w:rsid w:val="7EEC6BA3"/>
    <w:rsid w:val="7F001CE7"/>
    <w:rsid w:val="7F132824"/>
    <w:rsid w:val="7F3371C1"/>
    <w:rsid w:val="7F834448"/>
    <w:rsid w:val="7F8A4B12"/>
    <w:rsid w:val="7FBF7E79"/>
    <w:rsid w:val="7FC468A4"/>
    <w:rsid w:val="7FC87A6E"/>
    <w:rsid w:val="7FD64829"/>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semiHidden="0" w:name="caption" w:locked="1"/>
    <w:lsdException w:qFormat="1"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59"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unhideWhenUsed/>
    <w:qFormat/>
    <w:locked/>
    <w:uiPriority w:val="0"/>
    <w:pPr>
      <w:keepNext/>
      <w:keepLines/>
      <w:outlineLvl w:val="1"/>
    </w:pPr>
    <w:rPr>
      <w:rFonts w:ascii="Arial" w:hAnsi="Arial"/>
      <w:b/>
      <w:bCs/>
      <w:sz w:val="28"/>
      <w:szCs w:val="32"/>
    </w:rPr>
  </w:style>
  <w:style w:type="paragraph" w:styleId="4">
    <w:name w:val="heading 3"/>
    <w:basedOn w:val="1"/>
    <w:next w:val="1"/>
    <w:link w:val="37"/>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qFormat/>
    <w:locked/>
    <w:uiPriority w:val="9"/>
    <w:pPr>
      <w:keepNext/>
      <w:keepLines/>
      <w:spacing w:before="280" w:beforeLines="0" w:after="290" w:afterLines="0" w:line="376" w:lineRule="auto"/>
      <w:outlineLvl w:val="3"/>
    </w:pPr>
    <w:rPr>
      <w:rFonts w:ascii="Cambria" w:hAnsi="Cambria"/>
      <w:b/>
      <w:bCs/>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locked/>
    <w:uiPriority w:val="99"/>
    <w:pPr>
      <w:ind w:firstLine="420" w:firstLineChars="200"/>
    </w:pPr>
  </w:style>
  <w:style w:type="paragraph" w:styleId="7">
    <w:name w:val="caption"/>
    <w:basedOn w:val="1"/>
    <w:next w:val="1"/>
    <w:unhideWhenUsed/>
    <w:qFormat/>
    <w:locked/>
    <w:uiPriority w:val="0"/>
    <w:rPr>
      <w:rFonts w:ascii="Calibri Light" w:hAnsi="Calibri Light" w:eastAsia="黑体" w:cs="Times New Roman"/>
      <w:sz w:val="20"/>
      <w:szCs w:val="20"/>
    </w:rPr>
  </w:style>
  <w:style w:type="paragraph" w:styleId="8">
    <w:name w:val="annotation text"/>
    <w:basedOn w:val="1"/>
    <w:link w:val="38"/>
    <w:semiHidden/>
    <w:qFormat/>
    <w:uiPriority w:val="0"/>
    <w:pPr>
      <w:jc w:val="left"/>
    </w:pPr>
    <w:rPr>
      <w:kern w:val="0"/>
      <w:sz w:val="24"/>
      <w:szCs w:val="20"/>
    </w:rPr>
  </w:style>
  <w:style w:type="paragraph" w:styleId="9">
    <w:name w:val="Body Text"/>
    <w:basedOn w:val="1"/>
    <w:next w:val="1"/>
    <w:link w:val="39"/>
    <w:qFormat/>
    <w:uiPriority w:val="0"/>
    <w:pPr>
      <w:widowControl/>
      <w:snapToGrid w:val="0"/>
      <w:spacing w:before="60" w:after="160" w:line="259" w:lineRule="auto"/>
      <w:ind w:right="113"/>
    </w:pPr>
    <w:rPr>
      <w:kern w:val="0"/>
      <w:sz w:val="18"/>
      <w:szCs w:val="20"/>
    </w:rPr>
  </w:style>
  <w:style w:type="paragraph" w:styleId="10">
    <w:name w:val="Body Text Indent"/>
    <w:basedOn w:val="1"/>
    <w:next w:val="11"/>
    <w:link w:val="40"/>
    <w:qFormat/>
    <w:uiPriority w:val="0"/>
    <w:pPr>
      <w:spacing w:after="120"/>
      <w:ind w:left="420" w:leftChars="200"/>
    </w:pPr>
    <w:rPr>
      <w:kern w:val="0"/>
      <w:sz w:val="24"/>
      <w:szCs w:val="20"/>
    </w:rPr>
  </w:style>
  <w:style w:type="paragraph" w:styleId="11">
    <w:name w:val="Body Text Indent 2"/>
    <w:basedOn w:val="1"/>
    <w:next w:val="1"/>
    <w:qFormat/>
    <w:locked/>
    <w:uiPriority w:val="0"/>
    <w:pPr>
      <w:snapToGrid w:val="0"/>
      <w:ind w:firstLine="471" w:firstLineChars="200"/>
    </w:pPr>
    <w:rPr>
      <w:rFonts w:ascii="宋体" w:hAnsi="宋体"/>
      <w:b/>
      <w:sz w:val="24"/>
    </w:rPr>
  </w:style>
  <w:style w:type="paragraph" w:styleId="12">
    <w:name w:val="Plain Text"/>
    <w:basedOn w:val="1"/>
    <w:qFormat/>
    <w:locked/>
    <w:uiPriority w:val="0"/>
    <w:rPr>
      <w:rFonts w:ascii="宋体" w:hAnsi="Courier New"/>
      <w:sz w:val="20"/>
      <w:szCs w:val="20"/>
    </w:rPr>
  </w:style>
  <w:style w:type="paragraph" w:styleId="13">
    <w:name w:val="List Bullet 5"/>
    <w:basedOn w:val="1"/>
    <w:qFormat/>
    <w:locked/>
    <w:uiPriority w:val="0"/>
    <w:pPr>
      <w:numPr>
        <w:ilvl w:val="0"/>
        <w:numId w:val="1"/>
      </w:numPr>
    </w:pPr>
  </w:style>
  <w:style w:type="paragraph" w:styleId="14">
    <w:name w:val="Date"/>
    <w:basedOn w:val="1"/>
    <w:next w:val="1"/>
    <w:link w:val="42"/>
    <w:qFormat/>
    <w:uiPriority w:val="0"/>
    <w:pPr>
      <w:ind w:left="100" w:leftChars="2500"/>
    </w:pPr>
    <w:rPr>
      <w:kern w:val="0"/>
      <w:sz w:val="24"/>
      <w:szCs w:val="20"/>
    </w:rPr>
  </w:style>
  <w:style w:type="paragraph" w:styleId="15">
    <w:name w:val="endnote text"/>
    <w:basedOn w:val="1"/>
    <w:unhideWhenUsed/>
    <w:qFormat/>
    <w:locked/>
    <w:uiPriority w:val="0"/>
    <w:pPr>
      <w:snapToGrid w:val="0"/>
      <w:jc w:val="left"/>
    </w:pPr>
    <w:rPr>
      <w:rFonts w:ascii="Calibri" w:hAnsi="Calibri"/>
      <w:sz w:val="24"/>
      <w:szCs w:val="22"/>
    </w:rPr>
  </w:style>
  <w:style w:type="paragraph" w:styleId="16">
    <w:name w:val="Balloon Text"/>
    <w:basedOn w:val="1"/>
    <w:link w:val="43"/>
    <w:semiHidden/>
    <w:qFormat/>
    <w:uiPriority w:val="0"/>
    <w:rPr>
      <w:kern w:val="0"/>
      <w:sz w:val="18"/>
      <w:szCs w:val="20"/>
    </w:rPr>
  </w:style>
  <w:style w:type="paragraph" w:styleId="17">
    <w:name w:val="footer"/>
    <w:basedOn w:val="1"/>
    <w:link w:val="44"/>
    <w:qFormat/>
    <w:uiPriority w:val="99"/>
    <w:pPr>
      <w:tabs>
        <w:tab w:val="center" w:pos="4153"/>
        <w:tab w:val="right" w:pos="8306"/>
      </w:tabs>
      <w:snapToGrid w:val="0"/>
      <w:jc w:val="left"/>
    </w:pPr>
    <w:rPr>
      <w:kern w:val="0"/>
      <w:sz w:val="18"/>
      <w:szCs w:val="20"/>
    </w:rPr>
  </w:style>
  <w:style w:type="paragraph" w:styleId="18">
    <w:name w:val="header"/>
    <w:basedOn w:val="1"/>
    <w:next w:val="19"/>
    <w:link w:val="41"/>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9">
    <w:name w:val="样式5"/>
    <w:basedOn w:val="6"/>
    <w:next w:val="15"/>
    <w:qFormat/>
    <w:uiPriority w:val="0"/>
    <w:pPr>
      <w:spacing w:before="120" w:beforeLines="0" w:after="120" w:afterLines="0" w:line="400" w:lineRule="exact"/>
      <w:ind w:firstLine="480"/>
    </w:pPr>
    <w:rPr>
      <w:rFonts w:ascii="Times New Roman" w:hAnsi="Times New Roman"/>
      <w:iCs/>
    </w:rPr>
  </w:style>
  <w:style w:type="paragraph" w:styleId="20">
    <w:name w:val="List"/>
    <w:basedOn w:val="1"/>
    <w:qFormat/>
    <w:locked/>
    <w:uiPriority w:val="0"/>
    <w:pPr>
      <w:widowControl w:val="0"/>
      <w:ind w:left="200" w:hanging="200" w:hangingChars="200"/>
      <w:jc w:val="both"/>
    </w:pPr>
    <w:rPr>
      <w:rFonts w:ascii="Times New Roman" w:hAnsi="Times New Roman" w:eastAsia="宋体" w:cs="Times New Roman"/>
      <w:kern w:val="2"/>
      <w:sz w:val="21"/>
      <w:szCs w:val="24"/>
      <w:lang w:val="en-US" w:eastAsia="zh-CN" w:bidi="ar-SA"/>
    </w:rPr>
  </w:style>
  <w:style w:type="paragraph" w:styleId="21">
    <w:name w:val="table of figures"/>
    <w:basedOn w:val="1"/>
    <w:next w:val="1"/>
    <w:unhideWhenUsed/>
    <w:qFormat/>
    <w:locked/>
    <w:uiPriority w:val="99"/>
  </w:style>
  <w:style w:type="paragraph" w:styleId="22">
    <w:name w:val="Normal (Web)"/>
    <w:basedOn w:val="1"/>
    <w:link w:val="45"/>
    <w:qFormat/>
    <w:uiPriority w:val="0"/>
    <w:pPr>
      <w:widowControl/>
      <w:spacing w:before="100" w:beforeAutospacing="1" w:after="100" w:afterAutospacing="1"/>
      <w:jc w:val="left"/>
    </w:pPr>
    <w:rPr>
      <w:rFonts w:ascii="宋体" w:hAnsi="宋体"/>
      <w:kern w:val="0"/>
      <w:sz w:val="24"/>
      <w:szCs w:val="20"/>
    </w:rPr>
  </w:style>
  <w:style w:type="paragraph" w:styleId="23">
    <w:name w:val="Title"/>
    <w:basedOn w:val="1"/>
    <w:next w:val="1"/>
    <w:link w:val="46"/>
    <w:qFormat/>
    <w:locked/>
    <w:uiPriority w:val="0"/>
    <w:pPr>
      <w:spacing w:before="240" w:after="60"/>
      <w:jc w:val="center"/>
      <w:outlineLvl w:val="0"/>
    </w:pPr>
    <w:rPr>
      <w:rFonts w:ascii="Calibri Light" w:hAnsi="Calibri Light" w:cs="Times New Roman"/>
      <w:b/>
      <w:bCs/>
      <w:sz w:val="32"/>
      <w:szCs w:val="32"/>
    </w:rPr>
  </w:style>
  <w:style w:type="paragraph" w:styleId="24">
    <w:name w:val="annotation subject"/>
    <w:basedOn w:val="8"/>
    <w:next w:val="1"/>
    <w:link w:val="47"/>
    <w:semiHidden/>
    <w:qFormat/>
    <w:uiPriority w:val="0"/>
    <w:rPr>
      <w:b/>
      <w:sz w:val="24"/>
      <w:szCs w:val="20"/>
    </w:rPr>
  </w:style>
  <w:style w:type="paragraph" w:styleId="25">
    <w:name w:val="Body Text First Indent"/>
    <w:basedOn w:val="9"/>
    <w:next w:val="1"/>
    <w:link w:val="48"/>
    <w:qFormat/>
    <w:locked/>
    <w:uiPriority w:val="0"/>
    <w:pPr>
      <w:widowControl w:val="0"/>
      <w:snapToGrid/>
      <w:spacing w:before="0" w:after="120" w:line="240" w:lineRule="auto"/>
      <w:ind w:right="0" w:firstLine="420" w:firstLineChars="100"/>
    </w:pPr>
    <w:rPr>
      <w:kern w:val="2"/>
      <w:sz w:val="21"/>
      <w:szCs w:val="24"/>
    </w:rPr>
  </w:style>
  <w:style w:type="paragraph" w:styleId="26">
    <w:name w:val="Body Text First Indent 2"/>
    <w:basedOn w:val="10"/>
    <w:next w:val="1"/>
    <w:link w:val="49"/>
    <w:qFormat/>
    <w:locked/>
    <w:uiPriority w:val="0"/>
    <w:pPr>
      <w:ind w:firstLine="420" w:firstLineChars="200"/>
    </w:pPr>
    <w:rPr>
      <w:kern w:val="2"/>
      <w:sz w:val="21"/>
      <w:szCs w:val="24"/>
    </w:rPr>
  </w:style>
  <w:style w:type="table" w:styleId="28">
    <w:name w:val="Table Grid"/>
    <w:basedOn w:val="27"/>
    <w:qFormat/>
    <w:uiPriority w:val="59"/>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0"/>
    <w:rPr>
      <w:b/>
      <w:bCs/>
    </w:rPr>
  </w:style>
  <w:style w:type="character" w:styleId="31">
    <w:name w:val="page number"/>
    <w:basedOn w:val="29"/>
    <w:qFormat/>
    <w:locked/>
    <w:uiPriority w:val="0"/>
  </w:style>
  <w:style w:type="character" w:styleId="32">
    <w:name w:val="Emphasis"/>
    <w:basedOn w:val="29"/>
    <w:qFormat/>
    <w:locked/>
    <w:uiPriority w:val="0"/>
    <w:rPr>
      <w:i/>
    </w:rPr>
  </w:style>
  <w:style w:type="character" w:styleId="33">
    <w:name w:val="Hyperlink"/>
    <w:qFormat/>
    <w:locked/>
    <w:uiPriority w:val="0"/>
    <w:rPr>
      <w:rFonts w:cs="Times New Roman"/>
      <w:color w:val="001D4C"/>
      <w:u w:val="none"/>
    </w:rPr>
  </w:style>
  <w:style w:type="character" w:styleId="34">
    <w:name w:val="annotation reference"/>
    <w:basedOn w:val="29"/>
    <w:qFormat/>
    <w:uiPriority w:val="0"/>
    <w:rPr>
      <w:sz w:val="21"/>
    </w:rPr>
  </w:style>
  <w:style w:type="paragraph" w:customStyle="1" w:styleId="35">
    <w:name w:val="表格"/>
    <w:basedOn w:val="20"/>
    <w:next w:val="1"/>
    <w:link w:val="53"/>
    <w:qFormat/>
    <w:uiPriority w:val="0"/>
    <w:pPr>
      <w:adjustRightInd w:val="0"/>
      <w:snapToGrid w:val="0"/>
      <w:spacing w:beforeLines="10" w:afterLines="10" w:line="259" w:lineRule="auto"/>
      <w:jc w:val="center"/>
    </w:pPr>
    <w:rPr>
      <w:rFonts w:ascii="宋体"/>
      <w:kern w:val="0"/>
      <w:szCs w:val="20"/>
    </w:rPr>
  </w:style>
  <w:style w:type="paragraph" w:customStyle="1" w:styleId="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7">
    <w:name w:val="标题 3 Char"/>
    <w:link w:val="4"/>
    <w:semiHidden/>
    <w:qFormat/>
    <w:uiPriority w:val="0"/>
    <w:rPr>
      <w:b/>
      <w:bCs/>
      <w:kern w:val="2"/>
      <w:sz w:val="32"/>
      <w:szCs w:val="32"/>
    </w:rPr>
  </w:style>
  <w:style w:type="character" w:customStyle="1" w:styleId="38">
    <w:name w:val="批注文字 Char"/>
    <w:link w:val="8"/>
    <w:qFormat/>
    <w:locked/>
    <w:uiPriority w:val="0"/>
    <w:rPr>
      <w:rFonts w:ascii="Times New Roman" w:hAnsi="Times New Roman" w:eastAsia="宋体"/>
      <w:sz w:val="24"/>
    </w:rPr>
  </w:style>
  <w:style w:type="character" w:customStyle="1" w:styleId="39">
    <w:name w:val="正文文本 Char"/>
    <w:link w:val="9"/>
    <w:qFormat/>
    <w:locked/>
    <w:uiPriority w:val="0"/>
    <w:rPr>
      <w:sz w:val="18"/>
    </w:rPr>
  </w:style>
  <w:style w:type="character" w:customStyle="1" w:styleId="40">
    <w:name w:val="正文文本缩进 Char"/>
    <w:link w:val="10"/>
    <w:qFormat/>
    <w:locked/>
    <w:uiPriority w:val="0"/>
    <w:rPr>
      <w:rFonts w:ascii="Times New Roman" w:hAnsi="Times New Roman" w:eastAsia="宋体"/>
      <w:sz w:val="24"/>
    </w:rPr>
  </w:style>
  <w:style w:type="character" w:customStyle="1" w:styleId="41">
    <w:name w:val="页眉 Char"/>
    <w:link w:val="18"/>
    <w:qFormat/>
    <w:locked/>
    <w:uiPriority w:val="0"/>
    <w:rPr>
      <w:sz w:val="18"/>
    </w:rPr>
  </w:style>
  <w:style w:type="character" w:customStyle="1" w:styleId="42">
    <w:name w:val="日期 Char"/>
    <w:link w:val="14"/>
    <w:qFormat/>
    <w:locked/>
    <w:uiPriority w:val="0"/>
    <w:rPr>
      <w:rFonts w:ascii="Times New Roman" w:hAnsi="Times New Roman" w:eastAsia="宋体"/>
      <w:sz w:val="24"/>
    </w:rPr>
  </w:style>
  <w:style w:type="character" w:customStyle="1" w:styleId="43">
    <w:name w:val="批注框文本 Char"/>
    <w:link w:val="16"/>
    <w:semiHidden/>
    <w:qFormat/>
    <w:locked/>
    <w:uiPriority w:val="0"/>
    <w:rPr>
      <w:rFonts w:ascii="Times New Roman" w:hAnsi="Times New Roman" w:eastAsia="宋体"/>
      <w:sz w:val="18"/>
    </w:rPr>
  </w:style>
  <w:style w:type="character" w:customStyle="1" w:styleId="44">
    <w:name w:val="页脚 Char"/>
    <w:link w:val="17"/>
    <w:qFormat/>
    <w:locked/>
    <w:uiPriority w:val="99"/>
    <w:rPr>
      <w:sz w:val="18"/>
    </w:rPr>
  </w:style>
  <w:style w:type="character" w:customStyle="1" w:styleId="45">
    <w:name w:val="普通(网站) Char"/>
    <w:link w:val="22"/>
    <w:qFormat/>
    <w:locked/>
    <w:uiPriority w:val="0"/>
    <w:rPr>
      <w:rFonts w:ascii="宋体" w:hAnsi="宋体" w:eastAsia="宋体"/>
      <w:sz w:val="24"/>
    </w:rPr>
  </w:style>
  <w:style w:type="character" w:customStyle="1" w:styleId="46">
    <w:name w:val="标题 Char"/>
    <w:link w:val="23"/>
    <w:qFormat/>
    <w:uiPriority w:val="0"/>
    <w:rPr>
      <w:rFonts w:ascii="Calibri Light" w:hAnsi="Calibri Light" w:cs="Times New Roman"/>
      <w:b/>
      <w:bCs/>
      <w:kern w:val="2"/>
      <w:sz w:val="32"/>
      <w:szCs w:val="32"/>
    </w:rPr>
  </w:style>
  <w:style w:type="character" w:customStyle="1" w:styleId="47">
    <w:name w:val="批注主题 Char"/>
    <w:link w:val="24"/>
    <w:semiHidden/>
    <w:qFormat/>
    <w:locked/>
    <w:uiPriority w:val="0"/>
    <w:rPr>
      <w:rFonts w:ascii="Times New Roman" w:hAnsi="Times New Roman" w:eastAsia="宋体"/>
      <w:b/>
      <w:kern w:val="2"/>
      <w:sz w:val="24"/>
    </w:rPr>
  </w:style>
  <w:style w:type="character" w:customStyle="1" w:styleId="48">
    <w:name w:val="正文首行缩进 Char"/>
    <w:link w:val="25"/>
    <w:qFormat/>
    <w:uiPriority w:val="0"/>
    <w:rPr>
      <w:kern w:val="2"/>
      <w:sz w:val="21"/>
      <w:szCs w:val="24"/>
    </w:rPr>
  </w:style>
  <w:style w:type="character" w:customStyle="1" w:styleId="49">
    <w:name w:val="正文首行缩进 2 Char"/>
    <w:link w:val="26"/>
    <w:qFormat/>
    <w:uiPriority w:val="0"/>
    <w:rPr>
      <w:rFonts w:ascii="Times New Roman" w:hAnsi="Times New Roman" w:eastAsia="宋体"/>
      <w:kern w:val="2"/>
      <w:sz w:val="21"/>
      <w:szCs w:val="24"/>
    </w:rPr>
  </w:style>
  <w:style w:type="character" w:customStyle="1" w:styleId="50">
    <w:name w:val="表格 Char Char"/>
    <w:qFormat/>
    <w:uiPriority w:val="0"/>
    <w:rPr>
      <w:rFonts w:ascii="Times New Roman" w:hAnsi="Times New Roman" w:eastAsia="宋体"/>
      <w:kern w:val="2"/>
      <w:sz w:val="21"/>
      <w:szCs w:val="24"/>
    </w:rPr>
  </w:style>
  <w:style w:type="character" w:customStyle="1" w:styleId="51">
    <w:name w:val="ghj正文 Char"/>
    <w:link w:val="52"/>
    <w:qFormat/>
    <w:uiPriority w:val="0"/>
    <w:rPr>
      <w:sz w:val="21"/>
      <w:szCs w:val="28"/>
    </w:rPr>
  </w:style>
  <w:style w:type="paragraph" w:customStyle="1" w:styleId="52">
    <w:name w:val="ghj正文"/>
    <w:basedOn w:val="1"/>
    <w:link w:val="51"/>
    <w:qFormat/>
    <w:uiPriority w:val="0"/>
    <w:pPr>
      <w:widowControl/>
      <w:adjustRightInd w:val="0"/>
      <w:snapToGrid w:val="0"/>
      <w:spacing w:line="360" w:lineRule="auto"/>
      <w:ind w:firstLine="480" w:firstLineChars="200"/>
      <w:jc w:val="left"/>
    </w:pPr>
    <w:rPr>
      <w:kern w:val="0"/>
      <w:szCs w:val="28"/>
    </w:rPr>
  </w:style>
  <w:style w:type="character" w:customStyle="1" w:styleId="53">
    <w:name w:val="表格 Char"/>
    <w:link w:val="35"/>
    <w:qFormat/>
    <w:locked/>
    <w:uiPriority w:val="0"/>
    <w:rPr>
      <w:rFonts w:ascii="宋体"/>
      <w:sz w:val="21"/>
    </w:rPr>
  </w:style>
  <w:style w:type="character" w:customStyle="1" w:styleId="54">
    <w:name w:val="日期 字符"/>
    <w:semiHidden/>
    <w:qFormat/>
    <w:uiPriority w:val="0"/>
    <w:rPr>
      <w:rFonts w:ascii="Times New Roman" w:hAnsi="Times New Roman" w:eastAsia="宋体"/>
      <w:sz w:val="24"/>
    </w:rPr>
  </w:style>
  <w:style w:type="character" w:customStyle="1" w:styleId="55">
    <w:name w:val="ghj标题1 Char"/>
    <w:link w:val="56"/>
    <w:qFormat/>
    <w:uiPriority w:val="0"/>
    <w:rPr>
      <w:b/>
      <w:sz w:val="21"/>
      <w:szCs w:val="32"/>
    </w:rPr>
  </w:style>
  <w:style w:type="paragraph" w:customStyle="1" w:styleId="56">
    <w:name w:val="ghj标题1"/>
    <w:basedOn w:val="1"/>
    <w:link w:val="55"/>
    <w:qFormat/>
    <w:uiPriority w:val="0"/>
    <w:pPr>
      <w:pageBreakBefore/>
      <w:widowControl/>
      <w:numPr>
        <w:ilvl w:val="0"/>
        <w:numId w:val="2"/>
      </w:numPr>
      <w:adjustRightInd w:val="0"/>
      <w:snapToGrid w:val="0"/>
      <w:spacing w:line="360" w:lineRule="auto"/>
      <w:ind w:left="0" w:firstLine="0"/>
      <w:jc w:val="left"/>
      <w:outlineLvl w:val="0"/>
    </w:pPr>
    <w:rPr>
      <w:b/>
      <w:kern w:val="0"/>
      <w:szCs w:val="32"/>
    </w:rPr>
  </w:style>
  <w:style w:type="character" w:customStyle="1" w:styleId="57">
    <w:name w:val="正文文本 字符1"/>
    <w:semiHidden/>
    <w:qFormat/>
    <w:uiPriority w:val="0"/>
    <w:rPr>
      <w:rFonts w:ascii="Times New Roman" w:hAnsi="Times New Roman" w:eastAsia="宋体"/>
      <w:sz w:val="24"/>
    </w:rPr>
  </w:style>
  <w:style w:type="character" w:customStyle="1" w:styleId="58">
    <w:name w:val="批注文字 字符1"/>
    <w:semiHidden/>
    <w:qFormat/>
    <w:uiPriority w:val="0"/>
    <w:rPr>
      <w:rFonts w:ascii="Times New Roman" w:hAnsi="Times New Roman" w:eastAsia="宋体"/>
      <w:sz w:val="24"/>
    </w:rPr>
  </w:style>
  <w:style w:type="character" w:customStyle="1" w:styleId="59">
    <w:name w:val="正文缩进 Char"/>
    <w:link w:val="60"/>
    <w:qFormat/>
    <w:uiPriority w:val="0"/>
    <w:rPr>
      <w:kern w:val="2"/>
      <w:sz w:val="24"/>
    </w:rPr>
  </w:style>
  <w:style w:type="paragraph" w:customStyle="1" w:styleId="60">
    <w:name w:val="正文缩进1"/>
    <w:basedOn w:val="1"/>
    <w:link w:val="59"/>
    <w:qFormat/>
    <w:uiPriority w:val="0"/>
    <w:pPr>
      <w:spacing w:before="120" w:line="500" w:lineRule="exact"/>
      <w:ind w:firstLine="420"/>
    </w:pPr>
    <w:rPr>
      <w:sz w:val="24"/>
      <w:szCs w:val="20"/>
    </w:rPr>
  </w:style>
  <w:style w:type="character" w:customStyle="1" w:styleId="61">
    <w:name w:val="页脚 字符"/>
    <w:basedOn w:val="29"/>
    <w:qFormat/>
    <w:uiPriority w:val="99"/>
  </w:style>
  <w:style w:type="paragraph" w:customStyle="1" w:styleId="6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3">
    <w:name w:val="正文_10"/>
    <w:qFormat/>
    <w:uiPriority w:val="0"/>
    <w:pPr>
      <w:widowControl w:val="0"/>
      <w:jc w:val="both"/>
    </w:pPr>
    <w:rPr>
      <w:rFonts w:ascii="Calibri" w:hAnsi="Calibri" w:eastAsia="宋体" w:cs="Times New Roman"/>
      <w:kern w:val="2"/>
      <w:sz w:val="21"/>
      <w:szCs w:val="22"/>
      <w:lang w:val="en-US" w:eastAsia="zh-CN" w:bidi="ar-SA"/>
    </w:rPr>
  </w:style>
  <w:style w:type="paragraph" w:styleId="6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65">
    <w:name w:val="表头"/>
    <w:basedOn w:val="25"/>
    <w:qFormat/>
    <w:uiPriority w:val="0"/>
    <w:pPr>
      <w:overflowPunct w:val="0"/>
      <w:autoSpaceDE w:val="0"/>
      <w:autoSpaceDN w:val="0"/>
      <w:adjustRightInd w:val="0"/>
      <w:spacing w:before="60" w:beforeLines="0" w:beforeAutospacing="0" w:after="60" w:afterLines="0" w:afterAutospacing="0" w:line="360" w:lineRule="auto"/>
      <w:ind w:firstLine="539" w:firstLineChars="0"/>
      <w:jc w:val="center"/>
      <w:textAlignment w:val="baseline"/>
    </w:pPr>
    <w:rPr>
      <w:rFonts w:eastAsia="黑体"/>
      <w:kern w:val="0"/>
      <w:sz w:val="28"/>
    </w:rPr>
  </w:style>
  <w:style w:type="paragraph" w:customStyle="1" w:styleId="66">
    <w:name w:val="正文首行缩进1"/>
    <w:basedOn w:val="1"/>
    <w:qFormat/>
    <w:uiPriority w:val="0"/>
    <w:pPr>
      <w:adjustRightInd w:val="0"/>
      <w:snapToGrid w:val="0"/>
      <w:spacing w:line="360" w:lineRule="auto"/>
      <w:ind w:firstLine="482"/>
      <w:jc w:val="left"/>
    </w:pPr>
    <w:rPr>
      <w:rFonts w:ascii="Calibri" w:hAnsi="Calibri"/>
      <w:snapToGrid w:val="0"/>
      <w:kern w:val="0"/>
      <w:sz w:val="24"/>
    </w:rPr>
  </w:style>
  <w:style w:type="paragraph" w:customStyle="1" w:styleId="6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68">
    <w:name w:val="List Paragraph"/>
    <w:basedOn w:val="1"/>
    <w:qFormat/>
    <w:uiPriority w:val="0"/>
    <w:pPr>
      <w:ind w:firstLine="420" w:firstLineChars="200"/>
    </w:pPr>
    <w:rPr>
      <w:rFonts w:ascii="Times New Roman" w:hAnsi="Times New Roman" w:eastAsia="宋体" w:cs="Times New Roman"/>
    </w:rPr>
  </w:style>
  <w:style w:type="paragraph" w:customStyle="1" w:styleId="69">
    <w:name w:val="Char Char1 Char Char Char Char Char Char Char Char Char Char Char Char Char Char Char Char Char Char Char Char1 Char"/>
    <w:basedOn w:val="26"/>
    <w:next w:val="1"/>
    <w:qFormat/>
    <w:uiPriority w:val="0"/>
    <w:pPr>
      <w:spacing w:line="360" w:lineRule="auto"/>
      <w:ind w:firstLine="200" w:firstLineChars="200"/>
    </w:pPr>
    <w:rPr>
      <w:rFonts w:ascii="宋体" w:hAnsi="宋体"/>
      <w:sz w:val="24"/>
      <w:szCs w:val="24"/>
    </w:rPr>
  </w:style>
  <w:style w:type="paragraph" w:customStyle="1" w:styleId="70">
    <w:name w:val="ghj标题2"/>
    <w:basedOn w:val="52"/>
    <w:qFormat/>
    <w:uiPriority w:val="0"/>
    <w:pPr>
      <w:numPr>
        <w:ilvl w:val="0"/>
        <w:numId w:val="3"/>
      </w:numPr>
      <w:ind w:left="200" w:hanging="200" w:hangingChars="200"/>
    </w:pPr>
    <w:rPr>
      <w:b/>
    </w:rPr>
  </w:style>
  <w:style w:type="paragraph" w:customStyle="1" w:styleId="71">
    <w:name w:val="ghj表格"/>
    <w:qFormat/>
    <w:uiPriority w:val="0"/>
    <w:pPr>
      <w:jc w:val="center"/>
    </w:pPr>
    <w:rPr>
      <w:rFonts w:ascii="Calibri" w:hAnsi="Calibri" w:eastAsia="宋体" w:cs="Times New Roman"/>
      <w:kern w:val="2"/>
      <w:sz w:val="21"/>
      <w:szCs w:val="21"/>
      <w:lang w:val="en-US" w:eastAsia="zh-CN" w:bidi="ar-SA"/>
    </w:rPr>
  </w:style>
  <w:style w:type="paragraph" w:customStyle="1" w:styleId="72">
    <w:name w:val="表"/>
    <w:basedOn w:val="23"/>
    <w:qFormat/>
    <w:uiPriority w:val="0"/>
    <w:pPr>
      <w:snapToGrid w:val="0"/>
      <w:spacing w:before="0" w:after="0"/>
    </w:pPr>
    <w:rPr>
      <w:rFonts w:ascii="Cambria" w:hAnsi="Cambria" w:cs="Times New Roman"/>
      <w:spacing w:val="2"/>
    </w:rPr>
  </w:style>
  <w:style w:type="paragraph" w:customStyle="1" w:styleId="73">
    <w:name w:val="1正文"/>
    <w:basedOn w:val="1"/>
    <w:qFormat/>
    <w:uiPriority w:val="0"/>
    <w:pPr>
      <w:widowControl/>
      <w:spacing w:line="360" w:lineRule="auto"/>
      <w:ind w:firstLine="200" w:firstLineChars="200"/>
    </w:pPr>
    <w:rPr>
      <w:rFonts w:ascii="Calibri" w:hAnsi="Calibri"/>
      <w:kern w:val="0"/>
      <w:sz w:val="24"/>
      <w:lang w:val="en-GB"/>
    </w:rPr>
  </w:style>
  <w:style w:type="paragraph" w:customStyle="1" w:styleId="74">
    <w:name w:val="ghj表头"/>
    <w:basedOn w:val="1"/>
    <w:qFormat/>
    <w:uiPriority w:val="0"/>
    <w:pPr>
      <w:adjustRightInd w:val="0"/>
      <w:snapToGrid w:val="0"/>
      <w:jc w:val="center"/>
    </w:pPr>
    <w:rPr>
      <w:b/>
      <w:szCs w:val="21"/>
    </w:rPr>
  </w:style>
  <w:style w:type="paragraph" w:customStyle="1" w:styleId="75">
    <w:name w:val="我正文"/>
    <w:basedOn w:val="1"/>
    <w:qFormat/>
    <w:uiPriority w:val="0"/>
    <w:pPr>
      <w:spacing w:line="360" w:lineRule="auto"/>
      <w:ind w:firstLine="480" w:firstLineChars="200"/>
    </w:pPr>
    <w:rPr>
      <w:sz w:val="24"/>
      <w:szCs w:val="20"/>
    </w:rPr>
  </w:style>
  <w:style w:type="paragraph" w:customStyle="1" w:styleId="76">
    <w:name w:val="全文正文"/>
    <w:basedOn w:val="1"/>
    <w:qFormat/>
    <w:uiPriority w:val="0"/>
    <w:pPr>
      <w:spacing w:line="360" w:lineRule="auto"/>
      <w:ind w:firstLine="480" w:firstLineChars="200"/>
    </w:pPr>
    <w:rPr>
      <w:sz w:val="24"/>
    </w:rPr>
  </w:style>
  <w:style w:type="paragraph" w:customStyle="1" w:styleId="77">
    <w:name w:val="6-表头"/>
    <w:basedOn w:val="1"/>
    <w:qFormat/>
    <w:uiPriority w:val="99"/>
    <w:pPr>
      <w:autoSpaceDE w:val="0"/>
      <w:autoSpaceDN w:val="0"/>
      <w:jc w:val="center"/>
    </w:pPr>
    <w:rPr>
      <w:rFonts w:ascii="Cambria Math" w:hAnsi="Cambria Math"/>
      <w:b/>
      <w:bCs/>
      <w:color w:val="0000FF"/>
      <w:sz w:val="24"/>
      <w:szCs w:val="21"/>
    </w:rPr>
  </w:style>
  <w:style w:type="table" w:customStyle="1" w:styleId="78">
    <w:name w:val="双线"/>
    <w:basedOn w:val="27"/>
    <w:qFormat/>
    <w:uiPriority w:val="99"/>
    <w:pPr>
      <w:jc w:val="center"/>
    </w:pPr>
    <w:rPr>
      <w:rFonts w:ascii="Calibri" w:hAnsi="Calibri" w:eastAsia="宋体" w:cs="Times New Roman"/>
    </w:rPr>
    <w:tblPr>
      <w:jc w:val="center"/>
      <w:tblBorders>
        <w:top w:val="double" w:color="auto" w:sz="4" w:space="0"/>
        <w:bottom w:val="double" w:color="auto" w:sz="4" w:space="0"/>
        <w:insideH w:val="single" w:color="auto" w:sz="6" w:space="0"/>
        <w:insideV w:val="single" w:color="auto" w:sz="6" w:space="0"/>
      </w:tblBorders>
      <w:tblCellMar>
        <w:left w:w="0" w:type="dxa"/>
        <w:right w:w="0" w:type="dxa"/>
      </w:tblCellMar>
    </w:tblPr>
    <w:trPr>
      <w:jc w:val="center"/>
    </w:trPr>
    <w:tcPr>
      <w:vAlign w:val="center"/>
    </w:tcPr>
  </w:style>
  <w:style w:type="table" w:customStyle="1" w:styleId="79">
    <w:name w:val="双线1"/>
    <w:basedOn w:val="27"/>
    <w:qFormat/>
    <w:uiPriority w:val="99"/>
    <w:pPr>
      <w:jc w:val="center"/>
    </w:pPr>
    <w:rPr>
      <w:rFonts w:ascii="Calibri" w:hAnsi="Calibri" w:eastAsia="宋体" w:cs="Times New Roman"/>
    </w:rPr>
    <w:tblPr>
      <w:jc w:val="center"/>
      <w:tblBorders>
        <w:top w:val="double" w:color="auto" w:sz="4" w:space="0"/>
        <w:bottom w:val="double" w:color="auto" w:sz="4" w:space="0"/>
        <w:insideH w:val="single" w:color="auto" w:sz="6" w:space="0"/>
        <w:insideV w:val="single" w:color="auto" w:sz="6" w:space="0"/>
      </w:tblBorders>
      <w:tblCellMar>
        <w:left w:w="0" w:type="dxa"/>
        <w:right w:w="0" w:type="dxa"/>
      </w:tblCellMar>
    </w:tblPr>
    <w:trPr>
      <w:jc w:val="center"/>
    </w:trPr>
    <w:tcPr>
      <w:vAlign w:val="center"/>
    </w:tcPr>
  </w:style>
  <w:style w:type="paragraph" w:customStyle="1" w:styleId="80">
    <w:name w:val="无间隔表格内"/>
    <w:basedOn w:val="1"/>
    <w:qFormat/>
    <w:uiPriority w:val="0"/>
    <w:pPr>
      <w:snapToGrid w:val="0"/>
      <w:jc w:val="center"/>
    </w:pPr>
  </w:style>
  <w:style w:type="paragraph" w:customStyle="1" w:styleId="81">
    <w:name w:val="样式1"/>
    <w:basedOn w:val="1"/>
    <w:next w:val="24"/>
    <w:qFormat/>
    <w:uiPriority w:val="0"/>
    <w:pPr>
      <w:ind w:firstLine="462" w:firstLineChars="200"/>
    </w:pPr>
    <w:rPr>
      <w:rFonts w:ascii="宋体" w:hAnsi="宋体"/>
      <w:color w:val="000000"/>
      <w:kern w:val="0"/>
    </w:rPr>
  </w:style>
  <w:style w:type="paragraph" w:customStyle="1" w:styleId="82">
    <w:name w:val="样式3"/>
    <w:basedOn w:val="1"/>
    <w:qFormat/>
    <w:uiPriority w:val="0"/>
    <w:pPr>
      <w:snapToGrid w:val="0"/>
      <w:ind w:firstLine="539"/>
      <w:jc w:val="center"/>
    </w:pPr>
    <w:rPr>
      <w:rFonts w:ascii="黑体" w:hAnsi="宋体" w:eastAsia="黑体" w:cs="宋体"/>
      <w:color w:val="000000"/>
      <w:kern w:val="0"/>
      <w:sz w:val="24"/>
    </w:rPr>
  </w:style>
  <w:style w:type="paragraph" w:customStyle="1" w:styleId="83">
    <w:name w:val="1_正文"/>
    <w:basedOn w:val="1"/>
    <w:qFormat/>
    <w:uiPriority w:val="0"/>
    <w:pPr>
      <w:adjustRightInd w:val="0"/>
      <w:snapToGrid w:val="0"/>
      <w:spacing w:line="360" w:lineRule="auto"/>
      <w:ind w:firstLine="480" w:firstLineChars="200"/>
    </w:pPr>
    <w:rPr>
      <w:color w:val="000000"/>
      <w:sz w:val="24"/>
      <w:szCs w:val="21"/>
    </w:rPr>
  </w:style>
  <w:style w:type="paragraph" w:customStyle="1" w:styleId="84">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85">
    <w:name w:val="1 表格 内容全部"/>
    <w:basedOn w:val="1"/>
    <w:next w:val="86"/>
    <w:qFormat/>
    <w:uiPriority w:val="0"/>
    <w:pPr>
      <w:tabs>
        <w:tab w:val="left" w:pos="0"/>
      </w:tabs>
      <w:spacing w:line="240" w:lineRule="auto"/>
      <w:ind w:firstLine="0" w:firstLineChars="0"/>
      <w:jc w:val="center"/>
    </w:pPr>
    <w:rPr>
      <w:sz w:val="21"/>
    </w:rPr>
  </w:style>
  <w:style w:type="paragraph" w:customStyle="1" w:styleId="86">
    <w:name w:val="1 正文"/>
    <w:basedOn w:val="1"/>
    <w:qFormat/>
    <w:uiPriority w:val="0"/>
    <w:pPr>
      <w:ind w:firstLine="0" w:firstLineChars="0"/>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A2MzQ5OTU3NzAyIiwKCSJHcm91cElkIiA6ICI2MTUzMDM3NDgiLAoJIkltYWdlIiA6ICJpVkJPUncwS0dnb0FBQUFOU1VoRVVnQUFBaTBBQUFFN0NBWUFBQUFSanJGcEFBQUFDWEJJV1hNQUFBc1RBQUFMRXdFQW1wd1lBQUFnQUVsRVFWUjRuT3pkZVhnVVZiby84TytwNm5SM1FqYXlzUWdDQmdnWWx1NUc4S2NveEpGUjlISlJrUUZ4UkZFZ2d3dlhaVnpHY1VTWjZ6THFNQTZPSzZManFLTzQ0S2dYZDBZQlFWUk1PaUJiazdBR1NFaENGcEx1OUZybjkwZTZlN3FUc0dYcmRQTDlQRStlcmpwOXF1cXRWTkwxOXFsVHB3Q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51</Pages>
  <Words>31455</Words>
  <Characters>35701</Characters>
  <Lines>174</Lines>
  <Paragraphs>49</Paragraphs>
  <TotalTime>19</TotalTime>
  <ScaleCrop>false</ScaleCrop>
  <LinksUpToDate>false</LinksUpToDate>
  <CharactersWithSpaces>35899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29554</cp:lastModifiedBy>
  <cp:lastPrinted>2022-02-17T07:06:00Z</cp:lastPrinted>
  <dcterms:modified xsi:type="dcterms:W3CDTF">2024-06-11T05:48:06Z</dcterms:modified>
  <dc:title>附件2</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937152532B7B4F33BB2FFD40817452C4_13</vt:lpwstr>
  </property>
</Properties>
</file>