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3360"/>
        </w:tabs>
        <w:kinsoku/>
        <w:wordWrap/>
        <w:overflowPunct/>
        <w:topLinePunct w:val="0"/>
        <w:autoSpaceDE/>
        <w:autoSpaceDN/>
        <w:bidi w:val="0"/>
        <w:adjustRightInd/>
        <w:snapToGrid/>
        <w:spacing w:line="240" w:lineRule="auto"/>
        <w:ind w:left="0" w:right="0"/>
        <w:jc w:val="left"/>
        <w:textAlignment w:val="auto"/>
        <w:rPr>
          <w:rFonts w:hint="default" w:ascii="Times New Roman" w:hAnsi="Times New Roman" w:eastAsia="仿宋_GB2312" w:cs="Times New Roman"/>
          <w:color w:val="auto"/>
          <w:sz w:val="36"/>
          <w:szCs w:val="36"/>
          <w:lang w:val="en-US" w:eastAsia="zh-CN"/>
        </w:rPr>
      </w:pPr>
    </w:p>
    <w:p>
      <w:pPr>
        <w:pStyle w:val="14"/>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0"/>
        <w:rPr>
          <w:rFonts w:hint="default" w:ascii="Times New Roman" w:hAnsi="Times New Roman" w:eastAsia="方正小标宋_GBK" w:cs="Times New Roman"/>
          <w:bCs/>
          <w:color w:val="auto"/>
          <w:sz w:val="72"/>
          <w:szCs w:val="72"/>
        </w:rPr>
      </w:pPr>
      <w:bookmarkStart w:id="0" w:name="_Toc23034"/>
      <w:bookmarkStart w:id="1" w:name="_Toc30214"/>
      <w:r>
        <w:rPr>
          <w:rFonts w:hint="default" w:ascii="Times New Roman" w:hAnsi="Times New Roman" w:eastAsia="方正小标宋_GBK" w:cs="Times New Roman"/>
          <w:bCs/>
          <w:color w:val="auto"/>
          <w:sz w:val="72"/>
          <w:szCs w:val="72"/>
        </w:rPr>
        <w:t>建设项目环境影响报告表</w:t>
      </w:r>
      <w:bookmarkEnd w:id="0"/>
      <w:bookmarkEnd w:id="1"/>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楷体" w:cs="Times New Roman"/>
          <w:bCs/>
          <w:color w:val="auto"/>
          <w:sz w:val="48"/>
          <w:szCs w:val="48"/>
          <w:lang w:val="en-US" w:eastAsia="zh-CN"/>
        </w:rPr>
      </w:pPr>
      <w:r>
        <w:rPr>
          <w:rFonts w:hint="default" w:ascii="Times New Roman" w:hAnsi="Times New Roman" w:eastAsia="楷体" w:cs="Times New Roman"/>
          <w:bCs/>
          <w:color w:val="auto"/>
          <w:sz w:val="48"/>
          <w:szCs w:val="48"/>
          <w:lang w:eastAsia="zh-CN"/>
        </w:rPr>
        <w:t>（</w:t>
      </w:r>
      <w:r>
        <w:rPr>
          <w:rFonts w:hint="eastAsia" w:eastAsia="楷体" w:cs="Times New Roman"/>
          <w:bCs/>
          <w:color w:val="auto"/>
          <w:sz w:val="48"/>
          <w:szCs w:val="48"/>
          <w:lang w:val="en-US" w:eastAsia="zh-CN"/>
        </w:rPr>
        <w:t>报批本</w:t>
      </w:r>
      <w:r>
        <w:rPr>
          <w:rFonts w:hint="default" w:ascii="Times New Roman" w:hAnsi="Times New Roman" w:eastAsia="楷体" w:cs="Times New Roman"/>
          <w:bCs/>
          <w:color w:val="auto"/>
          <w:sz w:val="48"/>
          <w:szCs w:val="48"/>
          <w:lang w:val="en-US" w:eastAsia="zh-CN"/>
        </w:rPr>
        <w:t>）</w:t>
      </w: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pStyle w:val="2"/>
        <w:ind w:left="0" w:leftChars="0" w:firstLine="0" w:firstLineChars="0"/>
        <w:rPr>
          <w:rFonts w:hint="default" w:ascii="Times New Roman" w:hAnsi="Times New Roman" w:eastAsia="宋体" w:cs="Times New Roman"/>
          <w:color w:val="auto"/>
          <w:highlight w:val="none"/>
          <w:lang w:val="en-US" w:eastAsia="zh-CN"/>
        </w:rPr>
      </w:pPr>
    </w:p>
    <w:p>
      <w:pPr>
        <w:adjustRightInd w:val="0"/>
        <w:snapToGrid w:val="0"/>
        <w:spacing w:line="288" w:lineRule="auto"/>
        <w:ind w:left="2520" w:leftChars="300" w:hanging="1800" w:hangingChars="500"/>
        <w:jc w:val="left"/>
        <w:rPr>
          <w:rFonts w:hint="default" w:ascii="Times New Roman" w:hAnsi="Times New Roman" w:eastAsia="仿宋" w:cs="Times New Roman"/>
          <w:color w:val="auto"/>
          <w:sz w:val="36"/>
          <w:szCs w:val="36"/>
          <w:highlight w:val="none"/>
          <w:u w:val="single"/>
          <w:lang w:eastAsia="zh-CN"/>
        </w:rPr>
      </w:pPr>
      <w:r>
        <w:rPr>
          <w:rFonts w:hint="default" w:ascii="Times New Roman" w:hAnsi="Times New Roman" w:eastAsia="仿宋" w:cs="Times New Roman"/>
          <w:color w:val="auto"/>
          <w:sz w:val="36"/>
          <w:szCs w:val="36"/>
          <w:highlight w:val="none"/>
        </w:rPr>
        <w:t>项目名称：</w:t>
      </w:r>
      <w:r>
        <w:rPr>
          <w:rFonts w:hint="default" w:ascii="Times New Roman" w:hAnsi="Times New Roman" w:eastAsia="仿宋" w:cs="Times New Roman"/>
          <w:color w:val="auto"/>
          <w:sz w:val="36"/>
          <w:szCs w:val="36"/>
          <w:highlight w:val="none"/>
          <w:u w:val="single"/>
          <w:lang w:eastAsia="zh-CN"/>
        </w:rPr>
        <w:t>年产2200吨毛绒玩具废丝和布边角料</w:t>
      </w:r>
      <w:r>
        <w:rPr>
          <w:rFonts w:hint="default" w:ascii="Times New Roman" w:hAnsi="Times New Roman" w:eastAsia="仿宋" w:cs="Times New Roman"/>
          <w:color w:val="auto"/>
          <w:sz w:val="36"/>
          <w:szCs w:val="36"/>
          <w:highlight w:val="none"/>
          <w:u w:val="single"/>
          <w:lang w:val="en-US" w:eastAsia="zh-CN"/>
        </w:rPr>
        <w:t>制</w:t>
      </w:r>
      <w:r>
        <w:rPr>
          <w:rFonts w:hint="default" w:ascii="Times New Roman" w:hAnsi="Times New Roman" w:eastAsia="仿宋" w:cs="Times New Roman"/>
          <w:color w:val="auto"/>
          <w:sz w:val="36"/>
          <w:szCs w:val="36"/>
          <w:highlight w:val="none"/>
          <w:u w:val="single"/>
          <w:lang w:eastAsia="zh-CN"/>
        </w:rPr>
        <w:t>团粒项目</w:t>
      </w:r>
    </w:p>
    <w:p>
      <w:pPr>
        <w:spacing w:before="79" w:line="221" w:lineRule="auto"/>
        <w:rPr>
          <w:rFonts w:hint="default" w:ascii="Times New Roman" w:hAnsi="Times New Roman" w:eastAsia="仿宋" w:cs="Times New Roman"/>
          <w:color w:val="auto"/>
          <w:sz w:val="36"/>
          <w:szCs w:val="36"/>
          <w:highlight w:val="none"/>
          <w:u w:val="single"/>
          <w:lang w:val="en-US"/>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u w:val="single"/>
          <w:lang w:eastAsia="zh-CN"/>
        </w:rPr>
        <w:t>安康德耀环创玩具有限公司</w:t>
      </w:r>
      <w:r>
        <w:rPr>
          <w:rFonts w:hint="eastAsia" w:eastAsia="仿宋" w:cs="Times New Roman"/>
          <w:color w:val="auto"/>
          <w:sz w:val="36"/>
          <w:szCs w:val="36"/>
          <w:highlight w:val="none"/>
          <w:u w:val="single"/>
          <w:lang w:val="en-US" w:eastAsia="zh-CN"/>
        </w:rPr>
        <w:t xml:space="preserve">   </w:t>
      </w:r>
    </w:p>
    <w:p>
      <w:pPr>
        <w:adjustRightInd w:val="0"/>
        <w:snapToGrid w:val="0"/>
        <w:spacing w:line="288" w:lineRule="auto"/>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rPr>
        <w:t>编制日期：</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二〇二</w:t>
      </w:r>
      <w:r>
        <w:rPr>
          <w:rFonts w:hint="default" w:ascii="Times New Roman" w:hAnsi="Times New Roman" w:eastAsia="仿宋" w:cs="Times New Roman"/>
          <w:color w:val="auto"/>
          <w:sz w:val="36"/>
          <w:szCs w:val="36"/>
          <w:highlight w:val="none"/>
          <w:u w:val="single"/>
          <w:lang w:val="en-US" w:eastAsia="zh-CN"/>
        </w:rPr>
        <w:t>四</w:t>
      </w:r>
      <w:r>
        <w:rPr>
          <w:rFonts w:hint="default" w:ascii="Times New Roman" w:hAnsi="Times New Roman" w:eastAsia="仿宋" w:cs="Times New Roman"/>
          <w:color w:val="auto"/>
          <w:sz w:val="36"/>
          <w:szCs w:val="36"/>
          <w:highlight w:val="none"/>
          <w:u w:val="single"/>
        </w:rPr>
        <w:t>年</w:t>
      </w:r>
      <w:r>
        <w:rPr>
          <w:rFonts w:hint="default" w:ascii="Times New Roman" w:hAnsi="Times New Roman" w:eastAsia="仿宋" w:cs="Times New Roman"/>
          <w:color w:val="auto"/>
          <w:sz w:val="36"/>
          <w:szCs w:val="36"/>
          <w:highlight w:val="none"/>
          <w:u w:val="single"/>
          <w:lang w:val="en-US" w:eastAsia="zh-CN"/>
        </w:rPr>
        <w:t>三</w:t>
      </w:r>
      <w:r>
        <w:rPr>
          <w:rFonts w:hint="default" w:ascii="Times New Roman" w:hAnsi="Times New Roman" w:eastAsia="仿宋" w:cs="Times New Roman"/>
          <w:color w:val="auto"/>
          <w:sz w:val="36"/>
          <w:szCs w:val="36"/>
          <w:highlight w:val="none"/>
          <w:u w:val="single"/>
        </w:rPr>
        <w:t>月</w:t>
      </w:r>
      <w:r>
        <w:rPr>
          <w:rFonts w:hint="eastAsia" w:eastAsia="仿宋" w:cs="Times New Roman"/>
          <w:color w:val="auto"/>
          <w:sz w:val="36"/>
          <w:szCs w:val="36"/>
          <w:highlight w:val="none"/>
          <w:u w:val="single"/>
          <w:lang w:val="en-US" w:eastAsia="zh-CN"/>
        </w:rPr>
        <w:t xml:space="preserve">          </w:t>
      </w:r>
    </w:p>
    <w:p>
      <w:pPr>
        <w:adjustRightInd w:val="0"/>
        <w:snapToGrid w:val="0"/>
        <w:spacing w:line="288" w:lineRule="auto"/>
        <w:rPr>
          <w:rFonts w:hint="default" w:ascii="Times New Roman" w:hAnsi="Times New Roman" w:eastAsia="仿宋" w:cs="Times New Roman"/>
          <w:color w:val="auto"/>
          <w:sz w:val="36"/>
          <w:szCs w:val="36"/>
          <w:highlight w:val="none"/>
          <w:u w:val="single"/>
        </w:rPr>
      </w:pPr>
      <w:bookmarkStart w:id="2" w:name="_Hlk57884087"/>
    </w:p>
    <w:p>
      <w:pPr>
        <w:adjustRightInd w:val="0"/>
        <w:snapToGrid w:val="0"/>
        <w:spacing w:line="288" w:lineRule="auto"/>
        <w:rPr>
          <w:rFonts w:hint="default" w:ascii="Times New Roman" w:hAnsi="Times New Roman" w:eastAsia="仿宋" w:cs="Times New Roman"/>
          <w:color w:val="auto"/>
          <w:sz w:val="36"/>
          <w:szCs w:val="36"/>
          <w:highlight w:val="none"/>
        </w:rPr>
      </w:pPr>
    </w:p>
    <w:p>
      <w:pPr>
        <w:adjustRightInd w:val="0"/>
        <w:snapToGrid w:val="0"/>
        <w:spacing w:line="288" w:lineRule="auto"/>
        <w:rPr>
          <w:rFonts w:hint="default" w:ascii="Times New Roman" w:hAnsi="Times New Roman" w:eastAsia="仿宋" w:cs="Times New Roman"/>
          <w:color w:val="auto"/>
          <w:sz w:val="36"/>
          <w:szCs w:val="36"/>
          <w:highlight w:val="none"/>
        </w:rPr>
      </w:pPr>
    </w:p>
    <w:bookmarkEnd w:id="2"/>
    <w:p>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default" w:ascii="Times New Roman" w:hAnsi="Times New Roman" w:eastAsia="楷体" w:cs="Times New Roman"/>
          <w:color w:val="auto"/>
          <w:sz w:val="36"/>
          <w:szCs w:val="36"/>
          <w:highlight w:val="none"/>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titlePg/>
          <w:docGrid w:linePitch="312" w:charSpace="0"/>
        </w:sectPr>
      </w:pPr>
      <w:r>
        <w:rPr>
          <w:rFonts w:hint="default" w:ascii="Times New Roman" w:hAnsi="Times New Roman" w:eastAsia="楷体" w:cs="Times New Roman"/>
          <w:color w:val="auto"/>
          <w:sz w:val="36"/>
          <w:szCs w:val="36"/>
          <w:highlight w:val="none"/>
        </w:rPr>
        <w:t>中华人民共和国生态环境部制</w:t>
      </w:r>
    </w:p>
    <w:p>
      <w:pPr>
        <w:pStyle w:val="3"/>
        <w:bidi w:val="0"/>
        <w:rPr>
          <w:rFonts w:hint="default" w:ascii="Times New Roman" w:hAnsi="Times New Roman" w:cs="Times New Roman"/>
          <w:color w:val="auto"/>
        </w:rPr>
      </w:pPr>
      <w:bookmarkStart w:id="3" w:name="_Toc14030"/>
      <w:bookmarkStart w:id="4" w:name="_Toc3061"/>
      <w:r>
        <w:rPr>
          <w:rFonts w:hint="default" w:ascii="Times New Roman" w:hAnsi="Times New Roman" w:cs="Times New Roman"/>
          <w:color w:val="auto"/>
        </w:rPr>
        <w:t>一、建设项目基本情况</w:t>
      </w:r>
      <w:bookmarkEnd w:id="3"/>
      <w:bookmarkEnd w:id="4"/>
    </w:p>
    <w:tbl>
      <w:tblPr>
        <w:tblStyle w:val="26"/>
        <w:tblW w:w="51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96"/>
        <w:gridCol w:w="2958"/>
        <w:gridCol w:w="1710"/>
        <w:gridCol w:w="30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488" w:type="dxa"/>
            <w:tcBorders>
              <w:top w:val="single" w:color="auto" w:sz="8" w:space="0"/>
            </w:tcBorders>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653" w:type="dxa"/>
            <w:gridSpan w:val="3"/>
            <w:tcBorders>
              <w:top w:val="single" w:color="auto" w:sz="8" w:space="0"/>
            </w:tcBorders>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年产2200吨毛绒玩具废丝和布边角料制团粒项目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653" w:type="dxa"/>
            <w:gridSpan w:val="3"/>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2403-610962-04-01-675676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941"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朱耀</w:t>
            </w:r>
            <w:r>
              <w:rPr>
                <w:rFonts w:hint="default" w:ascii="Times New Roman" w:hAnsi="Times New Roman" w:eastAsia="宋体" w:cs="Times New Roman"/>
                <w:color w:val="auto"/>
                <w:sz w:val="24"/>
                <w:szCs w:val="24"/>
                <w:lang w:val="en-US" w:eastAsia="zh-CN"/>
              </w:rPr>
              <w:t>明</w:t>
            </w:r>
          </w:p>
        </w:tc>
        <w:tc>
          <w:tcPr>
            <w:tcW w:w="1700"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联系方式</w:t>
            </w:r>
          </w:p>
        </w:tc>
        <w:tc>
          <w:tcPr>
            <w:tcW w:w="3012"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15852580018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653" w:type="dxa"/>
            <w:gridSpan w:val="3"/>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lang w:val="en-US" w:eastAsia="zh-CN"/>
              </w:rPr>
              <w:t>陕西省安康市恒口示范区（试验区）恒口镇安民村工业园区安康安贝斯玩具产业链孵化园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653" w:type="dxa"/>
            <w:gridSpan w:val="3"/>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经度108</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lang w:val="en-US" w:eastAsia="zh-CN"/>
              </w:rPr>
              <w:t>44</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lang w:val="en-US" w:eastAsia="zh-CN"/>
              </w:rPr>
              <w:t>21.631</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lang w:val="en-US" w:eastAsia="zh-CN"/>
              </w:rPr>
              <w:t>纬度</w:t>
            </w:r>
            <w:r>
              <w:rPr>
                <w:rFonts w:hint="default" w:ascii="Times New Roman" w:hAnsi="Times New Roman" w:eastAsia="宋体" w:cs="Times New Roman"/>
                <w:color w:val="auto"/>
                <w:sz w:val="24"/>
                <w:szCs w:val="24"/>
              </w:rPr>
              <w:t>32度</w:t>
            </w:r>
            <w:r>
              <w:rPr>
                <w:rFonts w:hint="default" w:ascii="Times New Roman" w:hAnsi="Times New Roman" w:eastAsia="宋体" w:cs="Times New Roman"/>
                <w:color w:val="auto"/>
                <w:sz w:val="24"/>
                <w:szCs w:val="24"/>
                <w:lang w:val="en-US" w:eastAsia="zh-CN"/>
              </w:rPr>
              <w:t>44</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lang w:val="en-US" w:eastAsia="zh-CN"/>
              </w:rPr>
              <w:t>50.520</w:t>
            </w:r>
            <w:r>
              <w:rPr>
                <w:rFonts w:hint="default" w:ascii="Times New Roman" w:hAnsi="Times New Roman" w:eastAsia="宋体"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国民经济</w:t>
            </w:r>
          </w:p>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行业类别</w:t>
            </w:r>
          </w:p>
        </w:tc>
        <w:tc>
          <w:tcPr>
            <w:tcW w:w="2941"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C4220非金属废料和碎屑加工处理</w:t>
            </w:r>
          </w:p>
        </w:tc>
        <w:tc>
          <w:tcPr>
            <w:tcW w:w="1700" w:type="dxa"/>
            <w:noWrap w:val="0"/>
            <w:vAlign w:val="top"/>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w:t>
            </w:r>
          </w:p>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行业类别</w:t>
            </w:r>
          </w:p>
        </w:tc>
        <w:tc>
          <w:tcPr>
            <w:tcW w:w="3012" w:type="dxa"/>
            <w:noWrap w:val="0"/>
            <w:vAlign w:val="top"/>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三十九、废弃资源综合利用业非金属废料和碎屑加工处理422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941" w:type="dxa"/>
            <w:noWrap w:val="0"/>
            <w:vAlign w:val="center"/>
          </w:tcPr>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新建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迁建）</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改建</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扩建</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1700"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3012" w:type="dxa"/>
            <w:noWrap w:val="0"/>
            <w:vAlign w:val="center"/>
          </w:tcPr>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首次申报项目</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超五年重新审核项目</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核准/备案）部门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选填）</w:t>
            </w:r>
          </w:p>
        </w:tc>
        <w:tc>
          <w:tcPr>
            <w:tcW w:w="2941"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恒口示范区（试验区）经济发展与招商局</w:t>
            </w:r>
          </w:p>
        </w:tc>
        <w:tc>
          <w:tcPr>
            <w:tcW w:w="1700"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核准/备案）文号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选填）</w:t>
            </w:r>
          </w:p>
        </w:tc>
        <w:tc>
          <w:tcPr>
            <w:tcW w:w="3012"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2403-610</w:t>
            </w:r>
            <w:bookmarkStart w:id="70" w:name="_GoBack"/>
            <w:bookmarkEnd w:id="70"/>
            <w:r>
              <w:rPr>
                <w:rFonts w:hint="default" w:ascii="Times New Roman" w:hAnsi="Times New Roman" w:eastAsia="宋体" w:cs="Times New Roman"/>
                <w:color w:val="auto"/>
                <w:sz w:val="24"/>
                <w:szCs w:val="24"/>
                <w:lang w:val="en-US" w:eastAsia="zh-CN"/>
              </w:rPr>
              <w:t>962-04-01-675676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万元）</w:t>
            </w:r>
          </w:p>
        </w:tc>
        <w:tc>
          <w:tcPr>
            <w:tcW w:w="2941"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105</w:t>
            </w:r>
          </w:p>
        </w:tc>
        <w:tc>
          <w:tcPr>
            <w:tcW w:w="1700"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环保投资</w:t>
            </w:r>
          </w:p>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（万元）</w:t>
            </w:r>
          </w:p>
        </w:tc>
        <w:tc>
          <w:tcPr>
            <w:tcW w:w="3012"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tc>
        <w:tc>
          <w:tcPr>
            <w:tcW w:w="2941"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30.9</w:t>
            </w:r>
          </w:p>
        </w:tc>
        <w:tc>
          <w:tcPr>
            <w:tcW w:w="1700"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施工工期</w:t>
            </w:r>
          </w:p>
        </w:tc>
        <w:tc>
          <w:tcPr>
            <w:tcW w:w="3012"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88"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941" w:type="dxa"/>
            <w:noWrap w:val="0"/>
            <w:vAlign w:val="center"/>
          </w:tcPr>
          <w:p>
            <w:pPr>
              <w:adjustRightInd w:val="0"/>
              <w:snapToGrid w:val="0"/>
              <w:spacing w:line="400" w:lineRule="exact"/>
              <w:ind w:firstLine="0" w:firstLineChars="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否</w:t>
            </w:r>
          </w:p>
          <w:p>
            <w:pPr>
              <w:adjustRightInd w:val="0"/>
              <w:snapToGrid w:val="0"/>
              <w:spacing w:line="400" w:lineRule="exact"/>
              <w:ind w:firstLine="0" w:firstLineChars="0"/>
              <w:jc w:val="both"/>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是：</w:t>
            </w:r>
          </w:p>
        </w:tc>
        <w:tc>
          <w:tcPr>
            <w:tcW w:w="1700" w:type="dxa"/>
            <w:noWrap w:val="0"/>
            <w:tcMar>
              <w:top w:w="16" w:type="dxa"/>
              <w:left w:w="16" w:type="dxa"/>
              <w:right w:w="16" w:type="dxa"/>
            </w:tcMar>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用地（用海）</w:t>
            </w:r>
          </w:p>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面积（</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rPr>
              <w:t>）</w:t>
            </w:r>
          </w:p>
        </w:tc>
        <w:tc>
          <w:tcPr>
            <w:tcW w:w="3012"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770.12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专项评价设置情况</w:t>
            </w:r>
          </w:p>
        </w:tc>
        <w:tc>
          <w:tcPr>
            <w:tcW w:w="7653" w:type="dxa"/>
            <w:gridSpan w:val="3"/>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488"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规划情况</w:t>
            </w:r>
          </w:p>
        </w:tc>
        <w:tc>
          <w:tcPr>
            <w:tcW w:w="7653" w:type="dxa"/>
            <w:gridSpan w:val="3"/>
            <w:noWrap w:val="0"/>
            <w:vAlign w:val="center"/>
          </w:tcPr>
          <w:p>
            <w:pPr>
              <w:keepNext w:val="0"/>
              <w:keepLines w:val="0"/>
              <w:widowControl/>
              <w:numPr>
                <w:ilvl w:val="0"/>
                <w:numId w:val="0"/>
              </w:numPr>
              <w:suppressLineNumbers w:val="0"/>
              <w:ind w:left="0" w:leftChars="0" w:firstLine="0" w:firstLineChars="0"/>
              <w:jc w:val="left"/>
              <w:rPr>
                <w:sz w:val="24"/>
              </w:rPr>
            </w:pPr>
            <w:r>
              <w:rPr>
                <w:rFonts w:ascii="Times New Roman" w:hAnsi="Times New Roman" w:eastAsia="宋体"/>
                <w:kern w:val="2"/>
                <w:sz w:val="24"/>
                <w:szCs w:val="24"/>
                <w:lang w:val="en-US" w:eastAsia="zh-CN" w:bidi="ar-SA"/>
              </w:rPr>
              <w:t>1.</w:t>
            </w:r>
            <w:r>
              <w:rPr>
                <w:sz w:val="24"/>
              </w:rPr>
              <w:t>《</w:t>
            </w:r>
            <w:r>
              <w:rPr>
                <w:rFonts w:hint="eastAsia"/>
                <w:sz w:val="24"/>
                <w:lang w:val="en-US" w:eastAsia="zh-CN"/>
              </w:rPr>
              <w:t>安康市恒口示范区（试验区）</w:t>
            </w:r>
            <w:r>
              <w:rPr>
                <w:sz w:val="24"/>
              </w:rPr>
              <w:t>总体规划（201</w:t>
            </w:r>
            <w:r>
              <w:rPr>
                <w:rFonts w:hint="eastAsia"/>
                <w:sz w:val="24"/>
                <w:lang w:val="en-US" w:eastAsia="zh-CN"/>
              </w:rPr>
              <w:t>8</w:t>
            </w:r>
            <w:r>
              <w:rPr>
                <w:sz w:val="24"/>
              </w:rPr>
              <w:t>-203</w:t>
            </w:r>
            <w:r>
              <w:rPr>
                <w:rFonts w:hint="eastAsia"/>
                <w:sz w:val="24"/>
                <w:lang w:val="en-US" w:eastAsia="zh-CN"/>
              </w:rPr>
              <w:t>5</w:t>
            </w:r>
            <w:r>
              <w:rPr>
                <w:sz w:val="24"/>
              </w:rPr>
              <w:t>年）》</w:t>
            </w:r>
          </w:p>
          <w:p>
            <w:pPr>
              <w:keepNext w:val="0"/>
              <w:keepLines w:val="0"/>
              <w:widowControl/>
              <w:numPr>
                <w:ilvl w:val="0"/>
                <w:numId w:val="0"/>
              </w:numPr>
              <w:suppressLineNumbers w:val="0"/>
              <w:ind w:left="0" w:leftChars="0" w:firstLine="0" w:firstLineChars="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Cs w:val="32"/>
              </w:rPr>
              <w:t>《月河南岸片区总体设计》（2021</w:t>
            </w:r>
            <w:r>
              <w:rPr>
                <w:rFonts w:hint="eastAsia" w:cs="Times New Roman"/>
                <w:color w:val="auto"/>
                <w:szCs w:val="32"/>
                <w:lang w:val="en-US" w:eastAsia="zh-CN"/>
              </w:rPr>
              <w:t>-</w:t>
            </w:r>
            <w:r>
              <w:rPr>
                <w:rFonts w:hint="default" w:ascii="Times New Roman" w:hAnsi="Times New Roman" w:eastAsia="宋体" w:cs="Times New Roman"/>
                <w:color w:val="auto"/>
                <w:szCs w:val="32"/>
              </w:rPr>
              <w:t>2035）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488"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规划环境影响评价情况</w:t>
            </w:r>
          </w:p>
        </w:tc>
        <w:tc>
          <w:tcPr>
            <w:tcW w:w="7653" w:type="dxa"/>
            <w:gridSpan w:val="3"/>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488" w:type="dxa"/>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规划及规划环境影响评价符合性分析</w:t>
            </w:r>
          </w:p>
        </w:tc>
        <w:tc>
          <w:tcPr>
            <w:tcW w:w="7653" w:type="dxa"/>
            <w:gridSpan w:val="3"/>
            <w:noWrap w:val="0"/>
            <w:vAlign w:val="center"/>
          </w:tcPr>
          <w:p>
            <w:pPr>
              <w:pStyle w:val="4"/>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1.1项目与</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安康市恒口示范区（试验区）</w:t>
            </w:r>
            <w:r>
              <w:rPr>
                <w:rFonts w:hint="default" w:ascii="Times New Roman" w:hAnsi="Times New Roman" w:cs="Times New Roman"/>
                <w:color w:val="auto"/>
                <w:lang w:val="en-US" w:eastAsia="zh-CN"/>
              </w:rPr>
              <w:t>总体规划（201</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-203</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的相符性分析</w:t>
            </w:r>
          </w:p>
          <w:p>
            <w:pPr>
              <w:pStyle w:val="94"/>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1</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与规划及规划环境影响评价符合性分析</w:t>
            </w:r>
          </w:p>
          <w:tbl>
            <w:tblPr>
              <w:tblStyle w:val="26"/>
              <w:tblW w:w="7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493"/>
              <w:gridCol w:w="1971"/>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02" w:type="dxa"/>
                  <w:noWrap w:val="0"/>
                  <w:vAlign w:val="center"/>
                </w:tcPr>
                <w:p>
                  <w:pPr>
                    <w:pStyle w:val="95"/>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规划</w:t>
                  </w:r>
                </w:p>
              </w:tc>
              <w:tc>
                <w:tcPr>
                  <w:tcW w:w="3493" w:type="dxa"/>
                  <w:noWrap w:val="0"/>
                  <w:vAlign w:val="center"/>
                </w:tcPr>
                <w:p>
                  <w:pPr>
                    <w:pStyle w:val="95"/>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内容</w:t>
                  </w:r>
                </w:p>
              </w:tc>
              <w:tc>
                <w:tcPr>
                  <w:tcW w:w="1971" w:type="dxa"/>
                  <w:noWrap w:val="0"/>
                  <w:vAlign w:val="center"/>
                </w:tcPr>
                <w:p>
                  <w:pPr>
                    <w:pStyle w:val="95"/>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本项目情况</w:t>
                  </w:r>
                </w:p>
              </w:tc>
              <w:tc>
                <w:tcPr>
                  <w:tcW w:w="952" w:type="dxa"/>
                  <w:noWrap w:val="0"/>
                  <w:vAlign w:val="center"/>
                </w:tcPr>
                <w:p>
                  <w:pPr>
                    <w:pStyle w:val="95"/>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1102" w:type="dxa"/>
                  <w:vMerge w:val="restart"/>
                  <w:noWrap w:val="0"/>
                  <w:vAlign w:val="center"/>
                </w:tcPr>
                <w:p>
                  <w:pPr>
                    <w:pStyle w:val="95"/>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安康市恒口示范区（试验区）总体规划</w:t>
                  </w:r>
                </w:p>
              </w:tc>
              <w:tc>
                <w:tcPr>
                  <w:tcW w:w="3493" w:type="dxa"/>
                  <w:noWrap w:val="0"/>
                  <w:vAlign w:val="center"/>
                </w:tcPr>
                <w:p>
                  <w:pPr>
                    <w:pStyle w:val="95"/>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r>
                    <w:rPr>
                      <w:rFonts w:hint="default" w:ascii="Times New Roman" w:hAnsi="Times New Roman" w:eastAsia="宋体" w:cs="Times New Roman"/>
                      <w:b w:val="0"/>
                      <w:bCs w:val="0"/>
                      <w:color w:val="auto"/>
                      <w:kern w:val="2"/>
                      <w:sz w:val="21"/>
                      <w:szCs w:val="21"/>
                      <w:highlight w:val="none"/>
                      <w:lang w:val="en-US" w:eastAsia="zh-CN" w:bidi="ar-SA"/>
                    </w:rPr>
                    <w:t>全域规划范围：即恒口示范区</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试验区</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行政管辖范围，辖80个行政村和10个社区居委会，总面积383平方公里。</w:t>
                  </w:r>
                </w:p>
                <w:p>
                  <w:pPr>
                    <w:pStyle w:val="95"/>
                    <w:ind w:firstLine="420" w:firstLineChars="200"/>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2</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城市规划区范围：东起黄营村，西止梅子铺</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汉阴界</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，南临十天高速，北止阳安铁路</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局部跨越铁路到史家院子梁家院子一线</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，面积43平方公里。</w:t>
                  </w:r>
                </w:p>
              </w:tc>
              <w:tc>
                <w:tcPr>
                  <w:tcW w:w="1971" w:type="dxa"/>
                  <w:noWrap w:val="0"/>
                  <w:vAlign w:val="center"/>
                </w:tcPr>
                <w:p>
                  <w:pPr>
                    <w:pStyle w:val="95"/>
                    <w:ind w:left="0" w:leftChars="0" w:firstLine="0" w:firstLineChars="0"/>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本项目位于安康市恒口示范区安贝斯玩具产业链孵化园，属于规划范围内。</w:t>
                  </w:r>
                </w:p>
              </w:tc>
              <w:tc>
                <w:tcPr>
                  <w:tcW w:w="952" w:type="dxa"/>
                  <w:noWrap w:val="0"/>
                  <w:vAlign w:val="center"/>
                </w:tcPr>
                <w:p>
                  <w:pPr>
                    <w:pStyle w:val="95"/>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0" w:hRule="atLeast"/>
                <w:jc w:val="center"/>
              </w:trPr>
              <w:tc>
                <w:tcPr>
                  <w:tcW w:w="1102" w:type="dxa"/>
                  <w:vMerge w:val="continue"/>
                  <w:noWrap w:val="0"/>
                  <w:vAlign w:val="center"/>
                </w:tcPr>
                <w:p>
                  <w:pPr>
                    <w:pStyle w:val="95"/>
                    <w:ind w:firstLine="420" w:firstLineChars="200"/>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3493" w:type="dxa"/>
                  <w:noWrap w:val="0"/>
                  <w:vAlign w:val="center"/>
                </w:tcPr>
                <w:p>
                  <w:pPr>
                    <w:pStyle w:val="95"/>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四区一-四大产业聚集发展区</w:t>
                  </w:r>
                </w:p>
                <w:p>
                  <w:pPr>
                    <w:pStyle w:val="95"/>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南部侧重自然生态型产业：依托凤凰山森林公园，发展相关生态旅游、森林康养、养老服务等行业，形成以生态保育为基础、旅游康养相关的现代服务产业区。</w:t>
                  </w:r>
                </w:p>
                <w:p>
                  <w:pPr>
                    <w:pStyle w:val="95"/>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北部侧重绿色环保的经济林产业：北部山区地形条件适宜发展经济林产业，利用现有林业资源，发展林下经济、农业观光、乡村旅游等配套产业，打造综合多样的经济林产业区。</w:t>
                  </w:r>
                </w:p>
                <w:p>
                  <w:pPr>
                    <w:pStyle w:val="95"/>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中部侧重生态农业的产业集聚：中部地山地坡度缓，打造富硒农产品产业基地，辅助发展观光农业、休闲农业和农业养成教育等易于集聚发展的农业产业区。</w:t>
                  </w:r>
                </w:p>
                <w:p>
                  <w:pPr>
                    <w:pStyle w:val="95"/>
                    <w:ind w:firstLine="420" w:firstLineChars="200"/>
                    <w:jc w:val="left"/>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月河川道地区侧重循环经济的工业产业：打造以装备制造、清洁能源、新型材料、毛绒玩具加工为主的新兴产业，大力发展商贸物流等配套产业，构建陕南地区的商贸物流节点。</w:t>
                  </w:r>
                </w:p>
              </w:tc>
              <w:tc>
                <w:tcPr>
                  <w:tcW w:w="1971" w:type="dxa"/>
                  <w:noWrap w:val="0"/>
                  <w:vAlign w:val="center"/>
                </w:tcPr>
                <w:p>
                  <w:pPr>
                    <w:pStyle w:val="95"/>
                    <w:ind w:left="0" w:leftChars="0" w:firstLine="0" w:firstLineChars="0"/>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本项目位于月河川道地区，为</w:t>
                  </w:r>
                  <w:r>
                    <w:rPr>
                      <w:rFonts w:hint="eastAsia" w:ascii="Times New Roman" w:hAnsi="Times New Roman" w:eastAsia="宋体" w:cs="Times New Roman"/>
                      <w:b w:val="0"/>
                      <w:bCs w:val="0"/>
                      <w:color w:val="auto"/>
                      <w:kern w:val="2"/>
                      <w:sz w:val="21"/>
                      <w:szCs w:val="21"/>
                      <w:highlight w:val="none"/>
                      <w:lang w:val="en-US" w:eastAsia="zh-CN" w:bidi="ar-SA"/>
                    </w:rPr>
                    <w:t>毛</w:t>
                  </w:r>
                  <w:r>
                    <w:rPr>
                      <w:rFonts w:hint="default" w:ascii="Times New Roman" w:hAnsi="Times New Roman" w:eastAsia="宋体" w:cs="Times New Roman"/>
                      <w:b w:val="0"/>
                      <w:bCs w:val="0"/>
                      <w:color w:val="auto"/>
                      <w:kern w:val="2"/>
                      <w:sz w:val="21"/>
                      <w:szCs w:val="21"/>
                      <w:highlight w:val="none"/>
                      <w:lang w:val="en-US" w:eastAsia="zh-CN" w:bidi="ar-SA"/>
                    </w:rPr>
                    <w:t>绒玩具废丝和布边角料制团粒项目，主要服务毛绒玩具产业，为毛绒玩具</w:t>
                  </w:r>
                  <w:r>
                    <w:rPr>
                      <w:rFonts w:hint="eastAsia" w:ascii="Times New Roman" w:hAnsi="Times New Roman" w:eastAsia="宋体" w:cs="Times New Roman"/>
                      <w:b w:val="0"/>
                      <w:bCs w:val="0"/>
                      <w:color w:val="auto"/>
                      <w:kern w:val="2"/>
                      <w:sz w:val="21"/>
                      <w:szCs w:val="21"/>
                      <w:highlight w:val="none"/>
                      <w:lang w:val="en-US" w:eastAsia="zh-CN" w:bidi="ar-SA"/>
                    </w:rPr>
                    <w:t>生产</w:t>
                  </w:r>
                  <w:r>
                    <w:rPr>
                      <w:rFonts w:hint="default" w:ascii="Times New Roman" w:hAnsi="Times New Roman" w:eastAsia="宋体" w:cs="Times New Roman"/>
                      <w:b w:val="0"/>
                      <w:bCs w:val="0"/>
                      <w:color w:val="auto"/>
                      <w:kern w:val="2"/>
                      <w:sz w:val="21"/>
                      <w:szCs w:val="21"/>
                      <w:highlight w:val="none"/>
                      <w:lang w:val="en-US" w:eastAsia="zh-CN" w:bidi="ar-SA"/>
                    </w:rPr>
                    <w:t>提供</w:t>
                  </w:r>
                  <w:r>
                    <w:rPr>
                      <w:rFonts w:hint="eastAsia" w:ascii="Times New Roman" w:hAnsi="Times New Roman" w:eastAsia="宋体" w:cs="Times New Roman"/>
                      <w:b w:val="0"/>
                      <w:bCs w:val="0"/>
                      <w:color w:val="auto"/>
                      <w:kern w:val="2"/>
                      <w:sz w:val="21"/>
                      <w:szCs w:val="21"/>
                      <w:highlight w:val="none"/>
                      <w:lang w:val="en-US" w:eastAsia="zh-CN" w:bidi="ar-SA"/>
                    </w:rPr>
                    <w:t>原材料</w:t>
                  </w:r>
                  <w:r>
                    <w:rPr>
                      <w:rFonts w:hint="default" w:ascii="Times New Roman" w:hAnsi="Times New Roman" w:eastAsia="宋体" w:cs="Times New Roman"/>
                      <w:b w:val="0"/>
                      <w:bCs w:val="0"/>
                      <w:color w:val="auto"/>
                      <w:kern w:val="2"/>
                      <w:sz w:val="21"/>
                      <w:szCs w:val="21"/>
                      <w:highlight w:val="none"/>
                      <w:lang w:val="en-US" w:eastAsia="zh-CN" w:bidi="ar-SA"/>
                    </w:rPr>
                    <w:t>，符合规划要求。</w:t>
                  </w:r>
                </w:p>
              </w:tc>
              <w:tc>
                <w:tcPr>
                  <w:tcW w:w="952" w:type="dxa"/>
                  <w:noWrap w:val="0"/>
                  <w:vAlign w:val="center"/>
                </w:tcPr>
                <w:p>
                  <w:pPr>
                    <w:pStyle w:val="95"/>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符合</w:t>
                  </w:r>
                </w:p>
              </w:tc>
            </w:tr>
          </w:tbl>
          <w:p>
            <w:pPr>
              <w:pStyle w:val="4"/>
              <w:bidi w:val="0"/>
              <w:ind w:left="0" w:leftChars="0" w:firstLine="0" w:firstLineChars="0"/>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4"/>
              <w:bidi w:val="0"/>
              <w:rPr>
                <w:rFonts w:hint="default" w:ascii="Times New Roman" w:hAnsi="Times New Roman" w:eastAsia="宋体" w:cs="Times New Roman"/>
                <w:b/>
                <w:bCs/>
                <w:color w:val="auto"/>
                <w:sz w:val="21"/>
                <w:szCs w:val="21"/>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项目与月河南岸片区总体设计的符合性分析</w:t>
            </w:r>
          </w:p>
          <w:p>
            <w:pPr>
              <w:adjustRightInd w:val="0"/>
              <w:snapToGrid w:val="0"/>
              <w:spacing w:line="40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w:t>
            </w:r>
            <w:r>
              <w:rPr>
                <w:rFonts w:hint="eastAsia" w:eastAsia="宋体"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项目</w:t>
            </w:r>
            <w:r>
              <w:rPr>
                <w:rFonts w:hint="default" w:ascii="Times New Roman" w:hAnsi="Times New Roman" w:eastAsia="宋体" w:cs="Times New Roman"/>
                <w:b/>
                <w:bCs/>
                <w:color w:val="auto"/>
                <w:sz w:val="21"/>
                <w:szCs w:val="21"/>
              </w:rPr>
              <w:t>与月河南岸片区</w:t>
            </w:r>
            <w:r>
              <w:rPr>
                <w:rFonts w:hint="default" w:ascii="Times New Roman" w:hAnsi="Times New Roman" w:eastAsia="宋体" w:cs="Times New Roman"/>
                <w:b/>
                <w:bCs/>
                <w:color w:val="auto"/>
                <w:sz w:val="21"/>
                <w:szCs w:val="21"/>
                <w:lang w:val="en-US" w:eastAsia="zh-CN"/>
              </w:rPr>
              <w:t>总体设计</w:t>
            </w:r>
            <w:r>
              <w:rPr>
                <w:rFonts w:hint="default" w:ascii="Times New Roman" w:hAnsi="Times New Roman" w:eastAsia="宋体" w:cs="Times New Roman"/>
                <w:b/>
                <w:bCs/>
                <w:color w:val="auto"/>
                <w:sz w:val="21"/>
                <w:szCs w:val="21"/>
              </w:rPr>
              <w:t>的符合性分析表</w:t>
            </w:r>
          </w:p>
          <w:tbl>
            <w:tblPr>
              <w:tblStyle w:val="26"/>
              <w:tblW w:w="7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708"/>
              <w:gridCol w:w="2994"/>
              <w:gridCol w:w="237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4"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708" w:type="dxa"/>
                  <w:noWrap w:val="0"/>
                  <w:vAlign w:val="center"/>
                </w:tcPr>
                <w:p>
                  <w:pPr>
                    <w:pStyle w:val="82"/>
                    <w:spacing w:line="240" w:lineRule="auto"/>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相关分项</w:t>
                  </w:r>
                </w:p>
              </w:tc>
              <w:tc>
                <w:tcPr>
                  <w:tcW w:w="2994"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规划内容</w:t>
                  </w:r>
                </w:p>
              </w:tc>
              <w:tc>
                <w:tcPr>
                  <w:tcW w:w="2371"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1042"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384"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708" w:type="dxa"/>
                  <w:noWrap w:val="0"/>
                  <w:vAlign w:val="center"/>
                </w:tcPr>
                <w:p>
                  <w:pPr>
                    <w:pStyle w:val="82"/>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土地利用规划</w:t>
                  </w:r>
                </w:p>
              </w:tc>
              <w:tc>
                <w:tcPr>
                  <w:tcW w:w="2994"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月河南岸片区规划总面积为731.87ha，其中规划建设用地面积为707.17ha，占规划总面积的96.62%；非建设用地面</w:t>
                  </w:r>
                </w:p>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积水域为24.7ha，占规划总面积的3.38%。</w:t>
                  </w:r>
                </w:p>
              </w:tc>
              <w:tc>
                <w:tcPr>
                  <w:tcW w:w="2371" w:type="dxa"/>
                  <w:noWrap w:val="0"/>
                  <w:vAlign w:val="center"/>
                </w:tcPr>
                <w:p>
                  <w:pPr>
                    <w:pStyle w:val="82"/>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本项目位于月河南岸</w:t>
                  </w:r>
                  <w:r>
                    <w:rPr>
                      <w:rFonts w:hint="default" w:ascii="Times New Roman" w:hAnsi="Times New Roman" w:eastAsia="宋体" w:cs="Times New Roman"/>
                      <w:color w:val="auto"/>
                      <w:lang w:val="en-US" w:eastAsia="zh-CN"/>
                    </w:rPr>
                    <w:t>安康安贝斯玩具产业链孵化园，属于规划建设用地中的一类工业用地，详见附图</w:t>
                  </w:r>
                  <w:r>
                    <w:rPr>
                      <w:rFonts w:hint="eastAsia" w:cs="Times New Roman"/>
                      <w:color w:val="auto"/>
                      <w:lang w:val="en-US" w:eastAsia="zh-CN"/>
                    </w:rPr>
                    <w:t>4</w:t>
                  </w:r>
                  <w:r>
                    <w:rPr>
                      <w:rFonts w:hint="default" w:ascii="Times New Roman" w:hAnsi="Times New Roman" w:eastAsia="宋体" w:cs="Times New Roman"/>
                      <w:color w:val="auto"/>
                      <w:lang w:val="en-US" w:eastAsia="zh-CN"/>
                    </w:rPr>
                    <w:t>。</w:t>
                  </w:r>
                </w:p>
              </w:tc>
              <w:tc>
                <w:tcPr>
                  <w:tcW w:w="1042" w:type="dxa"/>
                  <w:noWrap w:val="0"/>
                  <w:vAlign w:val="center"/>
                </w:tcPr>
                <w:p>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384"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708" w:type="dxa"/>
                  <w:noWrap w:val="0"/>
                  <w:vAlign w:val="center"/>
                </w:tcPr>
                <w:p>
                  <w:pPr>
                    <w:pStyle w:val="82"/>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功能分区</w:t>
                  </w:r>
                </w:p>
              </w:tc>
              <w:tc>
                <w:tcPr>
                  <w:tcW w:w="2994"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在空间结构的基础上，结合交通路网、用地性质及产业发展等，将月河南岸片区进一步划分为</w:t>
                  </w:r>
                  <w:r>
                    <w:rPr>
                      <w:rFonts w:hint="default" w:ascii="Times New Roman" w:hAnsi="Times New Roman" w:eastAsia="宋体" w:cs="Times New Roman"/>
                      <w:b/>
                      <w:bCs/>
                      <w:color w:val="auto"/>
                      <w:sz w:val="21"/>
                      <w:szCs w:val="21"/>
                      <w:highlight w:val="none"/>
                      <w:lang w:val="en-US" w:eastAsia="zh-CN"/>
                    </w:rPr>
                    <w:t>智能制造区</w:t>
                  </w:r>
                  <w:r>
                    <w:rPr>
                      <w:rFonts w:hint="default" w:ascii="Times New Roman" w:hAnsi="Times New Roman" w:eastAsia="宋体" w:cs="Times New Roman"/>
                      <w:color w:val="auto"/>
                      <w:sz w:val="21"/>
                      <w:szCs w:val="21"/>
                      <w:highlight w:val="none"/>
                      <w:lang w:val="en-US" w:eastAsia="zh-CN"/>
                    </w:rPr>
                    <w:t>、活力宜居</w:t>
                  </w:r>
                </w:p>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区、健康颐养区、门户会客区、滨水休闲区和生态防护区等5大功能分区。</w:t>
                  </w:r>
                </w:p>
              </w:tc>
              <w:tc>
                <w:tcPr>
                  <w:tcW w:w="2371" w:type="dxa"/>
                  <w:noWrap w:val="0"/>
                  <w:vAlign w:val="center"/>
                </w:tcPr>
                <w:p>
                  <w:pPr>
                    <w:pStyle w:val="82"/>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本项目位于月河南岸片区</w:t>
                  </w:r>
                  <w:r>
                    <w:rPr>
                      <w:rFonts w:hint="default" w:ascii="Times New Roman" w:hAnsi="Times New Roman" w:eastAsia="宋体" w:cs="Times New Roman"/>
                      <w:b/>
                      <w:bCs/>
                      <w:color w:val="auto"/>
                      <w:sz w:val="21"/>
                      <w:szCs w:val="21"/>
                      <w:highlight w:val="none"/>
                      <w:lang w:val="en-US" w:eastAsia="zh-CN"/>
                    </w:rPr>
                    <w:t>智能制造区</w:t>
                  </w:r>
                  <w:r>
                    <w:rPr>
                      <w:rFonts w:hint="default" w:ascii="Times New Roman" w:hAnsi="Times New Roman" w:eastAsia="宋体" w:cs="Times New Roman"/>
                      <w:color w:val="auto"/>
                      <w:sz w:val="21"/>
                      <w:szCs w:val="21"/>
                      <w:highlight w:val="none"/>
                      <w:lang w:val="en-US" w:eastAsia="zh-CN"/>
                    </w:rPr>
                    <w:t>详见附图</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p>
              </w:tc>
              <w:tc>
                <w:tcPr>
                  <w:tcW w:w="1042" w:type="dxa"/>
                  <w:noWrap w:val="0"/>
                  <w:vAlign w:val="center"/>
                </w:tcPr>
                <w:p>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384"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708"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智能制造区定位</w:t>
                  </w:r>
                </w:p>
              </w:tc>
              <w:tc>
                <w:tcPr>
                  <w:tcW w:w="2994"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以经济总部为核心，将生产制造轴、创新智慧研发轴有机串联，形成一心、三轴的规划结构，多业态融合发展，打造智能制造发展高地。</w:t>
                  </w:r>
                </w:p>
              </w:tc>
              <w:tc>
                <w:tcPr>
                  <w:tcW w:w="2371" w:type="dxa"/>
                  <w:noWrap w:val="0"/>
                  <w:vAlign w:val="center"/>
                </w:tcPr>
                <w:p>
                  <w:pPr>
                    <w:pStyle w:val="82"/>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本项目位于以月河南岸智能制造为核心发展主轴上。</w:t>
                  </w:r>
                </w:p>
              </w:tc>
              <w:tc>
                <w:tcPr>
                  <w:tcW w:w="1042" w:type="dxa"/>
                  <w:noWrap w:val="0"/>
                  <w:vAlign w:val="center"/>
                </w:tcPr>
                <w:p>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相符</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黑体" w:cs="Times New Roman"/>
                <w:b/>
                <w:bCs/>
                <w:color w:val="auto"/>
                <w:kern w:val="2"/>
                <w:sz w:val="30"/>
                <w:szCs w:val="32"/>
                <w:highlight w:val="none"/>
                <w:lang w:val="en-US" w:eastAsia="zh-CN" w:bidi="ar-SA"/>
              </w:rPr>
            </w:pPr>
            <w:r>
              <w:rPr>
                <w:rFonts w:hint="default" w:ascii="Times New Roman" w:hAnsi="Times New Roman" w:eastAsia="宋体" w:cs="Times New Roman"/>
                <w:color w:val="auto"/>
                <w:szCs w:val="32"/>
                <w:lang w:val="en-US" w:eastAsia="zh-CN"/>
              </w:rPr>
              <w:t>由上表可知，</w:t>
            </w:r>
            <w:r>
              <w:rPr>
                <w:rFonts w:hint="eastAsia" w:cs="Times New Roman"/>
                <w:color w:val="auto"/>
                <w:szCs w:val="32"/>
                <w:lang w:val="en-US" w:eastAsia="zh-CN"/>
              </w:rPr>
              <w:t>本</w:t>
            </w:r>
            <w:r>
              <w:rPr>
                <w:rFonts w:hint="default" w:ascii="Times New Roman" w:hAnsi="Times New Roman" w:eastAsia="宋体" w:cs="Times New Roman"/>
                <w:color w:val="auto"/>
                <w:szCs w:val="32"/>
                <w:lang w:val="en-US" w:eastAsia="zh-CN"/>
              </w:rPr>
              <w:t>项目与</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安康市恒口示范区（试验区）</w:t>
            </w:r>
            <w:r>
              <w:rPr>
                <w:rFonts w:hint="default" w:ascii="Times New Roman" w:hAnsi="Times New Roman" w:cs="Times New Roman"/>
                <w:color w:val="auto"/>
                <w:lang w:val="en-US" w:eastAsia="zh-CN"/>
              </w:rPr>
              <w:t>总体规划（201</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-203</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年）》</w:t>
            </w:r>
            <w:r>
              <w:rPr>
                <w:rFonts w:hint="eastAsia" w:cs="Times New Roman"/>
                <w:color w:val="auto"/>
                <w:lang w:val="en-US" w:eastAsia="zh-CN"/>
              </w:rPr>
              <w:t>和</w:t>
            </w:r>
            <w:r>
              <w:rPr>
                <w:rFonts w:hint="default" w:ascii="Times New Roman" w:hAnsi="Times New Roman" w:eastAsia="宋体" w:cs="Times New Roman"/>
                <w:color w:val="auto"/>
                <w:szCs w:val="32"/>
                <w:lang w:val="en-US" w:eastAsia="zh-CN"/>
              </w:rPr>
              <w:t>《月河南岸片区总体设计》（2021-2035）的规划要求</w:t>
            </w:r>
            <w:r>
              <w:rPr>
                <w:rFonts w:hint="eastAsia" w:cs="Times New Roman"/>
                <w:color w:val="auto"/>
                <w:szCs w:val="32"/>
                <w:lang w:val="en-US" w:eastAsia="zh-CN"/>
              </w:rPr>
              <w:t>相符</w:t>
            </w:r>
            <w:r>
              <w:rPr>
                <w:rFonts w:hint="default" w:ascii="Times New Roman" w:hAnsi="Times New Roman" w:eastAsia="宋体" w:cs="Times New Roman"/>
                <w:color w:val="auto"/>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0" w:hRule="atLeast"/>
          <w:jc w:val="center"/>
        </w:trPr>
        <w:tc>
          <w:tcPr>
            <w:tcW w:w="1488" w:type="dxa"/>
            <w:tcBorders>
              <w:bottom w:val="single" w:color="auto" w:sz="8" w:space="0"/>
            </w:tcBorders>
            <w:noWrap w:val="0"/>
            <w:vAlign w:val="center"/>
          </w:tcPr>
          <w:p>
            <w:pPr>
              <w:adjustRightInd w:val="0"/>
              <w:snapToGrid w:val="0"/>
              <w:spacing w:line="4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其他符合性分析</w:t>
            </w:r>
          </w:p>
        </w:tc>
        <w:tc>
          <w:tcPr>
            <w:tcW w:w="7653" w:type="dxa"/>
            <w:gridSpan w:val="3"/>
            <w:tcBorders>
              <w:bottom w:val="single" w:color="auto" w:sz="8" w:space="0"/>
            </w:tcBorders>
            <w:noWrap w:val="0"/>
            <w:vAlign w:val="top"/>
          </w:tcPr>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项目产业政策的符合性</w:t>
            </w:r>
          </w:p>
          <w:p>
            <w:pPr>
              <w:keepNext w:val="0"/>
              <w:keepLines w:val="0"/>
              <w:widowControl/>
              <w:suppressLineNumbers w:val="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本项目属于废弃资源综合利用业，</w:t>
            </w:r>
            <w:r>
              <w:rPr>
                <w:rFonts w:hint="default" w:ascii="Times New Roman" w:hAnsi="Times New Roman" w:eastAsia="宋体" w:cs="Times New Roman"/>
                <w:color w:val="auto"/>
                <w:sz w:val="24"/>
                <w:szCs w:val="24"/>
                <w:lang w:val="en-US" w:eastAsia="zh-CN"/>
              </w:rPr>
              <w:t>2024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日项目经</w:t>
            </w:r>
            <w:r>
              <w:rPr>
                <w:rFonts w:hint="default" w:ascii="Times New Roman" w:hAnsi="Times New Roman" w:eastAsia="宋体" w:cs="Times New Roman"/>
                <w:color w:val="auto"/>
                <w:sz w:val="24"/>
                <w:szCs w:val="24"/>
                <w:lang w:val="en-US" w:eastAsia="zh-CN"/>
              </w:rPr>
              <w:t>安康市恒口示范区</w:t>
            </w:r>
            <w:r>
              <w:rPr>
                <w:rFonts w:hint="default" w:ascii="Times New Roman" w:hAnsi="Times New Roman" w:eastAsia="宋体" w:cs="Times New Roman"/>
                <w:color w:val="auto"/>
                <w:sz w:val="24"/>
                <w:szCs w:val="24"/>
              </w:rPr>
              <w:t>经济发展和招商局审核通过</w:t>
            </w:r>
            <w:r>
              <w:rPr>
                <w:rFonts w:hint="default"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rPr>
              <w:t>取得了《陕西省企业投资项目备案确认书》（详见附件</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），项目代码：</w:t>
            </w:r>
            <w:r>
              <w:rPr>
                <w:rFonts w:hint="default" w:ascii="Times New Roman" w:hAnsi="Times New Roman" w:eastAsia="宋体" w:cs="Times New Roman"/>
                <w:color w:val="auto"/>
                <w:sz w:val="24"/>
                <w:szCs w:val="24"/>
                <w:lang w:val="en-US" w:eastAsia="zh-CN"/>
              </w:rPr>
              <w:t>2403-610962-04-01-675676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对照</w:t>
            </w:r>
            <w:r>
              <w:rPr>
                <w:rFonts w:hint="default" w:ascii="Times New Roman" w:hAnsi="Times New Roman" w:eastAsia="宋体" w:cs="Times New Roman"/>
                <w:color w:val="auto"/>
                <w:sz w:val="24"/>
                <w:szCs w:val="24"/>
              </w:rPr>
              <w:t>《产业结构调整指导目录（20</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年本）》，本项目</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b/>
                <w:bCs/>
                <w:color w:val="auto"/>
                <w:sz w:val="24"/>
                <w:szCs w:val="24"/>
                <w:u w:val="single"/>
                <w:lang w:val="en-US" w:eastAsia="zh-CN"/>
              </w:rPr>
              <w:t>“鼓励类—</w:t>
            </w:r>
            <w:r>
              <w:rPr>
                <w:rFonts w:hint="default" w:ascii="Times New Roman" w:hAnsi="Times New Roman" w:eastAsia="宋体" w:cs="Times New Roman"/>
                <w:b/>
                <w:bCs/>
                <w:color w:val="auto"/>
                <w:sz w:val="24"/>
                <w:szCs w:val="24"/>
                <w:u w:val="single"/>
              </w:rPr>
              <w:t>第四十</w:t>
            </w:r>
            <w:r>
              <w:rPr>
                <w:rFonts w:hint="eastAsia" w:eastAsia="宋体" w:cs="Times New Roman"/>
                <w:b/>
                <w:bCs/>
                <w:color w:val="auto"/>
                <w:sz w:val="24"/>
                <w:szCs w:val="24"/>
                <w:u w:val="single"/>
                <w:lang w:val="en-US" w:eastAsia="zh-CN"/>
              </w:rPr>
              <w:t>二</w:t>
            </w:r>
            <w:r>
              <w:rPr>
                <w:rFonts w:hint="default" w:ascii="Times New Roman" w:hAnsi="Times New Roman" w:eastAsia="宋体" w:cs="Times New Roman"/>
                <w:b/>
                <w:bCs/>
                <w:color w:val="auto"/>
                <w:sz w:val="24"/>
                <w:szCs w:val="24"/>
                <w:u w:val="single"/>
                <w:lang w:eastAsia="zh-CN"/>
              </w:rPr>
              <w:t>—</w:t>
            </w:r>
            <w:r>
              <w:rPr>
                <w:rFonts w:hint="default" w:ascii="Times New Roman" w:hAnsi="Times New Roman" w:eastAsia="宋体" w:cs="Times New Roman"/>
                <w:b/>
                <w:bCs/>
                <w:color w:val="auto"/>
                <w:sz w:val="24"/>
                <w:szCs w:val="24"/>
                <w:u w:val="single"/>
              </w:rPr>
              <w:t>环境保护与资源节约综合利用，第</w:t>
            </w:r>
            <w:r>
              <w:rPr>
                <w:rFonts w:hint="eastAsia" w:ascii="Times New Roman" w:hAnsi="Times New Roman" w:eastAsia="宋体" w:cs="Times New Roman"/>
                <w:b/>
                <w:bCs/>
                <w:color w:val="auto"/>
                <w:sz w:val="24"/>
                <w:szCs w:val="24"/>
                <w:u w:val="single"/>
                <w:lang w:val="en-US" w:eastAsia="zh-CN"/>
              </w:rPr>
              <w:t>8</w:t>
            </w:r>
            <w:r>
              <w:rPr>
                <w:rFonts w:hint="default" w:ascii="Times New Roman" w:hAnsi="Times New Roman" w:eastAsia="宋体" w:cs="Times New Roman"/>
                <w:b/>
                <w:bCs/>
                <w:color w:val="auto"/>
                <w:sz w:val="24"/>
                <w:szCs w:val="24"/>
                <w:u w:val="single"/>
                <w:lang w:val="en-US" w:eastAsia="zh-CN"/>
              </w:rPr>
              <w:t>废弃物循环利用</w:t>
            </w:r>
            <w:r>
              <w:rPr>
                <w:rFonts w:hint="eastAsia" w:ascii="Times New Roman" w:hAnsi="Times New Roman" w:eastAsia="宋体" w:cs="Times New Roman"/>
                <w:b/>
                <w:bCs/>
                <w:color w:val="auto"/>
                <w:sz w:val="24"/>
                <w:szCs w:val="24"/>
                <w:u w:val="single"/>
                <w:lang w:val="en-US" w:eastAsia="zh-CN"/>
              </w:rPr>
              <w:t>：</w:t>
            </w:r>
            <w:r>
              <w:rPr>
                <w:rFonts w:hint="default" w:ascii="Times New Roman" w:hAnsi="Times New Roman" w:eastAsia="宋体" w:cs="Times New Roman"/>
                <w:b/>
                <w:bCs/>
                <w:color w:val="auto"/>
                <w:sz w:val="24"/>
                <w:szCs w:val="24"/>
                <w:u w:val="single"/>
              </w:rPr>
              <w:t>废塑料、废旧纺织品及纺织废料和边角料</w:t>
            </w:r>
            <w:r>
              <w:rPr>
                <w:rFonts w:hint="default" w:ascii="Times New Roman" w:hAnsi="Times New Roman" w:eastAsia="宋体" w:cs="Times New Roman"/>
                <w:b/>
                <w:bCs/>
                <w:color w:val="auto"/>
                <w:sz w:val="24"/>
                <w:szCs w:val="24"/>
                <w:u w:val="single"/>
                <w:lang w:val="en-US" w:eastAsia="zh-CN"/>
              </w:rPr>
              <w:t>”</w:t>
            </w:r>
            <w:r>
              <w:rPr>
                <w:rFonts w:hint="eastAsia" w:eastAsia="宋体" w:cs="Times New Roman"/>
                <w:b/>
                <w:bCs/>
                <w:color w:val="auto"/>
                <w:sz w:val="24"/>
                <w:szCs w:val="24"/>
                <w:u w:val="single"/>
                <w:lang w:val="en-US" w:eastAsia="zh-CN"/>
              </w:rPr>
              <w:t>。</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对照《市场准入负面清单（2022年版）》内容，不属于禁止类事项；对照《陕西省限制投资类指导目录（陕发改产业〔2007〕97号）》内容，不属于限制投资类产业</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对照《环境保护综合名录（2021年版）》内容，不属于“高污染、高环境风险”项目</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综上所述，本项目符合国家和地方产业政策要求。</w:t>
            </w:r>
          </w:p>
          <w:p>
            <w:pPr>
              <w:pStyle w:val="4"/>
              <w:bidi w:val="0"/>
              <w:rPr>
                <w:rFonts w:hint="default" w:ascii="Times New Roman" w:hAnsi="Times New Roman" w:cs="Times New Roman"/>
                <w:color w:val="auto"/>
                <w:lang w:val="en-US" w:eastAsia="zh-CN"/>
              </w:rPr>
            </w:pPr>
            <w:bookmarkStart w:id="5" w:name="_Toc30700"/>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选址可行性分析</w:t>
            </w:r>
            <w:bookmarkEnd w:id="5"/>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6" w:name="_Toc16584"/>
            <w:bookmarkStart w:id="7" w:name="_Toc28906"/>
            <w:bookmarkStart w:id="8" w:name="_Toc31735"/>
            <w:bookmarkStart w:id="9" w:name="_Toc29685"/>
            <w:bookmarkStart w:id="10" w:name="_Toc16412"/>
            <w:bookmarkStart w:id="11" w:name="_Toc5997"/>
            <w:bookmarkStart w:id="12" w:name="_Toc13263"/>
            <w:bookmarkStart w:id="13" w:name="_Toc12582"/>
            <w:bookmarkStart w:id="14" w:name="OLE_LINK116"/>
            <w:r>
              <w:rPr>
                <w:rFonts w:hint="default"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.1项目用地分析</w:t>
            </w:r>
            <w:bookmarkEnd w:id="6"/>
            <w:bookmarkEnd w:id="7"/>
            <w:bookmarkEnd w:id="8"/>
            <w:bookmarkEnd w:id="9"/>
            <w:bookmarkEnd w:id="10"/>
            <w:bookmarkEnd w:id="11"/>
            <w:bookmarkEnd w:id="12"/>
            <w:bookmarkEnd w:id="13"/>
          </w:p>
          <w:bookmarkEnd w:id="14"/>
          <w:p>
            <w:pPr>
              <w:spacing w:line="360" w:lineRule="auto"/>
              <w:ind w:firstLine="480"/>
              <w:rPr>
                <w:rFonts w:hint="default" w:ascii="Times New Roman" w:hAnsi="Times New Roman" w:cs="Times New Roman"/>
                <w:b/>
                <w:bCs/>
                <w:color w:val="auto"/>
                <w:u w:val="single"/>
                <w:lang w:val="en-US" w:eastAsia="zh-CN"/>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val="en-US" w:eastAsia="zh-CN"/>
              </w:rPr>
              <w:t>安康安贝斯玩具产业链孵化园内</w:t>
            </w:r>
            <w:r>
              <w:rPr>
                <w:rFonts w:hint="default" w:ascii="Times New Roman" w:hAnsi="Times New Roman" w:eastAsia="宋体" w:cs="Times New Roman"/>
                <w:color w:val="auto"/>
              </w:rPr>
              <w:t>，用</w:t>
            </w:r>
            <w:r>
              <w:rPr>
                <w:rFonts w:hint="default" w:ascii="Times New Roman" w:hAnsi="Times New Roman" w:cs="Times New Roman"/>
                <w:color w:val="auto"/>
              </w:rPr>
              <w:t>地范围属于</w:t>
            </w:r>
            <w:r>
              <w:rPr>
                <w:rFonts w:hint="default" w:ascii="Times New Roman" w:hAnsi="Times New Roman" w:cs="Times New Roman"/>
                <w:color w:val="auto"/>
                <w:lang w:eastAsia="zh-CN"/>
              </w:rPr>
              <w:t>工业用地</w:t>
            </w:r>
            <w:r>
              <w:rPr>
                <w:rFonts w:hint="default" w:ascii="Times New Roman" w:hAnsi="Times New Roman" w:cs="Times New Roman"/>
                <w:color w:val="auto"/>
              </w:rPr>
              <w:t>，对照《限制用地项目目录（20</w:t>
            </w:r>
            <w:r>
              <w:rPr>
                <w:rFonts w:hint="default" w:ascii="Times New Roman" w:hAnsi="Times New Roman" w:cs="Times New Roman"/>
                <w:color w:val="auto"/>
                <w:lang w:val="en-US" w:eastAsia="zh-CN"/>
              </w:rPr>
              <w:t>22</w:t>
            </w:r>
            <w:r>
              <w:rPr>
                <w:rFonts w:hint="default" w:ascii="Times New Roman" w:hAnsi="Times New Roman" w:cs="Times New Roman"/>
                <w:color w:val="auto"/>
              </w:rPr>
              <w:t>）年本》和《禁止用地项目目录（20</w:t>
            </w:r>
            <w:r>
              <w:rPr>
                <w:rFonts w:hint="default" w:ascii="Times New Roman" w:hAnsi="Times New Roman" w:cs="Times New Roman"/>
                <w:color w:val="auto"/>
                <w:lang w:val="en-US" w:eastAsia="zh-CN"/>
              </w:rPr>
              <w:t>22</w:t>
            </w:r>
            <w:r>
              <w:rPr>
                <w:rFonts w:hint="default" w:ascii="Times New Roman" w:hAnsi="Times New Roman" w:cs="Times New Roman"/>
                <w:color w:val="auto"/>
              </w:rPr>
              <w:t>）年本》，本项目不属于限制或禁止用地项目，符合国家土地供应政策。</w:t>
            </w:r>
            <w:r>
              <w:rPr>
                <w:rFonts w:hint="default" w:ascii="Times New Roman" w:hAnsi="Times New Roman" w:cs="Times New Roman"/>
                <w:color w:val="auto"/>
                <w:lang w:val="en-US" w:eastAsia="zh-CN"/>
              </w:rPr>
              <w:t>根据《安康市国土空间总体规划（2021-2035）》项目用地范围属于城镇开发边界范围内，土地规划用途为一类工业用地</w:t>
            </w:r>
            <w:r>
              <w:rPr>
                <w:rFonts w:hint="default" w:ascii="Times New Roman" w:hAnsi="Times New Roman" w:cs="Times New Roman"/>
                <w:color w:val="auto"/>
                <w:shd w:val="clear" w:color="auto" w:fill="auto"/>
                <w:lang w:val="en-US" w:eastAsia="zh-CN"/>
              </w:rPr>
              <w:t>（详见附图</w:t>
            </w:r>
            <w:r>
              <w:rPr>
                <w:rFonts w:hint="eastAsia" w:cs="Times New Roman"/>
                <w:color w:val="auto"/>
                <w:shd w:val="clear" w:color="auto" w:fill="auto"/>
                <w:lang w:val="en-US" w:eastAsia="zh-CN"/>
              </w:rPr>
              <w:t>4</w:t>
            </w:r>
            <w:r>
              <w:rPr>
                <w:rFonts w:hint="eastAsia"/>
                <w:lang w:val="en-US" w:eastAsia="zh-CN"/>
              </w:rPr>
              <w:t>及附件4</w:t>
            </w:r>
            <w:r>
              <w:rPr>
                <w:rFonts w:hint="default" w:ascii="Times New Roman" w:hAnsi="Times New Roman" w:cs="Times New Roman"/>
                <w:color w:val="auto"/>
                <w:shd w:val="clear" w:color="auto" w:fill="FFFFFF"/>
                <w:lang w:val="en-US" w:eastAsia="zh-CN"/>
              </w:rPr>
              <w:t>）</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rPr>
              <w:t>《月河南岸片区总体设计》</w:t>
            </w:r>
            <w:r>
              <w:rPr>
                <w:rFonts w:hint="default" w:ascii="Times New Roman" w:hAnsi="Times New Roman" w:eastAsia="宋体" w:cs="Times New Roman"/>
                <w:color w:val="auto"/>
                <w:lang w:val="en-US" w:eastAsia="zh-CN"/>
              </w:rPr>
              <w:t>，项目属于恒口示范区月河南岸片区。</w:t>
            </w:r>
            <w:r>
              <w:rPr>
                <w:rFonts w:hint="default" w:ascii="Times New Roman" w:hAnsi="Times New Roman" w:cs="Times New Roman"/>
                <w:color w:val="auto"/>
                <w:lang w:val="en-US" w:eastAsia="zh-CN"/>
              </w:rPr>
              <w:t>本项目建设与区域规划</w:t>
            </w:r>
            <w:r>
              <w:rPr>
                <w:rFonts w:hint="default" w:ascii="Times New Roman" w:hAnsi="Times New Roman" w:cs="Times New Roman"/>
                <w:b/>
                <w:bCs/>
                <w:color w:val="auto"/>
                <w:u w:val="single"/>
                <w:lang w:val="en-US" w:eastAsia="zh-CN"/>
              </w:rPr>
              <w:t>相符</w:t>
            </w:r>
            <w:r>
              <w:rPr>
                <w:rFonts w:hint="default" w:ascii="Times New Roman" w:hAnsi="Times New Roman" w:cs="Times New Roman"/>
                <w:b/>
                <w:bCs/>
                <w:color w:val="auto"/>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15" w:name="_Toc24976"/>
            <w:bookmarkStart w:id="16" w:name="_Toc3462"/>
            <w:r>
              <w:rPr>
                <w:rFonts w:hint="default"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.2环境敏感性</w:t>
            </w:r>
            <w:bookmarkEnd w:id="15"/>
            <w:bookmarkEnd w:id="16"/>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根据现场勘查，</w:t>
            </w:r>
            <w:r>
              <w:rPr>
                <w:rFonts w:hint="default" w:ascii="Times New Roman" w:hAnsi="Times New Roman" w:cs="Times New Roman"/>
                <w:color w:val="auto"/>
                <w:lang w:val="en-US" w:eastAsia="zh-CN"/>
              </w:rPr>
              <w:t>本</w:t>
            </w:r>
            <w:r>
              <w:rPr>
                <w:rFonts w:hint="default" w:ascii="Times New Roman" w:hAnsi="Times New Roman" w:cs="Times New Roman"/>
                <w:color w:val="auto"/>
              </w:rPr>
              <w:t>项目用地属于秦岭生态保护区的一般保护区范围内，不涉及占用核心保护区和重点保护区，对照《陕西省秦岭重点保护区一般保护区产业准入清单（试行）》（陕发改秦岭〔2021〕468号），项目</w:t>
            </w:r>
            <w:r>
              <w:rPr>
                <w:rFonts w:hint="default" w:ascii="Times New Roman" w:hAnsi="Times New Roman" w:cs="Times New Roman"/>
                <w:color w:val="auto"/>
                <w:lang w:val="en-US" w:eastAsia="zh-CN"/>
              </w:rPr>
              <w:t>不在上述</w:t>
            </w:r>
            <w:r>
              <w:rPr>
                <w:rFonts w:hint="default" w:ascii="Times New Roman" w:hAnsi="Times New Roman" w:cs="Times New Roman"/>
                <w:color w:val="auto"/>
              </w:rPr>
              <w:t>准入清单内，</w:t>
            </w:r>
            <w:r>
              <w:rPr>
                <w:rFonts w:hint="default" w:ascii="Times New Roman" w:hAnsi="Times New Roman" w:cs="Times New Roman"/>
                <w:color w:val="auto"/>
                <w:lang w:val="en-US" w:eastAsia="zh-CN"/>
              </w:rPr>
              <w:t>不属于高污染、高耗能、高排放落后产能，项目可实施。项目所在区域不涉及其他</w:t>
            </w:r>
            <w:r>
              <w:rPr>
                <w:rFonts w:hint="default" w:ascii="Times New Roman" w:hAnsi="Times New Roman" w:cs="Times New Roman"/>
                <w:color w:val="auto"/>
              </w:rPr>
              <w:t>森林公园、风景名胜区、世界文化自然遗产、地质公园等禁止开发的生态保护红线、重点保护生态红</w:t>
            </w:r>
            <w:r>
              <w:rPr>
                <w:rFonts w:hint="default" w:ascii="Times New Roman" w:hAnsi="Times New Roman" w:cs="Times New Roman"/>
                <w:color w:val="auto"/>
                <w:shd w:val="clear" w:color="auto" w:fill="auto"/>
              </w:rPr>
              <w:t>线以及脆弱生态保护红线区，项目建设不会占用生态红线保护</w:t>
            </w:r>
            <w:r>
              <w:rPr>
                <w:rFonts w:hint="default" w:ascii="Times New Roman" w:hAnsi="Times New Roman" w:cs="Times New Roman"/>
                <w:color w:val="auto"/>
                <w:highlight w:val="none"/>
                <w:shd w:val="clear" w:color="auto" w:fill="auto"/>
              </w:rPr>
              <w:t>区（详见</w:t>
            </w:r>
            <w:r>
              <w:rPr>
                <w:rFonts w:hint="default" w:ascii="Times New Roman" w:hAnsi="Times New Roman" w:cs="Times New Roman"/>
                <w:color w:val="auto"/>
                <w:highlight w:val="none"/>
                <w:shd w:val="clear" w:color="auto" w:fill="auto"/>
                <w:lang w:val="en-US" w:eastAsia="zh-CN"/>
              </w:rPr>
              <w:t>图1-1</w:t>
            </w:r>
            <w:r>
              <w:rPr>
                <w:rFonts w:hint="default" w:ascii="Times New Roman" w:hAnsi="Times New Roman" w:cs="Times New Roman"/>
                <w:color w:val="auto"/>
                <w:highlight w:val="none"/>
                <w:shd w:val="clear" w:color="auto" w:fill="auto"/>
              </w:rPr>
              <w:t>）。项目50</w:t>
            </w:r>
            <w:r>
              <w:rPr>
                <w:rFonts w:hint="default" w:ascii="Times New Roman" w:hAnsi="Times New Roman" w:cs="Times New Roman"/>
                <w:color w:val="auto"/>
                <w:shd w:val="clear" w:color="auto" w:fill="auto"/>
              </w:rPr>
              <w:t>m范围</w:t>
            </w:r>
            <w:r>
              <w:rPr>
                <w:rFonts w:hint="default" w:ascii="Times New Roman" w:hAnsi="Times New Roman" w:cs="Times New Roman"/>
                <w:color w:val="auto"/>
                <w:shd w:val="clear" w:color="auto" w:fill="auto"/>
                <w:lang w:val="en-US" w:eastAsia="zh-CN"/>
              </w:rPr>
              <w:t>无</w:t>
            </w:r>
            <w:r>
              <w:rPr>
                <w:rFonts w:hint="default" w:ascii="Times New Roman" w:hAnsi="Times New Roman" w:cs="Times New Roman"/>
                <w:color w:val="auto"/>
                <w:shd w:val="clear" w:color="auto" w:fill="auto"/>
              </w:rPr>
              <w:t>声环境敏感目标（居民），边界外延500m范围内大气环</w:t>
            </w:r>
            <w:r>
              <w:rPr>
                <w:rFonts w:hint="default" w:ascii="Times New Roman" w:hAnsi="Times New Roman" w:cs="Times New Roman"/>
                <w:color w:val="auto"/>
              </w:rPr>
              <w:t>境目标</w:t>
            </w:r>
            <w:r>
              <w:rPr>
                <w:rFonts w:hint="default" w:ascii="Times New Roman" w:hAnsi="Times New Roman" w:eastAsia="宋体" w:cs="Times New Roman"/>
                <w:color w:val="auto"/>
                <w:shd w:val="clear" w:color="auto" w:fill="auto"/>
              </w:rPr>
              <w:t>为居民</w:t>
            </w:r>
            <w:r>
              <w:rPr>
                <w:rFonts w:hint="default" w:ascii="Times New Roman" w:hAnsi="Times New Roman" w:eastAsia="宋体" w:cs="Times New Roman"/>
                <w:color w:val="auto"/>
                <w:shd w:val="clear" w:color="auto" w:fill="auto"/>
                <w:lang w:val="en-US" w:eastAsia="zh-CN"/>
              </w:rPr>
              <w:t>和恒口建安九年制学校师生</w:t>
            </w:r>
            <w:r>
              <w:rPr>
                <w:rFonts w:hint="default" w:ascii="Times New Roman" w:hAnsi="Times New Roman" w:eastAsia="宋体" w:cs="Times New Roman"/>
                <w:color w:val="auto"/>
                <w:shd w:val="clear" w:color="auto" w:fill="auto"/>
              </w:rPr>
              <w:t>。</w:t>
            </w:r>
            <w:r>
              <w:rPr>
                <w:rFonts w:hint="default" w:ascii="Times New Roman" w:hAnsi="Times New Roman" w:cs="Times New Roman"/>
                <w:color w:val="auto"/>
              </w:rPr>
              <w:t>项目在落实环评提出的相关环保措施后，污染物能实现达标排放，对周围环境影响较小。</w:t>
            </w:r>
          </w:p>
          <w:p>
            <w:pPr>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经查本项目无危险废物利用和产生，生产过程仅产生粉尘，产生的固体废物去向明确</w:t>
            </w:r>
            <w:r>
              <w:rPr>
                <w:rFonts w:hint="default" w:ascii="Times New Roman" w:hAnsi="Times New Roman" w:eastAsia="宋体" w:cs="Times New Roman"/>
                <w:color w:val="auto"/>
                <w:shd w:val="clear" w:color="auto" w:fill="auto"/>
                <w:lang w:val="en-US" w:eastAsia="zh-CN"/>
              </w:rPr>
              <w:t>，不会</w:t>
            </w:r>
            <w:r>
              <w:rPr>
                <w:rFonts w:hint="eastAsia" w:ascii="Times New Roman" w:hAnsi="Times New Roman" w:eastAsia="宋体" w:cs="Times New Roman"/>
                <w:color w:val="auto"/>
                <w:shd w:val="clear" w:color="auto" w:fill="auto"/>
                <w:lang w:val="en-US" w:eastAsia="zh-CN"/>
              </w:rPr>
              <w:t>对</w:t>
            </w:r>
            <w:r>
              <w:rPr>
                <w:rFonts w:hint="default" w:ascii="Times New Roman" w:hAnsi="Times New Roman" w:eastAsia="宋体" w:cs="Times New Roman"/>
                <w:color w:val="auto"/>
                <w:shd w:val="clear" w:color="auto" w:fill="auto"/>
                <w:lang w:val="en-US" w:eastAsia="zh-CN"/>
              </w:rPr>
              <w:t>项目居民产生明</w:t>
            </w:r>
            <w:r>
              <w:rPr>
                <w:rFonts w:hint="default" w:ascii="Times New Roman" w:hAnsi="Times New Roman" w:cs="Times New Roman"/>
                <w:color w:val="auto"/>
                <w:lang w:val="en-US" w:eastAsia="zh-CN"/>
              </w:rPr>
              <w:t>显环境不利影响，环境敏感性一般。</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17" w:name="_Toc29062"/>
            <w:bookmarkStart w:id="18" w:name="_Toc24528"/>
            <w:r>
              <w:rPr>
                <w:rFonts w:hint="default"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与</w:t>
            </w:r>
            <w:r>
              <w:rPr>
                <w:rFonts w:hint="default" w:ascii="Times New Roman" w:hAnsi="Times New Roman" w:eastAsia="宋体" w:cs="Times New Roman"/>
                <w:b/>
                <w:bCs/>
                <w:color w:val="auto"/>
                <w:highlight w:val="none"/>
                <w:lang w:val="en-US" w:eastAsia="zh-CN"/>
              </w:rPr>
              <w:t>环境功能区划的一致性</w:t>
            </w:r>
            <w:bookmarkEnd w:id="17"/>
            <w:bookmarkEnd w:id="18"/>
          </w:p>
          <w:p>
            <w:pPr>
              <w:spacing w:line="360" w:lineRule="auto"/>
              <w:ind w:firstLine="480"/>
              <w:rPr>
                <w:rFonts w:hint="default" w:ascii="Times New Roman" w:hAnsi="Times New Roman" w:cs="Times New Roman"/>
              </w:rPr>
            </w:pPr>
            <w:r>
              <w:rPr>
                <w:rFonts w:hint="default" w:ascii="Times New Roman" w:hAnsi="Times New Roman" w:cs="Times New Roman"/>
                <w:color w:val="auto"/>
              </w:rPr>
              <w:t>本项目所在区域环境空气质量执行《环境空气质量标准》</w:t>
            </w:r>
            <w:r>
              <w:rPr>
                <w:rFonts w:hint="default" w:ascii="Times New Roman" w:hAnsi="Times New Roman" w:cs="Times New Roman"/>
                <w:color w:val="auto"/>
                <w:lang w:eastAsia="zh-CN"/>
              </w:rPr>
              <w:t>（GB3095-2012）</w:t>
            </w:r>
            <w:r>
              <w:rPr>
                <w:rFonts w:hint="default" w:ascii="Times New Roman" w:hAnsi="Times New Roman" w:cs="Times New Roman"/>
                <w:color w:val="auto"/>
                <w:lang w:val="en-US" w:eastAsia="zh-CN"/>
              </w:rPr>
              <w:t>中</w:t>
            </w:r>
            <w:r>
              <w:rPr>
                <w:rFonts w:hint="default" w:ascii="Times New Roman" w:hAnsi="Times New Roman" w:cs="Times New Roman"/>
                <w:color w:val="auto"/>
              </w:rPr>
              <w:t>二级标准，地表水执行《地表水环境质量标准》</w:t>
            </w:r>
            <w:r>
              <w:rPr>
                <w:rFonts w:hint="default" w:ascii="Times New Roman" w:hAnsi="Times New Roman" w:cs="Times New Roman"/>
                <w:color w:val="auto"/>
                <w:lang w:eastAsia="zh-CN"/>
              </w:rPr>
              <w:t>（GB3838-2002）</w:t>
            </w:r>
            <w:r>
              <w:rPr>
                <w:rFonts w:hint="default" w:ascii="Times New Roman" w:hAnsi="Times New Roman" w:cs="Times New Roman"/>
                <w:color w:val="auto"/>
                <w:lang w:val="en-US" w:eastAsia="zh-CN"/>
              </w:rPr>
              <w:t>中Ⅱ</w:t>
            </w:r>
            <w:r>
              <w:rPr>
                <w:rFonts w:hint="default" w:ascii="Times New Roman" w:hAnsi="Times New Roman" w:cs="Times New Roman"/>
                <w:color w:val="auto"/>
              </w:rPr>
              <w:t>类标准，声环境执行《声环境质量标准》</w:t>
            </w:r>
            <w:r>
              <w:rPr>
                <w:rFonts w:hint="default" w:ascii="Times New Roman" w:hAnsi="Times New Roman" w:cs="Times New Roman"/>
                <w:color w:val="auto"/>
                <w:lang w:eastAsia="zh-CN"/>
              </w:rPr>
              <w:t>（GB3096-2008</w:t>
            </w:r>
            <w:r>
              <w:rPr>
                <w:rFonts w:hint="default" w:ascii="Times New Roman" w:hAnsi="Times New Roman" w:cs="Times New Roman"/>
                <w:color w:val="auto"/>
                <w:lang w:val="en-US" w:eastAsia="zh-CN"/>
              </w:rPr>
              <w:t>）中3</w:t>
            </w:r>
            <w:r>
              <w:rPr>
                <w:rFonts w:hint="default" w:ascii="Times New Roman" w:hAnsi="Times New Roman" w:cs="Times New Roman"/>
                <w:color w:val="auto"/>
              </w:rPr>
              <w:t>类标准。项目在落实环评提出的废气、噪声、固废生态措施后，对区域环境的影响较小，</w:t>
            </w:r>
            <w:r>
              <w:rPr>
                <w:rFonts w:hint="default" w:ascii="Times New Roman" w:hAnsi="Times New Roman" w:cs="Times New Roman"/>
                <w:color w:val="auto"/>
                <w:lang w:val="en-US" w:eastAsia="zh-CN"/>
              </w:rPr>
              <w:t>与</w:t>
            </w:r>
            <w:r>
              <w:rPr>
                <w:rFonts w:hint="default" w:ascii="Times New Roman" w:hAnsi="Times New Roman" w:cs="Times New Roman"/>
                <w:color w:val="auto"/>
              </w:rPr>
              <w:t>环境功能区划要求</w:t>
            </w:r>
            <w:r>
              <w:rPr>
                <w:rFonts w:hint="default" w:ascii="Times New Roman" w:hAnsi="Times New Roman" w:cs="Times New Roman"/>
                <w:b/>
                <w:bCs/>
                <w:color w:val="auto"/>
                <w:u w:val="single"/>
                <w:lang w:val="en-US" w:eastAsia="zh-CN"/>
              </w:rPr>
              <w:t>相符</w:t>
            </w:r>
            <w:r>
              <w:rPr>
                <w:rFonts w:hint="default" w:ascii="Times New Roman" w:hAnsi="Times New Roman" w:cs="Times New Roman"/>
                <w:color w:val="auto"/>
              </w:rPr>
              <w:t>。</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“三线一单”符合性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1.5.1</w:t>
            </w:r>
            <w:r>
              <w:rPr>
                <w:rFonts w:hint="default" w:ascii="Times New Roman" w:hAnsi="Times New Roman" w:eastAsia="宋体" w:cs="Times New Roman"/>
                <w:b/>
                <w:bCs/>
                <w:color w:val="auto"/>
                <w:highlight w:val="none"/>
                <w:lang w:val="en-US" w:eastAsia="zh-CN"/>
              </w:rPr>
              <w:t>“三线一单”符合性分析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szCs w:val="24"/>
              </w:rPr>
              <w:t>根据《关于以改善环境质量为核心加强环境影响评价管理的通知》（环环评〔2016〕150号）、《陕西省“三线一单”生态环境分区管控应用技术指南：环境影响评价（试行）》（陕环办发〔2022〕76号）和《安康市人民政府关于印发安康市“三线一单”生态环境分区管控方案的通知》（安政发〔2021〕18号），本项目“三线一单”符合情况见下表。</w:t>
            </w:r>
          </w:p>
          <w:p>
            <w:pPr>
              <w:adjustRightInd w:val="0"/>
              <w:snapToGrid w:val="0"/>
              <w:spacing w:line="40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w:t>
            </w:r>
            <w:r>
              <w:rPr>
                <w:rFonts w:hint="eastAsia" w:eastAsia="宋体"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项目与“三线一单”符合性分析表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76"/>
              <w:gridCol w:w="3040"/>
              <w:gridCol w:w="2458"/>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5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内容</w:t>
                  </w:r>
                </w:p>
              </w:tc>
              <w:tc>
                <w:tcPr>
                  <w:tcW w:w="203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要求</w:t>
                  </w:r>
                </w:p>
              </w:tc>
              <w:tc>
                <w:tcPr>
                  <w:tcW w:w="16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本项目情况</w:t>
                  </w:r>
                </w:p>
              </w:tc>
              <w:tc>
                <w:tcPr>
                  <w:tcW w:w="4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生态保护红线</w:t>
                  </w:r>
                </w:p>
              </w:tc>
              <w:tc>
                <w:tcPr>
                  <w:tcW w:w="203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16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项目位于</w:t>
                  </w:r>
                  <w:r>
                    <w:rPr>
                      <w:rFonts w:hint="default" w:ascii="Times New Roman" w:hAnsi="Times New Roman" w:eastAsia="宋体" w:cs="Times New Roman"/>
                      <w:color w:val="auto"/>
                      <w:sz w:val="21"/>
                      <w:szCs w:val="21"/>
                      <w:lang w:val="en-US" w:eastAsia="zh-CN"/>
                    </w:rPr>
                    <w:t>安康市恒口示范区</w:t>
                  </w:r>
                  <w:r>
                    <w:rPr>
                      <w:rFonts w:hint="default" w:ascii="Times New Roman" w:hAnsi="Times New Roman" w:eastAsia="宋体" w:cs="Times New Roman"/>
                      <w:color w:val="auto"/>
                      <w:sz w:val="21"/>
                      <w:szCs w:val="21"/>
                      <w:lang w:eastAsia="zh-CN"/>
                    </w:rPr>
                    <w:t>，项目用地性质属于</w:t>
                  </w:r>
                  <w:r>
                    <w:rPr>
                      <w:rFonts w:hint="default" w:ascii="Times New Roman" w:hAnsi="Times New Roman" w:eastAsia="宋体" w:cs="Times New Roman"/>
                      <w:color w:val="auto"/>
                      <w:sz w:val="21"/>
                      <w:szCs w:val="21"/>
                      <w:lang w:val="en-US" w:eastAsia="zh-CN"/>
                    </w:rPr>
                    <w:t>一级工业用地</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lang w:eastAsia="zh-CN"/>
                    </w:rPr>
                    <w:t>生态保护红线内</w:t>
                  </w:r>
                  <w:r>
                    <w:rPr>
                      <w:rFonts w:hint="eastAsia" w:eastAsia="宋体" w:cs="Times New Roman"/>
                      <w:color w:val="auto"/>
                      <w:sz w:val="21"/>
                      <w:szCs w:val="21"/>
                      <w:lang w:eastAsia="zh-CN"/>
                    </w:rPr>
                    <w:t>。</w:t>
                  </w:r>
                </w:p>
              </w:tc>
              <w:tc>
                <w:tcPr>
                  <w:tcW w:w="4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环境质量底线</w:t>
                  </w:r>
                </w:p>
              </w:tc>
              <w:tc>
                <w:tcPr>
                  <w:tcW w:w="203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环境质量现状超标地区以及未达到环境质量目标考核要求的地区上新项目将受到限制；对环境质量现状超标的地区，项目拟采取的措施不能满足区域环境质量改善目标管理要求的，依法不予审批其环评文件</w:t>
                  </w:r>
                  <w:r>
                    <w:rPr>
                      <w:rFonts w:hint="eastAsia" w:eastAsia="宋体" w:cs="Times New Roman"/>
                      <w:color w:val="auto"/>
                      <w:sz w:val="21"/>
                      <w:szCs w:val="21"/>
                      <w:lang w:eastAsia="zh-CN"/>
                    </w:rPr>
                    <w:t>。</w:t>
                  </w:r>
                </w:p>
              </w:tc>
              <w:tc>
                <w:tcPr>
                  <w:tcW w:w="16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本项目所在区域为</w:t>
                  </w:r>
                  <w:r>
                    <w:rPr>
                      <w:rFonts w:hint="default" w:ascii="Times New Roman" w:hAnsi="Times New Roman" w:eastAsia="宋体" w:cs="Times New Roman"/>
                      <w:color w:val="auto"/>
                      <w:sz w:val="21"/>
                      <w:szCs w:val="21"/>
                      <w:lang w:val="en-US" w:eastAsia="zh-CN"/>
                    </w:rPr>
                    <w:t>安康市恒口示范区</w:t>
                  </w:r>
                  <w:r>
                    <w:rPr>
                      <w:rFonts w:hint="default" w:ascii="Times New Roman" w:hAnsi="Times New Roman" w:eastAsia="宋体" w:cs="Times New Roman"/>
                      <w:color w:val="auto"/>
                      <w:sz w:val="21"/>
                      <w:szCs w:val="21"/>
                      <w:lang w:eastAsia="zh-CN"/>
                    </w:rPr>
                    <w:t>，为达标区；根据工程分析及污染防治分析，项目所采取污染防治措施合理可行，各污染物达标排放，不触及环境质量底线。</w:t>
                  </w:r>
                </w:p>
              </w:tc>
              <w:tc>
                <w:tcPr>
                  <w:tcW w:w="4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资源利用上线</w:t>
                  </w:r>
                </w:p>
              </w:tc>
              <w:tc>
                <w:tcPr>
                  <w:tcW w:w="203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依据有关资源利用上线要求，即各地区能源、水、土地等资源消耗是不得突破的“天花板”</w:t>
                  </w:r>
                  <w:r>
                    <w:rPr>
                      <w:rFonts w:hint="eastAsia" w:eastAsia="宋体" w:cs="Times New Roman"/>
                      <w:color w:val="auto"/>
                      <w:sz w:val="21"/>
                      <w:szCs w:val="21"/>
                      <w:lang w:eastAsia="zh-CN"/>
                    </w:rPr>
                    <w:t>。</w:t>
                  </w:r>
                </w:p>
              </w:tc>
              <w:tc>
                <w:tcPr>
                  <w:tcW w:w="16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本项目不属于高污染、高能耗、高水耗的建设项目，符合资源利用上线的要求。</w:t>
                  </w:r>
                </w:p>
              </w:tc>
              <w:tc>
                <w:tcPr>
                  <w:tcW w:w="4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58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生态环境准入清单</w:t>
                  </w:r>
                </w:p>
              </w:tc>
              <w:tc>
                <w:tcPr>
                  <w:tcW w:w="203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准入负面清单是基于生态保护红线、环境质量底线和资源利用上线，以清单方式列出的禁止、限制等差别化环境准入条件和要求。要在规划环评清单式管理试点的基础上，从布局选址、资源利用率、资源配置方式等方面入手，制定环境准入负面清单，充分发挥负面清单对产业发展和项目准入的指导和约束作用。</w:t>
                  </w:r>
                </w:p>
              </w:tc>
              <w:tc>
                <w:tcPr>
                  <w:tcW w:w="16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本项目不在《陕西省重点生态功能区产业准入负面清单》</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eastAsia="zh-CN"/>
                    </w:rPr>
                    <w:t>《市场准入负面清单（2020年版）》</w:t>
                  </w:r>
                  <w:r>
                    <w:rPr>
                      <w:rFonts w:hint="default" w:ascii="Times New Roman" w:hAnsi="Times New Roman" w:eastAsia="宋体" w:cs="Times New Roman"/>
                      <w:color w:val="auto"/>
                      <w:sz w:val="21"/>
                      <w:szCs w:val="21"/>
                      <w:lang w:val="en-US" w:eastAsia="zh-CN"/>
                    </w:rPr>
                    <w:t>之内，不涉及占用生态保护红线、环境质量底线和资源利用上线</w:t>
                  </w:r>
                  <w:r>
                    <w:rPr>
                      <w:rFonts w:hint="default" w:ascii="Times New Roman" w:hAnsi="Times New Roman" w:eastAsia="宋体" w:cs="Times New Roman"/>
                      <w:color w:val="auto"/>
                      <w:sz w:val="21"/>
                      <w:szCs w:val="21"/>
                      <w:lang w:eastAsia="zh-CN"/>
                    </w:rPr>
                    <w:t>。</w:t>
                  </w:r>
                </w:p>
              </w:tc>
              <w:tc>
                <w:tcPr>
                  <w:tcW w:w="44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ind w:left="0" w:lef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综上，本项目符合“三线一单”相关要求。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1.5.2</w:t>
            </w:r>
            <w:r>
              <w:rPr>
                <w:rFonts w:hint="default" w:ascii="Times New Roman" w:hAnsi="Times New Roman" w:eastAsia="宋体" w:cs="Times New Roman"/>
                <w:b/>
                <w:bCs/>
                <w:color w:val="auto"/>
                <w:highlight w:val="none"/>
                <w:lang w:val="en-US" w:eastAsia="zh-CN"/>
              </w:rPr>
              <w:t>与《陕西省“三线一单”生态环境分区管控应用技术指南：环境影响评价（试行）》（陕环办发〔2022〕76号）、《安康市人民政府关于印发安康市“三线一单”生态环境分区管控方案》（安政发〔2021〕18号）符合性分析</w:t>
            </w:r>
          </w:p>
          <w:p>
            <w:pPr>
              <w:spacing w:line="360" w:lineRule="auto"/>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val="en-US" w:eastAsia="zh-CN"/>
              </w:rPr>
              <w:t>安康安贝斯玩具产业链孵化园</w:t>
            </w:r>
            <w:r>
              <w:rPr>
                <w:rFonts w:hint="default" w:ascii="Times New Roman" w:hAnsi="Times New Roman" w:cs="Times New Roman"/>
                <w:color w:val="auto"/>
                <w:highlight w:val="none"/>
              </w:rPr>
              <w:t>，经查询《陕西省“三线一单”生态环境分区管控应用技术指南：环境影响评价（试行）》（陕环办发〔2022〕76号）和《安康市“三线一单”生态环境分区管控方案》，项目属于陕西省和安康市划定的</w:t>
            </w:r>
            <w:r>
              <w:rPr>
                <w:rFonts w:hint="default" w:ascii="Times New Roman" w:hAnsi="Times New Roman" w:cs="Times New Roman"/>
                <w:b/>
                <w:bCs/>
                <w:color w:val="auto"/>
                <w:highlight w:val="none"/>
                <w:u w:val="single"/>
              </w:rPr>
              <w:t>重点管控单元</w:t>
            </w:r>
            <w:r>
              <w:rPr>
                <w:rFonts w:hint="default" w:ascii="Times New Roman" w:hAnsi="Times New Roman" w:cs="Times New Roman"/>
                <w:b/>
                <w:bCs/>
                <w:color w:val="auto"/>
                <w:highlight w:val="none"/>
                <w:u w:val="single"/>
                <w:lang w:val="en-US" w:eastAsia="zh-CN"/>
              </w:rPr>
              <w:t>中的</w:t>
            </w:r>
            <w:r>
              <w:rPr>
                <w:rFonts w:hint="default" w:ascii="Times New Roman" w:hAnsi="Times New Roman" w:cs="Times New Roman"/>
                <w:b/>
                <w:bCs/>
                <w:color w:val="auto"/>
                <w:highlight w:val="none"/>
                <w:u w:val="single"/>
              </w:rPr>
              <w:t>大气环境弱扩散重点管</w:t>
            </w:r>
            <w:r>
              <w:rPr>
                <w:rFonts w:hint="default" w:ascii="Times New Roman" w:hAnsi="Times New Roman" w:eastAsia="宋体" w:cs="Times New Roman"/>
                <w:b/>
                <w:bCs/>
                <w:color w:val="auto"/>
                <w:highlight w:val="none"/>
                <w:u w:val="single"/>
              </w:rPr>
              <w:t>控区</w:t>
            </w:r>
            <w:r>
              <w:rPr>
                <w:rFonts w:hint="default" w:ascii="Times New Roman" w:hAnsi="Times New Roman" w:eastAsia="宋体" w:cs="Times New Roman"/>
                <w:b/>
                <w:bCs/>
                <w:color w:val="auto"/>
                <w:highlight w:val="none"/>
                <w:u w:val="single"/>
                <w:lang w:val="en-US" w:eastAsia="zh-CN"/>
              </w:rPr>
              <w:t>和</w:t>
            </w:r>
            <w:r>
              <w:rPr>
                <w:rFonts w:hint="eastAsia" w:ascii="Times New Roman" w:hAnsi="Times New Roman" w:eastAsia="宋体" w:cs="Times New Roman"/>
                <w:b/>
                <w:bCs/>
                <w:color w:val="auto"/>
                <w:highlight w:val="none"/>
                <w:u w:val="single"/>
                <w:lang w:val="en-US" w:eastAsia="zh-CN"/>
              </w:rPr>
              <w:t>水环境城镇生活污染重点管控区</w:t>
            </w:r>
            <w:r>
              <w:rPr>
                <w:rFonts w:hint="default" w:ascii="Times New Roman" w:hAnsi="Times New Roman" w:eastAsia="宋体" w:cs="Times New Roman"/>
                <w:b/>
                <w:bCs/>
                <w:color w:val="auto"/>
                <w:highlight w:val="none"/>
                <w:u w:val="single"/>
              </w:rPr>
              <w:t>。</w:t>
            </w:r>
            <w:r>
              <w:rPr>
                <w:rFonts w:hint="default" w:ascii="Times New Roman" w:hAnsi="Times New Roman" w:cs="Times New Roman"/>
                <w:color w:val="auto"/>
                <w:highlight w:val="none"/>
              </w:rPr>
              <w:t>根据《陕西省“三线一单”生态环境分区管控应用技术指南：环境影响评价（试行）》，环评文件涉及“三线一单”生态环境分区管控符合性分析应采取“一图一表一说明”的表达方式，本项目与《安康市生态环境分区管控准入清单》符合性分析如下。</w:t>
            </w:r>
          </w:p>
          <w:p>
            <w:pPr>
              <w:spacing w:line="360" w:lineRule="auto"/>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w:t>
            </w:r>
            <w:r>
              <w:rPr>
                <w:rFonts w:hint="eastAsia" w:cs="Times New Roman"/>
                <w:color w:val="auto"/>
                <w:highlight w:val="none"/>
                <w:lang w:eastAsia="zh-CN"/>
              </w:rPr>
              <w:t>“</w:t>
            </w:r>
            <w:r>
              <w:rPr>
                <w:rFonts w:hint="default" w:ascii="Times New Roman" w:hAnsi="Times New Roman" w:cs="Times New Roman"/>
                <w:color w:val="auto"/>
                <w:highlight w:val="none"/>
              </w:rPr>
              <w:t>一图</w:t>
            </w:r>
            <w:r>
              <w:rPr>
                <w:rFonts w:hint="eastAsia" w:cs="Times New Roman"/>
                <w:color w:val="auto"/>
                <w:highlight w:val="none"/>
                <w:lang w:eastAsia="zh-CN"/>
              </w:rPr>
              <w:t>”</w:t>
            </w:r>
          </w:p>
          <w:p>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本项目位于工业园区内，属于环境管控重点保护单元中的大气环境弱扩散重点管控区。见</w:t>
            </w:r>
            <w:r>
              <w:rPr>
                <w:rFonts w:hint="default" w:ascii="Times New Roman" w:hAnsi="Times New Roman" w:cs="Times New Roman"/>
                <w:color w:val="auto"/>
                <w:highlight w:val="none"/>
                <w:lang w:val="en-US" w:eastAsia="zh-CN"/>
              </w:rPr>
              <w:t>下</w:t>
            </w:r>
            <w:r>
              <w:rPr>
                <w:rFonts w:hint="default" w:ascii="Times New Roman" w:hAnsi="Times New Roman" w:cs="Times New Roman"/>
                <w:color w:val="auto"/>
                <w:highlight w:val="none"/>
              </w:rPr>
              <w:t>图。</w:t>
            </w:r>
          </w:p>
          <w:p>
            <w:pPr>
              <w:ind w:left="0" w:leftChars="0" w:firstLine="0" w:firstLineChars="0"/>
              <w:jc w:val="center"/>
              <w:rPr>
                <w:rFonts w:hint="default" w:ascii="Times New Roman" w:hAnsi="Times New Roman" w:cs="Times New Roman"/>
                <w:color w:val="auto"/>
                <w:highlight w:val="none"/>
              </w:rPr>
            </w:pPr>
            <w:r>
              <w:rPr>
                <w:rFonts w:hint="eastAsia"/>
                <w:lang w:val="en-US" w:eastAsia="zh-CN"/>
              </w:rPr>
              <w:drawing>
                <wp:anchor distT="0" distB="0" distL="114300" distR="114300" simplePos="0" relativeHeight="251659264" behindDoc="0" locked="0" layoutInCell="1" allowOverlap="1">
                  <wp:simplePos x="0" y="0"/>
                  <wp:positionH relativeFrom="column">
                    <wp:posOffset>3596005</wp:posOffset>
                  </wp:positionH>
                  <wp:positionV relativeFrom="paragraph">
                    <wp:posOffset>70485</wp:posOffset>
                  </wp:positionV>
                  <wp:extent cx="635000" cy="639445"/>
                  <wp:effectExtent l="0" t="0" r="5080" b="635"/>
                  <wp:wrapNone/>
                  <wp:docPr id="1" name="图片 10" descr="874056a43a0c531b1b17a1ffca60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874056a43a0c531b1b17a1ffca60cae"/>
                          <pic:cNvPicPr>
                            <a:picLocks noChangeAspect="1"/>
                          </pic:cNvPicPr>
                        </pic:nvPicPr>
                        <pic:blipFill>
                          <a:blip r:embed="rId12"/>
                          <a:stretch>
                            <a:fillRect/>
                          </a:stretch>
                        </pic:blipFill>
                        <pic:spPr>
                          <a:xfrm>
                            <a:off x="0" y="0"/>
                            <a:ext cx="635000" cy="639445"/>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3897630" cy="4017645"/>
                  <wp:effectExtent l="0" t="0" r="3810" b="5715"/>
                  <wp:docPr id="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2"/>
                          <pic:cNvPicPr>
                            <a:picLocks noChangeAspect="1"/>
                          </pic:cNvPicPr>
                        </pic:nvPicPr>
                        <pic:blipFill>
                          <a:blip r:embed="rId13"/>
                          <a:stretch>
                            <a:fillRect/>
                          </a:stretch>
                        </pic:blipFill>
                        <pic:spPr>
                          <a:xfrm>
                            <a:off x="0" y="0"/>
                            <a:ext cx="3897630" cy="4017645"/>
                          </a:xfrm>
                          <a:prstGeom prst="rect">
                            <a:avLst/>
                          </a:prstGeom>
                          <a:noFill/>
                          <a:ln>
                            <a:noFill/>
                          </a:ln>
                        </pic:spPr>
                      </pic:pic>
                    </a:graphicData>
                  </a:graphic>
                </wp:inline>
              </w:drawing>
            </w:r>
          </w:p>
          <w:p>
            <w:pPr>
              <w:adjustRightInd w:val="0"/>
              <w:snapToGrid w:val="0"/>
              <w:spacing w:line="400" w:lineRule="exact"/>
              <w:ind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b/>
                <w:bCs/>
                <w:color w:val="auto"/>
                <w:sz w:val="21"/>
                <w:szCs w:val="21"/>
                <w:lang w:val="en-US" w:eastAsia="zh-CN"/>
              </w:rPr>
              <w:t>图1.1</w:t>
            </w:r>
            <w:r>
              <w:rPr>
                <w:rFonts w:hint="eastAsia"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项目在安康市环境管控单元图中的位置示意图</w:t>
            </w:r>
          </w:p>
          <w:p>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②</w:t>
            </w:r>
            <w:r>
              <w:rPr>
                <w:rFonts w:hint="eastAsia" w:cs="Times New Roman"/>
                <w:color w:val="auto"/>
                <w:highlight w:val="none"/>
                <w:lang w:eastAsia="zh-CN"/>
              </w:rPr>
              <w:t>“</w:t>
            </w:r>
            <w:r>
              <w:rPr>
                <w:rFonts w:hint="default" w:ascii="Times New Roman" w:hAnsi="Times New Roman" w:cs="Times New Roman"/>
                <w:color w:val="auto"/>
                <w:highlight w:val="none"/>
              </w:rPr>
              <w:t>一表</w:t>
            </w:r>
            <w:r>
              <w:rPr>
                <w:rFonts w:hint="eastAsia" w:cs="Times New Roman"/>
                <w:color w:val="auto"/>
                <w:highlight w:val="none"/>
                <w:lang w:eastAsia="zh-CN"/>
              </w:rPr>
              <w:t>”</w:t>
            </w:r>
          </w:p>
          <w:p>
            <w:pPr>
              <w:ind w:firstLine="48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本项目与重点管控单元的管控要求符合性分析详见下表。</w:t>
            </w:r>
          </w:p>
          <w:p>
            <w:pPr>
              <w:pStyle w:val="83"/>
              <w:spacing w:line="240" w:lineRule="auto"/>
              <w:rPr>
                <w:rFonts w:hint="eastAsia" w:ascii="Times New Roman" w:hAnsi="Times New Roman" w:eastAsia="黑体" w:cs="Times New Roman"/>
                <w:b/>
                <w:bCs/>
                <w:color w:val="auto"/>
                <w:highlight w:val="none"/>
                <w:lang w:val="en-US" w:eastAsia="zh-CN"/>
              </w:rPr>
            </w:pPr>
            <w:r>
              <w:rPr>
                <w:rFonts w:hint="default" w:ascii="Times New Roman" w:hAnsi="Times New Roman" w:cs="Times New Roman"/>
                <w:b/>
                <w:bCs/>
                <w:color w:val="auto"/>
                <w:highlight w:val="none"/>
              </w:rPr>
              <w:t>表1</w:t>
            </w: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 xml:space="preserve">4  </w:t>
            </w:r>
            <w:r>
              <w:rPr>
                <w:rFonts w:hint="default" w:ascii="Times New Roman" w:hAnsi="Times New Roman" w:cs="Times New Roman"/>
                <w:b/>
                <w:bCs/>
                <w:color w:val="auto"/>
                <w:highlight w:val="none"/>
              </w:rPr>
              <w:t>项目与重点管控单元管控要求的符合性分析</w:t>
            </w:r>
            <w:r>
              <w:rPr>
                <w:rFonts w:hint="eastAsia" w:cs="Times New Roman"/>
                <w:b/>
                <w:bCs/>
                <w:color w:val="auto"/>
                <w:highlight w:val="none"/>
                <w:lang w:val="en-US" w:eastAsia="zh-CN"/>
              </w:rPr>
              <w:t>.</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8"/>
              <w:gridCol w:w="4168"/>
              <w:gridCol w:w="2187"/>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6" w:hRule="atLeast"/>
                <w:jc w:val="center"/>
              </w:trPr>
              <w:tc>
                <w:tcPr>
                  <w:tcW w:w="300"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2794"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管控要求</w:t>
                  </w:r>
                </w:p>
              </w:tc>
              <w:tc>
                <w:tcPr>
                  <w:tcW w:w="1466"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439"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4" w:hRule="atLeast"/>
                <w:jc w:val="center"/>
              </w:trPr>
              <w:tc>
                <w:tcPr>
                  <w:tcW w:w="300"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重点管控单元</w:t>
                  </w:r>
                </w:p>
              </w:tc>
              <w:tc>
                <w:tcPr>
                  <w:tcW w:w="2794"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指涉及水、大气、土壤、自然资源等资源环境要素重点管控的区域，主要包括城镇规划区、产业园区和开发强度大、污染物排放强度高的区域等。全市划分重点管控单元42个，面积2942.20平方公里，占全市国土面积的12.50%。</w:t>
                  </w:r>
                </w:p>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要求：应优化空间布局，加强污染物排放控制和环境风险防控，提升资源利用效率，解决突出生态环境问题。</w:t>
                  </w:r>
                </w:p>
              </w:tc>
              <w:tc>
                <w:tcPr>
                  <w:tcW w:w="1466"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项目采取措施后</w:t>
                  </w:r>
                  <w:r>
                    <w:rPr>
                      <w:rFonts w:hint="eastAsia" w:cs="Times New Roman"/>
                      <w:color w:val="auto"/>
                      <w:sz w:val="21"/>
                      <w:szCs w:val="21"/>
                      <w:highlight w:val="none"/>
                      <w:lang w:val="en-US" w:eastAsia="zh-CN"/>
                    </w:rPr>
                    <w:t>生产废气</w:t>
                  </w:r>
                  <w:r>
                    <w:rPr>
                      <w:rFonts w:hint="default" w:ascii="Times New Roman" w:hAnsi="Times New Roman" w:cs="Times New Roman"/>
                      <w:color w:val="auto"/>
                      <w:sz w:val="21"/>
                      <w:szCs w:val="21"/>
                      <w:highlight w:val="none"/>
                    </w:rPr>
                    <w:t>可达标排放，生产废水循环利用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自然蒸发和保留在产品内</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不进行外排，固废合理处置，去向明确，噪声可达标排放，项目对外环境影响较小。</w:t>
                  </w:r>
                </w:p>
              </w:tc>
              <w:tc>
                <w:tcPr>
                  <w:tcW w:w="439"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6" w:hRule="atLeast"/>
                <w:jc w:val="center"/>
              </w:trPr>
              <w:tc>
                <w:tcPr>
                  <w:tcW w:w="300" w:type="pct"/>
                  <w:vMerge w:val="restar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陕西省</w:t>
                  </w:r>
                </w:p>
              </w:tc>
              <w:tc>
                <w:tcPr>
                  <w:tcW w:w="2794"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空间布局约束：</w:t>
                  </w:r>
                  <w:r>
                    <w:rPr>
                      <w:rFonts w:hint="default" w:ascii="Times New Roman" w:hAnsi="Times New Roman" w:cs="Times New Roman"/>
                      <w:color w:val="auto"/>
                      <w:sz w:val="21"/>
                      <w:szCs w:val="21"/>
                      <w:highlight w:val="none"/>
                    </w:rPr>
                    <w:t>①执行国家法律法规对自然保护区、风景名胜区、森林公园、地质公园、世界自然和文化遗产、重要湿地、重要水源地等法定保护地的禁止性和限制性要求。②城市建成区内现有钢铁、有色金属、造纸、印染、原料药制造、化工等污染严重企业须有序搬迁、改造入园（区）或依法关闭。③禁止在居民区、学校、医疗和养老机构等周边新建、扩建有色金属冶炼、焦化等行业企业；结合推进新型城镇化、产业结构调整和化解过剩产能等，有序搬迁或依法关闭对土壤造成严重污染的现有企业。④执行《市场准入负面清单（2019年版）》。⑤执行《产业结构调整指导目录（2019本）》。</w:t>
                  </w:r>
                </w:p>
              </w:tc>
              <w:tc>
                <w:tcPr>
                  <w:tcW w:w="1466"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废弃资源综合利用业，经查项目评价范围不涉及自然保护区、风景名胜区、森林公园、地质公园、世界自然和文化遗产、重要湿地、重要水源地等，属于《市场准入负面清单》2022年版的许可类项目，属于《产业结构调整指导</w:t>
                  </w:r>
                  <w:r>
                    <w:rPr>
                      <w:rFonts w:hint="default" w:ascii="Times New Roman" w:hAnsi="Times New Roman" w:eastAsia="宋体" w:cs="Times New Roman"/>
                      <w:color w:val="auto"/>
                      <w:sz w:val="21"/>
                      <w:szCs w:val="21"/>
                      <w:highlight w:val="none"/>
                    </w:rPr>
                    <w:t>目录（</w:t>
                  </w:r>
                  <w:r>
                    <w:rPr>
                      <w:rFonts w:hint="default" w:ascii="Times New Roman" w:hAnsi="Times New Roman" w:eastAsia="宋体" w:cs="Times New Roman"/>
                      <w:color w:val="auto"/>
                      <w:sz w:val="21"/>
                      <w:szCs w:val="21"/>
                      <w:highlight w:val="none"/>
                      <w:lang w:val="en-US" w:eastAsia="zh-CN"/>
                    </w:rPr>
                    <w:t>2024</w:t>
                  </w:r>
                  <w:r>
                    <w:rPr>
                      <w:rFonts w:hint="default" w:ascii="Times New Roman" w:hAnsi="Times New Roman" w:cs="Times New Roman"/>
                      <w:color w:val="auto"/>
                      <w:sz w:val="21"/>
                      <w:szCs w:val="21"/>
                      <w:highlight w:val="none"/>
                    </w:rPr>
                    <w:t>本）》中鼓励类项目。</w:t>
                  </w:r>
                </w:p>
              </w:tc>
              <w:tc>
                <w:tcPr>
                  <w:tcW w:w="439"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45" w:hRule="atLeast"/>
                <w:jc w:val="center"/>
              </w:trPr>
              <w:tc>
                <w:tcPr>
                  <w:tcW w:w="300" w:type="pct"/>
                  <w:vMerge w:val="continue"/>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p>
              </w:tc>
              <w:tc>
                <w:tcPr>
                  <w:tcW w:w="2794"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rPr>
                    <w:t>污染排放管控：</w:t>
                  </w:r>
                  <w:r>
                    <w:rPr>
                      <w:rFonts w:hint="default" w:ascii="Times New Roman" w:hAnsi="Times New Roman" w:eastAsia="宋体" w:cs="Times New Roman"/>
                      <w:color w:val="auto"/>
                      <w:sz w:val="21"/>
                      <w:szCs w:val="21"/>
                      <w:highlight w:val="none"/>
                    </w:rPr>
                    <w:t>①工业集聚区内工业废水必须经预处理达到集中处理要求，方可进入污水集中处理设施。②汉江、丹江流域城镇污水处理设施执行《汉丹江流域（陕西段）重点行业水污染物排放限值》</w:t>
                  </w:r>
                  <w:r>
                    <w:rPr>
                      <w:rFonts w:hint="eastAsia" w:ascii="Times New Roman" w:hAnsi="Times New Roman" w:eastAsia="宋体" w:cs="Times New Roman"/>
                      <w:color w:val="auto"/>
                      <w:sz w:val="21"/>
                      <w:szCs w:val="21"/>
                      <w:highlight w:val="none"/>
                      <w:lang w:eastAsia="zh-CN"/>
                    </w:rPr>
                    <w:t>DB61/942-2014。</w:t>
                  </w:r>
                </w:p>
              </w:tc>
              <w:tc>
                <w:tcPr>
                  <w:tcW w:w="1466"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本项目生产用水循环使用不外排。生活污水</w:t>
                  </w:r>
                  <w:r>
                    <w:rPr>
                      <w:rFonts w:hint="default" w:ascii="Times New Roman" w:hAnsi="Times New Roman" w:cs="Times New Roman"/>
                      <w:color w:val="auto"/>
                      <w:sz w:val="21"/>
                      <w:szCs w:val="21"/>
                      <w:highlight w:val="none"/>
                      <w:lang w:val="en-US" w:eastAsia="zh-CN"/>
                    </w:rPr>
                    <w:t>依托</w:t>
                  </w:r>
                  <w:r>
                    <w:rPr>
                      <w:rFonts w:hint="default" w:ascii="Times New Roman" w:hAnsi="Times New Roman" w:eastAsia="宋体" w:cs="Times New Roman"/>
                      <w:color w:val="auto"/>
                      <w:sz w:val="21"/>
                      <w:szCs w:val="21"/>
                      <w:lang w:val="en-US" w:eastAsia="zh-CN"/>
                    </w:rPr>
                    <w:t>安康安贝斯玩具产业链孵化园有限</w:t>
                  </w:r>
                  <w:r>
                    <w:rPr>
                      <w:rFonts w:hint="default" w:ascii="Times New Roman" w:hAnsi="Times New Roman" w:cs="Times New Roman"/>
                      <w:color w:val="auto"/>
                      <w:sz w:val="21"/>
                      <w:szCs w:val="21"/>
                    </w:rPr>
                    <w:t>公司</w:t>
                  </w:r>
                  <w:r>
                    <w:rPr>
                      <w:rFonts w:hint="default" w:ascii="Times New Roman" w:hAnsi="Times New Roman" w:cs="Times New Roman"/>
                      <w:color w:val="auto"/>
                      <w:sz w:val="21"/>
                      <w:szCs w:val="21"/>
                      <w:lang w:val="en-US" w:eastAsia="zh-CN"/>
                    </w:rPr>
                    <w:t>已建</w:t>
                  </w:r>
                  <w:r>
                    <w:rPr>
                      <w:rFonts w:hint="default" w:ascii="Times New Roman" w:hAnsi="Times New Roman" w:cs="Times New Roman"/>
                      <w:color w:val="auto"/>
                      <w:sz w:val="21"/>
                      <w:szCs w:val="21"/>
                      <w:highlight w:val="none"/>
                    </w:rPr>
                    <w:t>化粪池处理后</w:t>
                  </w:r>
                  <w:r>
                    <w:rPr>
                      <w:rFonts w:hint="default" w:ascii="Times New Roman" w:hAnsi="Times New Roman" w:cs="Times New Roman"/>
                      <w:color w:val="auto"/>
                      <w:sz w:val="21"/>
                      <w:szCs w:val="21"/>
                      <w:highlight w:val="none"/>
                      <w:lang w:val="en-US" w:eastAsia="zh-CN"/>
                    </w:rPr>
                    <w:t>经市政管道排入恒口示范区污水处理厂进一步处理</w:t>
                  </w:r>
                  <w:r>
                    <w:rPr>
                      <w:rFonts w:hint="default" w:ascii="Times New Roman" w:hAnsi="Times New Roman" w:cs="Times New Roman"/>
                      <w:color w:val="auto"/>
                      <w:sz w:val="21"/>
                      <w:szCs w:val="21"/>
                      <w:highlight w:val="none"/>
                    </w:rPr>
                    <w:t>。</w:t>
                  </w:r>
                </w:p>
              </w:tc>
              <w:tc>
                <w:tcPr>
                  <w:tcW w:w="439"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300" w:type="pct"/>
                  <w:vMerge w:val="restar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t>安康市重点管控单元</w:t>
                  </w:r>
                </w:p>
              </w:tc>
              <w:tc>
                <w:tcPr>
                  <w:tcW w:w="2794" w:type="pct"/>
                  <w:noWrap w:val="0"/>
                  <w:tcMar>
                    <w:top w:w="28" w:type="dxa"/>
                    <w:left w:w="57" w:type="dxa"/>
                    <w:bottom w:w="28"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kern w:val="2"/>
                      <w:sz w:val="21"/>
                      <w:szCs w:val="21"/>
                      <w:highlight w:val="none"/>
                      <w:lang w:val="en-US" w:eastAsia="zh-CN" w:bidi="ar-SA"/>
                    </w:rPr>
                    <w:t>弱扩散区</w:t>
                  </w:r>
                  <w:r>
                    <w:rPr>
                      <w:rFonts w:hint="eastAsia" w:ascii="Times New Roman" w:hAnsi="Times New Roman" w:eastAsia="宋体" w:cs="Times New Roman"/>
                      <w:b/>
                      <w:bCs/>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①空间布局约束</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严格控制涉气</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两高</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项目（民生等项目除外）。②污染物排放管控</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严禁秸秆燃烧，控制烟花爆竹燃放。大力推进</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煤改电</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煤改气</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工程，加快铺设天然气管网。</w:t>
                  </w:r>
                </w:p>
              </w:tc>
              <w:tc>
                <w:tcPr>
                  <w:tcW w:w="1466"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本项目不属于“两高”项目</w:t>
                  </w:r>
                  <w:r>
                    <w:rPr>
                      <w:rFonts w:hint="default" w:ascii="Times New Roman" w:hAnsi="Times New Roman" w:cs="Times New Roman"/>
                      <w:color w:val="auto"/>
                      <w:sz w:val="21"/>
                      <w:szCs w:val="21"/>
                      <w:highlight w:val="none"/>
                      <w:lang w:val="en-US" w:eastAsia="zh-CN"/>
                    </w:rPr>
                    <w:t>。</w:t>
                  </w:r>
                </w:p>
              </w:tc>
              <w:tc>
                <w:tcPr>
                  <w:tcW w:w="439"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7" w:hRule="atLeast"/>
                <w:jc w:val="center"/>
              </w:trPr>
              <w:tc>
                <w:tcPr>
                  <w:tcW w:w="300" w:type="pct"/>
                  <w:vMerge w:val="continue"/>
                  <w:noWrap w:val="0"/>
                  <w:tcMar>
                    <w:top w:w="28" w:type="dxa"/>
                    <w:left w:w="57" w:type="dxa"/>
                    <w:bottom w:w="28" w:type="dxa"/>
                    <w:right w:w="57" w:type="dxa"/>
                  </w:tcMar>
                  <w:vAlign w:val="center"/>
                </w:tcPr>
                <w:p>
                  <w:pPr>
                    <w:pStyle w:val="45"/>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rPr>
                  </w:pPr>
                </w:p>
              </w:tc>
              <w:tc>
                <w:tcPr>
                  <w:tcW w:w="2794" w:type="pct"/>
                  <w:noWrap w:val="0"/>
                  <w:tcMar>
                    <w:top w:w="28" w:type="dxa"/>
                    <w:left w:w="57" w:type="dxa"/>
                    <w:bottom w:w="28"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水环境城镇生活污染重点管控区</w:t>
                  </w:r>
                  <w:r>
                    <w:rPr>
                      <w:rFonts w:hint="eastAsia" w:cs="Times New Roman"/>
                      <w:b/>
                      <w:bCs/>
                      <w:color w:val="auto"/>
                      <w:sz w:val="21"/>
                      <w:szCs w:val="21"/>
                      <w:highlight w:val="none"/>
                      <w:lang w:eastAsia="zh-CN"/>
                    </w:rPr>
                    <w:t>：</w:t>
                  </w:r>
                </w:p>
                <w:p>
                  <w:pPr>
                    <w:pStyle w:val="90"/>
                    <w:keepNext w:val="0"/>
                    <w:keepLines w:val="0"/>
                    <w:pageBreakBefore w:val="0"/>
                    <w:widowControl w:val="0"/>
                    <w:kinsoku/>
                    <w:wordWrap/>
                    <w:overflowPunct/>
                    <w:topLinePunct w:val="0"/>
                    <w:autoSpaceDE/>
                    <w:autoSpaceDN/>
                    <w:bidi w:val="0"/>
                    <w:adjustRightInd/>
                    <w:snapToGrid/>
                    <w:spacing w:line="227" w:lineRule="auto"/>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①污染物排放管控；掌握排污口信息。按照“查、测、溯、治”的工作步骤和要求，以城市建成区及重要水体为重点，摸清所有直接、间接排放的各类排污口数量、位置，并完成整治。加强城镇污水处理设施建设与改造。加强污水处理厂运维水平，杜绝污水直排入河现象，确保城镇污水处理厂出水水质稳定达标。完善城市和乡镇配套管网建设。加快城镇污水管网、雨污分流设施建设，杜绝城镇生活污水直排外环境</w:t>
                  </w:r>
                  <w:r>
                    <w:rPr>
                      <w:rFonts w:hint="eastAsia" w:ascii="Times New Roman" w:hAnsi="Times New Roman" w:cs="Times New Roman"/>
                      <w:color w:val="auto"/>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②资源利用效率要求</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加强城镇节水。提高中水回用率，积极推行低影响开发建设模式，建设滞、渗、蓄、用、排相结合的雨水收集利用设施。</w:t>
                  </w:r>
                </w:p>
              </w:tc>
              <w:tc>
                <w:tcPr>
                  <w:tcW w:w="1466"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本项目实行雨污分流，生活污水依托</w:t>
                  </w:r>
                  <w:r>
                    <w:rPr>
                      <w:rFonts w:hint="default" w:ascii="Times New Roman" w:hAnsi="Times New Roman" w:eastAsia="宋体" w:cs="Times New Roman"/>
                      <w:color w:val="auto"/>
                      <w:kern w:val="2"/>
                      <w:sz w:val="21"/>
                      <w:szCs w:val="21"/>
                      <w:highlight w:val="none"/>
                      <w:lang w:val="en-US" w:eastAsia="zh-CN" w:bidi="ar-SA"/>
                    </w:rPr>
                    <w:t>安康安贝斯玩具产业链孵化园有限公司</w:t>
                  </w:r>
                  <w:r>
                    <w:rPr>
                      <w:rFonts w:hint="eastAsia" w:ascii="Times New Roman" w:hAnsi="Times New Roman" w:eastAsia="宋体" w:cs="Times New Roman"/>
                      <w:color w:val="auto"/>
                      <w:kern w:val="2"/>
                      <w:sz w:val="21"/>
                      <w:szCs w:val="21"/>
                      <w:highlight w:val="none"/>
                      <w:lang w:val="en-US" w:eastAsia="zh-CN" w:bidi="ar-SA"/>
                    </w:rPr>
                    <w:t>化粪池和恒口示范区污水处理厂处理。生产废水循环使用不外排。</w:t>
                  </w:r>
                </w:p>
              </w:tc>
              <w:tc>
                <w:tcPr>
                  <w:tcW w:w="439" w:type="pct"/>
                  <w:noWrap w:val="0"/>
                  <w:tcMar>
                    <w:top w:w="28" w:type="dxa"/>
                    <w:left w:w="57" w:type="dxa"/>
                    <w:bottom w:w="28" w:type="dxa"/>
                    <w:right w:w="57" w:type="dxa"/>
                  </w:tcMar>
                  <w:vAlign w:val="center"/>
                </w:tcPr>
                <w:p>
                  <w:pPr>
                    <w:pStyle w:val="82"/>
                    <w:keepNext w:val="0"/>
                    <w:keepLines w:val="0"/>
                    <w:pageBreakBefore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w:t>
                  </w:r>
                  <w:r>
                    <w:rPr>
                      <w:rFonts w:hint="eastAsia" w:cs="Times New Roman"/>
                      <w:color w:val="auto"/>
                      <w:sz w:val="21"/>
                      <w:szCs w:val="21"/>
                      <w:highlight w:val="none"/>
                      <w:lang w:val="en-US" w:eastAsia="zh-CN"/>
                    </w:rPr>
                    <w:t>合</w:t>
                  </w:r>
                </w:p>
              </w:tc>
            </w:tr>
          </w:tbl>
          <w:p>
            <w:pPr>
              <w:spacing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由上表分析结果可知，本项目与陕西省和安康市生态环境重点管控单元的相关要求</w:t>
            </w:r>
            <w:r>
              <w:rPr>
                <w:rFonts w:hint="default" w:ascii="Times New Roman" w:hAnsi="Times New Roman" w:cs="Times New Roman"/>
                <w:b/>
                <w:bCs/>
                <w:color w:val="auto"/>
                <w:highlight w:val="none"/>
                <w:u w:val="single"/>
              </w:rPr>
              <w:t>相符</w:t>
            </w:r>
            <w:r>
              <w:rPr>
                <w:rFonts w:hint="default" w:ascii="Times New Roman" w:hAnsi="Times New Roman" w:cs="Times New Roman"/>
                <w:color w:val="auto"/>
                <w:highlight w:val="none"/>
              </w:rPr>
              <w:t>。</w:t>
            </w:r>
          </w:p>
          <w:p>
            <w:pPr>
              <w:spacing w:before="120" w:beforeLines="50"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③“一说明”</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rPr>
              <w:t>本项目</w:t>
            </w:r>
            <w:r>
              <w:rPr>
                <w:rFonts w:hint="eastAsia" w:eastAsia="宋体" w:cs="Times New Roman"/>
                <w:color w:val="auto"/>
                <w:lang w:val="en-US" w:eastAsia="zh-CN"/>
              </w:rPr>
              <w:t>位于</w:t>
            </w:r>
            <w:r>
              <w:rPr>
                <w:rFonts w:hint="default" w:ascii="Times New Roman" w:hAnsi="Times New Roman" w:cs="Times New Roman"/>
                <w:b/>
                <w:bCs/>
                <w:color w:val="auto"/>
                <w:highlight w:val="none"/>
                <w:u w:val="single"/>
              </w:rPr>
              <w:t>重点管控单元</w:t>
            </w:r>
            <w:r>
              <w:rPr>
                <w:rFonts w:hint="default" w:ascii="Times New Roman" w:hAnsi="Times New Roman" w:cs="Times New Roman"/>
                <w:b/>
                <w:bCs/>
                <w:color w:val="auto"/>
                <w:highlight w:val="none"/>
                <w:u w:val="single"/>
                <w:lang w:val="en-US" w:eastAsia="zh-CN"/>
              </w:rPr>
              <w:t>中的</w:t>
            </w:r>
            <w:r>
              <w:rPr>
                <w:rFonts w:hint="default" w:ascii="Times New Roman" w:hAnsi="Times New Roman" w:cs="Times New Roman"/>
                <w:b/>
                <w:bCs/>
                <w:color w:val="auto"/>
                <w:highlight w:val="none"/>
                <w:u w:val="single"/>
              </w:rPr>
              <w:t>大气环境弱扩散重点管</w:t>
            </w:r>
            <w:r>
              <w:rPr>
                <w:rFonts w:hint="default" w:ascii="Times New Roman" w:hAnsi="Times New Roman" w:eastAsia="宋体" w:cs="Times New Roman"/>
                <w:b/>
                <w:bCs/>
                <w:color w:val="auto"/>
                <w:highlight w:val="none"/>
                <w:u w:val="single"/>
              </w:rPr>
              <w:t>控区</w:t>
            </w:r>
            <w:r>
              <w:rPr>
                <w:rFonts w:hint="default" w:ascii="Times New Roman" w:hAnsi="Times New Roman" w:eastAsia="宋体" w:cs="Times New Roman"/>
                <w:b/>
                <w:bCs/>
                <w:color w:val="auto"/>
                <w:highlight w:val="none"/>
                <w:u w:val="single"/>
                <w:lang w:val="en-US" w:eastAsia="zh-CN"/>
              </w:rPr>
              <w:t>和</w:t>
            </w:r>
            <w:r>
              <w:rPr>
                <w:rFonts w:hint="eastAsia" w:ascii="Times New Roman" w:hAnsi="Times New Roman" w:eastAsia="宋体" w:cs="Times New Roman"/>
                <w:b/>
                <w:bCs/>
                <w:color w:val="auto"/>
                <w:highlight w:val="none"/>
                <w:u w:val="single"/>
                <w:lang w:val="en-US" w:eastAsia="zh-CN"/>
              </w:rPr>
              <w:t>水环境城镇生活污染重点管控区</w:t>
            </w:r>
            <w:r>
              <w:rPr>
                <w:rFonts w:hint="default" w:ascii="Times New Roman" w:hAnsi="Times New Roman" w:eastAsia="宋体" w:cs="Times New Roman"/>
                <w:b/>
                <w:bCs/>
                <w:color w:val="auto"/>
                <w:highlight w:val="none"/>
                <w:u w:val="single"/>
              </w:rPr>
              <w:t>。</w:t>
            </w:r>
            <w:r>
              <w:rPr>
                <w:rFonts w:hint="default" w:ascii="Times New Roman" w:hAnsi="Times New Roman" w:cs="Times New Roman"/>
                <w:color w:val="auto"/>
                <w:highlight w:val="none"/>
              </w:rPr>
              <w:t>项目为</w:t>
            </w:r>
            <w:r>
              <w:rPr>
                <w:rFonts w:hint="default" w:ascii="Times New Roman" w:hAnsi="Times New Roman" w:eastAsia="宋体" w:cs="Times New Roman"/>
                <w:color w:val="auto"/>
                <w:highlight w:val="none"/>
                <w:lang w:val="en-US" w:eastAsia="zh-CN"/>
              </w:rPr>
              <w:t>废弃资源综合利用业</w:t>
            </w:r>
            <w:r>
              <w:rPr>
                <w:rFonts w:hint="default" w:ascii="Times New Roman" w:hAnsi="Times New Roman" w:cs="Times New Roman"/>
                <w:color w:val="auto"/>
                <w:highlight w:val="none"/>
              </w:rPr>
              <w:t>，不属于“两高”项目；</w:t>
            </w:r>
            <w:r>
              <w:rPr>
                <w:rFonts w:hint="default" w:ascii="Times New Roman" w:hAnsi="Times New Roman" w:eastAsia="宋体" w:cs="Times New Roman"/>
                <w:color w:val="auto"/>
                <w:lang w:val="en-US" w:eastAsia="zh-CN"/>
              </w:rPr>
              <w:t>项目生产用水在生产过程中一部分自然蒸发，另一部分保留在PET团粒中；水雾除尘循环水不外排，生产废气、固废的处置符合环保要求，不会对区域生态环境造成明显不利影响。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rPr>
              <w:t>综上所述，本项目与《陕西省“三线一单”生态环境分区管控应用技术指南：环境影响评价（试行）》（陕环办发〔2022〕76号）、《安康市人民政府关于印发安康市“三线一单”生态环境分区管控方案》（安政发〔2021〕18号）的相关要求</w:t>
            </w:r>
            <w:r>
              <w:rPr>
                <w:rFonts w:hint="default" w:ascii="Times New Roman" w:hAnsi="Times New Roman" w:cs="Times New Roman"/>
                <w:b/>
                <w:bCs/>
                <w:color w:val="auto"/>
                <w:u w:val="single"/>
              </w:rPr>
              <w:t>相符</w:t>
            </w:r>
            <w:r>
              <w:rPr>
                <w:rFonts w:hint="default" w:ascii="Times New Roman" w:hAnsi="Times New Roman" w:cs="Times New Roman"/>
                <w:color w:val="auto"/>
              </w:rPr>
              <w:t>。</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6本项目</w:t>
            </w:r>
            <w:r>
              <w:rPr>
                <w:rFonts w:hint="default" w:ascii="Times New Roman" w:hAnsi="Times New Roman" w:cs="Times New Roman"/>
                <w:color w:val="auto"/>
                <w:lang w:val="en-US" w:eastAsia="zh-CN"/>
              </w:rPr>
              <w:t>与相关政策</w:t>
            </w:r>
            <w:r>
              <w:rPr>
                <w:rFonts w:hint="eastAsia" w:ascii="Times New Roman" w:hAnsi="Times New Roman" w:cs="Times New Roman"/>
                <w:color w:val="auto"/>
                <w:lang w:val="en-US" w:eastAsia="zh-CN"/>
              </w:rPr>
              <w:t>的符合性</w:t>
            </w:r>
            <w:r>
              <w:rPr>
                <w:rFonts w:hint="default" w:ascii="Times New Roman" w:hAnsi="Times New Roman" w:cs="Times New Roman"/>
                <w:color w:val="auto"/>
                <w:lang w:val="en-US" w:eastAsia="zh-CN"/>
              </w:rPr>
              <w:t>分析</w:t>
            </w:r>
          </w:p>
          <w:p>
            <w:pPr>
              <w:adjustRightInd w:val="0"/>
              <w:snapToGrid w:val="0"/>
              <w:spacing w:line="400" w:lineRule="exact"/>
              <w:ind w:firstLine="480" w:firstLineChars="200"/>
              <w:jc w:val="both"/>
              <w:rPr>
                <w:rFonts w:hint="default" w:ascii="Times New Roman" w:hAnsi="Times New Roman" w:eastAsia="宋体" w:cs="Times New Roman"/>
                <w:color w:val="auto"/>
                <w:sz w:val="24"/>
                <w:szCs w:val="24"/>
              </w:rPr>
            </w:pPr>
            <w:r>
              <w:rPr>
                <w:rFonts w:hint="eastAsia" w:ascii="Times New Roman" w:hAnsi="Times New Roman" w:cs="Times New Roman"/>
                <w:color w:val="auto"/>
                <w:lang w:val="en-US" w:eastAsia="zh-CN"/>
              </w:rPr>
              <w:t>本项目</w:t>
            </w:r>
            <w:r>
              <w:rPr>
                <w:rFonts w:hint="default" w:ascii="Times New Roman" w:hAnsi="Times New Roman" w:cs="Times New Roman"/>
                <w:color w:val="auto"/>
                <w:lang w:val="en-US" w:eastAsia="zh-CN"/>
              </w:rPr>
              <w:t>与相关政策</w:t>
            </w:r>
            <w:r>
              <w:rPr>
                <w:rFonts w:hint="eastAsia" w:ascii="Times New Roman" w:hAnsi="Times New Roman" w:cs="Times New Roman"/>
                <w:color w:val="auto"/>
                <w:lang w:val="en-US" w:eastAsia="zh-CN"/>
              </w:rPr>
              <w:t>的符合性</w:t>
            </w:r>
            <w:r>
              <w:rPr>
                <w:rFonts w:hint="default" w:ascii="Times New Roman" w:hAnsi="Times New Roman" w:cs="Times New Roman"/>
                <w:color w:val="auto"/>
                <w:lang w:val="en-US" w:eastAsia="zh-CN"/>
              </w:rPr>
              <w:t>分析</w:t>
            </w:r>
            <w:r>
              <w:rPr>
                <w:rFonts w:hint="default" w:ascii="Times New Roman" w:hAnsi="Times New Roman" w:eastAsia="宋体" w:cs="Times New Roman"/>
                <w:color w:val="auto"/>
                <w:sz w:val="24"/>
                <w:szCs w:val="24"/>
              </w:rPr>
              <w:t>见下表。</w:t>
            </w:r>
          </w:p>
          <w:p>
            <w:pPr>
              <w:adjustRightInd w:val="0"/>
              <w:snapToGrid w:val="0"/>
              <w:spacing w:line="40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w:t>
            </w:r>
            <w:r>
              <w:rPr>
                <w:rFonts w:hint="eastAsia" w:eastAsia="宋体" w:cs="Times New Roman"/>
                <w:b/>
                <w:bCs/>
                <w:color w:val="auto"/>
                <w:sz w:val="21"/>
                <w:szCs w:val="21"/>
                <w:lang w:val="en-US" w:eastAsia="zh-CN"/>
              </w:rPr>
              <w:t xml:space="preserve">5  </w:t>
            </w:r>
            <w:r>
              <w:rPr>
                <w:rFonts w:hint="eastAsia" w:ascii="Times New Roman" w:hAnsi="Times New Roman" w:eastAsia="宋体" w:cs="Times New Roman"/>
                <w:b/>
                <w:bCs/>
                <w:color w:val="auto"/>
                <w:sz w:val="21"/>
                <w:szCs w:val="21"/>
                <w:lang w:val="en-US" w:eastAsia="zh-CN"/>
              </w:rPr>
              <w:t>本项目</w:t>
            </w:r>
            <w:r>
              <w:rPr>
                <w:rFonts w:hint="default" w:ascii="Times New Roman" w:hAnsi="Times New Roman" w:eastAsia="宋体" w:cs="Times New Roman"/>
                <w:b/>
                <w:bCs/>
                <w:color w:val="auto"/>
                <w:sz w:val="21"/>
                <w:szCs w:val="21"/>
                <w:lang w:val="en-US" w:eastAsia="zh-CN"/>
              </w:rPr>
              <w:t>与相关政策</w:t>
            </w:r>
            <w:r>
              <w:rPr>
                <w:rFonts w:hint="eastAsia" w:ascii="Times New Roman" w:hAnsi="Times New Roman" w:eastAsia="宋体" w:cs="Times New Roman"/>
                <w:b/>
                <w:bCs/>
                <w:color w:val="auto"/>
                <w:sz w:val="21"/>
                <w:szCs w:val="21"/>
                <w:lang w:val="en-US" w:eastAsia="zh-CN"/>
              </w:rPr>
              <w:t>的符合性</w:t>
            </w:r>
            <w:r>
              <w:rPr>
                <w:rFonts w:hint="default" w:ascii="Times New Roman" w:hAnsi="Times New Roman" w:eastAsia="宋体" w:cs="Times New Roman"/>
                <w:b/>
                <w:bCs/>
                <w:color w:val="auto"/>
                <w:sz w:val="21"/>
                <w:szCs w:val="21"/>
              </w:rPr>
              <w:t>分析</w:t>
            </w:r>
          </w:p>
          <w:tbl>
            <w:tblPr>
              <w:tblStyle w:val="26"/>
              <w:tblW w:w="7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3092"/>
              <w:gridCol w:w="2465"/>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规划内容</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《陕西省秦岭生态环境保护条例》（2019修订）</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核心保护区不得进行与生态保护、科学研究无关的活动；重点保护区不得进行与其保护功能不相符的开发建设活动。一般保护区生产、生活和建设活动，应当严格执行法律、法规和本条例的规定。除核心保护区、重点保护区以外的区域，为一般保护区，一般保护区实行产业准入清单制度。</w:t>
                  </w:r>
                </w:p>
              </w:tc>
              <w:tc>
                <w:tcPr>
                  <w:tcW w:w="2465" w:type="dxa"/>
                  <w:tcBorders>
                    <w:tl2br w:val="nil"/>
                    <w:tr2bl w:val="nil"/>
                  </w:tcBorders>
                  <w:noWrap w:val="0"/>
                  <w:vAlign w:val="center"/>
                </w:tcPr>
                <w:p>
                  <w:pPr>
                    <w:pStyle w:val="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项目区海拔约为</w:t>
                  </w: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lang w:eastAsia="zh-CN"/>
                    </w:rPr>
                    <w:t>m，属于一般保护区，根据一般保护区的定位允许建设，目前一般保护区尚未制定产业准入清单，参考《陕西省秦岭重点保护区一般保护区产业准入清单（试行）》（陕发改秦岭〔2021〕468号），项目未列入限制和禁止类别。</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《陕西省秦岭生态环境保护总体规划》</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基于秦岭范围生态环境的垂直分异特征，统筹考虑气候的相似性、保护单元的连通性、生态功能的一致性和生态问题的突出性，按照海拔高度、主梁支脉、自然保护地分布等要素，划分为核心保护区、重点保护区和一般保护区，实行分区保护，一般保护区内自然地理条件相对较好，人口密集，交通发达，产业集中，具有一定的发展空间，是资源环境承载能力相对较强的地区，主要承担实现社会高质量发展、促进人与自然和谐共生的功能。</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项目位于</w:t>
                  </w:r>
                  <w:r>
                    <w:rPr>
                      <w:rFonts w:hint="default" w:ascii="Times New Roman" w:hAnsi="Times New Roman" w:eastAsia="宋体" w:cs="Times New Roman"/>
                      <w:color w:val="auto"/>
                      <w:sz w:val="21"/>
                      <w:szCs w:val="21"/>
                      <w:lang w:val="en-US" w:eastAsia="zh-CN"/>
                    </w:rPr>
                    <w:t>安康市恒口示范区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海拔高度约300m，</w:t>
                  </w:r>
                  <w:r>
                    <w:rPr>
                      <w:rFonts w:hint="default" w:ascii="Times New Roman" w:hAnsi="Times New Roman" w:eastAsia="宋体" w:cs="Times New Roman"/>
                      <w:color w:val="auto"/>
                      <w:sz w:val="21"/>
                      <w:szCs w:val="21"/>
                      <w:lang w:eastAsia="zh-CN"/>
                    </w:rPr>
                    <w:t>属于一般保护区，允许建设。</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《安康市秦岭生态环境保护规划（2018-2025）》</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安康市秦岭范围内除禁止开发区、限制开发区以外的区域，海拔1500米以下的区域为适度开发区。</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项目区海拔约为</w:t>
                  </w: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lang w:eastAsia="zh-CN"/>
                    </w:rPr>
                    <w:t>m，属于适度开发区。</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淘汰高污染、高耗能、高排放落后产能，鼓励发展绿色循环经济，发展以生态旅游为重点的现代服务业，发展生态农业、有机农业，加快经济结构调整和产业优化升级。</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本项目不属于高污染、高耗能、高排放落后产能项目。</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《安康市人民政府办公室关于印发安康市“十四五”生态环境保护规划的通知》（安政办发〔2021〕33号）</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国家主体功能区定位，推动“点上开发、面上保护”，优化产业布局，拓宽发展空间，提升发展效益。按照全域安康理念，把集约节约用地和提高发展质量结合起来，把转方式、调结构与生态环境保护结合起来，按照减量化、再利用、再循环的要—15—求，大力发展“飞地经济园区”，实现经济、产业、环境融合发展。进一步完善基础设施建设，提升安康国家级高新区、恒口示范区、瀛湖生态旅游区和县域工业集中区、现代农业园区，月河川道循环经济聚集带、石紫岚沿江沿线生态经济带“三区两园两带”生态环境承载能力，促进工业集中、产业集聚、用地集约，培育循环产业核心区和经济增长极，加快形成绿色、循环、低碳的发展空间格局。</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本项目位于恒口示范区、月河川道循环经济聚集带。</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pStyle w:val="90"/>
                    <w:spacing w:before="71" w:line="240" w:lineRule="auto"/>
                    <w:ind w:left="0" w:leftChars="0" w:right="117" w:rightChars="0" w:firstLine="0" w:firstLineChars="0"/>
                    <w:jc w:val="center"/>
                    <w:rPr>
                      <w:rFonts w:hint="default" w:ascii="Times New Roman" w:hAnsi="Times New Roman" w:eastAsia="宋体" w:cs="Times New Roman"/>
                      <w:color w:val="auto"/>
                      <w:kern w:val="2"/>
                      <w:sz w:val="21"/>
                      <w:szCs w:val="21"/>
                      <w:lang w:val="en-US" w:eastAsia="zh-CN" w:bidi="ar-SA"/>
                    </w:rPr>
                  </w:pPr>
                  <w:bookmarkStart w:id="19" w:name="_Toc26186"/>
                  <w:bookmarkStart w:id="20" w:name="_Toc17736"/>
                  <w:r>
                    <w:rPr>
                      <w:rFonts w:hint="default" w:ascii="Times New Roman" w:hAnsi="Times New Roman" w:eastAsia="宋体" w:cs="Times New Roman"/>
                      <w:color w:val="auto"/>
                      <w:kern w:val="2"/>
                      <w:sz w:val="21"/>
                      <w:szCs w:val="21"/>
                      <w:lang w:val="en-US" w:eastAsia="zh-CN" w:bidi="ar-SA"/>
                    </w:rPr>
                    <w:t>陕西省大气污染防治条例（2019年修正）</w:t>
                  </w:r>
                </w:p>
              </w:tc>
              <w:tc>
                <w:tcPr>
                  <w:tcW w:w="3092" w:type="dxa"/>
                  <w:tcBorders>
                    <w:tl2br w:val="nil"/>
                    <w:tr2bl w:val="nil"/>
                  </w:tcBorders>
                  <w:noWrap w:val="0"/>
                  <w:vAlign w:val="center"/>
                </w:tcPr>
                <w:p>
                  <w:pPr>
                    <w:pStyle w:val="90"/>
                    <w:spacing w:before="184" w:line="240" w:lineRule="auto"/>
                    <w:ind w:left="0" w:leftChars="0" w:right="4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企业应当优先采用能源和原材料利用效率高、污染物排放量少的清洁生产技术、工艺和装备，减少大气污染物的产生和排放。</w:t>
                  </w:r>
                </w:p>
              </w:tc>
              <w:tc>
                <w:tcPr>
                  <w:tcW w:w="2465" w:type="dxa"/>
                  <w:tcBorders>
                    <w:tl2br w:val="nil"/>
                    <w:tr2bl w:val="nil"/>
                  </w:tcBorders>
                  <w:noWrap w:val="0"/>
                  <w:vAlign w:val="center"/>
                </w:tcPr>
                <w:p>
                  <w:pPr>
                    <w:pStyle w:val="90"/>
                    <w:spacing w:before="44" w:line="240" w:lineRule="auto"/>
                    <w:ind w:left="0" w:leftChars="0" w:right="97"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本项目生产原料为低VOCs原料</w:t>
                  </w:r>
                  <w:r>
                    <w:rPr>
                      <w:rFonts w:hint="default" w:ascii="Times New Roman" w:hAnsi="Times New Roman" w:eastAsia="宋体" w:cs="Times New Roman"/>
                      <w:color w:val="auto"/>
                      <w:kern w:val="2"/>
                      <w:sz w:val="21"/>
                      <w:szCs w:val="21"/>
                      <w:lang w:val="en-US" w:eastAsia="zh-CN" w:bidi="ar-SA"/>
                    </w:rPr>
                    <w:t>，污染物排放量少，产生的有机废气通过采用</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集气</w:t>
                  </w:r>
                  <w:r>
                    <w:rPr>
                      <w:rFonts w:hint="eastAsia" w:ascii="Times New Roman" w:hAnsi="Times New Roman" w:eastAsia="宋体" w:cs="Times New Roman"/>
                      <w:color w:val="auto"/>
                      <w:kern w:val="2"/>
                      <w:sz w:val="21"/>
                      <w:szCs w:val="21"/>
                      <w:lang w:val="en-US" w:eastAsia="zh-CN" w:bidi="ar-SA"/>
                    </w:rPr>
                    <w:t>管道</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滤网除尘+水雾除尘+</w:t>
                  </w:r>
                  <w:r>
                    <w:rPr>
                      <w:rFonts w:hint="default" w:ascii="Times New Roman" w:hAnsi="Times New Roman" w:eastAsia="宋体" w:cs="Times New Roman"/>
                      <w:color w:val="auto"/>
                      <w:kern w:val="2"/>
                      <w:sz w:val="21"/>
                      <w:szCs w:val="21"/>
                      <w:lang w:val="en-US" w:eastAsia="zh-CN" w:bidi="ar-SA"/>
                    </w:rPr>
                    <w:t>活性</w:t>
                  </w:r>
                  <w:r>
                    <w:rPr>
                      <w:rFonts w:hint="eastAsia" w:ascii="Times New Roman" w:hAnsi="Times New Roman" w:eastAsia="宋体" w:cs="Times New Roman"/>
                      <w:color w:val="auto"/>
                      <w:kern w:val="2"/>
                      <w:sz w:val="21"/>
                      <w:szCs w:val="21"/>
                      <w:lang w:val="en-US" w:eastAsia="zh-CN" w:bidi="ar-SA"/>
                    </w:rPr>
                    <w:t>炭吸附</w:t>
                  </w:r>
                  <w:r>
                    <w:rPr>
                      <w:rFonts w:hint="default" w:ascii="Times New Roman" w:hAnsi="Times New Roman" w:eastAsia="宋体" w:cs="Times New Roman"/>
                      <w:color w:val="auto"/>
                      <w:kern w:val="2"/>
                      <w:sz w:val="21"/>
                      <w:szCs w:val="21"/>
                      <w:lang w:val="en-US" w:eastAsia="zh-CN" w:bidi="ar-SA"/>
                    </w:rPr>
                    <w:t>+15m高排气筒</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的废气处理措施处理有机废气，实现达标排放，减少了大气污染物的产生和排放</w:t>
                  </w:r>
                  <w:r>
                    <w:rPr>
                      <w:rFonts w:hint="eastAsia" w:ascii="Times New Roman" w:hAnsi="Times New Roman" w:eastAsia="宋体" w:cs="Times New Roman"/>
                      <w:color w:val="auto"/>
                      <w:kern w:val="2"/>
                      <w:sz w:val="21"/>
                      <w:szCs w:val="21"/>
                      <w:lang w:val="en-US" w:eastAsia="zh-CN" w:bidi="ar-SA"/>
                    </w:rPr>
                    <w:t>。</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pStyle w:val="90"/>
                    <w:spacing w:before="53" w:line="240" w:lineRule="auto"/>
                    <w:ind w:left="0" w:leftChars="0" w:right="117"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《陕西省大气污染治理专项行动（2023</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2027年）》（陕发〔2023〕4号）</w:t>
                  </w:r>
                </w:p>
              </w:tc>
              <w:tc>
                <w:tcPr>
                  <w:tcW w:w="3092" w:type="dxa"/>
                  <w:tcBorders>
                    <w:tl2br w:val="nil"/>
                    <w:tr2bl w:val="nil"/>
                  </w:tcBorders>
                  <w:noWrap w:val="0"/>
                  <w:vAlign w:val="center"/>
                </w:tcPr>
                <w:p>
                  <w:pPr>
                    <w:pStyle w:val="90"/>
                    <w:spacing w:before="184" w:line="240" w:lineRule="auto"/>
                    <w:ind w:left="0" w:leftChars="0" w:right="4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新建挥发性有机物治理设施不再采用单一低温等离子、光氧化、光催化等治理技术，非水溶性挥发性有机物废气不再采用单一喷淋吸收方式处理。</w:t>
                  </w:r>
                </w:p>
              </w:tc>
              <w:tc>
                <w:tcPr>
                  <w:tcW w:w="2465" w:type="dxa"/>
                  <w:tcBorders>
                    <w:tl2br w:val="nil"/>
                    <w:tr2bl w:val="nil"/>
                  </w:tcBorders>
                  <w:noWrap w:val="0"/>
                  <w:vAlign w:val="center"/>
                </w:tcPr>
                <w:p>
                  <w:pPr>
                    <w:pStyle w:val="90"/>
                    <w:spacing w:before="44" w:line="240" w:lineRule="auto"/>
                    <w:ind w:left="0" w:leftChars="0" w:right="97"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本项目挥发性有机废气治理设施采用活性炭吸附装置，符合要求。</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restart"/>
                  <w:tcBorders>
                    <w:tl2br w:val="nil"/>
                    <w:tr2bl w:val="nil"/>
                  </w:tcBorders>
                  <w:noWrap w:val="0"/>
                  <w:vAlign w:val="center"/>
                </w:tcPr>
                <w:p>
                  <w:pPr>
                    <w:pStyle w:val="90"/>
                    <w:spacing w:before="72"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《安康市大气污染治理专项行动工作方案（2023</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2027年）》安发〔2023〕8号</w:t>
                  </w:r>
                </w:p>
              </w:tc>
              <w:tc>
                <w:tcPr>
                  <w:tcW w:w="3092" w:type="dxa"/>
                  <w:tcBorders>
                    <w:tl2br w:val="nil"/>
                    <w:tr2bl w:val="nil"/>
                  </w:tcBorders>
                  <w:noWrap w:val="0"/>
                  <w:vAlign w:val="center"/>
                </w:tcPr>
                <w:p>
                  <w:pPr>
                    <w:pStyle w:val="90"/>
                    <w:spacing w:before="36" w:line="240" w:lineRule="auto"/>
                    <w:ind w:left="0" w:leftChars="0" w:right="41"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开展简易低效挥发性有机物治理设施清理整治、涉活性炭挥发性有机物处理工艺专项整治行动，强化挥发性有机物无组织排放整治，建立挥发性有机物企业动态管理台账，加强日常监管，不能稳定达标的，限期整改到位，并对违法企业立案查处。新建挥发性有机物治理设施不再采用低温等离子、光氧化、光催化等治理技术，非水溶性挥发性有机物废气不再采用喷淋吸收方式处理。</w:t>
                  </w:r>
                </w:p>
              </w:tc>
              <w:tc>
                <w:tcPr>
                  <w:tcW w:w="2465" w:type="dxa"/>
                  <w:tcBorders>
                    <w:tl2br w:val="nil"/>
                    <w:tr2bl w:val="nil"/>
                  </w:tcBorders>
                  <w:noWrap w:val="0"/>
                  <w:vAlign w:val="center"/>
                </w:tcPr>
                <w:p>
                  <w:pPr>
                    <w:pStyle w:val="90"/>
                    <w:spacing w:before="175" w:line="240" w:lineRule="auto"/>
                    <w:ind w:left="0" w:leftChars="0" w:right="97"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要求企业建立健全VOCs治理设施的运行维护规程和台账，并加强对各类设备的检修维护，并做好记录；本项目挥发性有机废气治理设施采用活性炭吸附装置，符合要求。</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noWrap w:val="0"/>
                  <w:vAlign w:val="center"/>
                </w:tcPr>
                <w:p>
                  <w:pPr>
                    <w:pStyle w:val="90"/>
                    <w:spacing w:before="184" w:line="240" w:lineRule="auto"/>
                    <w:ind w:left="111" w:leftChars="0" w:right="40" w:rightChars="0" w:firstLine="420" w:firstLineChars="200"/>
                    <w:jc w:val="center"/>
                    <w:rPr>
                      <w:rFonts w:hint="default" w:ascii="Times New Roman" w:hAnsi="Times New Roman" w:eastAsia="宋体" w:cs="Times New Roman"/>
                      <w:color w:val="auto"/>
                      <w:kern w:val="2"/>
                      <w:sz w:val="21"/>
                      <w:szCs w:val="21"/>
                      <w:lang w:val="en-US" w:eastAsia="zh-CN" w:bidi="ar-SA"/>
                    </w:rPr>
                  </w:pPr>
                </w:p>
              </w:tc>
              <w:tc>
                <w:tcPr>
                  <w:tcW w:w="3092" w:type="dxa"/>
                  <w:tcBorders>
                    <w:tl2br w:val="nil"/>
                    <w:tr2bl w:val="nil"/>
                  </w:tcBorders>
                  <w:noWrap w:val="0"/>
                  <w:vAlign w:val="center"/>
                </w:tcPr>
                <w:p>
                  <w:pPr>
                    <w:pStyle w:val="90"/>
                    <w:spacing w:before="39" w:line="240" w:lineRule="auto"/>
                    <w:ind w:left="0" w:leftChars="0" w:right="62"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加强含挥发性有机物原辅材料产品质量监管。严格执行涂料、油墨、胶粘剂、清洗剂挥发性有机物含量限值标准，加强对相关产品生产、销售、进口、使用环节挥发性有机物含量限值执行情况的监督检查。</w:t>
                  </w:r>
                </w:p>
              </w:tc>
              <w:tc>
                <w:tcPr>
                  <w:tcW w:w="2465" w:type="dxa"/>
                  <w:tcBorders>
                    <w:tl2br w:val="nil"/>
                    <w:tr2bl w:val="nil"/>
                  </w:tcBorders>
                  <w:noWrap w:val="0"/>
                  <w:vAlign w:val="center"/>
                </w:tcPr>
                <w:p>
                  <w:pPr>
                    <w:pStyle w:val="90"/>
                    <w:spacing w:before="71" w:line="240" w:lineRule="auto"/>
                    <w:ind w:left="0" w:leftChars="0" w:right="97"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ascii="Times New Roman" w:hAnsi="Times New Roman" w:eastAsia="宋体" w:cs="Times New Roman"/>
                      <w:color w:val="auto"/>
                      <w:kern w:val="2"/>
                      <w:sz w:val="21"/>
                      <w:szCs w:val="21"/>
                      <w:lang w:val="en-US" w:eastAsia="zh-CN" w:bidi="ar-SA"/>
                    </w:rPr>
                    <w:t>使用的原料</w:t>
                  </w:r>
                  <w:r>
                    <w:rPr>
                      <w:rFonts w:hint="default" w:ascii="Times New Roman" w:hAnsi="Times New Roman" w:eastAsia="宋体" w:cs="Times New Roman"/>
                      <w:color w:val="auto"/>
                      <w:kern w:val="2"/>
                      <w:sz w:val="21"/>
                      <w:szCs w:val="21"/>
                      <w:lang w:val="en-US" w:eastAsia="zh-CN" w:bidi="ar-SA"/>
                    </w:rPr>
                    <w:t>均符合标准要求</w:t>
                  </w:r>
                  <w:r>
                    <w:rPr>
                      <w:rFonts w:hint="eastAsia" w:ascii="Times New Roman" w:hAnsi="Times New Roman" w:eastAsia="宋体" w:cs="Times New Roman"/>
                      <w:color w:val="auto"/>
                      <w:kern w:val="2"/>
                      <w:sz w:val="21"/>
                      <w:szCs w:val="21"/>
                      <w:lang w:val="en-US" w:eastAsia="zh-CN" w:bidi="ar-SA"/>
                    </w:rPr>
                    <w:t>。</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《陕西省“十四五”生态环境保护规划》</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推进重点行业挥发性有机物综合整治。建立石化、化工、工业涂装、包装印刷、家具、电子制造、工程机械制造等重点行业源头、过程和末端全过程控制体系，实施挥发性有机物总量控制。</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本项目属于低VOCs排放企业，项目产生的有机废气采用</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集气</w:t>
                  </w:r>
                  <w:r>
                    <w:rPr>
                      <w:rFonts w:hint="eastAsia" w:ascii="Times New Roman" w:hAnsi="Times New Roman" w:eastAsia="宋体" w:cs="Times New Roman"/>
                      <w:color w:val="auto"/>
                      <w:kern w:val="2"/>
                      <w:sz w:val="21"/>
                      <w:szCs w:val="21"/>
                      <w:lang w:val="en-US" w:eastAsia="zh-CN" w:bidi="ar-SA"/>
                    </w:rPr>
                    <w:t>管道</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滤网除尘+水雾除尘+</w:t>
                  </w:r>
                  <w:r>
                    <w:rPr>
                      <w:rFonts w:hint="default" w:ascii="Times New Roman" w:hAnsi="Times New Roman" w:eastAsia="宋体" w:cs="Times New Roman"/>
                      <w:color w:val="auto"/>
                      <w:kern w:val="2"/>
                      <w:sz w:val="21"/>
                      <w:szCs w:val="21"/>
                      <w:lang w:val="en-US" w:eastAsia="zh-CN" w:bidi="ar-SA"/>
                    </w:rPr>
                    <w:t>活性</w:t>
                  </w:r>
                  <w:r>
                    <w:rPr>
                      <w:rFonts w:hint="eastAsia" w:ascii="Times New Roman" w:hAnsi="Times New Roman" w:eastAsia="宋体" w:cs="Times New Roman"/>
                      <w:color w:val="auto"/>
                      <w:kern w:val="2"/>
                      <w:sz w:val="21"/>
                      <w:szCs w:val="21"/>
                      <w:lang w:val="en-US" w:eastAsia="zh-CN" w:bidi="ar-SA"/>
                    </w:rPr>
                    <w:t>炭吸附</w:t>
                  </w:r>
                  <w:r>
                    <w:rPr>
                      <w:rFonts w:hint="default" w:ascii="Times New Roman" w:hAnsi="Times New Roman" w:eastAsia="宋体" w:cs="Times New Roman"/>
                      <w:color w:val="auto"/>
                      <w:kern w:val="2"/>
                      <w:sz w:val="21"/>
                      <w:szCs w:val="21"/>
                      <w:lang w:val="en-US" w:eastAsia="zh-CN" w:bidi="ar-SA"/>
                    </w:rPr>
                    <w:t>+15m高排气筒</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排放，实现VOCs全过程控制。</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《挥发性有机物（VOCs</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污染防治技术政策》（公告2013年第31号）</w:t>
                  </w: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含VOCs产品的使用过程中，应采取废气收集措施，提高废气收集效率，减少废气的无组织排放与逸散，并对收集后的废气进行回收或处理后达标排放。</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本项目针对运营期产生的有机废气采取集气</w:t>
                  </w:r>
                  <w:r>
                    <w:rPr>
                      <w:rFonts w:hint="eastAsia" w:ascii="Times New Roman" w:hAnsi="Times New Roman" w:eastAsia="宋体" w:cs="Times New Roman"/>
                      <w:color w:val="auto"/>
                      <w:kern w:val="2"/>
                      <w:sz w:val="21"/>
                      <w:szCs w:val="21"/>
                      <w:lang w:val="en-US" w:eastAsia="zh-CN" w:bidi="ar-SA"/>
                    </w:rPr>
                    <w:t>管道</w:t>
                  </w:r>
                  <w:r>
                    <w:rPr>
                      <w:rFonts w:hint="default" w:ascii="Times New Roman" w:hAnsi="Times New Roman" w:eastAsia="宋体" w:cs="Times New Roman"/>
                      <w:color w:val="auto"/>
                      <w:kern w:val="2"/>
                      <w:sz w:val="21"/>
                      <w:szCs w:val="21"/>
                      <w:lang w:val="en-US" w:eastAsia="zh-CN" w:bidi="ar-SA"/>
                    </w:rPr>
                    <w:t>收集，活性炭吸附的方式处理实现废气的达标排放。整个生产工序置于</w:t>
                  </w:r>
                  <w:r>
                    <w:rPr>
                      <w:rFonts w:hint="eastAsia" w:ascii="Times New Roman" w:hAnsi="Times New Roman" w:eastAsia="宋体" w:cs="Times New Roman"/>
                      <w:color w:val="auto"/>
                      <w:kern w:val="2"/>
                      <w:sz w:val="21"/>
                      <w:szCs w:val="21"/>
                      <w:lang w:val="en-US" w:eastAsia="zh-CN" w:bidi="ar-SA"/>
                    </w:rPr>
                    <w:t>半</w:t>
                  </w:r>
                  <w:r>
                    <w:rPr>
                      <w:rFonts w:hint="default" w:ascii="Times New Roman" w:hAnsi="Times New Roman" w:eastAsia="宋体" w:cs="Times New Roman"/>
                      <w:color w:val="auto"/>
                      <w:kern w:val="2"/>
                      <w:sz w:val="21"/>
                      <w:szCs w:val="21"/>
                      <w:lang w:val="en-US" w:eastAsia="zh-CN" w:bidi="ar-SA"/>
                    </w:rPr>
                    <w:t>封闭的生产厂房内，防止废气的无组织排放与逸散。</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对于含低浓度VOCs的废气，有回收价值时可采用吸附技术、吸附技术对有机溶剂回收后达标排放；不宜回收时，可采用吸附浓缩燃烧技术、生物技术、吸收技术、等离子技术或紫外光高级氧化技术等净化后达标排放。</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本项目产生的VOCs废气浓度低，项目采用了</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集气</w:t>
                  </w:r>
                  <w:r>
                    <w:rPr>
                      <w:rFonts w:hint="eastAsia" w:ascii="Times New Roman" w:hAnsi="Times New Roman" w:eastAsia="宋体" w:cs="Times New Roman"/>
                      <w:color w:val="auto"/>
                      <w:kern w:val="2"/>
                      <w:sz w:val="21"/>
                      <w:szCs w:val="21"/>
                      <w:lang w:val="en-US" w:eastAsia="zh-CN" w:bidi="ar-SA"/>
                    </w:rPr>
                    <w:t>管道</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滤网除尘+水雾除尘+</w:t>
                  </w:r>
                  <w:r>
                    <w:rPr>
                      <w:rFonts w:hint="default" w:ascii="Times New Roman" w:hAnsi="Times New Roman" w:eastAsia="宋体" w:cs="Times New Roman"/>
                      <w:color w:val="auto"/>
                      <w:kern w:val="2"/>
                      <w:sz w:val="21"/>
                      <w:szCs w:val="21"/>
                      <w:lang w:val="en-US" w:eastAsia="zh-CN" w:bidi="ar-SA"/>
                    </w:rPr>
                    <w:t>活性</w:t>
                  </w:r>
                  <w:r>
                    <w:rPr>
                      <w:rFonts w:hint="eastAsia" w:ascii="Times New Roman" w:hAnsi="Times New Roman" w:eastAsia="宋体" w:cs="Times New Roman"/>
                      <w:color w:val="auto"/>
                      <w:kern w:val="2"/>
                      <w:sz w:val="21"/>
                      <w:szCs w:val="21"/>
                      <w:lang w:val="en-US" w:eastAsia="zh-CN" w:bidi="ar-SA"/>
                    </w:rPr>
                    <w:t>炭吸附</w:t>
                  </w:r>
                  <w:r>
                    <w:rPr>
                      <w:rFonts w:hint="default" w:ascii="Times New Roman" w:hAnsi="Times New Roman" w:eastAsia="宋体" w:cs="Times New Roman"/>
                      <w:color w:val="auto"/>
                      <w:kern w:val="2"/>
                      <w:sz w:val="21"/>
                      <w:szCs w:val="21"/>
                      <w:lang w:val="en-US" w:eastAsia="zh-CN" w:bidi="ar-SA"/>
                    </w:rPr>
                    <w:t>+15m高排气筒</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的废气处理措施处理有机废气，实现达标排放。</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对于不能再生的过滤材料、吸附剂及催化剂等净化材料，应按照国家固体废物管理的相关规定处理处置。</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项目活性炭吸附装置更换的废活性炭作为危废，</w:t>
                  </w:r>
                  <w:r>
                    <w:rPr>
                      <w:rFonts w:hint="eastAsia" w:ascii="Times New Roman" w:hAnsi="Times New Roman" w:eastAsia="宋体" w:cs="Times New Roman"/>
                      <w:color w:val="auto"/>
                      <w:kern w:val="2"/>
                      <w:sz w:val="21"/>
                      <w:szCs w:val="21"/>
                      <w:lang w:val="en-US" w:eastAsia="zh-CN" w:bidi="ar-SA"/>
                    </w:rPr>
                    <w:t>暂存于危废暂存间，</w:t>
                  </w:r>
                  <w:r>
                    <w:rPr>
                      <w:rFonts w:hint="default" w:ascii="Times New Roman" w:hAnsi="Times New Roman" w:eastAsia="宋体" w:cs="Times New Roman"/>
                      <w:color w:val="auto"/>
                      <w:kern w:val="2"/>
                      <w:sz w:val="21"/>
                      <w:szCs w:val="21"/>
                      <w:lang w:val="en-US" w:eastAsia="zh-CN" w:bidi="ar-SA"/>
                    </w:rPr>
                    <w:t>交由有资质单位处置。</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5" w:type="dxa"/>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09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企业应建立健全VOCs治理设施的运行维护规程和台账等日常管理制度，并根据工艺要求定期对各类设备、电气、自控仪表等进行检修维护，确保设施的稳定运行。</w:t>
                  </w:r>
                </w:p>
              </w:tc>
              <w:tc>
                <w:tcPr>
                  <w:tcW w:w="246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要求企业建立健全VOCs治理设施的运行维护规程和台账，并加强对各类设备的检修维护，并做好记录。</w:t>
                  </w:r>
                </w:p>
              </w:tc>
              <w:tc>
                <w:tcPr>
                  <w:tcW w:w="78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bl>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外环境关系</w:t>
            </w:r>
            <w:bookmarkEnd w:id="19"/>
            <w:bookmarkEnd w:id="20"/>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根据现场踏勘，项目四至范围内的外环境情况详见表1</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和附图</w:t>
            </w:r>
            <w:r>
              <w:rPr>
                <w:rFonts w:hint="eastAsia" w:cs="Times New Roman"/>
                <w:color w:val="auto"/>
                <w:highlight w:val="none"/>
                <w:lang w:val="en-US" w:eastAsia="zh-CN"/>
              </w:rPr>
              <w:t>6</w:t>
            </w:r>
            <w:r>
              <w:rPr>
                <w:rFonts w:hint="default" w:ascii="Times New Roman" w:hAnsi="Times New Roman" w:eastAsia="宋体" w:cs="Times New Roman"/>
                <w:color w:val="auto"/>
                <w:highlight w:val="none"/>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表1.</w:t>
            </w:r>
            <w:r>
              <w:rPr>
                <w:rFonts w:hint="eastAsia" w:ascii="Times New Roman" w:hAnsi="Times New Roman" w:eastAsia="宋体" w:cs="Times New Roman"/>
                <w:b/>
                <w:color w:val="auto"/>
                <w:sz w:val="21"/>
                <w:szCs w:val="21"/>
                <w:lang w:val="en-US" w:eastAsia="zh-CN"/>
              </w:rPr>
              <w:t xml:space="preserve">6  </w:t>
            </w:r>
            <w:r>
              <w:rPr>
                <w:rFonts w:hint="default" w:ascii="Times New Roman" w:hAnsi="Times New Roman" w:eastAsia="宋体" w:cs="Times New Roman"/>
                <w:b/>
                <w:color w:val="auto"/>
                <w:sz w:val="21"/>
                <w:szCs w:val="21"/>
                <w:lang w:val="en-US" w:eastAsia="zh-CN"/>
              </w:rPr>
              <w:t>项目外环境关系一览表</w:t>
            </w:r>
          </w:p>
          <w:tbl>
            <w:tblPr>
              <w:tblStyle w:val="27"/>
              <w:tblW w:w="7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068"/>
              <w:gridCol w:w="1077"/>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序号</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名称</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方位</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val="en-US" w:eastAsia="zh-CN"/>
                    </w:rPr>
                    <w:t>厂界</w:t>
                  </w:r>
                  <w:r>
                    <w:rPr>
                      <w:rFonts w:hint="default" w:ascii="Times New Roman" w:hAnsi="Times New Roman" w:eastAsia="宋体" w:cs="Times New Roman"/>
                      <w:b/>
                      <w:bCs/>
                      <w:color w:val="auto"/>
                      <w:sz w:val="21"/>
                      <w:szCs w:val="21"/>
                    </w:rPr>
                    <w:t>相对位置</w:t>
                  </w:r>
                  <w:r>
                    <w:rPr>
                      <w:rFonts w:hint="default" w:ascii="Times New Roman" w:hAnsi="Times New Roman" w:eastAsia="宋体" w:cs="Times New Roman"/>
                      <w:b/>
                      <w:bCs/>
                      <w:color w:val="auto"/>
                      <w:sz w:val="21"/>
                      <w:szCs w:val="21"/>
                      <w:lang w:val="en-US" w:eastAsia="zh-CN"/>
                    </w:rPr>
                    <w:t>距离单位/m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安贝斯玩具产业链孵化园</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2</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月滨南大道</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3</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月河</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4</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柳林村居民</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5</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潘家河</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东</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食品产业园</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东南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红星美凯龙物流产业园</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陕西恒通纤维环保科技有限公司</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陕西安康海润恒昶科技有限公司</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0</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安民村居民</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1</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良骏宏驰小型汽车科目三考场</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2</w:t>
                  </w:r>
                </w:p>
              </w:tc>
              <w:tc>
                <w:tcPr>
                  <w:tcW w:w="306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月天大道</w:t>
                  </w:r>
                </w:p>
              </w:tc>
              <w:tc>
                <w:tcPr>
                  <w:tcW w:w="107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南</w:t>
                  </w:r>
                </w:p>
              </w:tc>
              <w:tc>
                <w:tcPr>
                  <w:tcW w:w="2483"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w:t>
                  </w:r>
                </w:p>
              </w:tc>
            </w:tr>
          </w:tbl>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highlight w:val="none"/>
                <w:lang w:val="en-US" w:eastAsia="zh-CN"/>
              </w:rPr>
              <w:t>项</w:t>
            </w:r>
            <w:r>
              <w:rPr>
                <w:rFonts w:hint="default" w:ascii="Times New Roman" w:hAnsi="Times New Roman" w:eastAsia="宋体" w:cs="Times New Roman"/>
                <w:color w:val="auto"/>
                <w:highlight w:val="none"/>
                <w:lang w:eastAsia="zh-CN"/>
              </w:rPr>
              <w:t>目所在区域不属于饮用水源保护区、风景名胜区，和周边环境现状相适应，地理位置优越，交通较为便利，在采用环保措施后，不会对当地的环境质量造成明显的不利影响，项目选址合理</w:t>
            </w:r>
            <w:r>
              <w:rPr>
                <w:rFonts w:hint="default" w:ascii="Times New Roman" w:hAnsi="Times New Roman" w:eastAsia="宋体" w:cs="Times New Roman"/>
                <w:color w:val="auto"/>
                <w:highlight w:val="none"/>
              </w:rPr>
              <w:t>。</w:t>
            </w:r>
          </w:p>
        </w:tc>
      </w:tr>
    </w:tbl>
    <w:p>
      <w:pPr>
        <w:pStyle w:val="3"/>
        <w:numPr>
          <w:ilvl w:val="0"/>
          <w:numId w:val="3"/>
        </w:numPr>
        <w:bidi w:val="0"/>
        <w:rPr>
          <w:rFonts w:hint="default" w:ascii="Times New Roman" w:hAnsi="Times New Roman" w:cs="Times New Roman"/>
          <w:color w:val="auto"/>
        </w:rPr>
      </w:pPr>
      <w:bookmarkStart w:id="21" w:name="_Toc30518"/>
      <w:bookmarkStart w:id="22" w:name="_Toc26002"/>
      <w:r>
        <w:rPr>
          <w:rStyle w:val="34"/>
          <w:rFonts w:hint="default" w:ascii="Times New Roman" w:hAnsi="Times New Roman" w:cs="Times New Roman"/>
          <w:b/>
          <w:bCs/>
        </w:rPr>
        <w:br w:type="page"/>
      </w:r>
      <w:r>
        <w:rPr>
          <w:rFonts w:hint="default" w:ascii="Times New Roman" w:hAnsi="Times New Roman" w:cs="Times New Roman"/>
          <w:color w:val="auto"/>
        </w:rPr>
        <w:t>建设项目工程分析</w:t>
      </w:r>
      <w:bookmarkEnd w:id="21"/>
      <w:bookmarkEnd w:id="22"/>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pStyle w:val="3"/>
              <w:keepNext w:val="0"/>
              <w:keepLines w:val="0"/>
              <w:pageBreakBefore w:val="0"/>
              <w:widowControl w:val="0"/>
              <w:kinsoku/>
              <w:wordWrap/>
              <w:overflowPunct w:val="0"/>
              <w:topLinePunct w:val="0"/>
              <w:autoSpaceDE/>
              <w:autoSpaceDN/>
              <w:bidi w:val="0"/>
              <w:adjustRightInd/>
              <w:snapToGrid w:val="0"/>
              <w:spacing w:before="0" w:beforeLines="0" w:after="0" w:afterLines="0"/>
              <w:ind w:left="0" w:leftChars="0" w:firstLine="0" w:firstLineChars="0"/>
              <w:jc w:val="center"/>
              <w:textAlignment w:val="auto"/>
              <w:rPr>
                <w:rFonts w:hint="default"/>
                <w:vertAlign w:val="baseline"/>
              </w:rPr>
            </w:pPr>
            <w:r>
              <w:rPr>
                <w:rFonts w:hint="default" w:ascii="Times New Roman" w:hAnsi="Times New Roman" w:eastAsia="宋体" w:cs="Times New Roman"/>
                <w:b w:val="0"/>
                <w:bCs w:val="0"/>
                <w:color w:val="auto"/>
                <w:kern w:val="0"/>
                <w:sz w:val="24"/>
                <w:szCs w:val="24"/>
                <w:lang w:val="en-US" w:eastAsia="zh-CN" w:bidi="ar-SA"/>
              </w:rPr>
              <w:t>建设内容</w:t>
            </w:r>
          </w:p>
        </w:tc>
        <w:tc>
          <w:tcPr>
            <w:tcW w:w="8214" w:type="dxa"/>
            <w:noWrap w:val="0"/>
            <w:vAlign w:val="top"/>
          </w:tcPr>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2.1项目由来</w:t>
            </w:r>
          </w:p>
          <w:p>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安康德耀环创玩具有限公司</w:t>
            </w:r>
            <w:r>
              <w:rPr>
                <w:rFonts w:hint="default" w:ascii="Times New Roman" w:hAnsi="Times New Roman" w:eastAsia="宋体" w:cs="Times New Roman"/>
                <w:color w:val="auto"/>
                <w:sz w:val="24"/>
                <w:szCs w:val="24"/>
                <w:lang w:eastAsia="zh-CN"/>
              </w:rPr>
              <w:t>成</w:t>
            </w:r>
            <w:r>
              <w:rPr>
                <w:rFonts w:hint="default" w:ascii="Times New Roman" w:hAnsi="Times New Roman" w:eastAsia="宋体" w:cs="Times New Roman"/>
                <w:color w:val="auto"/>
                <w:kern w:val="0"/>
                <w:sz w:val="24"/>
                <w:szCs w:val="24"/>
                <w:highlight w:val="none"/>
                <w:lang w:val="en-US" w:eastAsia="zh-CN" w:bidi="ar"/>
              </w:rPr>
              <w:t>立于2022年4月，经营范围一般项目：玩具、动漫及游艺用品销售；高性能纤维及复合材料制造；非金属废料和碎屑加工处理；再生资源回收</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除生产性废旧金属</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除依法须经批准的项目外，凭营业执照依法自主开展经营活动</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。营业执照副本见附件3。</w:t>
            </w:r>
          </w:p>
          <w:p>
            <w:pPr>
              <w:pStyle w:val="9"/>
              <w:spacing w:line="360" w:lineRule="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为适应市场发展需求，解决</w:t>
            </w:r>
            <w:r>
              <w:rPr>
                <w:rFonts w:hint="eastAsia" w:ascii="Times New Roman" w:hAnsi="Times New Roman" w:eastAsia="宋体" w:cs="Times New Roman"/>
                <w:color w:val="auto"/>
                <w:kern w:val="0"/>
                <w:sz w:val="24"/>
                <w:szCs w:val="24"/>
                <w:highlight w:val="none"/>
                <w:lang w:val="en-US" w:eastAsia="zh-CN" w:bidi="ar"/>
              </w:rPr>
              <w:t>安康市恒口示范区及安康市其他区县毛绒玩具生产产生的</w:t>
            </w:r>
            <w:r>
              <w:rPr>
                <w:rFonts w:hint="default" w:ascii="Times New Roman" w:hAnsi="Times New Roman" w:eastAsia="宋体" w:cs="Times New Roman"/>
                <w:color w:val="auto"/>
                <w:kern w:val="0"/>
                <w:sz w:val="24"/>
                <w:szCs w:val="24"/>
                <w:highlight w:val="none"/>
                <w:lang w:val="en-US" w:eastAsia="zh-CN" w:bidi="ar"/>
              </w:rPr>
              <w:t>废丝和布边角料回收问题，安康德耀环创玩具有限公司拟在安康安贝斯玩具产业链孵化园</w:t>
            </w:r>
            <w:r>
              <w:rPr>
                <w:rFonts w:hint="eastAsia" w:ascii="Times New Roman" w:hAnsi="Times New Roman" w:eastAsia="宋体" w:cs="Times New Roman"/>
                <w:color w:val="auto"/>
                <w:kern w:val="0"/>
                <w:sz w:val="24"/>
                <w:szCs w:val="24"/>
                <w:highlight w:val="none"/>
                <w:lang w:val="en-US" w:eastAsia="zh-CN" w:bidi="ar"/>
              </w:rPr>
              <w:t>有限公司已建标准化厂房内</w:t>
            </w:r>
            <w:r>
              <w:rPr>
                <w:rFonts w:hint="default" w:ascii="Times New Roman" w:hAnsi="Times New Roman" w:eastAsia="宋体" w:cs="Times New Roman"/>
                <w:color w:val="auto"/>
                <w:kern w:val="0"/>
                <w:sz w:val="24"/>
                <w:szCs w:val="24"/>
                <w:highlight w:val="none"/>
                <w:lang w:val="en-US" w:eastAsia="zh-CN" w:bidi="ar"/>
              </w:rPr>
              <w:t>投资105万元，建设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年产2200吨毛绒玩具废丝和布边角料制团粒项目</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，根据项目备案确认书其建设内容为：</w:t>
            </w:r>
            <w:r>
              <w:rPr>
                <w:rFonts w:hint="eastAsia" w:ascii="Times New Roman" w:hAnsi="Times New Roman" w:eastAsia="宋体" w:cs="Times New Roman"/>
                <w:color w:val="auto"/>
                <w:kern w:val="0"/>
                <w:sz w:val="24"/>
                <w:szCs w:val="24"/>
                <w:highlight w:val="none"/>
                <w:lang w:val="en-US" w:eastAsia="zh-CN" w:bidi="ar"/>
              </w:rPr>
              <w:t>租用</w:t>
            </w:r>
            <w:r>
              <w:rPr>
                <w:rFonts w:hint="default" w:ascii="Times New Roman" w:hAnsi="Times New Roman" w:eastAsia="宋体" w:cs="Times New Roman"/>
                <w:color w:val="auto"/>
                <w:kern w:val="0"/>
                <w:sz w:val="24"/>
                <w:szCs w:val="24"/>
                <w:highlight w:val="none"/>
                <w:lang w:val="en-US" w:eastAsia="zh-CN" w:bidi="ar"/>
              </w:rPr>
              <w:t>安康安贝斯玩具产业链孵化园</w:t>
            </w:r>
            <w:r>
              <w:rPr>
                <w:rFonts w:hint="eastAsia" w:ascii="Times New Roman" w:hAnsi="Times New Roman" w:eastAsia="宋体" w:cs="Times New Roman"/>
                <w:color w:val="auto"/>
                <w:kern w:val="0"/>
                <w:sz w:val="24"/>
                <w:szCs w:val="24"/>
                <w:highlight w:val="none"/>
                <w:lang w:val="en-US" w:eastAsia="zh-CN" w:bidi="ar"/>
              </w:rPr>
              <w:t>有限公司已建标准化厂房</w:t>
            </w:r>
            <w:r>
              <w:rPr>
                <w:rFonts w:hint="default" w:ascii="Times New Roman" w:hAnsi="Times New Roman" w:eastAsia="宋体" w:cs="Times New Roman"/>
                <w:color w:val="auto"/>
                <w:kern w:val="0"/>
                <w:sz w:val="24"/>
                <w:szCs w:val="24"/>
                <w:highlight w:val="none"/>
                <w:lang w:val="en-US" w:eastAsia="zh-CN" w:bidi="ar"/>
              </w:rPr>
              <w:t>770.12平方米，</w:t>
            </w:r>
            <w:r>
              <w:rPr>
                <w:rFonts w:hint="eastAsia" w:ascii="Times New Roman" w:hAnsi="Times New Roman" w:eastAsia="宋体" w:cs="Times New Roman"/>
                <w:color w:val="auto"/>
                <w:kern w:val="0"/>
                <w:sz w:val="24"/>
                <w:szCs w:val="24"/>
                <w:highlight w:val="none"/>
                <w:lang w:val="en-US" w:eastAsia="zh-CN" w:bidi="ar"/>
              </w:rPr>
              <w:t>拟</w:t>
            </w:r>
            <w:r>
              <w:rPr>
                <w:rFonts w:hint="default" w:ascii="Times New Roman" w:hAnsi="Times New Roman" w:eastAsia="宋体" w:cs="Times New Roman"/>
                <w:color w:val="auto"/>
                <w:kern w:val="0"/>
                <w:sz w:val="24"/>
                <w:szCs w:val="24"/>
                <w:highlight w:val="none"/>
                <w:lang w:val="en-US" w:eastAsia="zh-CN" w:bidi="ar"/>
              </w:rPr>
              <w:t>建年产2200吨毛绒玩具废丝和布边角料制团粒生产线一条，主要设备包括分拣平台、团粒机、切丝机等，并配套建设环保设施。</w:t>
            </w:r>
          </w:p>
          <w:p>
            <w:pPr>
              <w:pStyle w:val="9"/>
              <w:spacing w:line="360" w:lineRule="auto"/>
              <w:rPr>
                <w:rFonts w:hint="default" w:ascii="Times New Roman" w:hAnsi="Times New Roman" w:eastAsia="黑体" w:cs="Times New Roman"/>
                <w:b/>
                <w:bCs/>
                <w:color w:val="auto"/>
                <w:kern w:val="2"/>
                <w:sz w:val="30"/>
                <w:szCs w:val="32"/>
                <w:highlight w:val="none"/>
                <w:lang w:val="en-US" w:eastAsia="zh-CN" w:bidi="ar-SA"/>
              </w:rPr>
            </w:pPr>
            <w:r>
              <w:rPr>
                <w:rFonts w:hint="default" w:ascii="Times New Roman" w:hAnsi="Times New Roman" w:cs="Times New Roman"/>
                <w:color w:val="auto"/>
              </w:rPr>
              <w:t>根据《中华人民共和国环境影响评价法》</w:t>
            </w:r>
            <w:r>
              <w:rPr>
                <w:rFonts w:hint="default" w:ascii="Times New Roman" w:hAnsi="Times New Roman" w:cs="Times New Roman"/>
                <w:color w:val="auto"/>
                <w:lang w:val="en-US" w:eastAsia="zh-CN"/>
              </w:rPr>
              <w:t>和</w:t>
            </w:r>
            <w:r>
              <w:rPr>
                <w:rFonts w:hint="default" w:ascii="Times New Roman" w:hAnsi="Times New Roman" w:cs="Times New Roman"/>
                <w:color w:val="auto"/>
              </w:rPr>
              <w:t>《建设项目环境保护管理条例》规定，该项目需要进行环境影响评价工作。根据《建设项目环境影响评价分类管理名录》（202</w:t>
            </w:r>
            <w:r>
              <w:rPr>
                <w:rFonts w:hint="eastAsia" w:cs="Times New Roman"/>
                <w:color w:val="auto"/>
                <w:lang w:val="en-US" w:eastAsia="zh-CN"/>
              </w:rPr>
              <w:t>1</w:t>
            </w:r>
            <w:r>
              <w:rPr>
                <w:rFonts w:hint="default" w:ascii="Times New Roman" w:hAnsi="Times New Roman" w:cs="Times New Roman"/>
                <w:color w:val="auto"/>
              </w:rPr>
              <w:t>年版）的相关规定，项目为“三十九、废弃资源综合利用业42”</w:t>
            </w:r>
            <w:r>
              <w:rPr>
                <w:rFonts w:hint="default" w:ascii="Times New Roman" w:hAnsi="Times New Roman" w:cs="Times New Roman"/>
                <w:color w:val="auto"/>
                <w:lang w:val="en-US" w:eastAsia="zh-CN"/>
              </w:rPr>
              <w:t>中“</w:t>
            </w:r>
            <w:r>
              <w:rPr>
                <w:rFonts w:hint="default" w:ascii="Times New Roman" w:hAnsi="Times New Roman" w:cs="Times New Roman"/>
                <w:b/>
                <w:bCs/>
                <w:color w:val="auto"/>
                <w:u w:val="single"/>
              </w:rPr>
              <w:t>废塑料</w:t>
            </w:r>
            <w:r>
              <w:rPr>
                <w:rFonts w:hint="eastAsia" w:cs="Times New Roman"/>
                <w:b/>
                <w:bCs/>
                <w:color w:val="auto"/>
                <w:u w:val="single"/>
                <w:lang w:val="en-US" w:eastAsia="zh-CN"/>
              </w:rPr>
              <w:t>加工处理</w:t>
            </w:r>
            <w:r>
              <w:rPr>
                <w:rFonts w:hint="default" w:ascii="Times New Roman" w:hAnsi="Times New Roman" w:cs="Times New Roman"/>
                <w:color w:val="auto"/>
                <w:lang w:eastAsia="zh-CN"/>
              </w:rPr>
              <w:t>”</w:t>
            </w:r>
            <w:r>
              <w:rPr>
                <w:rFonts w:hint="default" w:ascii="Times New Roman" w:hAnsi="Times New Roman" w:eastAsia="宋体" w:cs="Times New Roman"/>
                <w:color w:val="auto"/>
                <w:kern w:val="0"/>
                <w:sz w:val="24"/>
                <w:szCs w:val="24"/>
                <w:highlight w:val="none"/>
                <w:lang w:val="en-US" w:eastAsia="zh-CN" w:bidi="ar"/>
              </w:rPr>
              <w:t>，产品为PET团粒，需编制环境影响报告表。</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2.2项目基本情况</w:t>
            </w:r>
          </w:p>
          <w:p>
            <w:pPr>
              <w:keepNext w:val="0"/>
              <w:keepLines w:val="0"/>
              <w:pageBreakBefore w:val="0"/>
              <w:widowControl w:val="0"/>
              <w:numPr>
                <w:ilvl w:val="0"/>
                <w:numId w:val="0"/>
              </w:numPr>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（1）项目名称：年产2200吨毛绒玩具废丝和布边角料制团粒项目</w:t>
            </w:r>
          </w:p>
          <w:p>
            <w:pPr>
              <w:keepNext w:val="0"/>
              <w:keepLines w:val="0"/>
              <w:pageBreakBefore w:val="0"/>
              <w:widowControl w:val="0"/>
              <w:kinsoku/>
              <w:wordWrap/>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2</w:t>
            </w:r>
            <w:r>
              <w:rPr>
                <w:rFonts w:hint="default" w:ascii="Times New Roman" w:hAnsi="Times New Roman" w:eastAsia="宋体" w:cs="Times New Roman"/>
                <w:color w:val="auto"/>
                <w:kern w:val="0"/>
                <w:sz w:val="24"/>
                <w:szCs w:val="20"/>
                <w:lang w:val="en-US" w:eastAsia="zh-CN" w:bidi="ar-SA"/>
              </w:rPr>
              <w:t>）建设单位：安康德耀环创玩具有限公司</w:t>
            </w:r>
          </w:p>
          <w:p>
            <w:pPr>
              <w:keepNext w:val="0"/>
              <w:keepLines w:val="0"/>
              <w:pageBreakBefore w:val="0"/>
              <w:widowControl w:val="0"/>
              <w:kinsoku/>
              <w:wordWrap/>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3</w:t>
            </w:r>
            <w:r>
              <w:rPr>
                <w:rFonts w:hint="default" w:ascii="Times New Roman" w:hAnsi="Times New Roman" w:eastAsia="宋体" w:cs="Times New Roman"/>
                <w:color w:val="auto"/>
                <w:kern w:val="0"/>
                <w:sz w:val="24"/>
                <w:szCs w:val="20"/>
                <w:lang w:val="en-US" w:eastAsia="zh-CN" w:bidi="ar-SA"/>
              </w:rPr>
              <w:t>）建设地点：陕西省安康市恒口示范区（试验区）恒口镇安民村工业园区</w:t>
            </w:r>
          </w:p>
          <w:p>
            <w:pPr>
              <w:keepNext w:val="0"/>
              <w:keepLines w:val="0"/>
              <w:pageBreakBefore w:val="0"/>
              <w:widowControl w:val="0"/>
              <w:kinsoku/>
              <w:wordWrap/>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4</w:t>
            </w:r>
            <w:r>
              <w:rPr>
                <w:rFonts w:hint="default" w:ascii="Times New Roman" w:hAnsi="Times New Roman" w:eastAsia="宋体" w:cs="Times New Roman"/>
                <w:color w:val="auto"/>
                <w:kern w:val="0"/>
                <w:sz w:val="24"/>
                <w:szCs w:val="20"/>
                <w:lang w:val="en-US" w:eastAsia="zh-CN" w:bidi="ar-SA"/>
              </w:rPr>
              <w:t>）投资额：总投资105万元，其中环保投资为</w:t>
            </w:r>
            <w:r>
              <w:rPr>
                <w:rFonts w:hint="eastAsia" w:ascii="Times New Roman" w:hAnsi="Times New Roman" w:eastAsia="宋体" w:cs="Times New Roman"/>
                <w:color w:val="auto"/>
                <w:kern w:val="0"/>
                <w:sz w:val="24"/>
                <w:szCs w:val="20"/>
                <w:lang w:val="en-US" w:eastAsia="zh-CN" w:bidi="ar-SA"/>
              </w:rPr>
              <w:t>32.5</w:t>
            </w:r>
            <w:r>
              <w:rPr>
                <w:rFonts w:hint="default" w:ascii="Times New Roman" w:hAnsi="Times New Roman" w:eastAsia="宋体" w:cs="Times New Roman"/>
                <w:color w:val="auto"/>
                <w:kern w:val="0"/>
                <w:sz w:val="24"/>
                <w:szCs w:val="20"/>
                <w:lang w:val="en-US" w:eastAsia="zh-CN" w:bidi="ar-SA"/>
              </w:rPr>
              <w:t>万元，占总投资的</w:t>
            </w:r>
            <w:r>
              <w:rPr>
                <w:rFonts w:hint="eastAsia" w:ascii="Times New Roman" w:hAnsi="Times New Roman" w:eastAsia="宋体" w:cs="Times New Roman"/>
                <w:color w:val="auto"/>
                <w:kern w:val="0"/>
                <w:sz w:val="24"/>
                <w:szCs w:val="20"/>
                <w:lang w:val="en-US" w:eastAsia="zh-CN" w:bidi="ar-SA"/>
              </w:rPr>
              <w:t>30.9</w:t>
            </w:r>
            <w:r>
              <w:rPr>
                <w:rFonts w:hint="default" w:ascii="Times New Roman" w:hAnsi="Times New Roman" w:eastAsia="宋体" w:cs="Times New Roman"/>
                <w:color w:val="auto"/>
                <w:kern w:val="0"/>
                <w:sz w:val="24"/>
                <w:szCs w:val="20"/>
                <w:lang w:val="en-US" w:eastAsia="zh-CN" w:bidi="ar-SA"/>
              </w:rPr>
              <w:t>%。</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2.3主要建设内容</w:t>
            </w: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租用已建标准化生产厂</w:t>
            </w:r>
            <w:r>
              <w:rPr>
                <w:rFonts w:hint="default" w:ascii="Times New Roman" w:hAnsi="Times New Roman" w:cs="Times New Roman"/>
                <w:color w:val="auto"/>
                <w:sz w:val="24"/>
                <w:szCs w:val="24"/>
                <w:lang w:val="en-US" w:eastAsia="zh-CN"/>
              </w:rPr>
              <w:t>房770.12平方米，</w:t>
            </w:r>
            <w:r>
              <w:rPr>
                <w:rFonts w:hint="eastAsia" w:ascii="Times New Roman" w:hAnsi="Times New Roman" w:cs="Times New Roman"/>
                <w:color w:val="auto"/>
                <w:sz w:val="24"/>
                <w:szCs w:val="24"/>
                <w:lang w:val="en-US" w:eastAsia="zh-CN"/>
              </w:rPr>
              <w:t>拟</w:t>
            </w:r>
            <w:r>
              <w:rPr>
                <w:rFonts w:hint="default" w:ascii="Times New Roman" w:hAnsi="Times New Roman" w:cs="Times New Roman"/>
                <w:color w:val="auto"/>
                <w:sz w:val="24"/>
                <w:szCs w:val="24"/>
                <w:lang w:val="en-US" w:eastAsia="zh-CN"/>
              </w:rPr>
              <w:t>建“年产2200吨毛绒玩具废丝和布边角料制团粒生产线”一条，主要设备包括分拣平台、团粒机、切丝机等，并配套建设环保设施。</w:t>
            </w: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项目工程组成见表2</w:t>
            </w:r>
            <w:r>
              <w:rPr>
                <w:rFonts w:hint="eastAsia" w:cs="Times New Roman"/>
                <w:color w:val="auto"/>
                <w:sz w:val="24"/>
                <w:szCs w:val="24"/>
                <w:lang w:val="en-US" w:eastAsia="zh-CN"/>
              </w:rPr>
              <w:t>.</w:t>
            </w:r>
            <w:r>
              <w:rPr>
                <w:rFonts w:hint="default" w:ascii="Times New Roman" w:hAnsi="Times New Roman" w:cs="Times New Roman"/>
                <w:color w:val="auto"/>
                <w:sz w:val="24"/>
                <w:szCs w:val="24"/>
              </w:rPr>
              <w:t>1。</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表2.1</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项目工程组成一览表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262"/>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工程名称</w:t>
                  </w: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工段名称</w:t>
                  </w:r>
                </w:p>
              </w:tc>
              <w:tc>
                <w:tcPr>
                  <w:tcW w:w="3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分拣区</w:t>
                  </w:r>
                </w:p>
              </w:tc>
              <w:tc>
                <w:tcPr>
                  <w:tcW w:w="3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lang w:val="en-US" w:eastAsia="zh-CN" w:bidi="ar-SA"/>
                    </w:rPr>
                    <w:t>建筑面积300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1F，钢架结构，主要设置人工分拣平台和堆放已分拣的原料</w:t>
                  </w:r>
                  <w:r>
                    <w:rPr>
                      <w:rFonts w:hint="eastAsia"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加工区</w:t>
                  </w:r>
                </w:p>
              </w:tc>
              <w:tc>
                <w:tcPr>
                  <w:tcW w:w="3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建筑面积220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1F，钢架结构，主要由员工进行分切、人工上料、团粒、包装过程</w:t>
                  </w:r>
                  <w:r>
                    <w:rPr>
                      <w:rFonts w:hint="eastAsia"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办公</w:t>
                  </w:r>
                  <w:r>
                    <w:rPr>
                      <w:rFonts w:hint="default" w:ascii="Times New Roman" w:hAnsi="Times New Roman" w:cs="Times New Roman"/>
                      <w:color w:val="auto"/>
                      <w:kern w:val="0"/>
                      <w:sz w:val="21"/>
                      <w:szCs w:val="21"/>
                      <w:lang w:val="en-US" w:eastAsia="zh-CN"/>
                    </w:rPr>
                    <w:t>室</w:t>
                  </w:r>
                </w:p>
              </w:tc>
              <w:tc>
                <w:tcPr>
                  <w:tcW w:w="3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2"/>
                      <w:sz w:val="21"/>
                      <w:szCs w:val="21"/>
                      <w:highlight w:val="none"/>
                      <w:lang w:val="en-US" w:eastAsia="zh-CN" w:bidi="ar-SA"/>
                    </w:rPr>
                    <w:t>建筑面积20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1F，设置办公室</w:t>
                  </w:r>
                  <w:r>
                    <w:rPr>
                      <w:rFonts w:hint="eastAsia"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restar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公用工程</w:t>
                  </w: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给水</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由园区给水管网统一供给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排水</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本项目无生产废水产生，</w:t>
                  </w:r>
                  <w:r>
                    <w:rPr>
                      <w:rFonts w:hint="eastAsia"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经园区已建化粪池处理后由市政污水管网进入</w:t>
                  </w:r>
                  <w:r>
                    <w:rPr>
                      <w:rFonts w:hint="default" w:ascii="Times New Roman" w:hAnsi="Times New Roman" w:cs="Times New Roman"/>
                      <w:color w:val="auto"/>
                      <w:sz w:val="21"/>
                      <w:szCs w:val="21"/>
                      <w:lang w:val="en-US" w:eastAsia="zh-CN"/>
                    </w:rPr>
                    <w:t>安康市恒口示范区</w:t>
                  </w:r>
                  <w:r>
                    <w:rPr>
                      <w:rFonts w:hint="default" w:ascii="Times New Roman" w:hAnsi="Times New Roman" w:eastAsia="宋体" w:cs="Times New Roman"/>
                      <w:color w:val="auto"/>
                      <w:sz w:val="21"/>
                      <w:szCs w:val="21"/>
                      <w:lang w:val="en-US" w:eastAsia="zh-CN"/>
                    </w:rPr>
                    <w:t>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供电</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由园区电网统一供给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严格执行建筑防火等级标准，配备必要的消防器材</w:t>
                  </w: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供暖制冷系统</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办公区域由分体式空调制冷供暖工作，生产区域不供暖制冷</w:t>
                  </w: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restar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堆料区</w:t>
                  </w:r>
                </w:p>
              </w:tc>
              <w:tc>
                <w:tcPr>
                  <w:tcW w:w="3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lang w:val="en-US" w:eastAsia="zh-CN" w:bidi="ar-SA"/>
                    </w:rPr>
                    <w:t>建筑面积80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1F，钢架结构，主要堆放待分拣的原料</w:t>
                  </w:r>
                  <w:r>
                    <w:rPr>
                      <w:rFonts w:hint="eastAsia"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成品区</w:t>
                  </w:r>
                </w:p>
              </w:tc>
              <w:tc>
                <w:tcPr>
                  <w:tcW w:w="3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lang w:val="en-US" w:eastAsia="zh-CN" w:bidi="ar-SA"/>
                    </w:rPr>
                    <w:t>建筑面积1</w:t>
                  </w:r>
                  <w:r>
                    <w:rPr>
                      <w:rFonts w:hint="eastAsia" w:cs="Times New Roman"/>
                      <w:color w:val="auto"/>
                      <w:kern w:val="2"/>
                      <w:sz w:val="21"/>
                      <w:szCs w:val="21"/>
                      <w:highlight w:val="none"/>
                      <w:lang w:val="en-US" w:eastAsia="zh-CN" w:bidi="ar-SA"/>
                    </w:rPr>
                    <w:t>45</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1F，钢架结构，主要堆放成品</w:t>
                  </w:r>
                  <w:r>
                    <w:rPr>
                      <w:rFonts w:hint="eastAsia"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restar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环保工程</w:t>
                  </w: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废水治理</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生产用水在生产过程中一部分自然蒸发，另一部分保留在PET团粒中；</w:t>
                  </w:r>
                  <w:r>
                    <w:rPr>
                      <w:rFonts w:hint="default" w:ascii="Times New Roman" w:hAnsi="Times New Roman" w:cs="Times New Roman"/>
                      <w:color w:val="auto"/>
                      <w:sz w:val="21"/>
                      <w:szCs w:val="21"/>
                      <w:lang w:val="en-US" w:eastAsia="zh-CN"/>
                    </w:rPr>
                    <w:t>水雾除尘循环水不外排</w:t>
                  </w:r>
                  <w:r>
                    <w:rPr>
                      <w:rFonts w:hint="default" w:ascii="Times New Roman" w:hAnsi="Times New Roman" w:eastAsia="宋体" w:cs="Times New Roman"/>
                      <w:color w:val="auto"/>
                      <w:sz w:val="21"/>
                      <w:szCs w:val="21"/>
                      <w:lang w:val="en-US" w:eastAsia="zh-CN"/>
                    </w:rPr>
                    <w:t>；生活污水依托园区化粪池处理后排入市政污水管网，最终经</w:t>
                  </w:r>
                  <w:r>
                    <w:rPr>
                      <w:rFonts w:hint="default" w:ascii="Times New Roman" w:hAnsi="Times New Roman" w:cs="Times New Roman"/>
                      <w:color w:val="auto"/>
                      <w:sz w:val="21"/>
                      <w:szCs w:val="21"/>
                      <w:lang w:val="en-US" w:eastAsia="zh-CN"/>
                    </w:rPr>
                    <w:t>安康市恒口示范区</w:t>
                  </w:r>
                  <w:r>
                    <w:rPr>
                      <w:rFonts w:hint="default" w:ascii="Times New Roman" w:hAnsi="Times New Roman" w:eastAsia="宋体" w:cs="Times New Roman"/>
                      <w:color w:val="auto"/>
                      <w:sz w:val="21"/>
                      <w:szCs w:val="21"/>
                      <w:lang w:val="en-US" w:eastAsia="zh-CN"/>
                    </w:rPr>
                    <w:t>污水处理厂处理</w:t>
                  </w: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团粒机团粒工序产生的颗粒物</w:t>
                  </w:r>
                  <w:r>
                    <w:rPr>
                      <w:rFonts w:hint="eastAsia" w:ascii="Times New Roman" w:hAnsi="Times New Roman" w:eastAsia="宋体" w:cs="Times New Roman"/>
                      <w:color w:val="auto"/>
                      <w:sz w:val="21"/>
                      <w:szCs w:val="21"/>
                      <w:lang w:val="en-US" w:eastAsia="zh-CN"/>
                    </w:rPr>
                    <w:t>和非甲烷总烃</w:t>
                  </w:r>
                  <w:r>
                    <w:rPr>
                      <w:rFonts w:hint="default" w:ascii="Times New Roman" w:hAnsi="Times New Roman" w:eastAsia="宋体" w:cs="Times New Roman"/>
                      <w:color w:val="auto"/>
                      <w:sz w:val="21"/>
                      <w:szCs w:val="21"/>
                      <w:lang w:val="en-US" w:eastAsia="zh-CN"/>
                    </w:rPr>
                    <w:t>经集</w:t>
                  </w:r>
                  <w:r>
                    <w:rPr>
                      <w:rFonts w:hint="default" w:ascii="Times New Roman" w:hAnsi="Times New Roman" w:eastAsia="宋体" w:cs="Times New Roman"/>
                      <w:color w:val="auto"/>
                      <w:sz w:val="21"/>
                      <w:szCs w:val="21"/>
                      <w:shd w:val="clear" w:color="auto" w:fill="auto"/>
                      <w:lang w:val="en-US" w:eastAsia="zh-CN"/>
                    </w:rPr>
                    <w:t>气管道收集，通过滤网除尘+水雾除尘</w:t>
                  </w:r>
                  <w:r>
                    <w:rPr>
                      <w:rFonts w:hint="eastAsia" w:eastAsia="宋体" w:cs="Times New Roman"/>
                      <w:color w:val="auto"/>
                      <w:sz w:val="21"/>
                      <w:szCs w:val="21"/>
                      <w:shd w:val="clear" w:color="auto" w:fill="auto"/>
                      <w:lang w:val="en-US" w:eastAsia="zh-CN"/>
                    </w:rPr>
                    <w:t>+活性炭吸附+一根</w:t>
                  </w:r>
                  <w:r>
                    <w:rPr>
                      <w:rFonts w:hint="default" w:ascii="Times New Roman" w:hAnsi="Times New Roman" w:eastAsia="宋体" w:cs="Times New Roman"/>
                      <w:color w:val="auto"/>
                      <w:sz w:val="21"/>
                      <w:szCs w:val="21"/>
                      <w:shd w:val="clear" w:color="auto" w:fill="auto"/>
                      <w:lang w:val="en-US" w:eastAsia="zh-CN"/>
                    </w:rPr>
                    <w:t>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噪声治理</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采取相应的减振、隔声等处理措施</w:t>
                  </w: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90" w:type="pct"/>
                  <w:vMerge w:val="restar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固废处理</w:t>
                  </w:r>
                </w:p>
              </w:tc>
              <w:tc>
                <w:tcPr>
                  <w:tcW w:w="36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项目分拣废物定期外售；生活垃圾分类收集后暂存于园区垃圾点，最终由环卫部门清运</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滤网除尘和水雾除尘收集的粉尘回用于生产。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92"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pPr>
                </w:p>
              </w:tc>
              <w:tc>
                <w:tcPr>
                  <w:tcW w:w="790" w:type="pct"/>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pPr>
                </w:p>
              </w:tc>
              <w:tc>
                <w:tcPr>
                  <w:tcW w:w="3616" w:type="pct"/>
                  <w:tcBorders>
                    <w:tl2br w:val="nil"/>
                    <w:tr2bl w:val="nil"/>
                  </w:tcBorders>
                  <w:noWrap w:val="0"/>
                  <w:vAlign w:val="center"/>
                </w:tcPr>
                <w:p>
                  <w:pPr>
                    <w:pStyle w:val="90"/>
                    <w:spacing w:before="9" w:line="202"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危废间占地面积为5m²</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废活性炭暂存于危废间</w:t>
                  </w:r>
                  <w:r>
                    <w:rPr>
                      <w:rFonts w:hint="eastAsia" w:ascii="Times New Roman" w:hAnsi="Times New Roman" w:eastAsia="宋体" w:cs="Times New Roman"/>
                      <w:color w:val="auto"/>
                      <w:kern w:val="2"/>
                      <w:sz w:val="21"/>
                      <w:szCs w:val="21"/>
                      <w:lang w:val="en-US" w:eastAsia="zh-CN" w:bidi="ar-SA"/>
                    </w:rPr>
                    <w:t>，委托有资质单位处置</w:t>
                  </w:r>
                  <w:r>
                    <w:rPr>
                      <w:rFonts w:hint="eastAsia" w:ascii="Times New Roman" w:hAnsi="Times New Roman"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依托工程</w:t>
                  </w:r>
                </w:p>
              </w:tc>
              <w:tc>
                <w:tcPr>
                  <w:tcW w:w="4407" w:type="pct"/>
                  <w:gridSpan w:val="2"/>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生产厂房、化粪池及公用工程均依托安康安贝斯玩具产业链孵化园有限公司已建设施，现各项基础、辅助设施已配套齐全，水供应等设施已配备完善，化粪池剩余容量满足本项目使用需求，故本次评价项目的辅助工程、公用工程等设施依托可行。</w:t>
                  </w:r>
                </w:p>
              </w:tc>
            </w:tr>
          </w:tbl>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2.4产品方案</w:t>
            </w: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t>本项目</w:t>
            </w:r>
            <w:r>
              <w:rPr>
                <w:rFonts w:hint="default" w:ascii="Times New Roman" w:hAnsi="Times New Roman" w:cs="Times New Roman"/>
                <w:color w:val="auto"/>
                <w:sz w:val="24"/>
                <w:szCs w:val="24"/>
              </w:rPr>
              <w:t>产品方案见表</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w:t>
            </w: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val="en-US" w:eastAsia="zh-CN"/>
              </w:rPr>
            </w:pP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表2.2</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项目产品方案一览表</w:t>
            </w:r>
          </w:p>
          <w:tbl>
            <w:tblPr>
              <w:tblStyle w:val="26"/>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638"/>
              <w:gridCol w:w="840"/>
              <w:gridCol w:w="1012"/>
              <w:gridCol w:w="2345"/>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8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产品名称</w:t>
                  </w:r>
                </w:p>
              </w:tc>
              <w:tc>
                <w:tcPr>
                  <w:tcW w:w="39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单位</w:t>
                  </w:r>
                </w:p>
              </w:tc>
              <w:tc>
                <w:tcPr>
                  <w:tcW w:w="5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年产量</w:t>
                  </w:r>
                </w:p>
              </w:tc>
              <w:tc>
                <w:tcPr>
                  <w:tcW w:w="62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包装方式</w:t>
                  </w:r>
                </w:p>
              </w:tc>
              <w:tc>
                <w:tcPr>
                  <w:tcW w:w="1441"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产品效果图</w:t>
                  </w:r>
                </w:p>
              </w:tc>
              <w:tc>
                <w:tcPr>
                  <w:tcW w:w="1441"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产品去向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58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PET团粒</w:t>
                  </w:r>
                </w:p>
              </w:tc>
              <w:tc>
                <w:tcPr>
                  <w:tcW w:w="39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吨/年</w:t>
                  </w:r>
                </w:p>
              </w:tc>
              <w:tc>
                <w:tcPr>
                  <w:tcW w:w="51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2200</w:t>
                  </w:r>
                </w:p>
              </w:tc>
              <w:tc>
                <w:tcPr>
                  <w:tcW w:w="62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袋装</w:t>
                  </w:r>
                </w:p>
              </w:tc>
              <w:tc>
                <w:tcPr>
                  <w:tcW w:w="1441" w:type="pct"/>
                  <w:tcBorders>
                    <w:tl2br w:val="nil"/>
                    <w:tr2bl w:val="nil"/>
                  </w:tcBorders>
                  <w:noWrap w:val="0"/>
                  <w:vAlign w:val="center"/>
                </w:tcPr>
                <w:p>
                  <w:pPr>
                    <w:pStyle w:val="45"/>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drawing>
                      <wp:inline distT="0" distB="0" distL="114300" distR="114300">
                        <wp:extent cx="1705610" cy="1262380"/>
                        <wp:effectExtent l="0" t="0" r="1270" b="2540"/>
                        <wp:docPr id="3" name="图片 241" descr="fd2674c930310f4e9e009b260968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1" descr="fd2674c930310f4e9e009b26096842e"/>
                                <pic:cNvPicPr>
                                  <a:picLocks noChangeAspect="1"/>
                                </pic:cNvPicPr>
                              </pic:nvPicPr>
                              <pic:blipFill>
                                <a:blip r:embed="rId14"/>
                                <a:stretch>
                                  <a:fillRect/>
                                </a:stretch>
                              </pic:blipFill>
                              <pic:spPr>
                                <a:xfrm>
                                  <a:off x="0" y="0"/>
                                  <a:ext cx="1705610" cy="1262380"/>
                                </a:xfrm>
                                <a:prstGeom prst="rect">
                                  <a:avLst/>
                                </a:prstGeom>
                                <a:noFill/>
                                <a:ln>
                                  <a:noFill/>
                                </a:ln>
                              </pic:spPr>
                            </pic:pic>
                          </a:graphicData>
                        </a:graphic>
                      </wp:inline>
                    </w:drawing>
                  </w:r>
                </w:p>
              </w:tc>
              <w:tc>
                <w:tcPr>
                  <w:tcW w:w="1441" w:type="pct"/>
                  <w:tcBorders>
                    <w:tl2br w:val="nil"/>
                    <w:tr2bl w:val="nil"/>
                  </w:tcBorders>
                  <w:noWrap w:val="0"/>
                  <w:vAlign w:val="center"/>
                </w:tcPr>
                <w:p>
                  <w:pPr>
                    <w:pStyle w:val="45"/>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外售给其他厂家用作生产毛绒玩具填充物、毛绒玩具布料等。</w:t>
                  </w:r>
                </w:p>
              </w:tc>
            </w:tr>
          </w:tbl>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2.5原辅材料及能源</w:t>
            </w: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项目主要原辅材料及能源消耗情况见表</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表2.3</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项目原、辅材料消耗一览表</w:t>
            </w:r>
          </w:p>
          <w:tbl>
            <w:tblPr>
              <w:tblStyle w:val="26"/>
              <w:tblW w:w="79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6"/>
              <w:gridCol w:w="864"/>
              <w:gridCol w:w="1116"/>
              <w:gridCol w:w="930"/>
              <w:gridCol w:w="1134"/>
              <w:gridCol w:w="1074"/>
              <w:gridCol w:w="20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tblHeader/>
                <w:jc w:val="center"/>
              </w:trPr>
              <w:tc>
                <w:tcPr>
                  <w:tcW w:w="746"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980" w:type="dxa"/>
                  <w:gridSpan w:val="2"/>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930"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113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年用量</w:t>
                  </w:r>
                </w:p>
              </w:tc>
              <w:tc>
                <w:tcPr>
                  <w:tcW w:w="107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储存方式</w:t>
                  </w:r>
                </w:p>
              </w:tc>
              <w:tc>
                <w:tcPr>
                  <w:tcW w:w="2053"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46"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864" w:type="dxa"/>
                  <w:vMerge w:val="restart"/>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原辅料</w:t>
                  </w:r>
                </w:p>
              </w:tc>
              <w:tc>
                <w:tcPr>
                  <w:tcW w:w="1116" w:type="dxa"/>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废丝和布边角料</w:t>
                  </w:r>
                </w:p>
              </w:tc>
              <w:tc>
                <w:tcPr>
                  <w:tcW w:w="930"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t/a</w:t>
                  </w:r>
                </w:p>
              </w:tc>
              <w:tc>
                <w:tcPr>
                  <w:tcW w:w="113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2310</w:t>
                  </w:r>
                </w:p>
              </w:tc>
              <w:tc>
                <w:tcPr>
                  <w:tcW w:w="107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捆扎</w:t>
                  </w:r>
                </w:p>
              </w:tc>
              <w:tc>
                <w:tcPr>
                  <w:tcW w:w="2053"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固态，汽运，材质PET</w:t>
                  </w:r>
                  <w:r>
                    <w:rPr>
                      <w:rFonts w:hint="eastAsia" w:eastAsia="宋体" w:cs="Times New Roman"/>
                      <w:b w:val="0"/>
                      <w:bCs w:val="0"/>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46"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86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116" w:type="dxa"/>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包装袋</w:t>
                  </w:r>
                </w:p>
              </w:tc>
              <w:tc>
                <w:tcPr>
                  <w:tcW w:w="930"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个/a</w:t>
                  </w:r>
                </w:p>
              </w:tc>
              <w:tc>
                <w:tcPr>
                  <w:tcW w:w="113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2420</w:t>
                  </w:r>
                </w:p>
              </w:tc>
              <w:tc>
                <w:tcPr>
                  <w:tcW w:w="107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袋装</w:t>
                  </w:r>
                </w:p>
              </w:tc>
              <w:tc>
                <w:tcPr>
                  <w:tcW w:w="2053"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固态，汽运，塑料编织袋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46"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864" w:type="dxa"/>
                  <w:vMerge w:val="restart"/>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能源</w:t>
                  </w:r>
                </w:p>
              </w:tc>
              <w:tc>
                <w:tcPr>
                  <w:tcW w:w="1116" w:type="dxa"/>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电</w:t>
                  </w:r>
                </w:p>
              </w:tc>
              <w:tc>
                <w:tcPr>
                  <w:tcW w:w="930"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度/年</w:t>
                  </w:r>
                </w:p>
              </w:tc>
              <w:tc>
                <w:tcPr>
                  <w:tcW w:w="113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36万</w:t>
                  </w:r>
                </w:p>
              </w:tc>
              <w:tc>
                <w:tcPr>
                  <w:tcW w:w="107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2053"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安康市恒口示范区供电系统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746"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86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116" w:type="dxa"/>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新鲜水</w:t>
                  </w:r>
                </w:p>
              </w:tc>
              <w:tc>
                <w:tcPr>
                  <w:tcW w:w="930"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t/a</w:t>
                  </w:r>
                </w:p>
              </w:tc>
              <w:tc>
                <w:tcPr>
                  <w:tcW w:w="113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96.31</w:t>
                  </w:r>
                </w:p>
              </w:tc>
              <w:tc>
                <w:tcPr>
                  <w:tcW w:w="1074"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2053"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安康市恒口示范区供水管网</w:t>
                  </w:r>
                </w:p>
              </w:tc>
            </w:tr>
          </w:tbl>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原料来源：</w:t>
            </w:r>
            <w:r>
              <w:rPr>
                <w:rFonts w:hint="default" w:ascii="Times New Roman" w:hAnsi="Times New Roman" w:eastAsia="宋体" w:cs="Times New Roman"/>
                <w:color w:val="auto"/>
                <w:sz w:val="24"/>
                <w:szCs w:val="24"/>
                <w:lang w:val="en-US" w:eastAsia="zh-CN"/>
              </w:rPr>
              <w:t>安康德耀环创玩具有限公司</w:t>
            </w:r>
            <w:r>
              <w:rPr>
                <w:rFonts w:hint="eastAsia" w:ascii="Times New Roman" w:hAnsi="Times New Roman" w:eastAsia="宋体" w:cs="Times New Roman"/>
                <w:color w:val="auto"/>
                <w:sz w:val="24"/>
                <w:szCs w:val="24"/>
                <w:lang w:val="en-US" w:eastAsia="zh-CN"/>
              </w:rPr>
              <w:t>收购安康市恒口示范区及安康市其他区县毛绒玩具生产产生的</w:t>
            </w:r>
            <w:r>
              <w:rPr>
                <w:rFonts w:hint="default" w:ascii="Times New Roman" w:hAnsi="Times New Roman" w:eastAsia="宋体" w:cs="Times New Roman"/>
                <w:color w:val="auto"/>
                <w:sz w:val="24"/>
                <w:szCs w:val="24"/>
                <w:lang w:val="en-US" w:eastAsia="zh-CN"/>
              </w:rPr>
              <w:t>废丝和布边角料</w:t>
            </w:r>
            <w:r>
              <w:rPr>
                <w:rFonts w:hint="eastAsia" w:ascii="Times New Roman" w:hAnsi="Times New Roman" w:eastAsia="宋体" w:cs="Times New Roman"/>
                <w:color w:val="auto"/>
                <w:sz w:val="24"/>
                <w:szCs w:val="24"/>
                <w:lang w:val="en-US" w:eastAsia="zh-CN"/>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表2</w:t>
            </w:r>
            <w:r>
              <w:rPr>
                <w:rFonts w:hint="eastAsia" w:ascii="Times New Roman" w:hAnsi="Times New Roman" w:eastAsia="宋体" w:cs="Times New Roman"/>
                <w:b/>
                <w:color w:val="auto"/>
                <w:sz w:val="21"/>
                <w:szCs w:val="21"/>
                <w:lang w:val="en-US" w:eastAsia="zh-CN"/>
              </w:rPr>
              <w:t>.</w:t>
            </w:r>
            <w:r>
              <w:rPr>
                <w:rFonts w:hint="default"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原辅材料理化性质</w:t>
            </w:r>
          </w:p>
          <w:tbl>
            <w:tblPr>
              <w:tblStyle w:val="26"/>
              <w:tblW w:w="7878" w:type="dxa"/>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5"/>
              <w:gridCol w:w="4088"/>
              <w:gridCol w:w="1309"/>
              <w:gridCol w:w="15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trPr>
              <w:tc>
                <w:tcPr>
                  <w:tcW w:w="925"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名称</w:t>
                  </w:r>
                </w:p>
              </w:tc>
              <w:tc>
                <w:tcPr>
                  <w:tcW w:w="4088"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理化性质</w:t>
                  </w:r>
                </w:p>
              </w:tc>
              <w:tc>
                <w:tcPr>
                  <w:tcW w:w="1309"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毒性毒理</w:t>
                  </w:r>
                </w:p>
              </w:tc>
              <w:tc>
                <w:tcPr>
                  <w:tcW w:w="1556" w:type="dxa"/>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燃爆性/危险性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925"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PET（聚对苯二甲酸乙二酯）</w:t>
                  </w:r>
                </w:p>
              </w:tc>
              <w:tc>
                <w:tcPr>
                  <w:tcW w:w="4088"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英文名polyethyleneterephthalate（简称PET）。PET是乳白色或浅黄色、高度结晶的聚合物，表面平滑有光泽。在较宽的温度范围内具有优良的物理机械性能，长期使用温度可达120℃，电绝缘性优良，甚至在高温高频下，其电性能仍较好，但耐电晕性较差，耐蠕变性，耐疲劳性，耐摩擦性、尺寸稳定性都很好。PET有酯键，在强酸、强碱和</w:t>
                  </w:r>
                  <w:r>
                    <w:rPr>
                      <w:rFonts w:hint="eastAsia" w:ascii="宋体" w:hAnsi="宋体" w:cs="宋体"/>
                      <w:b w:val="0"/>
                      <w:bCs w:val="0"/>
                      <w:color w:val="auto"/>
                      <w:sz w:val="21"/>
                      <w:szCs w:val="21"/>
                      <w:lang w:val="en-US" w:eastAsia="zh-CN"/>
                    </w:rPr>
                    <w:t>水蒸气</w:t>
                  </w:r>
                  <w:r>
                    <w:rPr>
                      <w:rFonts w:hint="eastAsia" w:ascii="宋体" w:hAnsi="宋体" w:eastAsia="宋体" w:cs="宋体"/>
                      <w:b w:val="0"/>
                      <w:bCs w:val="0"/>
                      <w:color w:val="auto"/>
                      <w:sz w:val="21"/>
                      <w:szCs w:val="21"/>
                      <w:lang w:val="en-US" w:eastAsia="zh-CN"/>
                    </w:rPr>
                    <w:t>作用下会发生分解，耐有机溶剂、耐候性好。缺点是结晶速率小，成型加工困难，模塑温度高，生产周期长，冲击性能差。一般通过增强、填充、共混等方法改进其加工性和改性，以玻璃纤维增强效果明显，可提高树脂刚性、耐热性、耐药品性、电气性能和耐候性。</w:t>
                  </w:r>
                </w:p>
              </w:tc>
              <w:tc>
                <w:tcPr>
                  <w:tcW w:w="1309" w:type="dxa"/>
                  <w:tcBorders>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无毒</w:t>
                  </w:r>
                </w:p>
              </w:tc>
              <w:tc>
                <w:tcPr>
                  <w:tcW w:w="1556" w:type="dxa"/>
                  <w:tcBorders>
                    <w:lef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PET不易燃烧，火焰呈黄色，有滴落。</w:t>
                  </w:r>
                </w:p>
              </w:tc>
            </w:tr>
          </w:tbl>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2.6主要设备</w:t>
            </w:r>
          </w:p>
          <w:p>
            <w:pPr>
              <w:keepNext w:val="0"/>
              <w:keepLines w:val="0"/>
              <w:pageBreakBefore w:val="0"/>
              <w:widowControl w:val="0"/>
              <w:kinsoku/>
              <w:wordWrap/>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color w:val="auto"/>
                <w:sz w:val="24"/>
                <w:szCs w:val="24"/>
              </w:rPr>
              <w:t>项目主要工艺设备见表</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表2.5</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主要工艺设备一览表</w:t>
            </w:r>
          </w:p>
          <w:tbl>
            <w:tblPr>
              <w:tblStyle w:val="27"/>
              <w:tblW w:w="7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553"/>
              <w:gridCol w:w="1327"/>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团粒机</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切丝机</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电动叉车</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分拣平台</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散热设施</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风机</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85" w:type="pct"/>
                  <w:tcBorders>
                    <w:tl2br w:val="nil"/>
                    <w:tr2bl w:val="nil"/>
                  </w:tcBorders>
                  <w:noWrap w:val="0"/>
                  <w:vAlign w:val="center"/>
                </w:tcPr>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58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159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环保设施</w:t>
                  </w:r>
                </w:p>
              </w:tc>
              <w:tc>
                <w:tcPr>
                  <w:tcW w:w="829"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8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套</w:t>
                  </w:r>
                </w:p>
              </w:tc>
            </w:tr>
          </w:tbl>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2.7.1给水</w:t>
            </w:r>
          </w:p>
          <w:p>
            <w:pPr>
              <w:keepNext w:val="0"/>
              <w:keepLines w:val="0"/>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1）给水：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建设项目用水来自自来水供水系统，用水主要为</w:t>
            </w:r>
            <w:r>
              <w:rPr>
                <w:rFonts w:hint="default" w:ascii="Times New Roman" w:hAnsi="Times New Roman" w:cs="Times New Roman"/>
                <w:color w:val="auto"/>
                <w:sz w:val="24"/>
                <w:highlight w:val="none"/>
                <w:lang w:val="en-US" w:eastAsia="zh-CN"/>
              </w:rPr>
              <w:t>生产用水、</w:t>
            </w:r>
            <w:r>
              <w:rPr>
                <w:rFonts w:hint="default" w:ascii="Times New Roman" w:hAnsi="Times New Roman" w:cs="Times New Roman"/>
                <w:color w:val="auto"/>
                <w:sz w:val="24"/>
                <w:highlight w:val="none"/>
              </w:rPr>
              <w:t>生活用水、</w:t>
            </w:r>
            <w:r>
              <w:rPr>
                <w:rFonts w:hint="default" w:ascii="Times New Roman" w:hAnsi="Times New Roman" w:cs="Times New Roman"/>
                <w:color w:val="auto"/>
                <w:sz w:val="24"/>
                <w:highlight w:val="none"/>
                <w:lang w:val="en-US" w:eastAsia="zh-CN"/>
              </w:rPr>
              <w:t>环保设施</w:t>
            </w:r>
            <w:r>
              <w:rPr>
                <w:rFonts w:hint="default" w:ascii="Times New Roman" w:hAnsi="Times New Roman" w:cs="Times New Roman"/>
                <w:color w:val="auto"/>
                <w:sz w:val="24"/>
                <w:highlight w:val="none"/>
              </w:rPr>
              <w:t>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生活用水：项目劳动定员为</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lang w:eastAsia="zh-CN"/>
              </w:rPr>
              <w:t>人</w:t>
            </w:r>
            <w:r>
              <w:rPr>
                <w:rFonts w:hint="default" w:ascii="Times New Roman" w:hAnsi="Times New Roman" w:cs="Times New Roman"/>
                <w:color w:val="auto"/>
                <w:sz w:val="24"/>
                <w:highlight w:val="none"/>
              </w:rPr>
              <w:t>，厂内</w:t>
            </w:r>
            <w:r>
              <w:rPr>
                <w:rFonts w:hint="default" w:ascii="Times New Roman" w:hAnsi="Times New Roman" w:cs="Times New Roman"/>
                <w:color w:val="auto"/>
                <w:sz w:val="24"/>
                <w:highlight w:val="none"/>
                <w:lang w:eastAsia="zh-CN"/>
              </w:rPr>
              <w:t>不提供食宿</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办公</w:t>
            </w:r>
            <w:r>
              <w:rPr>
                <w:rFonts w:hint="default" w:ascii="Times New Roman" w:hAnsi="Times New Roman" w:cs="Times New Roman"/>
                <w:color w:val="auto"/>
                <w:sz w:val="24"/>
                <w:highlight w:val="none"/>
              </w:rPr>
              <w:t>生活用水量参照陕西省《行业用水定额》</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DB61/T943-20</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）中相关规定，本项目人员</w:t>
            </w:r>
            <w:r>
              <w:rPr>
                <w:rFonts w:hint="default" w:ascii="Times New Roman" w:hAnsi="Times New Roman" w:cs="Times New Roman"/>
                <w:color w:val="auto"/>
                <w:sz w:val="24"/>
                <w:highlight w:val="none"/>
                <w:lang w:val="en-US" w:eastAsia="zh-CN"/>
              </w:rPr>
              <w:t>办公</w:t>
            </w:r>
            <w:r>
              <w:rPr>
                <w:rFonts w:hint="default" w:ascii="Times New Roman" w:hAnsi="Times New Roman" w:cs="Times New Roman"/>
                <w:color w:val="auto"/>
                <w:sz w:val="24"/>
                <w:highlight w:val="none"/>
              </w:rPr>
              <w:t>生活用水量取</w:t>
            </w:r>
            <w:r>
              <w:rPr>
                <w:rFonts w:hint="default"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L/人·d，则项目</w:t>
            </w:r>
            <w:r>
              <w:rPr>
                <w:rFonts w:hint="default" w:ascii="Times New Roman" w:hAnsi="Times New Roman" w:cs="Times New Roman"/>
                <w:color w:val="auto"/>
                <w:sz w:val="24"/>
                <w:highlight w:val="none"/>
                <w:lang w:val="en-US" w:eastAsia="zh-CN"/>
              </w:rPr>
              <w:t>办公</w:t>
            </w:r>
            <w:r>
              <w:rPr>
                <w:rFonts w:hint="default" w:ascii="Times New Roman" w:hAnsi="Times New Roman" w:cs="Times New Roman"/>
                <w:color w:val="auto"/>
                <w:sz w:val="24"/>
                <w:highlight w:val="none"/>
              </w:rPr>
              <w:t>生活用水量为</w:t>
            </w:r>
            <w:r>
              <w:rPr>
                <w:rFonts w:hint="default" w:ascii="Times New Roman" w:hAnsi="Times New Roman" w:cs="Times New Roman"/>
                <w:color w:val="auto"/>
                <w:sz w:val="24"/>
                <w:highlight w:val="none"/>
                <w:lang w:val="en-US" w:eastAsia="zh-CN"/>
              </w:rPr>
              <w:t>0.3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90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shd w:val="clear" w:color="auto" w:fill="FFFF00"/>
                <w:lang w:val="en-US" w:eastAsia="zh-CN"/>
              </w:rPr>
            </w:pPr>
            <w:r>
              <w:rPr>
                <w:rFonts w:hint="default" w:ascii="Times New Roman" w:hAnsi="Times New Roman" w:cs="Times New Roman"/>
                <w:color w:val="auto"/>
                <w:sz w:val="24"/>
                <w:highlight w:val="none"/>
              </w:rPr>
              <w:t>循环</w:t>
            </w:r>
            <w:r>
              <w:rPr>
                <w:rFonts w:hint="eastAsia" w:ascii="Times New Roman" w:hAnsi="Times New Roman" w:cs="Times New Roman"/>
                <w:color w:val="auto"/>
                <w:sz w:val="24"/>
                <w:highlight w:val="none"/>
                <w:lang w:val="en-US" w:eastAsia="zh-CN"/>
              </w:rPr>
              <w:t>用</w:t>
            </w:r>
            <w:r>
              <w:rPr>
                <w:rFonts w:hint="default" w:ascii="Times New Roman" w:hAnsi="Times New Roman" w:cs="Times New Roman"/>
                <w:color w:val="auto"/>
                <w:sz w:val="24"/>
                <w:highlight w:val="none"/>
              </w:rPr>
              <w:t>水：本项目生产过程中需使用</w:t>
            </w:r>
            <w:r>
              <w:rPr>
                <w:rFonts w:hint="default" w:ascii="Times New Roman" w:hAnsi="Times New Roman" w:cs="Times New Roman"/>
                <w:color w:val="auto"/>
                <w:sz w:val="24"/>
                <w:highlight w:val="none"/>
                <w:lang w:val="en-US" w:eastAsia="zh-CN"/>
              </w:rPr>
              <w:t>环保设施水雾除尘用水</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循环使用</w:t>
            </w:r>
            <w:r>
              <w:rPr>
                <w:rFonts w:hint="default" w:ascii="Times New Roman" w:hAnsi="Times New Roman" w:cs="Times New Roman"/>
                <w:color w:val="auto"/>
                <w:sz w:val="24"/>
                <w:highlight w:val="none"/>
              </w:rPr>
              <w:t>不外排，仅每天对其进行补充</w:t>
            </w:r>
            <w:r>
              <w:rPr>
                <w:rFonts w:hint="default" w:ascii="Times New Roman" w:hAnsi="Times New Roman" w:cs="Times New Roman"/>
                <w:color w:val="auto"/>
                <w:sz w:val="24"/>
                <w:highlight w:val="none"/>
                <w:lang w:val="en-US" w:eastAsia="zh-CN"/>
              </w:rPr>
              <w:t>自然蒸发损失的量</w:t>
            </w:r>
            <w:r>
              <w:rPr>
                <w:rFonts w:hint="default" w:ascii="Times New Roman" w:hAnsi="Times New Roman" w:cs="Times New Roman"/>
                <w:color w:val="auto"/>
                <w:sz w:val="24"/>
                <w:highlight w:val="none"/>
              </w:rPr>
              <w:t>，循环水量</w:t>
            </w:r>
            <w:r>
              <w:rPr>
                <w:rFonts w:hint="default" w:ascii="Times New Roman" w:hAnsi="Times New Roman" w:eastAsia="宋体" w:cs="Times New Roman"/>
                <w:color w:val="auto"/>
                <w:sz w:val="24"/>
                <w:highlight w:val="none"/>
              </w:rPr>
              <w:t>约</w:t>
            </w:r>
            <w:r>
              <w:rPr>
                <w:rFonts w:hint="default" w:ascii="Times New Roman" w:hAnsi="Times New Roman" w:eastAsia="宋体" w:cs="Times New Roman"/>
                <w:color w:val="auto"/>
                <w:sz w:val="24"/>
                <w:highlight w:val="none"/>
                <w:lang w:val="en-US" w:eastAsia="zh-CN"/>
              </w:rPr>
              <w:t>0.25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eastAsia="宋体" w:cs="Times New Roman"/>
                <w:color w:val="auto"/>
                <w:sz w:val="24"/>
                <w:highlight w:val="none"/>
              </w:rPr>
              <w:t>，每天补充水量为5%，则项目</w:t>
            </w:r>
            <w:r>
              <w:rPr>
                <w:rFonts w:hint="default" w:ascii="Times New Roman" w:hAnsi="Times New Roman" w:eastAsia="宋体" w:cs="Times New Roman"/>
                <w:color w:val="auto"/>
                <w:sz w:val="24"/>
                <w:highlight w:val="none"/>
                <w:lang w:val="en-US" w:eastAsia="zh-CN"/>
              </w:rPr>
              <w:t>水雾除尘</w:t>
            </w:r>
            <w:r>
              <w:rPr>
                <w:rFonts w:hint="default" w:ascii="Times New Roman" w:hAnsi="Times New Roman" w:eastAsia="宋体" w:cs="Times New Roman"/>
                <w:color w:val="auto"/>
                <w:sz w:val="24"/>
                <w:highlight w:val="none"/>
              </w:rPr>
              <w:t>循环水</w:t>
            </w:r>
            <w:r>
              <w:rPr>
                <w:rFonts w:hint="default" w:ascii="Times New Roman" w:hAnsi="Times New Roman" w:eastAsia="宋体" w:cs="Times New Roman"/>
                <w:color w:val="auto"/>
                <w:sz w:val="24"/>
                <w:highlight w:val="none"/>
                <w:lang w:val="en-US" w:eastAsia="zh-CN"/>
              </w:rPr>
              <w:t>补充</w:t>
            </w:r>
            <w:r>
              <w:rPr>
                <w:rFonts w:hint="default" w:ascii="Times New Roman" w:hAnsi="Times New Roman" w:eastAsia="宋体" w:cs="Times New Roman"/>
                <w:color w:val="auto"/>
                <w:sz w:val="24"/>
                <w:highlight w:val="none"/>
              </w:rPr>
              <w:t>用水量为</w:t>
            </w:r>
            <w:r>
              <w:rPr>
                <w:rFonts w:hint="default" w:ascii="Times New Roman" w:hAnsi="Times New Roman" w:eastAsia="宋体" w:cs="Times New Roman"/>
                <w:color w:val="auto"/>
                <w:sz w:val="24"/>
                <w:highlight w:val="none"/>
                <w:lang w:val="en-US" w:eastAsia="zh-CN"/>
              </w:rPr>
              <w:t>0.0125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a，则</w:t>
            </w:r>
            <w:r>
              <w:rPr>
                <w:rFonts w:hint="eastAsia" w:ascii="Times New Roman" w:hAnsi="Times New Roman" w:eastAsia="宋体" w:cs="Times New Roman"/>
                <w:color w:val="auto"/>
                <w:sz w:val="24"/>
                <w:highlight w:val="none"/>
                <w:lang w:val="en-US" w:eastAsia="zh-CN"/>
              </w:rPr>
              <w:t>水雾</w:t>
            </w:r>
            <w:r>
              <w:rPr>
                <w:rFonts w:hint="default" w:ascii="Times New Roman" w:hAnsi="Times New Roman" w:eastAsia="宋体" w:cs="Times New Roman"/>
                <w:color w:val="auto"/>
                <w:sz w:val="24"/>
                <w:highlight w:val="none"/>
                <w:lang w:val="en-US" w:eastAsia="zh-CN"/>
              </w:rPr>
              <w:t>除尘用水量为4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p>
          <w:p>
            <w:pPr>
              <w:bidi w:val="0"/>
              <w:rPr>
                <w:rFonts w:hint="eastAsia"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生产用水：</w:t>
            </w:r>
            <w:r>
              <w:rPr>
                <w:rFonts w:hint="default" w:ascii="Times New Roman" w:hAnsi="Times New Roman" w:eastAsia="宋体" w:cs="Times New Roman"/>
                <w:color w:val="auto"/>
                <w:sz w:val="24"/>
                <w:highlight w:val="none"/>
                <w:lang w:val="en-US" w:eastAsia="zh-CN"/>
              </w:rPr>
              <w:t>在PET团粒生产过程中需要在团粒机中加水使产品冷却，以防PET团粒</w:t>
            </w:r>
            <w:r>
              <w:rPr>
                <w:rFonts w:hint="default" w:ascii="Times New Roman" w:hAnsi="Times New Roman" w:cs="Times New Roman"/>
                <w:color w:val="auto"/>
                <w:sz w:val="24"/>
                <w:highlight w:val="none"/>
                <w:lang w:val="en-US" w:eastAsia="zh-CN"/>
              </w:rPr>
              <w:t>因过热而粘连、变形，每吨原材料需加1kg新鲜水</w:t>
            </w:r>
            <w:r>
              <w:rPr>
                <w:rFonts w:hint="eastAsia" w:cs="Times New Roman"/>
                <w:color w:val="auto"/>
                <w:sz w:val="24"/>
                <w:highlight w:val="none"/>
                <w:lang w:val="en-US" w:eastAsia="zh-CN"/>
              </w:rPr>
              <w:t>。根据企业提供信息，本项目收购生产原料为2310t/a，经人工分拣后剩余可用原料为2240.7t/a，</w:t>
            </w:r>
            <w:r>
              <w:rPr>
                <w:rFonts w:hint="eastAsia" w:ascii="Times New Roman" w:hAnsi="Times New Roman" w:eastAsia="宋体" w:cs="Times New Roman"/>
                <w:color w:val="auto"/>
                <w:sz w:val="24"/>
                <w:highlight w:val="none"/>
                <w:lang w:val="en-US" w:eastAsia="zh-CN"/>
              </w:rPr>
              <w:t>则生产用水量为</w:t>
            </w:r>
            <w:r>
              <w:rPr>
                <w:rFonts w:hint="default" w:ascii="Times New Roman" w:hAnsi="Times New Roman" w:eastAsia="宋体" w:cs="Times New Roman"/>
                <w:color w:val="auto"/>
                <w:sz w:val="24"/>
                <w:highlight w:val="none"/>
                <w:lang w:val="en-US" w:eastAsia="zh-CN"/>
              </w:rPr>
              <w:t>2.2407</w:t>
            </w:r>
            <w:r>
              <w:rPr>
                <w:rFonts w:hint="eastAsia" w:ascii="Times New Roman" w:hAnsi="Times New Roman" w:eastAsia="宋体" w:cs="Times New Roman"/>
                <w:color w:val="auto"/>
                <w:sz w:val="24"/>
                <w:highlight w:val="none"/>
                <w:lang w:val="en-US" w:eastAsia="zh-CN"/>
              </w:rPr>
              <w:t>t/a、0.007469</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2.7.2排水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本项目排水采用雨污分流制，</w:t>
            </w:r>
            <w:r>
              <w:rPr>
                <w:rFonts w:hint="eastAsia" w:ascii="Times New Roman" w:hAnsi="Times New Roman" w:eastAsia="宋体" w:cs="Times New Roman"/>
                <w:color w:val="auto"/>
                <w:sz w:val="24"/>
                <w:highlight w:val="none"/>
              </w:rPr>
              <w:t>雨水经</w:t>
            </w:r>
            <w:r>
              <w:rPr>
                <w:rFonts w:hint="eastAsia" w:ascii="Times New Roman" w:hAnsi="Times New Roman" w:eastAsia="宋体" w:cs="Times New Roman"/>
                <w:color w:val="auto"/>
                <w:sz w:val="24"/>
                <w:highlight w:val="none"/>
                <w:lang w:val="en-US" w:eastAsia="zh-CN"/>
              </w:rPr>
              <w:t>厂区已建</w:t>
            </w:r>
            <w:r>
              <w:rPr>
                <w:rFonts w:hint="eastAsia" w:ascii="Times New Roman" w:hAnsi="Times New Roman" w:eastAsia="宋体" w:cs="Times New Roman"/>
                <w:color w:val="auto"/>
                <w:sz w:val="24"/>
                <w:highlight w:val="none"/>
              </w:rPr>
              <w:t>雨水管网收集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生产用水在PET团粒冷却过程中一部分水自然蒸发，另一部分水保留在PET团粒中，项目无生产废水产生；循环除尘水不外排</w:t>
            </w:r>
            <w:r>
              <w:rPr>
                <w:rFonts w:hint="eastAsia"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本项目生活污水按产生系数0.8</w:t>
            </w:r>
            <w:r>
              <w:rPr>
                <w:rFonts w:hint="eastAsia" w:ascii="Times New Roman" w:hAnsi="Times New Roman" w:eastAsia="宋体" w:cs="Times New Roman"/>
                <w:color w:val="auto"/>
                <w:sz w:val="24"/>
                <w:highlight w:val="none"/>
                <w:lang w:val="en-US" w:eastAsia="zh-CN"/>
              </w:rPr>
              <w:t>进行计算</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故生活污水产生量为</w:t>
            </w:r>
            <w:r>
              <w:rPr>
                <w:rFonts w:hint="eastAsia" w:ascii="Times New Roman" w:hAnsi="Times New Roman" w:eastAsia="宋体" w:cs="Times New Roman"/>
                <w:color w:val="auto"/>
                <w:sz w:val="24"/>
                <w:highlight w:val="none"/>
                <w:lang w:val="en-US" w:eastAsia="zh-CN"/>
              </w:rPr>
              <w:t>0.24</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val="en-US" w:eastAsia="zh-CN"/>
              </w:rPr>
              <w:t>72</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生活污水经污水管网排入</w:t>
            </w:r>
            <w:r>
              <w:rPr>
                <w:rFonts w:hint="eastAsia" w:ascii="Times New Roman" w:hAnsi="Times New Roman" w:eastAsia="宋体" w:cs="Times New Roman"/>
                <w:color w:val="auto"/>
                <w:sz w:val="24"/>
                <w:highlight w:val="none"/>
                <w:lang w:eastAsia="zh-CN"/>
              </w:rPr>
              <w:t>园区</w:t>
            </w:r>
            <w:r>
              <w:rPr>
                <w:rFonts w:hint="eastAsia" w:ascii="Times New Roman" w:hAnsi="Times New Roman" w:eastAsia="宋体" w:cs="Times New Roman"/>
                <w:color w:val="auto"/>
                <w:sz w:val="24"/>
                <w:highlight w:val="none"/>
              </w:rPr>
              <w:t>化粪池，废水经化粪池处理后达到《污水综合排放标准》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GB8978-1996）中三级标准及《污水排入城镇下水道水质标准》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GB/T31962-2015）</w:t>
            </w:r>
            <w:r>
              <w:rPr>
                <w:rFonts w:hint="eastAsia" w:ascii="Times New Roman" w:hAnsi="Times New Roman" w:eastAsia="宋体" w:cs="Times New Roman"/>
                <w:color w:val="auto"/>
                <w:sz w:val="24"/>
                <w:highlight w:val="none"/>
                <w:lang w:val="en-US" w:eastAsia="zh-CN"/>
              </w:rPr>
              <w:t>B</w:t>
            </w:r>
            <w:r>
              <w:rPr>
                <w:rFonts w:hint="eastAsia" w:ascii="Times New Roman" w:hAnsi="Times New Roman" w:eastAsia="宋体" w:cs="Times New Roman"/>
                <w:color w:val="auto"/>
                <w:sz w:val="24"/>
                <w:highlight w:val="none"/>
              </w:rPr>
              <w:t>级标准要求后，经市政污水管道进入</w:t>
            </w:r>
            <w:r>
              <w:rPr>
                <w:rFonts w:hint="eastAsia" w:ascii="Times New Roman" w:hAnsi="Times New Roman" w:eastAsia="宋体" w:cs="Times New Roman"/>
                <w:color w:val="auto"/>
                <w:sz w:val="24"/>
                <w:highlight w:val="none"/>
                <w:lang w:eastAsia="zh-CN"/>
              </w:rPr>
              <w:t>安康市恒口示范区污水处理厂</w:t>
            </w:r>
            <w:r>
              <w:rPr>
                <w:rFonts w:hint="eastAsia" w:ascii="Times New Roman" w:hAnsi="Times New Roman" w:eastAsia="宋体" w:cs="Times New Roman"/>
                <w:color w:val="auto"/>
                <w:sz w:val="24"/>
                <w:highlight w:val="none"/>
              </w:rPr>
              <w:t>处理。</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项目</w:t>
            </w:r>
            <w:r>
              <w:rPr>
                <w:rFonts w:hint="eastAsia" w:ascii="宋体" w:hAnsi="宋体" w:eastAsia="宋体" w:cs="宋体"/>
                <w:color w:val="auto"/>
                <w:kern w:val="0"/>
                <w:sz w:val="24"/>
                <w:szCs w:val="24"/>
                <w:lang w:val="en-US" w:eastAsia="zh-CN"/>
              </w:rPr>
              <w:t>给</w:t>
            </w:r>
            <w:r>
              <w:rPr>
                <w:rFonts w:hint="eastAsia" w:ascii="宋体" w:hAnsi="宋体" w:eastAsia="宋体" w:cs="宋体"/>
                <w:color w:val="auto"/>
                <w:kern w:val="0"/>
                <w:sz w:val="24"/>
                <w:szCs w:val="24"/>
              </w:rPr>
              <w:t>排水情况见表</w:t>
            </w:r>
            <w:r>
              <w:rPr>
                <w:rFonts w:hint="eastAsia" w:ascii="宋体" w:hAnsi="宋体" w:eastAsia="宋体" w:cs="宋体"/>
                <w:color w:val="auto"/>
                <w:kern w:val="0"/>
                <w:sz w:val="24"/>
                <w:szCs w:val="24"/>
                <w:lang w:val="en-US" w:eastAsia="zh-CN"/>
              </w:rPr>
              <w:t>2.6</w:t>
            </w:r>
          </w:p>
          <w:p>
            <w:pPr>
              <w:pStyle w:val="2"/>
              <w:spacing w:line="240" w:lineRule="auto"/>
              <w:jc w:val="center"/>
              <w:rPr>
                <w:rFonts w:hint="eastAsia"/>
                <w:b/>
                <w:bCs/>
                <w:lang w:val="en-US" w:eastAsia="zh-CN"/>
              </w:rPr>
            </w:pPr>
            <w:r>
              <w:rPr>
                <w:rFonts w:hint="eastAsia"/>
                <w:b/>
                <w:bCs/>
                <w:lang w:val="en-US" w:eastAsia="zh-CN"/>
              </w:rPr>
              <w:t>表2.6  项目给排水一览表</w:t>
            </w:r>
          </w:p>
          <w:tbl>
            <w:tblPr>
              <w:tblStyle w:val="26"/>
              <w:tblpPr w:leftFromText="180" w:rightFromText="180" w:vertAnchor="text" w:horzAnchor="page" w:tblpX="66" w:tblpY="253"/>
              <w:tblOverlap w:val="never"/>
              <w:tblW w:w="8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947"/>
              <w:gridCol w:w="1060"/>
              <w:gridCol w:w="866"/>
              <w:gridCol w:w="1043"/>
              <w:gridCol w:w="895"/>
              <w:gridCol w:w="810"/>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33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58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用水性质</w:t>
                  </w:r>
                </w:p>
              </w:tc>
              <w:tc>
                <w:tcPr>
                  <w:tcW w:w="65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人数</w:t>
                  </w:r>
                </w:p>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（人）</w:t>
                  </w:r>
                </w:p>
              </w:tc>
              <w:tc>
                <w:tcPr>
                  <w:tcW w:w="53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用水定额</w:t>
                  </w:r>
                </w:p>
              </w:tc>
              <w:tc>
                <w:tcPr>
                  <w:tcW w:w="64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用水量</w:t>
                  </w:r>
                  <w:r>
                    <w:rPr>
                      <w:rFonts w:hint="eastAsia" w:eastAsia="宋体" w:cs="Times New Roman"/>
                      <w:b/>
                      <w:bCs/>
                      <w:color w:val="auto"/>
                      <w:sz w:val="24"/>
                      <w:highlight w:val="none"/>
                      <w:lang w:val="en-US" w:eastAsia="zh-CN"/>
                    </w:rPr>
                    <w:t>m</w:t>
                  </w:r>
                  <w:r>
                    <w:rPr>
                      <w:rFonts w:hint="eastAsia" w:eastAsia="宋体" w:cs="Times New Roman"/>
                      <w:b/>
                      <w:bCs/>
                      <w:color w:val="auto"/>
                      <w:sz w:val="24"/>
                      <w:highlight w:val="none"/>
                      <w:vertAlign w:val="superscript"/>
                      <w:lang w:val="en-US" w:eastAsia="zh-CN"/>
                    </w:rPr>
                    <w:t>3</w:t>
                  </w:r>
                  <w:r>
                    <w:rPr>
                      <w:rFonts w:hint="eastAsia" w:eastAsia="宋体" w:cs="Times New Roman"/>
                      <w:b/>
                      <w:bCs/>
                      <w:color w:val="auto"/>
                      <w:sz w:val="24"/>
                      <w:highlight w:val="none"/>
                      <w:lang w:val="en-US" w:eastAsia="zh-CN"/>
                    </w:rPr>
                    <w:t>/d</w:t>
                  </w:r>
                </w:p>
              </w:tc>
              <w:tc>
                <w:tcPr>
                  <w:tcW w:w="55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污水产生系数</w:t>
                  </w:r>
                </w:p>
              </w:tc>
              <w:tc>
                <w:tcPr>
                  <w:tcW w:w="50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污水量</w:t>
                  </w:r>
                  <w:r>
                    <w:rPr>
                      <w:rFonts w:hint="eastAsia" w:eastAsia="宋体" w:cs="Times New Roman"/>
                      <w:b/>
                      <w:bCs/>
                      <w:color w:val="auto"/>
                      <w:sz w:val="24"/>
                      <w:highlight w:val="none"/>
                      <w:lang w:val="en-US" w:eastAsia="zh-CN"/>
                    </w:rPr>
                    <w:t>m</w:t>
                  </w:r>
                  <w:r>
                    <w:rPr>
                      <w:rFonts w:hint="eastAsia" w:eastAsia="宋体" w:cs="Times New Roman"/>
                      <w:b/>
                      <w:bCs/>
                      <w:color w:val="auto"/>
                      <w:sz w:val="24"/>
                      <w:highlight w:val="none"/>
                      <w:vertAlign w:val="superscript"/>
                      <w:lang w:val="en-US" w:eastAsia="zh-CN"/>
                    </w:rPr>
                    <w:t>3</w:t>
                  </w:r>
                  <w:r>
                    <w:rPr>
                      <w:rFonts w:hint="eastAsia" w:eastAsia="宋体" w:cs="Times New Roman"/>
                      <w:b/>
                      <w:bCs/>
                      <w:color w:val="auto"/>
                      <w:sz w:val="24"/>
                      <w:highlight w:val="none"/>
                      <w:lang w:val="en-US" w:eastAsia="zh-CN"/>
                    </w:rPr>
                    <w:t>/d</w:t>
                  </w:r>
                </w:p>
              </w:tc>
              <w:tc>
                <w:tcPr>
                  <w:tcW w:w="117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33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58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生活用水</w:t>
                  </w:r>
                </w:p>
              </w:tc>
              <w:tc>
                <w:tcPr>
                  <w:tcW w:w="65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10人</w:t>
                  </w:r>
                </w:p>
              </w:tc>
              <w:tc>
                <w:tcPr>
                  <w:tcW w:w="53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30L/人·d</w:t>
                  </w:r>
                </w:p>
              </w:tc>
              <w:tc>
                <w:tcPr>
                  <w:tcW w:w="64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0.3</w:t>
                  </w:r>
                </w:p>
              </w:tc>
              <w:tc>
                <w:tcPr>
                  <w:tcW w:w="55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0.8</w:t>
                  </w:r>
                </w:p>
              </w:tc>
              <w:tc>
                <w:tcPr>
                  <w:tcW w:w="50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0.24</w:t>
                  </w:r>
                </w:p>
              </w:tc>
              <w:tc>
                <w:tcPr>
                  <w:tcW w:w="117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排入园区化粪池，经化粪池处理达标后排入安康市恒口示范区污水处理厂进一步处理。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3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58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循环</w:t>
                  </w:r>
                  <w:r>
                    <w:rPr>
                      <w:rFonts w:hint="eastAsia" w:eastAsia="宋体" w:cs="Times New Roman"/>
                      <w:b w:val="0"/>
                      <w:bCs w:val="0"/>
                      <w:color w:val="auto"/>
                      <w:sz w:val="21"/>
                      <w:szCs w:val="21"/>
                      <w:lang w:val="en-US" w:eastAsia="zh-CN"/>
                    </w:rPr>
                    <w:t>用</w:t>
                  </w:r>
                  <w:r>
                    <w:rPr>
                      <w:rFonts w:hint="default" w:ascii="Times New Roman" w:hAnsi="Times New Roman" w:eastAsia="宋体" w:cs="Times New Roman"/>
                      <w:b w:val="0"/>
                      <w:bCs w:val="0"/>
                      <w:color w:val="auto"/>
                      <w:sz w:val="21"/>
                      <w:szCs w:val="21"/>
                      <w:lang w:val="en-US" w:eastAsia="zh-CN"/>
                    </w:rPr>
                    <w:t>水</w:t>
                  </w:r>
                  <w:r>
                    <w:rPr>
                      <w:rFonts w:hint="eastAsia" w:eastAsia="宋体" w:cs="Times New Roman"/>
                      <w:b w:val="0"/>
                      <w:bCs w:val="0"/>
                      <w:color w:val="auto"/>
                      <w:sz w:val="21"/>
                      <w:szCs w:val="21"/>
                      <w:lang w:val="en-US" w:eastAsia="zh-CN"/>
                    </w:rPr>
                    <w:t>补充水</w:t>
                  </w:r>
                </w:p>
              </w:tc>
              <w:tc>
                <w:tcPr>
                  <w:tcW w:w="65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3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4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0.0125</w:t>
                  </w:r>
                </w:p>
              </w:tc>
              <w:tc>
                <w:tcPr>
                  <w:tcW w:w="55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0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117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自然蒸发损耗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3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58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生产用水</w:t>
                  </w:r>
                </w:p>
              </w:tc>
              <w:tc>
                <w:tcPr>
                  <w:tcW w:w="65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3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4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0.007469</w:t>
                  </w:r>
                </w:p>
              </w:tc>
              <w:tc>
                <w:tcPr>
                  <w:tcW w:w="55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0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7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蒸发、保留在产品中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8"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58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合计</w:t>
                  </w:r>
                </w:p>
              </w:tc>
              <w:tc>
                <w:tcPr>
                  <w:tcW w:w="65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3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4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0.319969</w:t>
                  </w:r>
                </w:p>
              </w:tc>
              <w:tc>
                <w:tcPr>
                  <w:tcW w:w="55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02"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0.24</w:t>
                  </w:r>
                </w:p>
              </w:tc>
              <w:tc>
                <w:tcPr>
                  <w:tcW w:w="117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bl>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735195" cy="3291840"/>
                  <wp:effectExtent l="0" t="0" r="0" b="0"/>
                  <wp:docPr id="1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wps"/>
                          <pic:cNvPicPr>
                            <a:picLocks noChangeAspect="1"/>
                          </pic:cNvPicPr>
                        </pic:nvPicPr>
                        <pic:blipFill>
                          <a:blip r:embed="rId15"/>
                          <a:stretch>
                            <a:fillRect/>
                          </a:stretch>
                        </pic:blipFill>
                        <pic:spPr>
                          <a:xfrm>
                            <a:off x="0" y="0"/>
                            <a:ext cx="4735195" cy="3291840"/>
                          </a:xfrm>
                          <a:prstGeom prst="rect">
                            <a:avLst/>
                          </a:prstGeom>
                          <a:noFill/>
                          <a:ln>
                            <a:noFill/>
                          </a:ln>
                        </pic:spPr>
                      </pic:pic>
                    </a:graphicData>
                  </a:graphic>
                </wp:inline>
              </w:drawing>
            </w:r>
          </w:p>
          <w:p>
            <w:pPr>
              <w:keepNext w:val="0"/>
              <w:keepLines w:val="0"/>
              <w:pageBreakBefore w:val="0"/>
              <w:widowControl w:val="0"/>
              <w:kinsoku/>
              <w:wordWrap/>
              <w:topLinePunct w:val="0"/>
              <w:autoSpaceDE/>
              <w:autoSpaceDN/>
              <w:bidi w:val="0"/>
              <w:adjustRightInd w:val="0"/>
              <w:snapToGrid w:val="0"/>
              <w:spacing w:line="480" w:lineRule="exact"/>
              <w:ind w:firstLine="422" w:firstLineChars="20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图2.1</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水平衡示意图</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（单位：m</w:t>
            </w:r>
            <w:r>
              <w:rPr>
                <w:rFonts w:hint="default" w:ascii="Times New Roman" w:hAnsi="Times New Roman" w:eastAsia="宋体" w:cs="Times New Roman"/>
                <w:b/>
                <w:bCs/>
                <w:color w:val="auto"/>
                <w:kern w:val="0"/>
                <w:sz w:val="21"/>
                <w:szCs w:val="21"/>
                <w:vertAlign w:val="superscript"/>
                <w:lang w:val="en-US" w:eastAsia="zh-CN"/>
              </w:rPr>
              <w:t>3</w:t>
            </w:r>
            <w:r>
              <w:rPr>
                <w:rFonts w:hint="default" w:ascii="Times New Roman" w:hAnsi="Times New Roman" w:eastAsia="宋体" w:cs="Times New Roman"/>
                <w:b/>
                <w:bCs/>
                <w:color w:val="auto"/>
                <w:kern w:val="0"/>
                <w:sz w:val="21"/>
                <w:szCs w:val="21"/>
                <w:lang w:val="en-US" w:eastAsia="zh-CN"/>
              </w:rPr>
              <w:t>/</w:t>
            </w:r>
            <w:r>
              <w:rPr>
                <w:rFonts w:hint="eastAsia" w:ascii="Times New Roman" w:hAnsi="Times New Roman" w:eastAsia="宋体" w:cs="Times New Roman"/>
                <w:b/>
                <w:bCs/>
                <w:color w:val="auto"/>
                <w:kern w:val="0"/>
                <w:sz w:val="21"/>
                <w:szCs w:val="21"/>
                <w:lang w:val="en-US" w:eastAsia="zh-CN"/>
              </w:rPr>
              <w:t>d</w:t>
            </w:r>
            <w:r>
              <w:rPr>
                <w:rFonts w:hint="default" w:ascii="Times New Roman" w:hAnsi="Times New Roman" w:eastAsia="宋体" w:cs="Times New Roman"/>
                <w:b/>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2.7.3</w:t>
            </w:r>
            <w:r>
              <w:rPr>
                <w:rFonts w:hint="default" w:ascii="Times New Roman" w:hAnsi="Times New Roman" w:eastAsia="宋体" w:cs="Times New Roman"/>
                <w:b/>
                <w:bCs/>
                <w:color w:val="auto"/>
                <w:highlight w:val="none"/>
                <w:lang w:val="en-US" w:eastAsia="zh-CN"/>
              </w:rPr>
              <w:t>供电</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kern w:val="0"/>
                <w:sz w:val="24"/>
                <w:szCs w:val="24"/>
              </w:rPr>
              <w:t>项目依托市政供电网络，通过</w:t>
            </w:r>
            <w:r>
              <w:rPr>
                <w:rFonts w:hint="default" w:ascii="Times New Roman" w:hAnsi="Times New Roman" w:cs="Times New Roman"/>
                <w:lang w:val="en-US" w:eastAsia="zh-CN"/>
              </w:rPr>
              <w:t>产业园的配电设施</w:t>
            </w:r>
            <w:r>
              <w:rPr>
                <w:rFonts w:hint="default" w:ascii="Times New Roman" w:hAnsi="Times New Roman" w:cs="Times New Roman"/>
                <w:color w:val="auto"/>
                <w:kern w:val="0"/>
                <w:sz w:val="24"/>
                <w:szCs w:val="24"/>
              </w:rPr>
              <w:t>分配给厂区的用电设备。</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2.7.4</w:t>
            </w:r>
            <w:r>
              <w:rPr>
                <w:rFonts w:hint="default" w:ascii="Times New Roman" w:hAnsi="Times New Roman" w:eastAsia="宋体" w:cs="Times New Roman"/>
                <w:b/>
                <w:bCs/>
                <w:color w:val="auto"/>
                <w:highlight w:val="none"/>
                <w:lang w:val="en-US" w:eastAsia="zh-CN"/>
              </w:rPr>
              <w:t>制冷供暖</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项目办公</w:t>
            </w:r>
            <w:r>
              <w:rPr>
                <w:rFonts w:hint="default" w:ascii="Times New Roman" w:hAnsi="Times New Roman" w:cs="Times New Roman"/>
                <w:color w:val="auto"/>
                <w:kern w:val="0"/>
                <w:sz w:val="24"/>
                <w:szCs w:val="24"/>
                <w:lang w:val="en-US" w:eastAsia="zh-CN"/>
              </w:rPr>
              <w:t>区</w:t>
            </w:r>
            <w:r>
              <w:rPr>
                <w:rFonts w:hint="default" w:ascii="Times New Roman" w:hAnsi="Times New Roman" w:cs="Times New Roman"/>
                <w:color w:val="auto"/>
                <w:kern w:val="0"/>
                <w:sz w:val="24"/>
                <w:szCs w:val="24"/>
              </w:rPr>
              <w:t>制冷、供暖均采用分体空调</w:t>
            </w:r>
            <w:r>
              <w:rPr>
                <w:rFonts w:hint="default" w:ascii="Times New Roman" w:hAnsi="Times New Roman" w:cs="Times New Roman"/>
                <w:lang w:eastAsia="zh-CN"/>
              </w:rPr>
              <w:t>，</w:t>
            </w:r>
            <w:r>
              <w:rPr>
                <w:rFonts w:hint="default" w:ascii="Times New Roman" w:hAnsi="Times New Roman" w:cs="Times New Roman"/>
                <w:lang w:val="en-US" w:eastAsia="zh-CN"/>
              </w:rPr>
              <w:t>生产区不提供供暖和制冷。</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2.8劳动员工与工作制度</w:t>
            </w:r>
          </w:p>
          <w:p>
            <w:pPr>
              <w:keepNext w:val="0"/>
              <w:keepLines w:val="0"/>
              <w:pageBreakBefore w:val="0"/>
              <w:widowControl w:val="0"/>
              <w:kinsoku/>
              <w:wordWrap/>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本项目劳动定员10人，不在厂区内食宿。生产实行每天一班8小时工作制度，全年生产300天。（注：设备运行时间为夜间21:00-5:00（次日））。</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2.9厂区平面布置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vertAlign w:val="baseline"/>
              </w:rPr>
            </w:pPr>
            <w:r>
              <w:rPr>
                <w:rFonts w:hint="default" w:ascii="Times New Roman" w:hAnsi="Times New Roman" w:eastAsia="宋体" w:cs="Times New Roman"/>
                <w:b w:val="0"/>
                <w:bCs w:val="0"/>
                <w:color w:val="auto"/>
                <w:kern w:val="2"/>
                <w:sz w:val="24"/>
                <w:szCs w:val="24"/>
                <w:lang w:val="en-US" w:eastAsia="zh-CN" w:bidi="ar-SA"/>
              </w:rPr>
              <w:t>项目租赁安康安贝斯玩具产业链孵化园有限公司</w:t>
            </w:r>
            <w:r>
              <w:rPr>
                <w:rFonts w:hint="eastAsia" w:eastAsia="宋体" w:cs="Times New Roman"/>
                <w:b w:val="0"/>
                <w:bCs w:val="0"/>
                <w:color w:val="auto"/>
                <w:kern w:val="2"/>
                <w:sz w:val="24"/>
                <w:szCs w:val="24"/>
                <w:lang w:val="en-US" w:eastAsia="zh-CN" w:bidi="ar-SA"/>
              </w:rPr>
              <w:t>已建</w:t>
            </w:r>
            <w:r>
              <w:rPr>
                <w:rFonts w:hint="default" w:ascii="Times New Roman" w:hAnsi="Times New Roman" w:eastAsia="宋体" w:cs="Times New Roman"/>
                <w:b w:val="0"/>
                <w:bCs w:val="0"/>
                <w:color w:val="auto"/>
                <w:kern w:val="2"/>
                <w:sz w:val="24"/>
                <w:szCs w:val="24"/>
                <w:lang w:val="en-US" w:eastAsia="zh-CN" w:bidi="ar-SA"/>
              </w:rPr>
              <w:t>标准厂房，厂区大门紧邻月天大道，交通便利。本项目拟在场地内设置办公室、堆料区、成品区、加工区、分拣区等。项目总体布置比较整齐，功能分区明确，生产、办公、辅助设施较为齐全，项目总平面布局图详见附图</w:t>
            </w:r>
            <w:r>
              <w:rPr>
                <w:rFonts w:hint="eastAsia" w:cs="Times New Roman"/>
                <w:b w:val="0"/>
                <w:bCs w:val="0"/>
                <w:color w:val="auto"/>
                <w:kern w:val="2"/>
                <w:sz w:val="24"/>
                <w:szCs w:val="24"/>
                <w:lang w:val="en-US" w:eastAsia="zh-CN" w:bidi="ar-SA"/>
              </w:rPr>
              <w:t>8</w:t>
            </w:r>
            <w:r>
              <w:rPr>
                <w:rFonts w:hint="default" w:ascii="Times New Roman" w:hAnsi="Times New Roman" w:eastAsia="宋体" w:cs="Times New Roman"/>
                <w:b w:val="0"/>
                <w:bCs w:val="0"/>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pStyle w:val="3"/>
              <w:keepNext w:val="0"/>
              <w:keepLines w:val="0"/>
              <w:pageBreakBefore w:val="0"/>
              <w:widowControl w:val="0"/>
              <w:kinsoku/>
              <w:wordWrap/>
              <w:overflowPunct w:val="0"/>
              <w:topLinePunct w:val="0"/>
              <w:autoSpaceDE/>
              <w:autoSpaceDN/>
              <w:bidi w:val="0"/>
              <w:adjustRightInd/>
              <w:snapToGrid w:val="0"/>
              <w:spacing w:before="0" w:beforeLines="0" w:after="0" w:afterLines="0"/>
              <w:ind w:left="0" w:leftChars="0" w:firstLine="0" w:firstLineChars="0"/>
              <w:jc w:val="center"/>
              <w:textAlignment w:val="auto"/>
              <w:rPr>
                <w:rFonts w:hint="default"/>
                <w:vertAlign w:val="baseline"/>
              </w:rPr>
            </w:pPr>
            <w:r>
              <w:rPr>
                <w:rFonts w:hint="default" w:ascii="Times New Roman" w:hAnsi="Times New Roman" w:eastAsia="宋体" w:cs="Times New Roman"/>
                <w:b w:val="0"/>
                <w:bCs w:val="0"/>
                <w:color w:val="auto"/>
                <w:kern w:val="0"/>
                <w:sz w:val="24"/>
                <w:szCs w:val="24"/>
                <w:lang w:val="en-US" w:eastAsia="zh-CN" w:bidi="ar-SA"/>
              </w:rPr>
              <w:t>工艺流程和产排污环节</w:t>
            </w:r>
          </w:p>
        </w:tc>
        <w:tc>
          <w:tcPr>
            <w:tcW w:w="8214" w:type="dxa"/>
            <w:noWrap w:val="0"/>
            <w:vAlign w:val="top"/>
          </w:tcPr>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2.10施工期工艺流程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根据现场勘查，本项目租赁现有厂房进行</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经营活动，本项目施工期</w:t>
            </w:r>
            <w:r>
              <w:rPr>
                <w:rFonts w:hint="default" w:ascii="Times New Roman" w:hAnsi="Times New Roman" w:eastAsia="宋体" w:cs="Times New Roman"/>
                <w:color w:val="auto"/>
                <w:sz w:val="24"/>
                <w:szCs w:val="24"/>
                <w:lang w:val="en-US" w:eastAsia="zh-CN"/>
              </w:rPr>
              <w:t>不涉及土建基础施工，不涉及油漆施工，仅进行设备开箱、安装和调试，在此过程中会对周围环境产生一定的环境影响。施工期工艺流程</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产污节点详见下图。</w:t>
            </w:r>
          </w:p>
          <w:p>
            <w:pPr>
              <w:spacing w:line="36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4198620" cy="2000250"/>
                  <wp:effectExtent l="0" t="0" r="0" b="0"/>
                  <wp:docPr id="4"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7" descr="wps"/>
                          <pic:cNvPicPr>
                            <a:picLocks noChangeAspect="1"/>
                          </pic:cNvPicPr>
                        </pic:nvPicPr>
                        <pic:blipFill>
                          <a:blip r:embed="rId16"/>
                          <a:stretch>
                            <a:fillRect/>
                          </a:stretch>
                        </pic:blipFill>
                        <pic:spPr>
                          <a:xfrm>
                            <a:off x="0" y="0"/>
                            <a:ext cx="4198620" cy="2000250"/>
                          </a:xfrm>
                          <a:prstGeom prst="rect">
                            <a:avLst/>
                          </a:prstGeom>
                          <a:noFill/>
                          <a:ln>
                            <a:noFill/>
                          </a:ln>
                        </pic:spPr>
                      </pic:pic>
                    </a:graphicData>
                  </a:graphic>
                </wp:inline>
              </w:drawing>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图2</w:t>
            </w:r>
            <w:r>
              <w:rPr>
                <w:rFonts w:hint="eastAsia" w:ascii="Times New Roman" w:hAnsi="Times New Roman" w:eastAsia="宋体" w:cs="Times New Roman"/>
                <w:b/>
                <w:color w:val="auto"/>
                <w:sz w:val="21"/>
                <w:szCs w:val="21"/>
                <w:lang w:val="en-US" w:eastAsia="zh-CN"/>
              </w:rPr>
              <w:t xml:space="preserve">.2  </w:t>
            </w:r>
            <w:r>
              <w:rPr>
                <w:rFonts w:hint="default" w:ascii="Times New Roman" w:hAnsi="Times New Roman" w:eastAsia="宋体" w:cs="Times New Roman"/>
                <w:b/>
                <w:color w:val="auto"/>
                <w:sz w:val="21"/>
                <w:szCs w:val="21"/>
                <w:lang w:val="en-US" w:eastAsia="zh-CN"/>
              </w:rPr>
              <w:t>施工期站场产污节点图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①设备开箱与检验：新购的设备开箱并检查，保证后续正常安装和使用。本工序会产生设备废外包装材料等固废、运转过程会产生扬尘和汽车尾气</w:t>
            </w:r>
            <w:r>
              <w:rPr>
                <w:rFonts w:hint="eastAsia" w:cs="Times New Roman"/>
                <w:color w:val="auto"/>
                <w:sz w:val="24"/>
                <w:szCs w:val="24"/>
                <w:lang w:eastAsia="zh-CN"/>
              </w:rPr>
              <w:t>、</w:t>
            </w:r>
            <w:r>
              <w:rPr>
                <w:rFonts w:hint="default" w:ascii="Times New Roman" w:hAnsi="Times New Roman" w:cs="Times New Roman"/>
                <w:color w:val="auto"/>
                <w:sz w:val="24"/>
                <w:szCs w:val="24"/>
              </w:rPr>
              <w:t>设备开箱与检验</w:t>
            </w:r>
            <w:r>
              <w:rPr>
                <w:rFonts w:hint="eastAsia" w:ascii="Times New Roman" w:hAnsi="Times New Roman" w:cs="Times New Roman"/>
                <w:color w:val="auto"/>
                <w:sz w:val="24"/>
                <w:szCs w:val="24"/>
                <w:lang w:val="en-US" w:eastAsia="zh-CN"/>
              </w:rPr>
              <w:t>过程</w:t>
            </w:r>
            <w:r>
              <w:rPr>
                <w:rFonts w:hint="eastAsia" w:cs="Times New Roman"/>
                <w:color w:val="auto"/>
                <w:sz w:val="24"/>
                <w:szCs w:val="24"/>
                <w:lang w:val="en-US" w:eastAsia="zh-CN"/>
              </w:rPr>
              <w:t>施工人员生活污水。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②设备安装：根据生产需要安装生产设备。本工序会产生施工人员作业时使用的安装仪器和工具与设备摩擦时产生噪声、机械运输产生的地面扬尘和汽车尾气、安装过程产生的废安装材料</w:t>
            </w:r>
            <w:r>
              <w:rPr>
                <w:rFonts w:hint="eastAsia" w:cs="Times New Roman"/>
                <w:color w:val="auto"/>
                <w:sz w:val="24"/>
                <w:szCs w:val="24"/>
                <w:lang w:val="en-US" w:eastAsia="zh-CN"/>
              </w:rPr>
              <w:t>和设备安装人员生活污水。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③调试验收：调试和检查安装完成的生产设备，使满足运营期生产</w:t>
            </w:r>
            <w:r>
              <w:rPr>
                <w:rFonts w:hint="default" w:ascii="Times New Roman" w:hAnsi="Times New Roman" w:cs="Times New Roman"/>
                <w:color w:val="auto"/>
                <w:sz w:val="24"/>
                <w:szCs w:val="24"/>
                <w:lang w:val="en-US" w:eastAsia="zh-CN"/>
              </w:rPr>
              <w:t>要求</w:t>
            </w:r>
            <w:r>
              <w:rPr>
                <w:rFonts w:hint="default" w:ascii="Times New Roman" w:hAnsi="Times New Roman" w:cs="Times New Roman"/>
                <w:color w:val="auto"/>
                <w:sz w:val="24"/>
                <w:szCs w:val="24"/>
              </w:rPr>
              <w:t>。本工序主要产生设备运行噪声</w:t>
            </w:r>
            <w:r>
              <w:rPr>
                <w:rFonts w:hint="eastAsia" w:cs="Times New Roman"/>
                <w:color w:val="auto"/>
                <w:sz w:val="24"/>
                <w:szCs w:val="24"/>
                <w:lang w:val="en-US" w:eastAsia="zh-CN"/>
              </w:rPr>
              <w:t>和调试人员生活污水。</w:t>
            </w:r>
          </w:p>
          <w:p>
            <w:pPr>
              <w:spacing w:line="360" w:lineRule="auto"/>
              <w:ind w:firstLine="480"/>
              <w:rPr>
                <w:rFonts w:hint="default" w:ascii="Times New Roman" w:hAnsi="Times New Roman" w:cs="Times New Roman"/>
                <w:color w:val="auto"/>
                <w:lang w:eastAsia="zh-CN"/>
              </w:rPr>
            </w:pPr>
            <w:r>
              <w:rPr>
                <w:rFonts w:hint="default" w:ascii="Times New Roman" w:hAnsi="Times New Roman" w:cs="Times New Roman"/>
                <w:color w:val="auto"/>
              </w:rPr>
              <w:t>综上，项目施工期产污工序汇总统计详见下表</w:t>
            </w:r>
            <w:r>
              <w:rPr>
                <w:rFonts w:hint="default" w:ascii="Times New Roman" w:hAnsi="Times New Roman" w:cs="Times New Roman"/>
                <w:color w:val="auto"/>
                <w:lang w:eastAsia="zh-CN"/>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表2.7</w:t>
            </w:r>
            <w:r>
              <w:rPr>
                <w:rFonts w:hint="eastAsia"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施工期产污工序及污染物名称一览表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4071"/>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产污工序</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设备开箱与检验</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汽车尾气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设备安装</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设备安装、调试验收</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固体废物</w:t>
                  </w: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设备开箱与检验</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设备安装</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废安装材料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3"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污水</w:t>
                  </w:r>
                </w:p>
              </w:tc>
              <w:tc>
                <w:tcPr>
                  <w:tcW w:w="407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施工人员施工过程</w:t>
                  </w:r>
                </w:p>
              </w:tc>
              <w:tc>
                <w:tcPr>
                  <w:tcW w:w="2088"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生活污水</w:t>
                  </w:r>
                </w:p>
              </w:tc>
            </w:tr>
          </w:tbl>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2.11运营期</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根据建设单位提供的资料，项目运营期</w:t>
            </w:r>
            <w:r>
              <w:rPr>
                <w:rFonts w:hint="default" w:ascii="Times New Roman" w:hAnsi="Times New Roman" w:cs="Times New Roman"/>
                <w:color w:val="auto"/>
              </w:rPr>
              <w:t>工艺流程</w:t>
            </w:r>
            <w:r>
              <w:rPr>
                <w:rFonts w:hint="default" w:ascii="Times New Roman" w:hAnsi="Times New Roman" w:cs="Times New Roman"/>
                <w:color w:val="auto"/>
                <w:lang w:val="en-US" w:eastAsia="zh-CN"/>
              </w:rPr>
              <w:t>及</w:t>
            </w:r>
            <w:r>
              <w:rPr>
                <w:rFonts w:hint="default" w:ascii="Times New Roman" w:hAnsi="Times New Roman" w:cs="Times New Roman"/>
                <w:color w:val="auto"/>
              </w:rPr>
              <w:t>产污节点分析如下所述：</w:t>
            </w:r>
          </w:p>
          <w:p>
            <w:pPr>
              <w:numPr>
                <w:ilvl w:val="0"/>
                <w:numId w:val="0"/>
              </w:numPr>
              <w:spacing w:line="360" w:lineRule="auto"/>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drawing>
                <wp:inline distT="0" distB="0" distL="114300" distR="114300">
                  <wp:extent cx="3352800" cy="3655695"/>
                  <wp:effectExtent l="0" t="0" r="0" b="1905"/>
                  <wp:docPr id="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2" descr="wps"/>
                          <pic:cNvPicPr>
                            <a:picLocks noChangeAspect="1"/>
                          </pic:cNvPicPr>
                        </pic:nvPicPr>
                        <pic:blipFill>
                          <a:blip r:embed="rId17"/>
                          <a:stretch>
                            <a:fillRect/>
                          </a:stretch>
                        </pic:blipFill>
                        <pic:spPr>
                          <a:xfrm>
                            <a:off x="0" y="0"/>
                            <a:ext cx="3352800" cy="3655695"/>
                          </a:xfrm>
                          <a:prstGeom prst="rect">
                            <a:avLst/>
                          </a:prstGeom>
                          <a:noFill/>
                          <a:ln>
                            <a:noFill/>
                          </a:ln>
                        </pic:spPr>
                      </pic:pic>
                    </a:graphicData>
                  </a:graphic>
                </wp:inline>
              </w:drawing>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图2</w:t>
            </w:r>
            <w:r>
              <w:rPr>
                <w:rFonts w:hint="eastAsia" w:ascii="Times New Roman" w:hAnsi="Times New Roman" w:eastAsia="宋体" w:cs="Times New Roman"/>
                <w:b/>
                <w:color w:val="auto"/>
                <w:sz w:val="21"/>
                <w:szCs w:val="21"/>
                <w:lang w:val="en-US" w:eastAsia="zh-CN"/>
              </w:rPr>
              <w:t xml:space="preserve">.3  </w:t>
            </w:r>
            <w:r>
              <w:rPr>
                <w:rFonts w:hint="default" w:ascii="Times New Roman" w:hAnsi="Times New Roman" w:eastAsia="宋体" w:cs="Times New Roman"/>
                <w:b/>
                <w:color w:val="auto"/>
                <w:sz w:val="21"/>
                <w:szCs w:val="21"/>
                <w:lang w:val="en-US" w:eastAsia="zh-CN"/>
              </w:rPr>
              <w:t>生产工艺流程及产污环节</w:t>
            </w:r>
          </w:p>
          <w:p>
            <w:pPr>
              <w:pStyle w:val="18"/>
              <w:ind w:left="0" w:leftChars="0" w:firstLine="482"/>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工艺流程及产污环节简述：</w:t>
            </w:r>
          </w:p>
          <w:p>
            <w:pPr>
              <w:tabs>
                <w:tab w:val="left" w:pos="851"/>
                <w:tab w:val="left" w:pos="1134"/>
                <w:tab w:val="left" w:pos="1276"/>
              </w:tabs>
              <w:adjustRightInd w:val="0"/>
              <w:snapToGrid w:val="0"/>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①人工分拣：对外购的废丝和废布进行人工分拣，去除其中存在的废纸、非涤纶等杂质；</w:t>
            </w:r>
            <w:r>
              <w:rPr>
                <w:rFonts w:hint="eastAsia" w:cs="Times New Roman"/>
                <w:color w:val="auto"/>
                <w:sz w:val="24"/>
                <w:szCs w:val="24"/>
                <w:lang w:val="en-US" w:eastAsia="zh-CN"/>
              </w:rPr>
              <w:t>分拣合格的物料袋装，人工运送至下一道工序，</w:t>
            </w:r>
            <w:r>
              <w:rPr>
                <w:rFonts w:hint="default" w:ascii="Times New Roman" w:hAnsi="Times New Roman" w:cs="Times New Roman"/>
                <w:color w:val="auto"/>
                <w:sz w:val="24"/>
                <w:szCs w:val="24"/>
                <w:lang w:val="en-US" w:eastAsia="zh-CN"/>
              </w:rPr>
              <w:t>在此过程会产生固体废物。</w:t>
            </w:r>
          </w:p>
          <w:p>
            <w:pPr>
              <w:tabs>
                <w:tab w:val="left" w:pos="851"/>
                <w:tab w:val="left" w:pos="1134"/>
                <w:tab w:val="left" w:pos="1276"/>
              </w:tabs>
              <w:adjustRightInd w:val="0"/>
              <w:snapToGrid w:val="0"/>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②切丝：</w:t>
            </w:r>
            <w:r>
              <w:rPr>
                <w:rFonts w:hint="eastAsia" w:cs="Times New Roman"/>
                <w:color w:val="auto"/>
                <w:sz w:val="24"/>
                <w:szCs w:val="24"/>
                <w:lang w:val="en-US" w:eastAsia="zh-CN"/>
              </w:rPr>
              <w:t>对分拣合格的较长</w:t>
            </w:r>
            <w:r>
              <w:rPr>
                <w:rFonts w:hint="default" w:ascii="Times New Roman" w:hAnsi="Times New Roman" w:cs="Times New Roman"/>
                <w:color w:val="auto"/>
                <w:sz w:val="24"/>
                <w:szCs w:val="24"/>
                <w:lang w:val="en-US" w:eastAsia="zh-CN"/>
              </w:rPr>
              <w:t>的废丝，通过切丝机切成</w:t>
            </w:r>
            <w:r>
              <w:rPr>
                <w:rFonts w:hint="eastAsia" w:cs="Times New Roman"/>
                <w:color w:val="auto"/>
                <w:sz w:val="24"/>
                <w:szCs w:val="24"/>
                <w:lang w:val="en-US" w:eastAsia="zh-CN"/>
              </w:rPr>
              <w:t>较短</w:t>
            </w:r>
            <w:r>
              <w:rPr>
                <w:rFonts w:hint="eastAsia"/>
                <w:lang w:val="en-US" w:eastAsia="zh-CN"/>
              </w:rPr>
              <w:t>的废丝</w:t>
            </w:r>
            <w:r>
              <w:rPr>
                <w:rFonts w:hint="default" w:ascii="Times New Roman" w:hAnsi="Times New Roman" w:cs="Times New Roman"/>
                <w:color w:val="auto"/>
                <w:sz w:val="24"/>
                <w:szCs w:val="24"/>
                <w:lang w:val="en-US" w:eastAsia="zh-CN"/>
              </w:rPr>
              <w:t>。由于需要切丝的原料较少，故切丝过程无粉尘产生，可不做量化分析；此过程会产生</w:t>
            </w:r>
            <w:r>
              <w:rPr>
                <w:rFonts w:hint="eastAsia" w:cs="Times New Roman"/>
                <w:color w:val="auto"/>
                <w:sz w:val="24"/>
                <w:szCs w:val="24"/>
                <w:lang w:val="en-US" w:eastAsia="zh-CN"/>
              </w:rPr>
              <w:t>设备</w:t>
            </w:r>
            <w:r>
              <w:rPr>
                <w:rFonts w:hint="default" w:ascii="Times New Roman" w:hAnsi="Times New Roman" w:cs="Times New Roman"/>
                <w:color w:val="auto"/>
                <w:sz w:val="24"/>
                <w:szCs w:val="24"/>
                <w:lang w:val="en-US" w:eastAsia="zh-CN"/>
              </w:rPr>
              <w:t>噪声。</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color w:val="auto"/>
                <w:sz w:val="24"/>
                <w:szCs w:val="24"/>
                <w:lang w:val="en-US" w:eastAsia="zh-CN"/>
              </w:rPr>
              <w:t>③团粒：分拣和切丝完成后的物料由人工投入团粒机中，</w:t>
            </w:r>
            <w:r>
              <w:rPr>
                <w:rFonts w:hint="default" w:ascii="Times New Roman" w:hAnsi="Times New Roman" w:cs="Times New Roman"/>
                <w:lang w:val="en-US" w:eastAsia="zh-CN"/>
              </w:rPr>
              <w:t>在高速旋转的转刀刃和固定刀刃的剪切作用下，使物料</w:t>
            </w:r>
            <w:r>
              <w:rPr>
                <w:rFonts w:hint="eastAsia" w:cs="Times New Roman"/>
                <w:lang w:val="en-US" w:eastAsia="zh-CN"/>
              </w:rPr>
              <w:t>快速</w:t>
            </w:r>
            <w:r>
              <w:rPr>
                <w:rFonts w:hint="default" w:ascii="Times New Roman" w:hAnsi="Times New Roman" w:cs="Times New Roman"/>
                <w:lang w:val="en-US" w:eastAsia="zh-CN"/>
              </w:rPr>
              <w:t>被切成碎片，切碎后的</w:t>
            </w:r>
            <w:r>
              <w:rPr>
                <w:rFonts w:hint="eastAsia" w:cs="Times New Roman"/>
                <w:lang w:val="en-US" w:eastAsia="zh-CN"/>
              </w:rPr>
              <w:t>丝</w:t>
            </w:r>
            <w:r>
              <w:rPr>
                <w:rFonts w:hint="default" w:ascii="Times New Roman" w:hAnsi="Times New Roman" w:cs="Times New Roman"/>
                <w:lang w:val="en-US" w:eastAsia="zh-CN"/>
              </w:rPr>
              <w:t>或片在转刀盘的离心力作用下沿团粒机锅体内壁面流动，同时熔融</w:t>
            </w:r>
            <w:r>
              <w:rPr>
                <w:rFonts w:hint="eastAsia" w:cs="Times New Roman"/>
                <w:lang w:val="en-US" w:eastAsia="zh-CN"/>
              </w:rPr>
              <w:t>原料</w:t>
            </w:r>
            <w:r>
              <w:rPr>
                <w:rFonts w:hint="default" w:ascii="Times New Roman" w:hAnsi="Times New Roman" w:cs="Times New Roman"/>
                <w:lang w:val="en-US" w:eastAsia="zh-CN"/>
              </w:rPr>
              <w:t>下沉，松软</w:t>
            </w:r>
            <w:r>
              <w:rPr>
                <w:rFonts w:hint="eastAsia" w:cs="Times New Roman"/>
                <w:lang w:val="en-US" w:eastAsia="zh-CN"/>
              </w:rPr>
              <w:t>原料</w:t>
            </w:r>
            <w:r>
              <w:rPr>
                <w:rFonts w:hint="default" w:ascii="Times New Roman" w:hAnsi="Times New Roman" w:cs="Times New Roman"/>
                <w:lang w:val="en-US" w:eastAsia="zh-CN"/>
              </w:rPr>
              <w:t>上浮</w:t>
            </w:r>
            <w:r>
              <w:rPr>
                <w:rFonts w:hint="eastAsia"/>
                <w:lang w:eastAsia="zh-CN"/>
              </w:rPr>
              <w:t>，</w:t>
            </w:r>
            <w:r>
              <w:rPr>
                <w:rFonts w:hint="default" w:ascii="Times New Roman" w:hAnsi="Times New Roman" w:cs="Times New Roman"/>
                <w:lang w:val="en-US" w:eastAsia="zh-CN"/>
              </w:rPr>
              <w:t>由四周向团粒机锅体中心方向运动，由于高速下物料本身之间的摩擦以及锅壁和刀片的摩擦产生了大量的摩擦热使得布料呈半塑化状态，互相</w:t>
            </w:r>
            <w:r>
              <w:rPr>
                <w:rFonts w:hint="eastAsia" w:ascii="Times New Roman" w:hAnsi="Times New Roman" w:cs="Times New Roman"/>
                <w:lang w:val="en-US" w:eastAsia="zh-CN"/>
              </w:rPr>
              <w:t>粘连</w:t>
            </w:r>
            <w:r>
              <w:rPr>
                <w:rFonts w:hint="default" w:ascii="Times New Roman" w:hAnsi="Times New Roman" w:cs="Times New Roman"/>
                <w:lang w:val="en-US" w:eastAsia="zh-CN"/>
              </w:rPr>
              <w:t>成小块</w:t>
            </w:r>
            <w:r>
              <w:rPr>
                <w:rFonts w:hint="eastAsia" w:cs="Times New Roman"/>
                <w:lang w:val="en-US" w:eastAsia="zh-CN"/>
              </w:rPr>
              <w:t>（</w:t>
            </w:r>
            <w:r>
              <w:rPr>
                <w:rFonts w:hint="default" w:ascii="Times New Roman" w:hAnsi="Times New Roman" w:cs="Times New Roman"/>
                <w:lang w:val="en-US" w:eastAsia="zh-CN"/>
              </w:rPr>
              <w:t>此过程利用物理摩擦产生的热量即可满足半塑化状态要求，</w:t>
            </w:r>
            <w:r>
              <w:rPr>
                <w:rFonts w:hint="eastAsia" w:cs="Times New Roman"/>
                <w:lang w:val="en-US" w:eastAsia="zh-CN"/>
              </w:rPr>
              <w:t>团粒机</w:t>
            </w:r>
            <w:r>
              <w:rPr>
                <w:rFonts w:hint="default" w:ascii="Times New Roman" w:hAnsi="Times New Roman" w:cs="Times New Roman"/>
                <w:lang w:val="en-US" w:eastAsia="zh-CN"/>
              </w:rPr>
              <w:t>内温度在200℃左右，无需外加热源</w:t>
            </w:r>
            <w:r>
              <w:rPr>
                <w:rFonts w:hint="eastAsia" w:cs="Times New Roman"/>
                <w:lang w:val="en-US" w:eastAsia="zh-CN"/>
              </w:rPr>
              <w:t>）</w:t>
            </w:r>
            <w:r>
              <w:rPr>
                <w:rFonts w:hint="default" w:ascii="Times New Roman" w:hAnsi="Times New Roman" w:cs="Times New Roman"/>
                <w:lang w:val="en-US" w:eastAsia="zh-CN"/>
              </w:rPr>
              <w:t>。在物料</w:t>
            </w:r>
            <w:r>
              <w:rPr>
                <w:rFonts w:hint="eastAsia" w:cs="Times New Roman"/>
                <w:lang w:val="en-US" w:eastAsia="zh-CN"/>
              </w:rPr>
              <w:t>即将</w:t>
            </w:r>
            <w:r>
              <w:rPr>
                <w:rFonts w:hint="default" w:ascii="Times New Roman" w:hAnsi="Times New Roman" w:cs="Times New Roman"/>
                <w:lang w:val="en-US" w:eastAsia="zh-CN"/>
              </w:rPr>
              <w:t>结块前，将预先准备好的冷水淋浇到物料中，冷水遇到热的物料迅速气化，带走物料表面的热量，使</w:t>
            </w:r>
            <w:r>
              <w:rPr>
                <w:rFonts w:hint="eastAsia" w:cs="Times New Roman"/>
                <w:lang w:val="en-US" w:eastAsia="zh-CN"/>
              </w:rPr>
              <w:t>其</w:t>
            </w:r>
            <w:r>
              <w:rPr>
                <w:rFonts w:hint="default" w:ascii="Times New Roman" w:hAnsi="Times New Roman" w:cs="Times New Roman"/>
                <w:lang w:val="en-US" w:eastAsia="zh-CN"/>
              </w:rPr>
              <w:t>表面急剧冷却防止结块，</w:t>
            </w:r>
            <w:r>
              <w:rPr>
                <w:rFonts w:hint="default" w:ascii="Times New Roman" w:hAnsi="Times New Roman" w:eastAsia="宋体" w:cs="Times New Roman"/>
                <w:color w:val="auto"/>
                <w:sz w:val="24"/>
                <w:szCs w:val="24"/>
                <w:lang w:val="en-US" w:eastAsia="zh-CN"/>
              </w:rPr>
              <w:t>物料降温到150℃左右，然后通过转刀刃和定刀刃的作用使之成为颗粒（大小不规则的粒料），后经传送带输送至包装区包装，由于</w:t>
            </w:r>
            <w:r>
              <w:rPr>
                <w:rFonts w:hint="eastAsia" w:ascii="Times New Roman" w:hAnsi="Times New Roman" w:eastAsia="宋体" w:cs="Times New Roman"/>
                <w:color w:val="auto"/>
                <w:sz w:val="24"/>
                <w:szCs w:val="24"/>
                <w:lang w:val="en-US" w:eastAsia="zh-CN"/>
              </w:rPr>
              <w:t>刚出团粒机的</w:t>
            </w:r>
            <w:r>
              <w:rPr>
                <w:rFonts w:hint="default" w:ascii="Times New Roman" w:hAnsi="Times New Roman" w:eastAsia="宋体" w:cs="Times New Roman"/>
                <w:color w:val="auto"/>
                <w:sz w:val="24"/>
                <w:szCs w:val="24"/>
                <w:lang w:val="en-US" w:eastAsia="zh-CN"/>
              </w:rPr>
              <w:t>产品温度</w:t>
            </w:r>
            <w:r>
              <w:rPr>
                <w:rFonts w:hint="eastAsia" w:ascii="Times New Roman" w:hAnsi="Times New Roman" w:eastAsia="宋体" w:cs="Times New Roman"/>
                <w:color w:val="auto"/>
                <w:sz w:val="24"/>
                <w:szCs w:val="24"/>
                <w:lang w:val="en-US" w:eastAsia="zh-CN"/>
              </w:rPr>
              <w:t>较高，无法短时间冷却，影响包装，</w:t>
            </w:r>
            <w:r>
              <w:rPr>
                <w:rFonts w:hint="default" w:ascii="Times New Roman" w:hAnsi="Times New Roman" w:eastAsia="宋体" w:cs="Times New Roman"/>
                <w:color w:val="auto"/>
                <w:sz w:val="24"/>
                <w:szCs w:val="24"/>
                <w:lang w:val="en-US" w:eastAsia="zh-CN"/>
              </w:rPr>
              <w:t>传送带</w:t>
            </w:r>
            <w:r>
              <w:rPr>
                <w:rFonts w:hint="eastAsia" w:ascii="Times New Roman" w:hAnsi="Times New Roman" w:eastAsia="宋体" w:cs="Times New Roman"/>
                <w:color w:val="auto"/>
                <w:sz w:val="24"/>
                <w:szCs w:val="24"/>
                <w:lang w:val="en-US" w:eastAsia="zh-CN"/>
              </w:rPr>
              <w:t>上方固定2台</w:t>
            </w:r>
            <w:r>
              <w:rPr>
                <w:rFonts w:hint="default" w:ascii="Times New Roman" w:hAnsi="Times New Roman" w:eastAsia="宋体" w:cs="Times New Roman"/>
                <w:color w:val="auto"/>
                <w:sz w:val="24"/>
                <w:szCs w:val="24"/>
                <w:lang w:val="en-US" w:eastAsia="zh-CN"/>
              </w:rPr>
              <w:t>冷却风</w:t>
            </w:r>
            <w:r>
              <w:rPr>
                <w:rFonts w:hint="eastAsia" w:eastAsia="宋体" w:cs="Times New Roman"/>
                <w:color w:val="auto"/>
                <w:sz w:val="24"/>
                <w:szCs w:val="24"/>
                <w:lang w:val="en-US" w:eastAsia="zh-CN"/>
              </w:rPr>
              <w:t>扇，1台移动</w:t>
            </w:r>
            <w:r>
              <w:rPr>
                <w:rFonts w:hint="default" w:ascii="Times New Roman" w:hAnsi="Times New Roman" w:eastAsia="宋体" w:cs="Times New Roman"/>
                <w:color w:val="auto"/>
                <w:sz w:val="24"/>
                <w:szCs w:val="24"/>
                <w:lang w:val="en-US" w:eastAsia="zh-CN"/>
              </w:rPr>
              <w:t>冷却风</w:t>
            </w:r>
            <w:r>
              <w:rPr>
                <w:rFonts w:hint="eastAsia" w:eastAsia="宋体" w:cs="Times New Roman"/>
                <w:color w:val="auto"/>
                <w:sz w:val="24"/>
                <w:szCs w:val="24"/>
                <w:lang w:val="en-US" w:eastAsia="zh-CN"/>
              </w:rPr>
              <w:t>扇（夏季备用），</w:t>
            </w:r>
            <w:r>
              <w:rPr>
                <w:rFonts w:hint="default" w:ascii="Times New Roman" w:hAnsi="Times New Roman" w:eastAsia="宋体" w:cs="Times New Roman"/>
                <w:color w:val="auto"/>
                <w:sz w:val="24"/>
                <w:szCs w:val="24"/>
                <w:lang w:val="en-US" w:eastAsia="zh-CN"/>
              </w:rPr>
              <w:t>对传送带上的产品进行再次冷却</w:t>
            </w:r>
            <w:r>
              <w:rPr>
                <w:rFonts w:hint="eastAsia" w:eastAsia="宋体" w:cs="Times New Roman"/>
                <w:color w:val="auto"/>
                <w:sz w:val="24"/>
                <w:szCs w:val="24"/>
                <w:lang w:val="en-US" w:eastAsia="zh-CN"/>
              </w:rPr>
              <w:t>，冷却完成进入下一道工序</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000000"/>
                <w:kern w:val="0"/>
                <w:sz w:val="24"/>
                <w:szCs w:val="24"/>
                <w:lang w:val="en-US" w:eastAsia="zh-CN" w:bidi="ar"/>
              </w:rPr>
              <w:t>PE</w:t>
            </w:r>
            <w:r>
              <w:rPr>
                <w:rFonts w:hint="eastAsia" w:cs="Times New Roman"/>
                <w:color w:val="000000"/>
                <w:kern w:val="0"/>
                <w:sz w:val="24"/>
                <w:szCs w:val="24"/>
                <w:lang w:val="en-US" w:eastAsia="zh-CN" w:bidi="ar"/>
              </w:rPr>
              <w:t>T材</w:t>
            </w:r>
            <w:r>
              <w:rPr>
                <w:rFonts w:hint="eastAsia" w:ascii="宋体" w:hAnsi="宋体" w:eastAsia="宋体" w:cs="宋体"/>
                <w:color w:val="000000"/>
                <w:kern w:val="0"/>
                <w:sz w:val="24"/>
                <w:szCs w:val="24"/>
                <w:lang w:val="en-US" w:eastAsia="zh-CN" w:bidi="ar"/>
              </w:rPr>
              <w:t>料热分解温度</w:t>
            </w:r>
            <w:r>
              <w:rPr>
                <w:rFonts w:hint="default" w:ascii="Times New Roman" w:hAnsi="Times New Roman"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左右，</w:t>
            </w:r>
            <w:r>
              <w:rPr>
                <w:rFonts w:hint="eastAsia" w:ascii="宋体" w:hAnsi="宋体" w:eastAsia="宋体" w:cs="宋体"/>
                <w:color w:val="000000"/>
                <w:kern w:val="0"/>
                <w:sz w:val="24"/>
                <w:szCs w:val="24"/>
                <w:lang w:val="en-US" w:eastAsia="zh-CN" w:bidi="ar"/>
              </w:rPr>
              <w:t>因此项目工艺温度范围不会造成热</w:t>
            </w:r>
            <w:r>
              <w:rPr>
                <w:rFonts w:hint="eastAsia" w:ascii="宋体" w:hAnsi="宋体" w:cs="宋体"/>
                <w:color w:val="000000"/>
                <w:kern w:val="0"/>
                <w:sz w:val="24"/>
                <w:szCs w:val="24"/>
                <w:lang w:val="en-US" w:eastAsia="zh-CN" w:bidi="ar"/>
              </w:rPr>
              <w:t>分</w:t>
            </w:r>
            <w:r>
              <w:rPr>
                <w:rFonts w:hint="eastAsia" w:ascii="宋体" w:hAnsi="宋体" w:eastAsia="宋体" w:cs="宋体"/>
                <w:color w:val="000000"/>
                <w:kern w:val="0"/>
                <w:sz w:val="24"/>
                <w:szCs w:val="24"/>
                <w:lang w:val="en-US" w:eastAsia="zh-CN" w:bidi="ar"/>
              </w:rPr>
              <w:t>解</w:t>
            </w:r>
            <w:r>
              <w:rPr>
                <w:rFonts w:hint="eastAsia" w:ascii="宋体" w:hAnsi="宋体" w:cs="宋体"/>
                <w:color w:val="000000"/>
                <w:kern w:val="0"/>
                <w:sz w:val="24"/>
                <w:szCs w:val="24"/>
                <w:lang w:val="en-US" w:eastAsia="zh-CN" w:bidi="ar"/>
              </w:rPr>
              <w:t>，</w:t>
            </w:r>
            <w:r>
              <w:rPr>
                <w:rFonts w:hint="eastAsia"/>
                <w:lang w:val="en-US" w:eastAsia="zh-CN"/>
              </w:rPr>
              <w:t>但由于本项目生产原料中含有颜料，在团粒机内高温团粒过程中仍会有少量有机废气释放出来，主要成分为非甲烷总烃，因此在团粒过程会产生粉尘、非甲烷总烃和噪声等。</w:t>
            </w:r>
          </w:p>
          <w:p>
            <w:pPr>
              <w:autoSpaceDE w:val="0"/>
              <w:autoSpaceDN w:val="0"/>
              <w:adjustRightInd w:val="0"/>
              <w:snapToGrid w:val="0"/>
              <w:spacing w:line="360" w:lineRule="auto"/>
              <w:ind w:firstLine="480" w:firstLineChars="200"/>
              <w:jc w:val="left"/>
              <w:rPr>
                <w:rFonts w:hint="default"/>
                <w:vertAlign w:val="baseline"/>
              </w:rPr>
            </w:pPr>
            <w:r>
              <w:rPr>
                <w:rFonts w:hint="default" w:ascii="Times New Roman" w:hAnsi="Times New Roman" w:eastAsia="宋体" w:cs="Times New Roman"/>
                <w:color w:val="auto"/>
                <w:sz w:val="24"/>
                <w:szCs w:val="24"/>
                <w:lang w:val="en-US" w:eastAsia="zh-CN"/>
              </w:rPr>
              <w:t>④包装：</w:t>
            </w:r>
            <w:r>
              <w:rPr>
                <w:rFonts w:hint="eastAsia" w:eastAsia="宋体" w:cs="Times New Roman"/>
                <w:color w:val="auto"/>
                <w:sz w:val="24"/>
                <w:szCs w:val="24"/>
                <w:lang w:val="en-US" w:eastAsia="zh-CN"/>
              </w:rPr>
              <w:t>冷却后的产品，人工包装完整后</w:t>
            </w:r>
            <w:r>
              <w:rPr>
                <w:rFonts w:hint="default" w:ascii="Times New Roman" w:hAnsi="Times New Roman" w:eastAsia="宋体" w:cs="Times New Roman"/>
                <w:color w:val="auto"/>
                <w:sz w:val="24"/>
                <w:szCs w:val="24"/>
                <w:lang w:val="en-US" w:eastAsia="zh-CN"/>
              </w:rPr>
              <w:t>运至成品区存放</w:t>
            </w:r>
            <w:r>
              <w:rPr>
                <w:rFonts w:hint="eastAsia" w:eastAsia="宋体" w:cs="Times New Roman"/>
                <w:color w:val="auto"/>
                <w:sz w:val="24"/>
                <w:szCs w:val="24"/>
                <w:lang w:val="en-US" w:eastAsia="zh-CN"/>
              </w:rPr>
              <w:t>待售</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846" w:type="dxa"/>
            <w:noWrap w:val="0"/>
            <w:vAlign w:val="center"/>
          </w:tcPr>
          <w:p>
            <w:pPr>
              <w:pStyle w:val="3"/>
              <w:keepNext w:val="0"/>
              <w:keepLines w:val="0"/>
              <w:pageBreakBefore w:val="0"/>
              <w:widowControl w:val="0"/>
              <w:kinsoku/>
              <w:wordWrap/>
              <w:overflowPunct w:val="0"/>
              <w:topLinePunct w:val="0"/>
              <w:autoSpaceDE/>
              <w:autoSpaceDN/>
              <w:bidi w:val="0"/>
              <w:adjustRightInd/>
              <w:snapToGrid w:val="0"/>
              <w:spacing w:before="0" w:beforeLines="0" w:after="0" w:afterLines="0"/>
              <w:ind w:left="0" w:leftChars="0" w:firstLine="0" w:firstLineChars="0"/>
              <w:jc w:val="center"/>
              <w:textAlignment w:val="auto"/>
              <w:rPr>
                <w:rFonts w:hint="default"/>
                <w:vertAlign w:val="baseline"/>
              </w:rPr>
            </w:pPr>
            <w:r>
              <w:rPr>
                <w:rFonts w:hint="default" w:ascii="Times New Roman" w:hAnsi="Times New Roman" w:eastAsia="宋体" w:cs="Times New Roman"/>
                <w:b w:val="0"/>
                <w:bCs w:val="0"/>
                <w:color w:val="auto"/>
                <w:kern w:val="0"/>
                <w:sz w:val="24"/>
                <w:szCs w:val="24"/>
                <w:lang w:val="en-US" w:eastAsia="zh-CN" w:bidi="ar-SA"/>
              </w:rPr>
              <w:t>与项目有关的原有环境污染问题</w:t>
            </w:r>
          </w:p>
        </w:tc>
        <w:tc>
          <w:tcPr>
            <w:tcW w:w="8214" w:type="dxa"/>
            <w:noWrap w:val="0"/>
            <w:vAlign w:val="center"/>
          </w:tcPr>
          <w:p>
            <w:pPr>
              <w:autoSpaceDE w:val="0"/>
              <w:autoSpaceDN w:val="0"/>
              <w:adjustRightInd w:val="0"/>
              <w:snapToGrid w:val="0"/>
              <w:spacing w:line="360" w:lineRule="auto"/>
              <w:ind w:left="0" w:leftChars="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本项目租用已建成厂房，用地位于</w:t>
            </w:r>
            <w:r>
              <w:rPr>
                <w:rFonts w:hint="default" w:ascii="Times New Roman" w:hAnsi="Times New Roman" w:eastAsia="宋体" w:cs="Times New Roman"/>
                <w:b w:val="0"/>
                <w:bCs w:val="0"/>
                <w:color w:val="auto"/>
                <w:kern w:val="2"/>
                <w:sz w:val="24"/>
                <w:szCs w:val="24"/>
                <w:lang w:val="en-US" w:eastAsia="zh-CN" w:bidi="ar-SA"/>
              </w:rPr>
              <w:t>安康安贝斯玩具产业链孵化园有限公司</w:t>
            </w:r>
            <w:r>
              <w:rPr>
                <w:rFonts w:hint="default" w:ascii="Times New Roman" w:hAnsi="Times New Roman" w:eastAsia="宋体" w:cs="Times New Roman"/>
                <w:color w:val="auto"/>
                <w:sz w:val="24"/>
                <w:szCs w:val="24"/>
                <w:lang w:val="en-US" w:eastAsia="zh-CN"/>
              </w:rPr>
              <w:t>，经现场踏勘可知，场地无遗留环境污染问题。</w:t>
            </w:r>
          </w:p>
          <w:p>
            <w:pPr>
              <w:pStyle w:val="3"/>
              <w:keepNext w:val="0"/>
              <w:keepLines w:val="0"/>
              <w:pageBreakBefore w:val="0"/>
              <w:widowControl w:val="0"/>
              <w:kinsoku/>
              <w:wordWrap/>
              <w:overflowPunct w:val="0"/>
              <w:topLinePunct w:val="0"/>
              <w:autoSpaceDE/>
              <w:autoSpaceDN/>
              <w:bidi w:val="0"/>
              <w:adjustRightInd/>
              <w:snapToGrid w:val="0"/>
              <w:spacing w:before="0" w:beforeLines="0" w:after="0" w:afterLines="0"/>
              <w:ind w:left="0" w:leftChars="0" w:firstLine="0" w:firstLineChars="0"/>
              <w:jc w:val="center"/>
              <w:textAlignment w:val="auto"/>
              <w:rPr>
                <w:rFonts w:hint="default"/>
                <w:vertAlign w:val="baseline"/>
              </w:rPr>
            </w:pPr>
          </w:p>
        </w:tc>
      </w:tr>
    </w:tbl>
    <w:p>
      <w:pPr>
        <w:numPr>
          <w:ilvl w:val="0"/>
          <w:numId w:val="0"/>
        </w:numPr>
        <w:rPr>
          <w:rFonts w:hint="default"/>
        </w:rPr>
      </w:pPr>
    </w:p>
    <w:p>
      <w:pPr>
        <w:pStyle w:val="45"/>
        <w:ind w:left="0" w:leftChars="0" w:firstLine="0" w:firstLineChars="0"/>
        <w:rPr>
          <w:rFonts w:hint="default" w:ascii="Times New Roman" w:hAnsi="Times New Roman" w:cs="Times New Roman"/>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hint="default" w:ascii="Times New Roman" w:hAnsi="Times New Roman" w:eastAsia="黑体" w:cs="Times New Roman"/>
          <w:b/>
          <w:bCs/>
          <w:color w:val="auto"/>
          <w:kern w:val="44"/>
          <w:sz w:val="32"/>
          <w:szCs w:val="32"/>
          <w:lang w:val="en-US" w:eastAsia="zh-CN" w:bidi="ar-SA"/>
        </w:rPr>
      </w:pPr>
      <w:bookmarkStart w:id="23" w:name="_Toc7857"/>
      <w:bookmarkStart w:id="24" w:name="_Toc6377"/>
      <w:r>
        <w:rPr>
          <w:rFonts w:hint="default" w:ascii="Times New Roman" w:hAnsi="Times New Roman" w:eastAsia="黑体" w:cs="Times New Roman"/>
          <w:b/>
          <w:bCs/>
          <w:color w:val="auto"/>
          <w:kern w:val="44"/>
          <w:sz w:val="32"/>
          <w:szCs w:val="32"/>
          <w:lang w:val="en-US" w:eastAsia="zh-CN" w:bidi="ar-SA"/>
        </w:rPr>
        <w:t>三、区域环境质量现状、环境保护目标及评价标准</w:t>
      </w:r>
      <w:bookmarkEnd w:id="23"/>
      <w:bookmarkEnd w:id="24"/>
    </w:p>
    <w:tbl>
      <w:tblPr>
        <w:tblStyle w:val="26"/>
        <w:tblW w:w="95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84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9" w:type="dxa"/>
            <w:tcBorders>
              <w:top w:val="single" w:color="auto" w:sz="8" w:space="0"/>
            </w:tcBorders>
            <w:noWrap w:val="0"/>
            <w:vAlign w:val="center"/>
          </w:tcPr>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24"/>
              </w:rPr>
              <w:t>现状</w:t>
            </w:r>
          </w:p>
        </w:tc>
        <w:tc>
          <w:tcPr>
            <w:tcW w:w="8459" w:type="dxa"/>
            <w:tcBorders>
              <w:top w:val="single" w:color="auto" w:sz="8" w:space="0"/>
            </w:tcBorders>
            <w:noWrap w:val="0"/>
            <w:vAlign w:val="center"/>
          </w:tcPr>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3.1环境空气质量现状</w:t>
            </w:r>
          </w:p>
          <w:p>
            <w:pPr>
              <w:pStyle w:val="11"/>
              <w:adjustRightInd w:val="0"/>
              <w:spacing w:before="0" w:after="0" w:line="360" w:lineRule="auto"/>
              <w:ind w:right="0" w:firstLine="480" w:firstLineChars="200"/>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eastAsia="宋体" w:cs="Times New Roman"/>
                <w:color w:val="auto"/>
                <w:sz w:val="24"/>
                <w:szCs w:val="24"/>
                <w:shd w:val="clear" w:color="auto" w:fill="auto"/>
                <w:lang w:val="en-US" w:eastAsia="zh-CN"/>
              </w:rPr>
              <w:t>本项目位于</w:t>
            </w:r>
            <w:r>
              <w:rPr>
                <w:rFonts w:hint="default" w:ascii="Times New Roman" w:hAnsi="Times New Roman" w:cs="Times New Roman"/>
                <w:color w:val="auto"/>
                <w:sz w:val="24"/>
                <w:szCs w:val="24"/>
                <w:shd w:val="clear" w:color="auto" w:fill="auto"/>
                <w:lang w:val="en-US" w:eastAsia="zh-CN"/>
              </w:rPr>
              <w:t>安康市恒口示范区</w:t>
            </w:r>
            <w:r>
              <w:rPr>
                <w:rFonts w:hint="default" w:ascii="Times New Roman" w:hAnsi="Times New Roman" w:eastAsia="宋体" w:cs="Times New Roman"/>
                <w:color w:val="auto"/>
                <w:sz w:val="24"/>
                <w:szCs w:val="24"/>
                <w:shd w:val="clear" w:color="auto" w:fill="auto"/>
                <w:lang w:val="en-US" w:eastAsia="zh-CN"/>
              </w:rPr>
              <w:t>；根据大气功能区划，本项目所在地为二类功能区，环境空气质量标准执行《环境空气质量标准》</w:t>
            </w:r>
            <w:r>
              <w:rPr>
                <w:rFonts w:hint="default" w:ascii="Times New Roman" w:hAnsi="Times New Roman"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shd w:val="clear" w:color="auto" w:fill="auto"/>
                <w:lang w:val="en-US" w:eastAsia="zh-CN"/>
              </w:rPr>
              <w:t>GB3095</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shd w:val="clear" w:color="auto" w:fill="auto"/>
                <w:lang w:val="en-US" w:eastAsia="zh-CN"/>
              </w:rPr>
              <w:softHyphen/>
            </w:r>
            <w:r>
              <w:rPr>
                <w:rFonts w:hint="default" w:ascii="Times New Roman" w:hAnsi="Times New Roman" w:eastAsia="宋体" w:cs="Times New Roman"/>
                <w:color w:val="auto"/>
                <w:sz w:val="24"/>
                <w:szCs w:val="24"/>
                <w:shd w:val="clear" w:color="auto" w:fill="auto"/>
                <w:lang w:val="en-US" w:eastAsia="zh-CN"/>
              </w:rPr>
              <w:t>2012）二级标准要求。</w:t>
            </w:r>
          </w:p>
          <w:p>
            <w:pPr>
              <w:pStyle w:val="11"/>
              <w:adjustRightInd w:val="0"/>
              <w:spacing w:before="0" w:after="0" w:line="360" w:lineRule="auto"/>
              <w:ind w:right="0" w:firstLine="480" w:firstLineChars="200"/>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根据</w:t>
            </w:r>
            <w:r>
              <w:rPr>
                <w:rFonts w:hint="default" w:ascii="Times New Roman" w:hAnsi="Times New Roman" w:cs="Times New Roman"/>
                <w:color w:val="auto"/>
                <w:sz w:val="24"/>
                <w:szCs w:val="24"/>
                <w:highlight w:val="none"/>
                <w:shd w:val="clear" w:color="auto" w:fill="auto"/>
                <w:lang w:val="en-US" w:eastAsia="zh-CN"/>
              </w:rPr>
              <w:t>安康市</w:t>
            </w:r>
            <w:r>
              <w:rPr>
                <w:rFonts w:hint="default" w:ascii="Times New Roman" w:hAnsi="Times New Roman" w:eastAsia="宋体" w:cs="Times New Roman"/>
                <w:color w:val="auto"/>
                <w:sz w:val="24"/>
                <w:szCs w:val="24"/>
                <w:highlight w:val="none"/>
                <w:shd w:val="clear" w:color="auto" w:fill="auto"/>
                <w:lang w:val="en-US" w:eastAsia="zh-CN"/>
              </w:rPr>
              <w:t>生态环境</w:t>
            </w:r>
            <w:r>
              <w:rPr>
                <w:rFonts w:hint="default" w:ascii="Times New Roman" w:hAnsi="Times New Roman" w:cs="Times New Roman"/>
                <w:color w:val="auto"/>
                <w:sz w:val="24"/>
                <w:szCs w:val="24"/>
                <w:highlight w:val="none"/>
                <w:shd w:val="clear" w:color="auto" w:fill="auto"/>
                <w:lang w:val="en-US" w:eastAsia="zh-CN"/>
              </w:rPr>
              <w:t>局</w:t>
            </w:r>
            <w:r>
              <w:rPr>
                <w:rFonts w:hint="default" w:ascii="Times New Roman" w:hAnsi="Times New Roman" w:eastAsia="宋体" w:cs="Times New Roman"/>
                <w:color w:val="auto"/>
                <w:sz w:val="24"/>
                <w:szCs w:val="24"/>
                <w:highlight w:val="none"/>
                <w:shd w:val="clear" w:color="auto" w:fill="auto"/>
                <w:lang w:val="en-US" w:eastAsia="zh-CN"/>
              </w:rPr>
              <w:t>202</w:t>
            </w:r>
            <w:r>
              <w:rPr>
                <w:rFonts w:hint="default" w:ascii="Times New Roman" w:hAnsi="Times New Roman"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lang w:val="en-US" w:eastAsia="zh-CN"/>
              </w:rPr>
              <w:t>年</w:t>
            </w:r>
            <w:r>
              <w:rPr>
                <w:rFonts w:hint="default" w:ascii="Times New Roman" w:hAnsi="Times New Roman"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月</w:t>
            </w:r>
            <w:r>
              <w:rPr>
                <w:rFonts w:hint="default" w:ascii="Times New Roman" w:hAnsi="Times New Roman" w:cs="Times New Roman"/>
                <w:color w:val="auto"/>
                <w:sz w:val="24"/>
                <w:szCs w:val="24"/>
                <w:highlight w:val="none"/>
                <w:shd w:val="clear" w:color="auto" w:fill="auto"/>
                <w:lang w:val="en-US" w:eastAsia="zh-CN"/>
              </w:rPr>
              <w:t>23</w:t>
            </w:r>
            <w:r>
              <w:rPr>
                <w:rFonts w:hint="default" w:ascii="Times New Roman" w:hAnsi="Times New Roman" w:eastAsia="宋体" w:cs="Times New Roman"/>
                <w:color w:val="auto"/>
                <w:sz w:val="24"/>
                <w:szCs w:val="24"/>
                <w:highlight w:val="none"/>
                <w:shd w:val="clear" w:color="auto" w:fill="auto"/>
                <w:lang w:val="en-US" w:eastAsia="zh-CN"/>
              </w:rPr>
              <w:t>日发布的“环保快报</w:t>
            </w:r>
            <w:r>
              <w:rPr>
                <w:rFonts w:hint="default" w:ascii="Times New Roman" w:hAnsi="Times New Roman"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202</w:t>
            </w:r>
            <w:r>
              <w:rPr>
                <w:rFonts w:hint="default" w:ascii="Times New Roman" w:hAnsi="Times New Roman"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年12月及1~12月全</w:t>
            </w:r>
            <w:r>
              <w:rPr>
                <w:rFonts w:hint="default" w:ascii="Times New Roman" w:hAnsi="Times New Roman" w:cs="Times New Roman"/>
                <w:color w:val="auto"/>
                <w:sz w:val="24"/>
                <w:szCs w:val="24"/>
                <w:highlight w:val="none"/>
                <w:shd w:val="clear" w:color="auto" w:fill="auto"/>
                <w:lang w:val="en-US" w:eastAsia="zh-CN"/>
              </w:rPr>
              <w:t>市</w:t>
            </w:r>
            <w:r>
              <w:rPr>
                <w:rFonts w:hint="default" w:ascii="Times New Roman" w:hAnsi="Times New Roman" w:eastAsia="宋体" w:cs="Times New Roman"/>
                <w:color w:val="auto"/>
                <w:sz w:val="24"/>
                <w:szCs w:val="24"/>
                <w:highlight w:val="none"/>
                <w:shd w:val="clear" w:color="auto" w:fill="auto"/>
                <w:lang w:val="en-US" w:eastAsia="zh-CN"/>
              </w:rPr>
              <w:t>环境空气质量状况）”</w:t>
            </w:r>
            <w:r>
              <w:rPr>
                <w:rFonts w:hint="default" w:ascii="Times New Roman" w:hAnsi="Times New Roman" w:eastAsia="宋体"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评价因子为SO</w:t>
            </w:r>
            <w:r>
              <w:rPr>
                <w:rFonts w:hint="default" w:ascii="Times New Roman" w:hAnsi="Times New Roman" w:eastAsia="宋体" w:cs="Times New Roman"/>
                <w:color w:val="auto"/>
                <w:sz w:val="24"/>
                <w:szCs w:val="24"/>
                <w:highlight w:val="none"/>
                <w:shd w:val="clear" w:color="auto" w:fill="auto"/>
                <w:vertAlign w:val="subscript"/>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、NO</w:t>
            </w:r>
            <w:r>
              <w:rPr>
                <w:rFonts w:hint="default" w:ascii="Times New Roman" w:hAnsi="Times New Roman" w:eastAsia="宋体" w:cs="Times New Roman"/>
                <w:color w:val="auto"/>
                <w:sz w:val="24"/>
                <w:szCs w:val="24"/>
                <w:highlight w:val="none"/>
                <w:shd w:val="clear" w:color="auto" w:fill="auto"/>
                <w:vertAlign w:val="subscript"/>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、PM</w:t>
            </w:r>
            <w:r>
              <w:rPr>
                <w:rFonts w:hint="default" w:ascii="Times New Roman" w:hAnsi="Times New Roman" w:eastAsia="宋体" w:cs="Times New Roman"/>
                <w:color w:val="auto"/>
                <w:sz w:val="24"/>
                <w:szCs w:val="24"/>
                <w:highlight w:val="none"/>
                <w:shd w:val="clear" w:color="auto" w:fill="auto"/>
                <w:vertAlign w:val="subscript"/>
                <w:lang w:val="en-US" w:eastAsia="zh-CN"/>
              </w:rPr>
              <w:t>10</w:t>
            </w:r>
            <w:r>
              <w:rPr>
                <w:rFonts w:hint="default" w:ascii="Times New Roman" w:hAnsi="Times New Roman" w:eastAsia="宋体" w:cs="Times New Roman"/>
                <w:color w:val="auto"/>
                <w:sz w:val="24"/>
                <w:szCs w:val="24"/>
                <w:highlight w:val="none"/>
                <w:shd w:val="clear" w:color="auto" w:fill="auto"/>
                <w:lang w:val="en-US" w:eastAsia="zh-CN"/>
              </w:rPr>
              <w:t>、P</w:t>
            </w:r>
            <w:r>
              <w:rPr>
                <w:rFonts w:hint="eastAsia" w:cs="Times New Roman"/>
                <w:color w:val="auto"/>
                <w:sz w:val="24"/>
                <w:szCs w:val="24"/>
                <w:highlight w:val="none"/>
                <w:shd w:val="clear" w:color="auto" w:fill="auto"/>
                <w:lang w:val="en-US" w:eastAsia="zh-CN"/>
              </w:rPr>
              <w:t>M</w:t>
            </w:r>
            <w:r>
              <w:rPr>
                <w:rFonts w:hint="default" w:ascii="Times New Roman" w:hAnsi="Times New Roman" w:eastAsia="宋体" w:cs="Times New Roman"/>
                <w:color w:val="auto"/>
                <w:sz w:val="24"/>
                <w:szCs w:val="24"/>
                <w:highlight w:val="none"/>
                <w:shd w:val="clear" w:color="auto" w:fill="auto"/>
                <w:vertAlign w:val="subscript"/>
                <w:lang w:val="en-US" w:eastAsia="zh-CN"/>
              </w:rPr>
              <w:t>2.5</w:t>
            </w:r>
            <w:r>
              <w:rPr>
                <w:rFonts w:hint="default" w:ascii="Times New Roman" w:hAnsi="Times New Roman" w:eastAsia="宋体" w:cs="Times New Roman"/>
                <w:color w:val="auto"/>
                <w:sz w:val="24"/>
                <w:szCs w:val="24"/>
                <w:highlight w:val="none"/>
                <w:shd w:val="clear" w:color="auto" w:fill="auto"/>
                <w:lang w:val="en-US" w:eastAsia="zh-CN"/>
              </w:rPr>
              <w:t>、CO、O</w:t>
            </w:r>
            <w:r>
              <w:rPr>
                <w:rFonts w:hint="default" w:ascii="Times New Roman" w:hAnsi="Times New Roman" w:eastAsia="宋体" w:cs="Times New Roman"/>
                <w:color w:val="auto"/>
                <w:sz w:val="28"/>
                <w:szCs w:val="28"/>
                <w:highlight w:val="none"/>
                <w:shd w:val="clear" w:color="auto" w:fill="auto"/>
                <w:vertAlign w:val="subscript"/>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六项常规指标。具体统计结果见表3</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1，恒</w:t>
            </w:r>
            <w:r>
              <w:rPr>
                <w:rFonts w:hint="default" w:ascii="Times New Roman" w:hAnsi="Times New Roman" w:cs="Times New Roman"/>
                <w:color w:val="auto"/>
                <w:sz w:val="24"/>
                <w:szCs w:val="24"/>
                <w:shd w:val="clear" w:color="auto" w:fill="auto"/>
                <w:lang w:val="en-US" w:eastAsia="zh-CN"/>
              </w:rPr>
              <w:t>口示范</w:t>
            </w:r>
            <w:r>
              <w:rPr>
                <w:rFonts w:hint="default" w:ascii="Times New Roman" w:hAnsi="Times New Roman" w:eastAsia="宋体" w:cs="Times New Roman"/>
                <w:color w:val="auto"/>
                <w:sz w:val="24"/>
                <w:szCs w:val="24"/>
                <w:shd w:val="clear" w:color="auto" w:fill="auto"/>
                <w:lang w:val="en-US" w:eastAsia="zh-CN"/>
              </w:rPr>
              <w:t>区统计结果如下表。</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表3.1</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区域环境质量现状评价表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58"/>
              <w:gridCol w:w="2026"/>
              <w:gridCol w:w="1223"/>
              <w:gridCol w:w="1062"/>
              <w:gridCol w:w="1055"/>
              <w:gridCol w:w="101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年评价指标</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现状浓度μg/m</w:t>
                  </w:r>
                  <w:r>
                    <w:rPr>
                      <w:rFonts w:hint="default" w:ascii="Times New Roman" w:hAnsi="Times New Roman" w:eastAsia="宋体" w:cs="Times New Roman"/>
                      <w:b/>
                      <w:bCs/>
                      <w:color w:val="auto"/>
                      <w:sz w:val="21"/>
                      <w:szCs w:val="21"/>
                      <w:vertAlign w:val="superscript"/>
                      <w:lang w:val="en-US" w:eastAsia="zh-CN"/>
                    </w:rPr>
                    <w:t>3</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标准值μg/m</w:t>
                  </w:r>
                  <w:r>
                    <w:rPr>
                      <w:rFonts w:hint="default" w:ascii="Times New Roman" w:hAnsi="Times New Roman" w:eastAsia="宋体" w:cs="Times New Roman"/>
                      <w:b/>
                      <w:bCs/>
                      <w:color w:val="auto"/>
                      <w:sz w:val="21"/>
                      <w:szCs w:val="21"/>
                      <w:vertAlign w:val="superscript"/>
                      <w:lang w:val="en-US" w:eastAsia="zh-CN"/>
                    </w:rPr>
                    <w:t>3</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占标率%</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超标倍数</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年平均质量浓度</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60</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6.7</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年平均质量浓度</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PM</w:t>
                  </w:r>
                  <w:r>
                    <w:rPr>
                      <w:rFonts w:hint="default" w:ascii="Times New Roman" w:hAnsi="Times New Roman" w:eastAsia="宋体" w:cs="Times New Roman"/>
                      <w:b w:val="0"/>
                      <w:bCs w:val="0"/>
                      <w:color w:val="auto"/>
                      <w:sz w:val="21"/>
                      <w:szCs w:val="21"/>
                      <w:vertAlign w:val="subscript"/>
                      <w:lang w:val="en-US" w:eastAsia="zh-CN"/>
                    </w:rPr>
                    <w:t>10</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年平均质量浓度</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63</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w:t>
                  </w: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bscript"/>
                      <w:lang w:val="en-US" w:eastAsia="zh-CN"/>
                    </w:rPr>
                    <w:t>2.5</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年平均质量浓度</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4"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24小时平均第95百分位浓度</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1000</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4000</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52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w:t>
                  </w:r>
                  <w:r>
                    <w:rPr>
                      <w:rFonts w:hint="default" w:ascii="Times New Roman" w:hAnsi="Times New Roman" w:eastAsia="宋体" w:cs="Times New Roman"/>
                      <w:b w:val="0"/>
                      <w:bCs w:val="0"/>
                      <w:color w:val="auto"/>
                      <w:sz w:val="21"/>
                      <w:szCs w:val="21"/>
                      <w:vertAlign w:val="subscript"/>
                      <w:lang w:val="en-US" w:eastAsia="zh-CN"/>
                    </w:rPr>
                    <w:t>3</w:t>
                  </w:r>
                </w:p>
              </w:tc>
              <w:tc>
                <w:tcPr>
                  <w:tcW w:w="123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日最大8小时平均第90百分位数浓度</w:t>
                  </w:r>
                </w:p>
              </w:tc>
              <w:tc>
                <w:tcPr>
                  <w:tcW w:w="743"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119</w:t>
                  </w:r>
                </w:p>
              </w:tc>
              <w:tc>
                <w:tcPr>
                  <w:tcW w:w="645"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160</w:t>
                  </w:r>
                </w:p>
              </w:tc>
              <w:tc>
                <w:tcPr>
                  <w:tcW w:w="640"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74.4</w:t>
                  </w:r>
                </w:p>
              </w:tc>
              <w:tc>
                <w:tcPr>
                  <w:tcW w:w="617"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601" w:type="pct"/>
                  <w:tcBorders>
                    <w:tl2br w:val="nil"/>
                    <w:tr2bl w:val="nil"/>
                  </w:tcBorders>
                  <w:noWrap/>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bl>
          <w:p>
            <w:pPr>
              <w:autoSpaceDE w:val="0"/>
              <w:autoSpaceDN w:val="0"/>
              <w:adjustRightInd w:val="0"/>
              <w:snapToGrid w:val="0"/>
              <w:spacing w:line="360" w:lineRule="auto"/>
              <w:ind w:firstLine="480" w:firstLineChars="200"/>
              <w:jc w:val="left"/>
              <w:rPr>
                <w:rFonts w:hint="default" w:ascii="Times New Roman" w:hAnsi="Times New Roman" w:cs="Times New Roman"/>
                <w:color w:val="auto"/>
                <w:sz w:val="24"/>
                <w:szCs w:val="24"/>
                <w:shd w:val="clear" w:color="auto" w:fill="auto"/>
                <w:lang w:val="en-US" w:eastAsia="zh-CN"/>
              </w:rPr>
            </w:pPr>
            <w:r>
              <w:rPr>
                <w:rFonts w:hint="default" w:ascii="Times New Roman" w:hAnsi="Times New Roman" w:eastAsia="宋体" w:cs="Times New Roman"/>
                <w:color w:val="auto"/>
                <w:sz w:val="24"/>
                <w:szCs w:val="24"/>
                <w:shd w:val="clear" w:color="auto" w:fill="auto"/>
                <w:lang w:val="en-US" w:eastAsia="zh-CN"/>
              </w:rPr>
              <w:t>由上表可知，</w:t>
            </w:r>
            <w:r>
              <w:rPr>
                <w:rFonts w:hint="default" w:ascii="Times New Roman" w:hAnsi="Times New Roman" w:cs="Times New Roman"/>
                <w:color w:val="auto"/>
                <w:sz w:val="24"/>
                <w:szCs w:val="24"/>
                <w:shd w:val="clear" w:color="auto" w:fill="auto"/>
                <w:lang w:val="en-US" w:eastAsia="zh-CN"/>
              </w:rPr>
              <w:t>恒口示范</w:t>
            </w:r>
            <w:r>
              <w:rPr>
                <w:rFonts w:hint="default" w:ascii="Times New Roman" w:hAnsi="Times New Roman" w:eastAsia="宋体" w:cs="Times New Roman"/>
                <w:color w:val="auto"/>
                <w:sz w:val="24"/>
                <w:szCs w:val="24"/>
                <w:shd w:val="clear" w:color="auto" w:fill="auto"/>
                <w:lang w:val="en-US" w:eastAsia="zh-CN"/>
              </w:rPr>
              <w:t>区环境空气6个监测项目中，SO</w:t>
            </w:r>
            <w:r>
              <w:rPr>
                <w:rFonts w:hint="default" w:ascii="Times New Roman" w:hAnsi="Times New Roman" w:eastAsia="宋体" w:cs="Times New Roman"/>
                <w:color w:val="auto"/>
                <w:sz w:val="24"/>
                <w:szCs w:val="24"/>
                <w:shd w:val="clear" w:color="auto" w:fill="auto"/>
                <w:vertAlign w:val="subscript"/>
                <w:lang w:val="en-US" w:eastAsia="zh-CN"/>
              </w:rPr>
              <w:t>2</w:t>
            </w:r>
            <w:r>
              <w:rPr>
                <w:rFonts w:hint="default" w:ascii="Times New Roman" w:hAnsi="Times New Roman" w:eastAsia="宋体" w:cs="Times New Roman"/>
                <w:color w:val="auto"/>
                <w:sz w:val="24"/>
                <w:szCs w:val="24"/>
                <w:shd w:val="clear" w:color="auto" w:fill="auto"/>
                <w:lang w:val="en-US" w:eastAsia="zh-CN"/>
              </w:rPr>
              <w:t>年均质量浓度值、CO24小时平均第95百分位数的浓度、NO</w:t>
            </w:r>
            <w:r>
              <w:rPr>
                <w:rFonts w:hint="default" w:ascii="Times New Roman" w:hAnsi="Times New Roman" w:eastAsia="宋体" w:cs="Times New Roman"/>
                <w:color w:val="auto"/>
                <w:sz w:val="24"/>
                <w:szCs w:val="24"/>
                <w:shd w:val="clear" w:color="auto" w:fill="auto"/>
                <w:vertAlign w:val="subscript"/>
                <w:lang w:val="en-US" w:eastAsia="zh-CN"/>
              </w:rPr>
              <w:t>2</w:t>
            </w:r>
            <w:r>
              <w:rPr>
                <w:rFonts w:hint="default" w:ascii="Times New Roman" w:hAnsi="Times New Roman" w:eastAsia="宋体" w:cs="Times New Roman"/>
                <w:color w:val="auto"/>
                <w:sz w:val="24"/>
                <w:szCs w:val="24"/>
                <w:shd w:val="clear" w:color="auto" w:fill="auto"/>
                <w:lang w:val="en-US" w:eastAsia="zh-CN"/>
              </w:rPr>
              <w:t>年均质量浓度值</w:t>
            </w:r>
            <w:r>
              <w:rPr>
                <w:rFonts w:hint="default" w:ascii="Times New Roman" w:hAnsi="Times New Roman" w:cs="Times New Roman"/>
                <w:color w:val="auto"/>
                <w:sz w:val="24"/>
                <w:szCs w:val="24"/>
                <w:shd w:val="clear" w:color="auto" w:fill="auto"/>
                <w:lang w:val="en-US" w:eastAsia="zh-CN"/>
              </w:rPr>
              <w:t>、</w:t>
            </w:r>
            <w:r>
              <w:rPr>
                <w:rFonts w:hint="default" w:ascii="Times New Roman" w:hAnsi="Times New Roman" w:eastAsia="宋体" w:cs="Times New Roman"/>
                <w:color w:val="auto"/>
                <w:sz w:val="24"/>
                <w:szCs w:val="24"/>
                <w:shd w:val="clear" w:color="auto" w:fill="auto"/>
                <w:lang w:val="en-US" w:eastAsia="zh-CN"/>
              </w:rPr>
              <w:t>PM</w:t>
            </w:r>
            <w:r>
              <w:rPr>
                <w:rFonts w:hint="default" w:ascii="Times New Roman" w:hAnsi="Times New Roman" w:eastAsia="宋体" w:cs="Times New Roman"/>
                <w:color w:val="auto"/>
                <w:sz w:val="24"/>
                <w:szCs w:val="24"/>
                <w:shd w:val="clear" w:color="auto" w:fill="auto"/>
                <w:vertAlign w:val="subscript"/>
                <w:lang w:val="en-US" w:eastAsia="zh-CN"/>
              </w:rPr>
              <w:t>10</w:t>
            </w:r>
            <w:r>
              <w:rPr>
                <w:rFonts w:hint="default" w:ascii="Times New Roman" w:hAnsi="Times New Roman" w:eastAsia="宋体" w:cs="Times New Roman"/>
                <w:color w:val="auto"/>
                <w:sz w:val="24"/>
                <w:szCs w:val="24"/>
                <w:shd w:val="clear" w:color="auto" w:fill="auto"/>
                <w:lang w:val="en-US" w:eastAsia="zh-CN"/>
              </w:rPr>
              <w:t>、P</w:t>
            </w:r>
            <w:r>
              <w:rPr>
                <w:rFonts w:hint="eastAsia" w:cs="Times New Roman"/>
                <w:color w:val="auto"/>
                <w:sz w:val="24"/>
                <w:szCs w:val="24"/>
                <w:shd w:val="clear" w:color="auto" w:fill="auto"/>
                <w:lang w:val="en-US" w:eastAsia="zh-CN"/>
              </w:rPr>
              <w:t>M</w:t>
            </w:r>
            <w:r>
              <w:rPr>
                <w:rFonts w:hint="default" w:ascii="Times New Roman" w:hAnsi="Times New Roman" w:eastAsia="宋体" w:cs="Times New Roman"/>
                <w:color w:val="auto"/>
                <w:sz w:val="24"/>
                <w:szCs w:val="24"/>
                <w:shd w:val="clear" w:color="auto" w:fill="auto"/>
                <w:vertAlign w:val="subscript"/>
                <w:lang w:val="en-US" w:eastAsia="zh-CN"/>
              </w:rPr>
              <w:t>2.5</w:t>
            </w:r>
            <w:r>
              <w:rPr>
                <w:rFonts w:hint="default" w:ascii="Times New Roman" w:hAnsi="Times New Roman" w:eastAsia="宋体" w:cs="Times New Roman"/>
                <w:color w:val="auto"/>
                <w:sz w:val="24"/>
                <w:szCs w:val="24"/>
                <w:shd w:val="clear" w:color="auto" w:fill="auto"/>
                <w:lang w:val="en-US" w:eastAsia="zh-CN"/>
              </w:rPr>
              <w:t>年均质量浓度值和O</w:t>
            </w:r>
            <w:r>
              <w:rPr>
                <w:rFonts w:hint="default" w:ascii="Times New Roman" w:hAnsi="Times New Roman" w:eastAsia="宋体" w:cs="Times New Roman"/>
                <w:color w:val="auto"/>
                <w:sz w:val="24"/>
                <w:szCs w:val="24"/>
                <w:shd w:val="clear" w:color="auto" w:fill="auto"/>
                <w:vertAlign w:val="subscript"/>
                <w:lang w:val="en-US" w:eastAsia="zh-CN"/>
              </w:rPr>
              <w:t>3</w:t>
            </w:r>
            <w:r>
              <w:rPr>
                <w:rFonts w:hint="default" w:ascii="Times New Roman" w:hAnsi="Times New Roman" w:eastAsia="宋体" w:cs="Times New Roman"/>
                <w:color w:val="auto"/>
                <w:sz w:val="24"/>
                <w:szCs w:val="24"/>
                <w:shd w:val="clear" w:color="auto" w:fill="auto"/>
                <w:lang w:val="en-US" w:eastAsia="zh-CN"/>
              </w:rPr>
              <w:t>日最大8小时平均第90百分位数浓度低于国家环境空气质量二级标准。因此本项目处于达标区</w:t>
            </w:r>
            <w:r>
              <w:rPr>
                <w:rFonts w:hint="default" w:ascii="Times New Roman" w:hAnsi="Times New Roman" w:cs="Times New Roman"/>
                <w:color w:val="auto"/>
                <w:sz w:val="24"/>
                <w:szCs w:val="24"/>
                <w:shd w:val="clear" w:color="auto" w:fill="auto"/>
                <w:lang w:val="en-US" w:eastAsia="zh-CN"/>
              </w:rPr>
              <w:t>。</w:t>
            </w:r>
          </w:p>
          <w:p>
            <w:pPr>
              <w:pStyle w:val="5"/>
              <w:spacing w:before="72" w:after="72"/>
              <w:ind w:firstLine="281"/>
              <w:rPr>
                <w:rFonts w:ascii="Times New Roman" w:hAnsi="Times New Roman" w:eastAsia="宋体" w:cs="Times New Roman"/>
                <w:color w:val="auto"/>
              </w:rPr>
            </w:pPr>
            <w:r>
              <w:rPr>
                <w:rFonts w:ascii="Times New Roman" w:hAnsi="Times New Roman" w:eastAsia="宋体" w:cs="Times New Roman"/>
                <w:color w:val="auto"/>
              </w:rPr>
              <w:t>3.</w:t>
            </w: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特征污染因子</w:t>
            </w:r>
          </w:p>
          <w:p>
            <w:pPr>
              <w:autoSpaceDE w:val="0"/>
              <w:autoSpaceDN w:val="0"/>
              <w:adjustRightInd w:val="0"/>
              <w:snapToGrid w:val="0"/>
              <w:spacing w:line="480" w:lineRule="exact"/>
              <w:ind w:firstLine="480" w:firstLineChars="200"/>
              <w:jc w:val="left"/>
              <w:rPr>
                <w:rFonts w:hint="eastAsia" w:ascii="Times New Roman" w:hAnsi="Times New Roman" w:eastAsia="宋体" w:cs="宋体"/>
                <w:color w:val="auto"/>
                <w:sz w:val="24"/>
                <w:szCs w:val="24"/>
                <w:lang w:val="en-US" w:eastAsia="zh-CN"/>
              </w:rPr>
            </w:pPr>
            <w:r>
              <w:rPr>
                <w:rFonts w:hint="eastAsia" w:cs="宋体"/>
                <w:color w:val="auto"/>
                <w:sz w:val="24"/>
                <w:szCs w:val="24"/>
                <w:lang w:val="en-US" w:eastAsia="zh-CN"/>
              </w:rPr>
              <w:t>本项目生产原料为PET材质的毛绒玩具废丝和布边角料，生产加工过程中的废气主要是非甲烷总烃和颗粒物。经现场踏勘，本项目与“</w:t>
            </w:r>
            <w:r>
              <w:rPr>
                <w:rFonts w:hint="eastAsia" w:ascii="Times New Roman" w:hAnsi="Times New Roman" w:cs="宋体"/>
                <w:color w:val="auto"/>
                <w:sz w:val="24"/>
                <w:szCs w:val="24"/>
                <w:lang w:val="en-US" w:eastAsia="zh-CN"/>
              </w:rPr>
              <w:t>安康新恒辉塑胶科技有限公司”均位于</w:t>
            </w:r>
            <w:r>
              <w:rPr>
                <w:rFonts w:hint="default" w:ascii="Times New Roman" w:hAnsi="Times New Roman" w:eastAsia="宋体" w:cs="Times New Roman"/>
                <w:b w:val="0"/>
                <w:bCs w:val="0"/>
                <w:color w:val="auto"/>
                <w:kern w:val="2"/>
                <w:sz w:val="24"/>
                <w:szCs w:val="24"/>
                <w:lang w:val="en-US" w:eastAsia="zh-CN" w:bidi="ar-SA"/>
              </w:rPr>
              <w:t>安康安贝斯玩具产业链孵化园</w:t>
            </w:r>
            <w:r>
              <w:rPr>
                <w:rFonts w:hint="eastAsia" w:ascii="Times New Roman" w:hAnsi="Times New Roman" w:eastAsia="宋体" w:cs="Times New Roman"/>
                <w:b w:val="0"/>
                <w:bCs w:val="0"/>
                <w:color w:val="auto"/>
                <w:kern w:val="2"/>
                <w:sz w:val="24"/>
                <w:szCs w:val="24"/>
                <w:lang w:val="en-US" w:eastAsia="zh-CN" w:bidi="ar-SA"/>
              </w:rPr>
              <w:t>，两公司</w:t>
            </w:r>
            <w:r>
              <w:rPr>
                <w:rFonts w:hint="eastAsia" w:ascii="Times New Roman" w:hAnsi="Times New Roman" w:cs="宋体"/>
                <w:color w:val="auto"/>
                <w:sz w:val="24"/>
                <w:szCs w:val="24"/>
                <w:lang w:val="en-US" w:eastAsia="zh-CN"/>
              </w:rPr>
              <w:t>相距150米（具体位置关系见附图</w:t>
            </w:r>
            <w:r>
              <w:rPr>
                <w:rFonts w:hint="eastAsia" w:cs="宋体"/>
                <w:color w:val="auto"/>
                <w:sz w:val="24"/>
                <w:szCs w:val="24"/>
                <w:lang w:val="en-US" w:eastAsia="zh-CN"/>
              </w:rPr>
              <w:t>9</w:t>
            </w:r>
            <w:r>
              <w:rPr>
                <w:rFonts w:hint="eastAsia" w:ascii="Times New Roman" w:hAnsi="Times New Roman" w:cs="宋体"/>
                <w:color w:val="auto"/>
                <w:sz w:val="24"/>
                <w:szCs w:val="24"/>
                <w:lang w:val="en-US" w:eastAsia="zh-CN"/>
              </w:rPr>
              <w:t>）且两公司运营期的主要特征污染因子均为非甲烷总烃，故</w:t>
            </w:r>
            <w:r>
              <w:rPr>
                <w:rFonts w:hint="eastAsia" w:cs="宋体"/>
                <w:color w:val="auto"/>
                <w:sz w:val="24"/>
                <w:szCs w:val="24"/>
              </w:rPr>
              <w:t>本次评价</w:t>
            </w:r>
            <w:r>
              <w:rPr>
                <w:rFonts w:hint="eastAsia" w:cs="宋体"/>
                <w:color w:val="auto"/>
                <w:sz w:val="24"/>
                <w:szCs w:val="24"/>
                <w:lang w:val="en-US" w:eastAsia="zh-CN"/>
              </w:rPr>
              <w:t>可参考陕西华准通检测技术有限公司</w:t>
            </w:r>
            <w:r>
              <w:rPr>
                <w:rFonts w:hint="eastAsia" w:cs="宋体"/>
                <w:color w:val="auto"/>
                <w:sz w:val="24"/>
                <w:szCs w:val="24"/>
              </w:rPr>
              <w:t>于</w:t>
            </w:r>
            <w:r>
              <w:rPr>
                <w:rFonts w:hint="eastAsia"/>
                <w:color w:val="auto"/>
                <w:sz w:val="24"/>
                <w:szCs w:val="24"/>
                <w:lang w:val="en-US" w:eastAsia="zh-CN"/>
              </w:rPr>
              <w:t>2023年2月9日-2月11日</w:t>
            </w:r>
            <w:r>
              <w:rPr>
                <w:rFonts w:hint="eastAsia" w:ascii="Times New Roman" w:hAnsi="Times New Roman" w:cs="宋体"/>
                <w:color w:val="auto"/>
                <w:sz w:val="24"/>
                <w:szCs w:val="24"/>
                <w:lang w:val="en-US" w:eastAsia="zh-CN"/>
              </w:rPr>
              <w:t>对《</w:t>
            </w:r>
            <w:r>
              <w:rPr>
                <w:rFonts w:hint="eastAsia" w:ascii="Times New Roman" w:hAnsi="Times New Roman" w:eastAsia="宋体" w:cs="宋体"/>
                <w:color w:val="auto"/>
                <w:sz w:val="24"/>
                <w:szCs w:val="24"/>
                <w:lang w:val="en-US" w:eastAsia="zh-CN"/>
              </w:rPr>
              <w:t>安康新恒辉塑胶科技有限公司恒口示范区玩具配件工厂项目环境影响报告表》空气环境中非甲烷总烃的监测结果。特征污染因子监测结果及达标性分析见表3.2、3.3及附件5。</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w:t>
            </w:r>
            <w:r>
              <w:rPr>
                <w:rFonts w:hint="default" w:ascii="Times New Roman" w:hAnsi="Times New Roman" w:eastAsia="宋体" w:cs="Times New Roman"/>
                <w:b/>
                <w:color w:val="auto"/>
                <w:sz w:val="21"/>
                <w:szCs w:val="21"/>
                <w:lang w:val="en-US" w:eastAsia="zh-CN"/>
              </w:rPr>
              <w:t>2</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特征污染因子监测结果统计表</w:t>
            </w:r>
          </w:p>
          <w:tbl>
            <w:tblPr>
              <w:tblStyle w:val="26"/>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1393"/>
              <w:gridCol w:w="1705"/>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41" w:type="pct"/>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监测点位</w:t>
                  </w:r>
                </w:p>
              </w:tc>
              <w:tc>
                <w:tcPr>
                  <w:tcW w:w="1966" w:type="pct"/>
                  <w:gridSpan w:val="2"/>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监测日期及频次</w:t>
                  </w:r>
                </w:p>
              </w:tc>
              <w:tc>
                <w:tcPr>
                  <w:tcW w:w="1792" w:type="pct"/>
                  <w:tcBorders>
                    <w:tl2br w:val="nil"/>
                    <w:tr2bl w:val="nil"/>
                  </w:tcBorders>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监测结果（m</w:t>
                  </w:r>
                  <w:r>
                    <w:rPr>
                      <w:rFonts w:hint="default" w:ascii="Times New Roman" w:hAnsi="Times New Roman" w:eastAsia="宋体" w:cs="Times New Roman"/>
                      <w:b/>
                      <w:bCs/>
                      <w:color w:val="auto"/>
                      <w:sz w:val="21"/>
                      <w:szCs w:val="21"/>
                      <w:lang w:val="en-US" w:eastAsia="zh-CN"/>
                    </w:rPr>
                    <w:t>g/m³</w:t>
                  </w:r>
                  <w:r>
                    <w:rPr>
                      <w:rFonts w:hint="eastAsia" w:ascii="Times New Roman" w:hAnsi="Times New Roman" w:eastAsia="宋体" w:cs="Times New Roman"/>
                      <w:b/>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41" w:type="pct"/>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1966" w:type="pct"/>
                  <w:gridSpan w:val="2"/>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1792" w:type="pct"/>
                  <w:tcBorders>
                    <w:tl2br w:val="nil"/>
                    <w:tr2bl w:val="nil"/>
                  </w:tcBorders>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41" w:type="pct"/>
                  <w:vMerge w:val="restart"/>
                  <w:tcBorders>
                    <w:tl2br w:val="nil"/>
                    <w:tr2bl w:val="nil"/>
                  </w:tcBorders>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项目厂址</w:t>
                  </w:r>
                </w:p>
              </w:tc>
              <w:tc>
                <w:tcPr>
                  <w:tcW w:w="884"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2023.2.9</w:t>
                  </w:r>
                </w:p>
              </w:tc>
              <w:tc>
                <w:tcPr>
                  <w:tcW w:w="1082" w:type="pct"/>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4次/天</w:t>
                  </w:r>
                </w:p>
              </w:tc>
              <w:tc>
                <w:tcPr>
                  <w:tcW w:w="1792"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0.89-1.06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41" w:type="pct"/>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84"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2023.2.10</w:t>
                  </w:r>
                </w:p>
              </w:tc>
              <w:tc>
                <w:tcPr>
                  <w:tcW w:w="1082" w:type="pct"/>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792" w:type="pct"/>
                  <w:tcBorders>
                    <w:tl2br w:val="nil"/>
                    <w:tr2bl w:val="nil"/>
                  </w:tcBorders>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41" w:type="pct"/>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84"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2023.2.11</w:t>
                  </w:r>
                </w:p>
              </w:tc>
              <w:tc>
                <w:tcPr>
                  <w:tcW w:w="1082" w:type="pct"/>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792" w:type="pct"/>
                  <w:tcBorders>
                    <w:tl2br w:val="nil"/>
                    <w:tr2bl w:val="nil"/>
                  </w:tcBorders>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41" w:type="pct"/>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966" w:type="pct"/>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标准限值</w:t>
                  </w:r>
                </w:p>
              </w:tc>
              <w:tc>
                <w:tcPr>
                  <w:tcW w:w="1792"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w:t>
                  </w:r>
                </w:p>
              </w:tc>
            </w:tr>
          </w:tbl>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.3  </w:t>
            </w:r>
            <w:r>
              <w:rPr>
                <w:rFonts w:hint="default" w:ascii="Times New Roman" w:hAnsi="Times New Roman" w:eastAsia="宋体" w:cs="Times New Roman"/>
                <w:b/>
                <w:color w:val="auto"/>
                <w:sz w:val="21"/>
                <w:szCs w:val="21"/>
                <w:lang w:val="en-US" w:eastAsia="zh-CN"/>
              </w:rPr>
              <w:t>特征污染因子</w:t>
            </w:r>
            <w:r>
              <w:rPr>
                <w:rFonts w:hint="eastAsia" w:ascii="Times New Roman" w:hAnsi="Times New Roman" w:eastAsia="宋体" w:cs="Times New Roman"/>
                <w:b/>
                <w:color w:val="auto"/>
                <w:sz w:val="21"/>
                <w:szCs w:val="21"/>
                <w:lang w:val="en-US" w:eastAsia="zh-CN"/>
              </w:rPr>
              <w:t>达标性分析</w:t>
            </w:r>
          </w:p>
          <w:tbl>
            <w:tblPr>
              <w:tblStyle w:val="27"/>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191"/>
              <w:gridCol w:w="1952"/>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监测浓度（m</w:t>
                  </w:r>
                  <w:r>
                    <w:rPr>
                      <w:rFonts w:hint="default" w:ascii="Times New Roman" w:hAnsi="Times New Roman" w:eastAsia="宋体" w:cs="Times New Roman"/>
                      <w:b/>
                      <w:bCs/>
                      <w:color w:val="auto"/>
                      <w:sz w:val="21"/>
                      <w:szCs w:val="21"/>
                      <w:lang w:val="en-US" w:eastAsia="zh-CN"/>
                    </w:rPr>
                    <w:t>g/m³</w:t>
                  </w:r>
                  <w:r>
                    <w:rPr>
                      <w:rFonts w:hint="eastAsia" w:ascii="Times New Roman" w:hAnsi="Times New Roman" w:eastAsia="宋体" w:cs="Times New Roman"/>
                      <w:b/>
                      <w:bCs/>
                      <w:color w:val="auto"/>
                      <w:sz w:val="21"/>
                      <w:szCs w:val="21"/>
                      <w:lang w:val="en-US" w:eastAsia="zh-CN"/>
                    </w:rPr>
                    <w:t>）</w:t>
                  </w:r>
                </w:p>
              </w:tc>
              <w:tc>
                <w:tcPr>
                  <w:tcW w:w="2191"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标准限值（m</w:t>
                  </w:r>
                  <w:r>
                    <w:rPr>
                      <w:rFonts w:hint="default" w:ascii="Times New Roman" w:hAnsi="Times New Roman" w:eastAsia="宋体" w:cs="Times New Roman"/>
                      <w:b/>
                      <w:bCs/>
                      <w:color w:val="auto"/>
                      <w:sz w:val="21"/>
                      <w:szCs w:val="21"/>
                      <w:lang w:val="en-US" w:eastAsia="zh-CN"/>
                    </w:rPr>
                    <w:t>g/m³</w:t>
                  </w:r>
                  <w:r>
                    <w:rPr>
                      <w:rFonts w:hint="eastAsia" w:ascii="Times New Roman" w:hAnsi="Times New Roman" w:eastAsia="宋体" w:cs="Times New Roman"/>
                      <w:b/>
                      <w:bCs/>
                      <w:color w:val="auto"/>
                      <w:sz w:val="21"/>
                      <w:szCs w:val="21"/>
                      <w:lang w:val="en-US" w:eastAsia="zh-CN"/>
                    </w:rPr>
                    <w:t>）</w:t>
                  </w: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占标率（%）</w:t>
                  </w:r>
                </w:p>
              </w:tc>
              <w:tc>
                <w:tcPr>
                  <w:tcW w:w="200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0.89</w:t>
                  </w:r>
                </w:p>
              </w:tc>
              <w:tc>
                <w:tcPr>
                  <w:tcW w:w="2191"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w:t>
                  </w: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22.25</w:t>
                  </w:r>
                </w:p>
              </w:tc>
              <w:tc>
                <w:tcPr>
                  <w:tcW w:w="2006" w:type="dxa"/>
                  <w:noWrap w:val="0"/>
                  <w:vAlign w:val="center"/>
                </w:tcPr>
                <w:p>
                  <w:pPr>
                    <w:adjustRightInd w:val="0"/>
                    <w:snapToGrid w:val="0"/>
                    <w:spacing w:line="240" w:lineRule="auto"/>
                    <w:ind w:left="0" w:leftChars="0" w:firstLine="420" w:firstLineChars="20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1.04</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26.00</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0.97</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24.25</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1.06</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26.50</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1.08</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27.00</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25.00</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1.03</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25.75</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0.97</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24.25</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1.01</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25.25</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0.92</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23.00</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1.05</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26.25</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70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0.99</w:t>
                  </w:r>
                </w:p>
              </w:tc>
              <w:tc>
                <w:tcPr>
                  <w:tcW w:w="2191" w:type="dxa"/>
                  <w:vMerge w:val="continue"/>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p>
              </w:tc>
              <w:tc>
                <w:tcPr>
                  <w:tcW w:w="195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24.75</w:t>
                  </w:r>
                </w:p>
              </w:tc>
              <w:tc>
                <w:tcPr>
                  <w:tcW w:w="2006" w:type="dxa"/>
                  <w:noWrap w:val="0"/>
                  <w:vAlign w:val="center"/>
                </w:tcPr>
                <w:p>
                  <w:pPr>
                    <w:adjustRightInd w:val="0"/>
                    <w:snapToGrid w:val="0"/>
                    <w:spacing w:line="240" w:lineRule="auto"/>
                    <w:ind w:left="0" w:leftChars="0" w:firstLine="420" w:firstLineChars="20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达标</w:t>
                  </w:r>
                </w:p>
              </w:tc>
            </w:tr>
          </w:tbl>
          <w:p>
            <w:pPr>
              <w:autoSpaceDE w:val="0"/>
              <w:autoSpaceDN w:val="0"/>
              <w:adjustRightInd w:val="0"/>
              <w:snapToGrid w:val="0"/>
              <w:spacing w:line="480" w:lineRule="exact"/>
              <w:ind w:left="0" w:leftChars="0" w:firstLine="480" w:firstLineChars="200"/>
              <w:jc w:val="left"/>
              <w:rPr>
                <w:rFonts w:hint="default" w:ascii="Times New Roman" w:hAnsi="Times New Roman" w:cs="Times New Roman"/>
                <w:color w:val="auto"/>
                <w:sz w:val="24"/>
                <w:szCs w:val="24"/>
                <w:shd w:val="clear" w:color="auto" w:fill="auto"/>
                <w:lang w:val="en-US" w:eastAsia="zh-CN"/>
              </w:rPr>
            </w:pPr>
            <w:r>
              <w:rPr>
                <w:rFonts w:hint="eastAsia" w:cs="宋体"/>
                <w:color w:val="auto"/>
                <w:sz w:val="24"/>
                <w:szCs w:val="24"/>
              </w:rPr>
              <w:t>监测结果表明，项目所在区域环境空气中非甲烷总烃监测值满足《大气污染物综合排放标准详解》中标准限值要求。</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bookmarkStart w:id="25" w:name="_Toc30666"/>
            <w:bookmarkStart w:id="26" w:name="_Toc5872"/>
            <w:r>
              <w:rPr>
                <w:rFonts w:hint="default" w:ascii="Times New Roman" w:hAnsi="Times New Roman" w:cs="Times New Roman"/>
                <w:color w:val="auto"/>
                <w:lang w:val="en-US" w:eastAsia="zh-CN"/>
              </w:rPr>
              <w:t>2地表水质量现状</w:t>
            </w:r>
            <w:bookmarkEnd w:id="25"/>
            <w:bookmarkEnd w:id="26"/>
          </w:p>
          <w:p>
            <w:pPr>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附近的地表水体为月河及潘家河。项目生产用水循环使用，不外排。生活污水经园区已建化粪池处理后经市政管道排入恒口示范区污水处理厂进一步处理。根据安康市生态环境局发布的2023年1~12月水质监测断面水质状况表，月河2023年1~12月水质类别均为Ⅱ类，地表水环境良好。</w:t>
            </w:r>
          </w:p>
          <w:p>
            <w:pPr>
              <w:pStyle w:val="4"/>
              <w:bidi w:val="0"/>
              <w:rPr>
                <w:rFonts w:hint="default" w:ascii="Times New Roman" w:hAnsi="Times New Roman" w:cs="Times New Roman"/>
                <w:color w:val="auto"/>
                <w:lang w:val="en-US" w:eastAsia="zh-CN"/>
              </w:rPr>
            </w:pPr>
            <w:bookmarkStart w:id="27" w:name="_Toc12161"/>
            <w:bookmarkStart w:id="28" w:name="_Toc7322"/>
            <w:r>
              <w:rPr>
                <w:rFonts w:hint="default" w:ascii="Times New Roman" w:hAnsi="Times New Roman" w:cs="Times New Roman"/>
                <w:color w:val="auto"/>
                <w:lang w:val="en-US" w:eastAsia="zh-CN"/>
              </w:rPr>
              <w:t>3.3声环境质量现状</w:t>
            </w:r>
            <w:bookmarkEnd w:id="27"/>
            <w:bookmarkEnd w:id="28"/>
          </w:p>
          <w:p>
            <w:pPr>
              <w:pStyle w:val="90"/>
              <w:spacing w:before="168" w:line="360" w:lineRule="auto"/>
              <w:ind w:left="0" w:leftChars="0" w:firstLine="480" w:firstLineChars="200"/>
              <w:rPr>
                <w:rFonts w:hint="default" w:ascii="Times New Roman" w:hAnsi="Times New Roman" w:cs="Times New Roman"/>
                <w:lang w:val="en-US" w:eastAsia="zh-CN"/>
              </w:rPr>
            </w:pPr>
            <w:r>
              <w:rPr>
                <w:rFonts w:hint="default" w:ascii="Times New Roman" w:hAnsi="Times New Roman" w:eastAsia="宋体" w:cs="Times New Roman"/>
                <w:color w:val="auto"/>
                <w:sz w:val="24"/>
                <w:szCs w:val="24"/>
              </w:rPr>
              <w:t>根据《建设项目环境影响报告表编制技术指南</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污染影响类）</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试行）》中的相关要求，</w:t>
            </w:r>
            <w:r>
              <w:rPr>
                <w:rFonts w:hint="default" w:ascii="Times New Roman" w:hAnsi="Times New Roman" w:eastAsia="宋体" w:cs="Times New Roman"/>
                <w:color w:val="auto"/>
                <w:sz w:val="24"/>
                <w:szCs w:val="24"/>
                <w:lang w:val="en-US" w:eastAsia="zh-CN"/>
              </w:rPr>
              <w:t>声环境保护目标范围为</w:t>
            </w:r>
            <w:r>
              <w:rPr>
                <w:rFonts w:hint="default" w:ascii="Times New Roman" w:hAnsi="Times New Roman" w:eastAsia="宋体" w:cs="Times New Roman"/>
                <w:color w:val="auto"/>
                <w:sz w:val="24"/>
                <w:szCs w:val="24"/>
              </w:rPr>
              <w:t>厂界外周边50米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项目周边50m内无声环境保护目标</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故无需进行声环境现状评价。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089" w:type="dxa"/>
            <w:noWrap w:val="0"/>
            <w:vAlign w:val="center"/>
          </w:tcPr>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24"/>
              </w:rPr>
              <w:t>目标</w:t>
            </w:r>
          </w:p>
        </w:tc>
        <w:tc>
          <w:tcPr>
            <w:tcW w:w="8459" w:type="dxa"/>
            <w:noWrap w:val="0"/>
            <w:vAlign w:val="center"/>
          </w:tcPr>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本项目建设地位于</w:t>
            </w:r>
            <w:r>
              <w:rPr>
                <w:rFonts w:hint="default" w:ascii="Times New Roman" w:hAnsi="Times New Roman" w:eastAsia="宋体" w:cs="Times New Roman"/>
                <w:color w:val="auto"/>
                <w:kern w:val="2"/>
                <w:sz w:val="24"/>
                <w:szCs w:val="24"/>
                <w:lang w:val="en-US" w:eastAsia="zh-CN" w:bidi="ar-SA"/>
              </w:rPr>
              <w:t>安康市恒口示范区</w:t>
            </w:r>
            <w:r>
              <w:rPr>
                <w:rFonts w:hint="default" w:ascii="Times New Roman" w:hAnsi="Times New Roman" w:eastAsia="宋体" w:cs="Times New Roman"/>
                <w:color w:val="auto"/>
                <w:kern w:val="2"/>
                <w:sz w:val="24"/>
                <w:szCs w:val="24"/>
                <w:lang w:val="en-US" w:eastAsia="en-US" w:bidi="ar-SA"/>
              </w:rPr>
              <w:t>，根据环境敏感因素的界定原则，经现场调查，本地区不属于特殊保护区、社会关注区、生态脆弱区和特殊地貌景观区；评价区内也无重点保护文物、古迹、植物、动物及人文景观等。</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3.4大气环境及地表水环境</w:t>
            </w:r>
          </w:p>
          <w:p>
            <w:pPr>
              <w:adjustRightInd w:val="0"/>
              <w:snapToGrid w:val="0"/>
              <w:spacing w:line="360" w:lineRule="auto"/>
              <w:ind w:firstLine="480" w:firstLineChars="200"/>
              <w:jc w:val="left"/>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kern w:val="2"/>
                <w:sz w:val="24"/>
                <w:szCs w:val="24"/>
                <w:lang w:val="en-US" w:eastAsia="en-US" w:bidi="ar-SA"/>
              </w:rPr>
              <w:t>根据《建设项目环境影响报告表编制技术指南》</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污染影响类）</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试行），本项目周边500m范围内大气环境保护目标</w:t>
            </w:r>
            <w:r>
              <w:rPr>
                <w:rFonts w:hint="default" w:ascii="Times New Roman" w:hAnsi="Times New Roman" w:eastAsia="宋体" w:cs="Times New Roman"/>
                <w:color w:val="auto"/>
                <w:kern w:val="2"/>
                <w:sz w:val="24"/>
                <w:szCs w:val="24"/>
                <w:lang w:val="en-US" w:eastAsia="zh-CN" w:bidi="ar-SA"/>
              </w:rPr>
              <w:t>以及地表水环境保护目标</w:t>
            </w:r>
            <w:r>
              <w:rPr>
                <w:rFonts w:hint="eastAsia" w:ascii="Times New Roman" w:hAnsi="Times New Roman" w:eastAsia="宋体" w:cs="Times New Roman"/>
                <w:color w:val="auto"/>
                <w:kern w:val="2"/>
                <w:sz w:val="24"/>
                <w:szCs w:val="24"/>
                <w:lang w:val="en-US" w:eastAsia="zh-CN" w:bidi="ar-SA"/>
              </w:rPr>
              <w:t>见</w:t>
            </w:r>
            <w:r>
              <w:rPr>
                <w:rFonts w:hint="default" w:ascii="Times New Roman" w:hAnsi="Times New Roman" w:eastAsia="宋体" w:cs="Times New Roman"/>
                <w:color w:val="auto"/>
                <w:kern w:val="2"/>
                <w:sz w:val="24"/>
                <w:szCs w:val="24"/>
                <w:lang w:val="en-US" w:eastAsia="zh-CN" w:bidi="ar-SA"/>
              </w:rPr>
              <w:t>下表3</w:t>
            </w:r>
            <w:r>
              <w:rPr>
                <w:rFonts w:hint="eastAsia" w:ascii="Times New Roman" w:hAnsi="Times New Roman" w:eastAsia="宋体" w:cs="Times New Roman"/>
                <w:color w:val="auto"/>
                <w:kern w:val="2"/>
                <w:sz w:val="24"/>
                <w:szCs w:val="24"/>
                <w:lang w:val="en-US" w:eastAsia="zh-CN" w:bidi="ar-SA"/>
              </w:rPr>
              <w:t>.4和附图</w:t>
            </w:r>
            <w:r>
              <w:rPr>
                <w:rFonts w:hint="eastAsia"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en-US" w:bidi="ar-SA"/>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4  </w:t>
            </w:r>
            <w:r>
              <w:rPr>
                <w:rFonts w:hint="default" w:ascii="Times New Roman" w:hAnsi="Times New Roman" w:eastAsia="宋体" w:cs="Times New Roman"/>
                <w:b/>
                <w:color w:val="auto"/>
                <w:sz w:val="21"/>
                <w:szCs w:val="21"/>
                <w:lang w:val="en-US" w:eastAsia="zh-CN"/>
              </w:rPr>
              <w:t>主要环境保护目标及保护级别</w:t>
            </w:r>
          </w:p>
          <w:tbl>
            <w:tblPr>
              <w:tblStyle w:val="26"/>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081"/>
              <w:gridCol w:w="1213"/>
              <w:gridCol w:w="1"/>
              <w:gridCol w:w="1212"/>
              <w:gridCol w:w="847"/>
              <w:gridCol w:w="989"/>
              <w:gridCol w:w="727"/>
              <w:gridCol w:w="85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1081"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2426" w:type="dxa"/>
                  <w:gridSpan w:val="3"/>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坐标</w:t>
                  </w:r>
                </w:p>
              </w:tc>
              <w:tc>
                <w:tcPr>
                  <w:tcW w:w="847"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保护对象</w:t>
                  </w:r>
                </w:p>
              </w:tc>
              <w:tc>
                <w:tcPr>
                  <w:tcW w:w="989"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人数</w:t>
                  </w:r>
                </w:p>
              </w:tc>
              <w:tc>
                <w:tcPr>
                  <w:tcW w:w="727"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环境功能区</w:t>
                  </w:r>
                </w:p>
              </w:tc>
              <w:tc>
                <w:tcPr>
                  <w:tcW w:w="1633"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1081"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1214"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经度</w:t>
                  </w:r>
                </w:p>
              </w:tc>
              <w:tc>
                <w:tcPr>
                  <w:tcW w:w="1212"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纬度</w:t>
                  </w:r>
                </w:p>
              </w:tc>
              <w:tc>
                <w:tcPr>
                  <w:tcW w:w="84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989"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72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方位</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环境空气</w:t>
                  </w: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柳林村居民</w:t>
                  </w:r>
                </w:p>
              </w:tc>
              <w:tc>
                <w:tcPr>
                  <w:tcW w:w="1214"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108°44′29.997″</w:t>
                  </w:r>
                </w:p>
              </w:tc>
              <w:tc>
                <w:tcPr>
                  <w:tcW w:w="1212"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32°44′55.970″</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居住区</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约300人</w:t>
                  </w:r>
                </w:p>
              </w:tc>
              <w:tc>
                <w:tcPr>
                  <w:tcW w:w="727"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宋体" w:hAnsi="宋体" w:eastAsia="宋体" w:cs="宋体"/>
                      <w:b w:val="0"/>
                      <w:bCs w:val="0"/>
                      <w:color w:val="auto"/>
                      <w:sz w:val="21"/>
                      <w:szCs w:val="21"/>
                      <w:lang w:val="en-US" w:eastAsia="zh-CN"/>
                    </w:rPr>
                  </w:pPr>
                  <w:r>
                    <w:rPr>
                      <w:rFonts w:hint="eastAsia" w:eastAsia="宋体" w:cs="Times New Roman"/>
                      <w:b w:val="0"/>
                      <w:bCs w:val="0"/>
                      <w:color w:val="auto"/>
                      <w:sz w:val="21"/>
                      <w:szCs w:val="21"/>
                      <w:lang w:val="en-US" w:eastAsia="zh-CN"/>
                    </w:rPr>
                    <w:t>环境空气</w:t>
                  </w:r>
                  <w:r>
                    <w:rPr>
                      <w:rFonts w:hint="default" w:ascii="Times New Roman" w:hAnsi="Times New Roman" w:eastAsia="宋体" w:cs="Times New Roman"/>
                      <w:b w:val="0"/>
                      <w:bCs w:val="0"/>
                      <w:color w:val="auto"/>
                      <w:sz w:val="21"/>
                      <w:szCs w:val="21"/>
                      <w:lang w:val="en-US" w:eastAsia="zh-CN"/>
                    </w:rPr>
                    <w:t>二类功能区</w:t>
                  </w: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北</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车世界巴厘海酒店</w:t>
                  </w:r>
                </w:p>
              </w:tc>
              <w:tc>
                <w:tcPr>
                  <w:tcW w:w="1214"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108°44′34.723″</w:t>
                  </w:r>
                </w:p>
              </w:tc>
              <w:tc>
                <w:tcPr>
                  <w:tcW w:w="1212"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32°44′43.538″</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居住区</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约100人</w:t>
                  </w:r>
                </w:p>
              </w:tc>
              <w:tc>
                <w:tcPr>
                  <w:tcW w:w="72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r>
                    <w:rPr>
                      <w:rFonts w:hint="eastAsia" w:ascii="Times New Roman" w:hAnsi="Times New Roman" w:eastAsia="宋体" w:cs="Times New Roman"/>
                      <w:b w:val="0"/>
                      <w:bCs w:val="0"/>
                      <w:color w:val="auto"/>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高堰村居民</w:t>
                  </w:r>
                </w:p>
              </w:tc>
              <w:tc>
                <w:tcPr>
                  <w:tcW w:w="1214"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108°44′6.402″</w:t>
                  </w:r>
                </w:p>
              </w:tc>
              <w:tc>
                <w:tcPr>
                  <w:tcW w:w="1212"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32°44′42.968″</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居住区</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约50人</w:t>
                  </w:r>
                </w:p>
              </w:tc>
              <w:tc>
                <w:tcPr>
                  <w:tcW w:w="72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东南</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r>
                    <w:rPr>
                      <w:rFonts w:hint="eastAsia" w:ascii="Times New Roman" w:hAnsi="Times New Roman" w:eastAsia="宋体" w:cs="Times New Roman"/>
                      <w:b w:val="0"/>
                      <w:bCs w:val="0"/>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恒口建安九年制学校</w:t>
                  </w:r>
                </w:p>
              </w:tc>
              <w:tc>
                <w:tcPr>
                  <w:tcW w:w="1214"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108°44′24.729"</w:t>
                  </w:r>
                </w:p>
              </w:tc>
              <w:tc>
                <w:tcPr>
                  <w:tcW w:w="1212"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32°44′39.916"</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学校</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师生约700人</w:t>
                  </w:r>
                </w:p>
              </w:tc>
              <w:tc>
                <w:tcPr>
                  <w:tcW w:w="72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西南</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安民村居民</w:t>
                  </w:r>
                </w:p>
              </w:tc>
              <w:tc>
                <w:tcPr>
                  <w:tcW w:w="1214"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108°44′12.746″</w:t>
                  </w:r>
                </w:p>
              </w:tc>
              <w:tc>
                <w:tcPr>
                  <w:tcW w:w="1212" w:type="dxa"/>
                  <w:tcBorders>
                    <w:tl2br w:val="nil"/>
                    <w:tr2bl w:val="nil"/>
                  </w:tcBorders>
                  <w:noWrap w:val="0"/>
                  <w:vAlign w:val="center"/>
                </w:tcPr>
                <w:p>
                  <w:pPr>
                    <w:adjustRightInd w:val="0"/>
                    <w:snapToGrid w:val="0"/>
                    <w:spacing w:line="240" w:lineRule="auto"/>
                    <w:ind w:left="0" w:leftChars="0" w:firstLine="0" w:firstLineChars="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32°44′51.040″</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居住区</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约150人</w:t>
                  </w:r>
                </w:p>
              </w:tc>
              <w:tc>
                <w:tcPr>
                  <w:tcW w:w="72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w:t>
                  </w:r>
                  <w:r>
                    <w:rPr>
                      <w:rFonts w:hint="eastAsia" w:ascii="Times New Roman" w:hAnsi="Times New Roman" w:eastAsia="宋体" w:cs="Times New Roman"/>
                      <w:b w:val="0"/>
                      <w:bCs w:val="0"/>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03"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地表水</w:t>
                  </w: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月河</w:t>
                  </w:r>
                  <w:r>
                    <w:rPr>
                      <w:rFonts w:hint="eastAsia" w:eastAsia="宋体" w:cs="Times New Roman"/>
                      <w:b w:val="0"/>
                      <w:bCs w:val="0"/>
                      <w:color w:val="auto"/>
                      <w:sz w:val="21"/>
                      <w:szCs w:val="21"/>
                      <w:lang w:val="en-US" w:eastAsia="zh-CN"/>
                    </w:rPr>
                    <w:t>（景观、行洪、纳污）</w:t>
                  </w:r>
                </w:p>
              </w:tc>
              <w:tc>
                <w:tcPr>
                  <w:tcW w:w="121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1213"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地表水</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27" w:type="dxa"/>
                  <w:vMerge w:val="restar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地表水</w:t>
                  </w:r>
                  <w:r>
                    <w:rPr>
                      <w:rFonts w:hint="eastAsia" w:ascii="宋体" w:hAnsi="宋体" w:eastAsia="宋体" w:cs="宋体"/>
                      <w:b w:val="0"/>
                      <w:bCs w:val="0"/>
                      <w:color w:val="auto"/>
                      <w:sz w:val="21"/>
                      <w:szCs w:val="21"/>
                      <w:lang w:val="en-US" w:eastAsia="zh-CN"/>
                    </w:rPr>
                    <w:t>Ⅱ类</w:t>
                  </w: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北</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3"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081"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潘家河</w:t>
                  </w:r>
                  <w:r>
                    <w:rPr>
                      <w:rFonts w:hint="eastAsia" w:eastAsia="宋体" w:cs="Times New Roman"/>
                      <w:b w:val="0"/>
                      <w:bCs w:val="0"/>
                      <w:color w:val="auto"/>
                      <w:sz w:val="21"/>
                      <w:szCs w:val="21"/>
                      <w:lang w:val="en-US" w:eastAsia="zh-CN"/>
                    </w:rPr>
                    <w:t>（景观、行洪）</w:t>
                  </w:r>
                </w:p>
              </w:tc>
              <w:tc>
                <w:tcPr>
                  <w:tcW w:w="121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1213" w:type="dxa"/>
                  <w:gridSpan w:val="2"/>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847"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地表水</w:t>
                  </w:r>
                </w:p>
              </w:tc>
              <w:tc>
                <w:tcPr>
                  <w:tcW w:w="989"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27" w:type="dxa"/>
                  <w:vMerge w:val="continue"/>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853"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w:t>
                  </w:r>
                </w:p>
              </w:tc>
              <w:tc>
                <w:tcPr>
                  <w:tcW w:w="780" w:type="dxa"/>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r>
                    <w:rPr>
                      <w:rFonts w:hint="eastAsia" w:ascii="Times New Roman" w:hAnsi="Times New Roman" w:eastAsia="宋体" w:cs="Times New Roman"/>
                      <w:b w:val="0"/>
                      <w:bCs w:val="0"/>
                      <w:color w:val="auto"/>
                      <w:sz w:val="21"/>
                      <w:szCs w:val="21"/>
                      <w:lang w:val="en-US" w:eastAsia="zh-CN"/>
                    </w:rPr>
                    <w:t>5</w:t>
                  </w:r>
                </w:p>
              </w:tc>
            </w:tr>
          </w:tbl>
          <w:p>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w:t>
            </w:r>
            <w:r>
              <w:rPr>
                <w:rFonts w:hint="default" w:ascii="Times New Roman" w:hAnsi="Times New Roman" w:cs="Times New Roman"/>
                <w:color w:val="auto"/>
                <w:lang w:val="en-US" w:eastAsia="zh-CN"/>
              </w:rPr>
              <w:t>声环境</w:t>
            </w:r>
          </w:p>
          <w:p>
            <w:pPr>
              <w:adjustRightInd w:val="0"/>
              <w:snapToGrid w:val="0"/>
              <w:spacing w:line="360" w:lineRule="auto"/>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2"/>
                <w:sz w:val="24"/>
                <w:szCs w:val="24"/>
                <w:lang w:val="en-US" w:eastAsia="en-US" w:bidi="ar-SA"/>
              </w:rPr>
              <w:t>根据《建设项目环境影响报告表编制技术指南</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污染影响类）</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试行）》中的相关要求，</w:t>
            </w:r>
            <w:r>
              <w:rPr>
                <w:rFonts w:hint="default" w:ascii="Times New Roman" w:hAnsi="Times New Roman" w:eastAsia="宋体" w:cs="Times New Roman"/>
                <w:color w:val="auto"/>
                <w:kern w:val="2"/>
                <w:sz w:val="24"/>
                <w:szCs w:val="24"/>
                <w:lang w:val="en-US" w:eastAsia="zh-CN" w:bidi="ar-SA"/>
              </w:rPr>
              <w:t>声环境保护目标范围为</w:t>
            </w:r>
            <w:r>
              <w:rPr>
                <w:rFonts w:hint="default" w:ascii="Times New Roman" w:hAnsi="Times New Roman" w:eastAsia="宋体" w:cs="Times New Roman"/>
                <w:color w:val="auto"/>
                <w:kern w:val="2"/>
                <w:sz w:val="24"/>
                <w:szCs w:val="24"/>
                <w:lang w:val="en-US" w:eastAsia="en-US" w:bidi="ar-SA"/>
              </w:rPr>
              <w:t>厂界外周边50米</w:t>
            </w:r>
            <w:r>
              <w:rPr>
                <w:rFonts w:hint="default" w:ascii="Times New Roman" w:hAnsi="Times New Roman" w:eastAsia="宋体" w:cs="Times New Roman"/>
                <w:color w:val="auto"/>
                <w:kern w:val="2"/>
                <w:sz w:val="24"/>
                <w:szCs w:val="24"/>
                <w:lang w:val="en-US" w:eastAsia="zh-CN" w:bidi="ar-SA"/>
              </w:rPr>
              <w:t>，项目周边50m内无声环境保护目标。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9" w:hRule="atLeast"/>
          <w:jc w:val="center"/>
        </w:trPr>
        <w:tc>
          <w:tcPr>
            <w:tcW w:w="1089" w:type="dxa"/>
            <w:noWrap w:val="0"/>
            <w:tcMar>
              <w:left w:w="28" w:type="dxa"/>
              <w:right w:w="28" w:type="dxa"/>
            </w:tcMar>
            <w:vAlign w:val="center"/>
          </w:tcPr>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24"/>
              </w:rPr>
              <w:t>准</w:t>
            </w:r>
          </w:p>
        </w:tc>
        <w:tc>
          <w:tcPr>
            <w:tcW w:w="8459" w:type="dxa"/>
            <w:noWrap w:val="0"/>
            <w:vAlign w:val="center"/>
          </w:tcPr>
          <w:p>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w:t>
            </w:r>
            <w:r>
              <w:rPr>
                <w:rFonts w:hint="default" w:ascii="Times New Roman" w:hAnsi="Times New Roman" w:cs="Times New Roman"/>
                <w:color w:val="auto"/>
                <w:lang w:val="en-US" w:eastAsia="zh-CN"/>
              </w:rPr>
              <w:t>废气</w:t>
            </w:r>
          </w:p>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施工期：施工期扬尘执行《施工场界扬尘排放限值》（DB61/1078-2017）中的要求。具体执行标准及限值见下表。</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5  </w:t>
            </w:r>
            <w:r>
              <w:rPr>
                <w:rFonts w:hint="default" w:ascii="Times New Roman" w:hAnsi="Times New Roman" w:eastAsia="宋体" w:cs="Times New Roman"/>
                <w:b/>
                <w:color w:val="auto"/>
                <w:sz w:val="21"/>
                <w:szCs w:val="21"/>
                <w:lang w:val="en-US" w:eastAsia="zh-CN"/>
              </w:rPr>
              <w:t>施工期大气污染物排放标准一览表</w:t>
            </w:r>
          </w:p>
          <w:tbl>
            <w:tblPr>
              <w:tblStyle w:val="26"/>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992"/>
              <w:gridCol w:w="984"/>
              <w:gridCol w:w="1871"/>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88" w:type="pct"/>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c>
                <w:tcPr>
                  <w:tcW w:w="616" w:type="pct"/>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2496" w:type="pct"/>
                  <w:gridSpan w:val="3"/>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88"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616" w:type="pct"/>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p>
              </w:tc>
              <w:tc>
                <w:tcPr>
                  <w:tcW w:w="1773" w:type="pct"/>
                  <w:gridSpan w:val="2"/>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监控点</w:t>
                  </w:r>
                </w:p>
              </w:tc>
              <w:tc>
                <w:tcPr>
                  <w:tcW w:w="723"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888"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《施工场界扬尘排放限值》（DB61/1078-2017）</w:t>
                  </w:r>
                </w:p>
              </w:tc>
              <w:tc>
                <w:tcPr>
                  <w:tcW w:w="616"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TSP</w:t>
                  </w:r>
                </w:p>
              </w:tc>
              <w:tc>
                <w:tcPr>
                  <w:tcW w:w="611"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tc>
              <w:tc>
                <w:tcPr>
                  <w:tcW w:w="1162"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基础、主体结构及装饰工程</w:t>
                  </w:r>
                </w:p>
              </w:tc>
              <w:tc>
                <w:tcPr>
                  <w:tcW w:w="723"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≤0.7mg/m</w:t>
                  </w:r>
                  <w:r>
                    <w:rPr>
                      <w:rFonts w:hint="default" w:ascii="Times New Roman" w:hAnsi="Times New Roman" w:eastAsia="宋体" w:cs="Times New Roman"/>
                      <w:b w:val="0"/>
                      <w:bCs w:val="0"/>
                      <w:color w:val="auto"/>
                      <w:sz w:val="21"/>
                      <w:szCs w:val="21"/>
                      <w:vertAlign w:val="superscript"/>
                      <w:lang w:val="en-US" w:eastAsia="zh-CN"/>
                    </w:rPr>
                    <w:t>3</w:t>
                  </w:r>
                </w:p>
              </w:tc>
            </w:tr>
          </w:tbl>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运营期：生产过程中产生的</w:t>
            </w:r>
            <w:r>
              <w:rPr>
                <w:rFonts w:hint="eastAsia" w:ascii="Times New Roman" w:hAnsi="Times New Roman" w:eastAsia="宋体" w:cs="Times New Roman"/>
                <w:color w:val="auto"/>
                <w:kern w:val="2"/>
                <w:sz w:val="24"/>
                <w:szCs w:val="24"/>
                <w:lang w:val="en-US" w:eastAsia="zh-CN" w:bidi="ar-SA"/>
              </w:rPr>
              <w:t>有组织</w:t>
            </w:r>
            <w:r>
              <w:rPr>
                <w:rFonts w:hint="default" w:ascii="Times New Roman" w:hAnsi="Times New Roman" w:eastAsia="宋体" w:cs="Times New Roman"/>
                <w:color w:val="auto"/>
                <w:kern w:val="2"/>
                <w:sz w:val="24"/>
                <w:szCs w:val="24"/>
                <w:lang w:val="en-US" w:eastAsia="zh-CN" w:bidi="ar-SA"/>
              </w:rPr>
              <w:t>非甲烷总烃、颗粒物排放执行《合成树脂工业污染物排放标准》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GB31572-2015</w:t>
            </w:r>
            <w:r>
              <w:rPr>
                <w:rFonts w:hint="eastAsia" w:ascii="Times New Roman" w:hAnsi="Times New Roman" w:eastAsia="宋体" w:cs="Times New Roman"/>
                <w:color w:val="auto"/>
                <w:kern w:val="2"/>
                <w:sz w:val="24"/>
                <w:szCs w:val="24"/>
                <w:lang w:val="en-US" w:eastAsia="zh-CN" w:bidi="ar-SA"/>
              </w:rPr>
              <w:t>）表4</w:t>
            </w:r>
            <w:r>
              <w:rPr>
                <w:rFonts w:hint="default" w:ascii="Times New Roman" w:hAnsi="Times New Roman" w:eastAsia="宋体" w:cs="Times New Roman"/>
                <w:color w:val="auto"/>
                <w:kern w:val="2"/>
                <w:sz w:val="24"/>
                <w:szCs w:val="24"/>
                <w:lang w:val="en-US" w:eastAsia="zh-CN" w:bidi="ar-SA"/>
              </w:rPr>
              <w:t>要求；厂界</w:t>
            </w:r>
            <w:r>
              <w:rPr>
                <w:rFonts w:hint="eastAsia" w:ascii="Times New Roman" w:hAnsi="Times New Roman" w:eastAsia="宋体" w:cs="Times New Roman"/>
                <w:color w:val="auto"/>
                <w:kern w:val="2"/>
                <w:sz w:val="24"/>
                <w:szCs w:val="24"/>
                <w:lang w:val="en-US" w:eastAsia="zh-CN" w:bidi="ar-SA"/>
              </w:rPr>
              <w:t>无组织颗粒物、非甲烷总烃执行</w:t>
            </w:r>
            <w:r>
              <w:rPr>
                <w:rFonts w:hint="default" w:ascii="Times New Roman" w:hAnsi="Times New Roman" w:eastAsia="宋体" w:cs="Times New Roman"/>
                <w:color w:val="auto"/>
                <w:kern w:val="2"/>
                <w:sz w:val="24"/>
                <w:szCs w:val="24"/>
                <w:lang w:val="en-US" w:eastAsia="zh-CN" w:bidi="ar-SA"/>
              </w:rPr>
              <w:t>《合成树脂工业污染物排放标准》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GB31572-2015</w:t>
            </w:r>
            <w:r>
              <w:rPr>
                <w:rFonts w:hint="eastAsia" w:ascii="Times New Roman" w:hAnsi="Times New Roman" w:eastAsia="宋体" w:cs="Times New Roman"/>
                <w:color w:val="auto"/>
                <w:kern w:val="2"/>
                <w:sz w:val="24"/>
                <w:szCs w:val="24"/>
                <w:lang w:val="en-US" w:eastAsia="zh-CN" w:bidi="ar-SA"/>
              </w:rPr>
              <w:t>）表9</w:t>
            </w:r>
            <w:r>
              <w:rPr>
                <w:rFonts w:hint="default" w:ascii="Times New Roman" w:hAnsi="Times New Roman" w:eastAsia="宋体" w:cs="Times New Roman"/>
                <w:color w:val="auto"/>
                <w:kern w:val="2"/>
                <w:sz w:val="24"/>
                <w:szCs w:val="24"/>
                <w:lang w:val="en-US" w:eastAsia="zh-CN" w:bidi="ar-SA"/>
              </w:rPr>
              <w:t>要求</w:t>
            </w:r>
            <w:r>
              <w:rPr>
                <w:rFonts w:hint="eastAsia" w:ascii="Times New Roman" w:hAnsi="Times New Roman" w:eastAsia="宋体" w:cs="Times New Roman"/>
                <w:color w:val="auto"/>
                <w:kern w:val="2"/>
                <w:sz w:val="24"/>
                <w:szCs w:val="24"/>
                <w:lang w:val="en-US" w:eastAsia="zh-CN" w:bidi="ar-SA"/>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.6  </w:t>
            </w:r>
            <w:r>
              <w:rPr>
                <w:rFonts w:hint="default" w:ascii="Times New Roman" w:hAnsi="Times New Roman" w:eastAsia="宋体" w:cs="Times New Roman"/>
                <w:b/>
                <w:color w:val="auto"/>
                <w:sz w:val="21"/>
                <w:szCs w:val="21"/>
                <w:lang w:val="en-US" w:eastAsia="zh-CN"/>
              </w:rPr>
              <w:t>运营期废气污染物排放标准</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146"/>
              <w:gridCol w:w="1323"/>
              <w:gridCol w:w="888"/>
              <w:gridCol w:w="1087"/>
              <w:gridCol w:w="1213"/>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245"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最高允许排放浓度（mg/m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8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排气筒高度（m）</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最高允许排放速率（kg/h）</w:t>
                  </w:r>
                </w:p>
              </w:tc>
              <w:tc>
                <w:tcPr>
                  <w:tcW w:w="1213" w:type="dxa"/>
                  <w:tcBorders>
                    <w:top w:val="single" w:color="auto" w:sz="4" w:space="0"/>
                    <w:left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监控点</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浓度限值（mg/m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245" w:type="dxa"/>
                  <w:vMerge w:val="restart"/>
                  <w:tcBorders>
                    <w:top w:val="single" w:color="auto" w:sz="4" w:space="0"/>
                    <w:left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2"/>
                      <w:sz w:val="24"/>
                      <w:szCs w:val="24"/>
                      <w:lang w:val="en-US" w:eastAsia="zh-CN" w:bidi="ar-SA"/>
                    </w:rPr>
                    <w:t>《合成树脂工业污染物排放标准》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GB31572-2015</w:t>
                  </w:r>
                  <w:r>
                    <w:rPr>
                      <w:rFonts w:hint="eastAsia" w:ascii="Times New Roman" w:hAnsi="Times New Roman" w:eastAsia="宋体" w:cs="Times New Roman"/>
                      <w:color w:val="auto"/>
                      <w:kern w:val="2"/>
                      <w:sz w:val="24"/>
                      <w:szCs w:val="24"/>
                      <w:lang w:val="en-US" w:eastAsia="zh-CN" w:bidi="ar-SA"/>
                    </w:rPr>
                    <w:t>）表4</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有组织</w:t>
                  </w:r>
                  <w:r>
                    <w:rPr>
                      <w:rFonts w:hint="default" w:ascii="Times New Roman" w:hAnsi="Times New Roman" w:eastAsia="宋体" w:cs="Times New Roman"/>
                      <w:b w:val="0"/>
                      <w:bCs w:val="0"/>
                      <w:color w:val="auto"/>
                      <w:sz w:val="21"/>
                      <w:szCs w:val="21"/>
                      <w:lang w:val="en-US" w:eastAsia="zh-CN"/>
                    </w:rPr>
                    <w:t>颗粒物</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30</w:t>
                  </w:r>
                </w:p>
              </w:tc>
              <w:tc>
                <w:tcPr>
                  <w:tcW w:w="8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生产设施</w:t>
                  </w:r>
                </w:p>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排气筒</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245" w:type="dxa"/>
                  <w:vMerge w:val="continue"/>
                  <w:tcBorders>
                    <w:left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有组织非甲烷总烃</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100</w:t>
                  </w:r>
                </w:p>
              </w:tc>
              <w:tc>
                <w:tcPr>
                  <w:tcW w:w="8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15</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生产设施</w:t>
                  </w:r>
                </w:p>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排气筒</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245" w:type="dxa"/>
                  <w:vMerge w:val="restart"/>
                  <w:tcBorders>
                    <w:left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2"/>
                      <w:sz w:val="24"/>
                      <w:szCs w:val="24"/>
                      <w:lang w:val="en-US" w:eastAsia="zh-CN" w:bidi="ar-SA"/>
                    </w:rPr>
                    <w:t>《合成树脂工业污染物排放标准》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GB31572-2015</w:t>
                  </w:r>
                  <w:r>
                    <w:rPr>
                      <w:rFonts w:hint="eastAsia" w:ascii="Times New Roman" w:hAnsi="Times New Roman" w:eastAsia="宋体" w:cs="Times New Roman"/>
                      <w:color w:val="auto"/>
                      <w:kern w:val="2"/>
                      <w:sz w:val="24"/>
                      <w:szCs w:val="24"/>
                      <w:lang w:val="en-US" w:eastAsia="zh-CN" w:bidi="ar-SA"/>
                    </w:rPr>
                    <w:t>）表9</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无组织非甲烷总烃</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8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周</w:t>
                  </w:r>
                  <w:r>
                    <w:rPr>
                      <w:rFonts w:hint="default" w:ascii="Times New Roman" w:hAnsi="Times New Roman" w:eastAsia="宋体" w:cs="Times New Roman"/>
                      <w:b w:val="0"/>
                      <w:bCs w:val="0"/>
                      <w:color w:val="auto"/>
                      <w:sz w:val="21"/>
                      <w:szCs w:val="21"/>
                      <w:lang w:val="en-US" w:eastAsia="zh-CN"/>
                    </w:rPr>
                    <w:t>界外浓度最高点</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245" w:type="dxa"/>
                  <w:vMerge w:val="continue"/>
                  <w:tcBorders>
                    <w:left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无组织</w:t>
                  </w:r>
                  <w:r>
                    <w:rPr>
                      <w:rFonts w:hint="default" w:ascii="Times New Roman" w:hAnsi="Times New Roman" w:eastAsia="宋体" w:cs="Times New Roman"/>
                      <w:b w:val="0"/>
                      <w:bCs w:val="0"/>
                      <w:color w:val="auto"/>
                      <w:sz w:val="21"/>
                      <w:szCs w:val="21"/>
                      <w:lang w:val="en-US" w:eastAsia="zh-CN"/>
                    </w:rPr>
                    <w:t>颗粒物</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8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周</w:t>
                  </w:r>
                  <w:r>
                    <w:rPr>
                      <w:rFonts w:hint="default" w:ascii="Times New Roman" w:hAnsi="Times New Roman" w:eastAsia="宋体" w:cs="Times New Roman"/>
                      <w:b w:val="0"/>
                      <w:bCs w:val="0"/>
                      <w:color w:val="auto"/>
                      <w:sz w:val="21"/>
                      <w:szCs w:val="21"/>
                      <w:lang w:val="en-US" w:eastAsia="zh-CN"/>
                    </w:rPr>
                    <w:t>界外浓度最高点</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1.0</w:t>
                  </w:r>
                </w:p>
              </w:tc>
            </w:tr>
          </w:tbl>
          <w:p>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w:t>
            </w:r>
            <w:r>
              <w:rPr>
                <w:rFonts w:hint="default" w:ascii="Times New Roman" w:hAnsi="Times New Roman" w:cs="Times New Roman"/>
                <w:color w:val="auto"/>
                <w:lang w:val="en-US" w:eastAsia="zh-CN"/>
              </w:rPr>
              <w:t>废水</w:t>
            </w:r>
          </w:p>
          <w:p>
            <w:pPr>
              <w:adjustRightInd w:val="0"/>
              <w:snapToGrid w:val="0"/>
              <w:spacing w:line="480" w:lineRule="exact"/>
              <w:ind w:firstLine="480" w:firstLineChars="200"/>
              <w:jc w:val="left"/>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kern w:val="2"/>
                <w:sz w:val="24"/>
                <w:szCs w:val="24"/>
                <w:lang w:val="en-US" w:eastAsia="zh-CN" w:bidi="ar-SA"/>
              </w:rPr>
              <w:t>项目生产废水循环利用不外排，生活污水排放执行《污水综合排放标准》（GB8978-1996）三级标准以及《污水排入城镇下水道水质标准》（GB/T31962-2015）中表1B级标准。</w:t>
            </w:r>
          </w:p>
          <w:p>
            <w:pPr>
              <w:adjustRightInd w:val="0"/>
              <w:snapToGrid w:val="0"/>
              <w:spacing w:line="480" w:lineRule="exact"/>
              <w:ind w:firstLine="422" w:firstLineChars="20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.7  </w:t>
            </w:r>
            <w:r>
              <w:rPr>
                <w:rFonts w:hint="default" w:ascii="Times New Roman" w:hAnsi="Times New Roman" w:eastAsia="宋体" w:cs="Times New Roman"/>
                <w:b/>
                <w:color w:val="auto"/>
                <w:sz w:val="21"/>
                <w:szCs w:val="21"/>
                <w:lang w:val="en-US" w:eastAsia="zh-CN"/>
              </w:rPr>
              <w:t>运营期废水污染物排放标准单位：mg/L</w:t>
            </w:r>
          </w:p>
          <w:tbl>
            <w:tblPr>
              <w:tblStyle w:val="26"/>
              <w:tblW w:w="4785"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02"/>
              <w:gridCol w:w="756"/>
              <w:gridCol w:w="1030"/>
              <w:gridCol w:w="686"/>
              <w:gridCol w:w="1020"/>
              <w:gridCol w:w="1385"/>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90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c>
                <w:tcPr>
                  <w:tcW w:w="479"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COD</w:t>
                  </w:r>
                </w:p>
              </w:tc>
              <w:tc>
                <w:tcPr>
                  <w:tcW w:w="653"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BOD</w:t>
                  </w:r>
                  <w:r>
                    <w:rPr>
                      <w:rFonts w:hint="default" w:ascii="Times New Roman" w:hAnsi="Times New Roman" w:eastAsia="宋体" w:cs="Times New Roman"/>
                      <w:b/>
                      <w:bCs/>
                      <w:color w:val="auto"/>
                      <w:sz w:val="21"/>
                      <w:szCs w:val="21"/>
                      <w:vertAlign w:val="subscript"/>
                      <w:lang w:val="en-US" w:eastAsia="zh-CN"/>
                    </w:rPr>
                    <w:t>5</w:t>
                  </w:r>
                </w:p>
              </w:tc>
              <w:tc>
                <w:tcPr>
                  <w:tcW w:w="43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SS</w:t>
                  </w:r>
                </w:p>
              </w:tc>
              <w:tc>
                <w:tcPr>
                  <w:tcW w:w="647"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氨氮</w:t>
                  </w:r>
                </w:p>
              </w:tc>
              <w:tc>
                <w:tcPr>
                  <w:tcW w:w="878"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pH（无量纲）</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90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《污水综合排放标准》（GB8978-1996）三级标准</w:t>
                  </w:r>
                </w:p>
              </w:tc>
              <w:tc>
                <w:tcPr>
                  <w:tcW w:w="479"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653"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43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647"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878"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190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《污水排入城镇下水道水质标准》（GB/T31962-2015）B级标准</w:t>
                  </w:r>
                </w:p>
              </w:tc>
              <w:tc>
                <w:tcPr>
                  <w:tcW w:w="479"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653"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350</w:t>
                  </w:r>
                </w:p>
              </w:tc>
              <w:tc>
                <w:tcPr>
                  <w:tcW w:w="43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647"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878"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6.5-9.5</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jc w:val="center"/>
              </w:trPr>
              <w:tc>
                <w:tcPr>
                  <w:tcW w:w="190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本项目执行</w:t>
                  </w:r>
                </w:p>
              </w:tc>
              <w:tc>
                <w:tcPr>
                  <w:tcW w:w="479"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653"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435"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647"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878" w:type="pct"/>
                  <w:tcBorders>
                    <w:tl2br w:val="nil"/>
                    <w:tr2bl w:val="nil"/>
                  </w:tcBorders>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r>
          </w:tbl>
          <w:p>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3.8</w:t>
            </w:r>
            <w:r>
              <w:rPr>
                <w:rFonts w:hint="default" w:ascii="Times New Roman" w:hAnsi="Times New Roman" w:cs="Times New Roman"/>
                <w:color w:val="auto"/>
                <w:lang w:val="en-US" w:eastAsia="zh-CN"/>
              </w:rPr>
              <w:t>噪声</w:t>
            </w:r>
          </w:p>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en-US" w:bidi="ar-SA"/>
              </w:rPr>
              <w:t>施工期执行《建筑施工场界环境噪声排放标准》</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GB12523-2011</w:t>
            </w:r>
            <w:r>
              <w:rPr>
                <w:rFonts w:hint="default" w:ascii="Times New Roman" w:hAnsi="Times New Roman" w:eastAsia="宋体" w:cs="Times New Roman"/>
                <w:color w:val="auto"/>
                <w:kern w:val="2"/>
                <w:sz w:val="24"/>
                <w:szCs w:val="24"/>
                <w:lang w:val="en-US" w:eastAsia="zh-CN" w:bidi="ar-SA"/>
              </w:rPr>
              <w:t>）表1标准；</w:t>
            </w:r>
            <w:r>
              <w:rPr>
                <w:rFonts w:hint="default" w:ascii="Times New Roman" w:hAnsi="Times New Roman" w:eastAsia="宋体" w:cs="Times New Roman"/>
                <w:color w:val="auto"/>
                <w:kern w:val="2"/>
                <w:sz w:val="24"/>
                <w:szCs w:val="24"/>
                <w:lang w:val="en-US" w:eastAsia="en-US" w:bidi="ar-SA"/>
              </w:rPr>
              <w:t>运行期噪声厂界执行《工业企业厂界环境噪声排放标准》</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GB12348-2008）中</w:t>
            </w: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en-US" w:bidi="ar-SA"/>
              </w:rPr>
              <w:t>类区标准</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具体详见下表</w:t>
            </w:r>
            <w:r>
              <w:rPr>
                <w:rFonts w:hint="default" w:ascii="Times New Roman" w:hAnsi="Times New Roman" w:eastAsia="宋体" w:cs="Times New Roman"/>
                <w:color w:val="auto"/>
                <w:kern w:val="2"/>
                <w:sz w:val="24"/>
                <w:szCs w:val="24"/>
                <w:lang w:val="en-US" w:eastAsia="zh-CN" w:bidi="ar-SA"/>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.8  </w:t>
            </w:r>
            <w:r>
              <w:rPr>
                <w:rFonts w:hint="default" w:ascii="Times New Roman" w:hAnsi="Times New Roman" w:eastAsia="宋体" w:cs="Times New Roman"/>
                <w:b/>
                <w:color w:val="auto"/>
                <w:sz w:val="21"/>
                <w:szCs w:val="21"/>
                <w:lang w:val="en-US" w:eastAsia="zh-CN"/>
              </w:rPr>
              <w:t>建筑施工场界环境噪声排放标准单位：dB（A）</w:t>
            </w:r>
          </w:p>
          <w:tbl>
            <w:tblPr>
              <w:tblStyle w:val="73"/>
              <w:tblW w:w="8099"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0"/>
              <w:gridCol w:w="4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c>
                <w:tcPr>
                  <w:tcW w:w="404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w:t>
                  </w:r>
                </w:p>
              </w:tc>
              <w:tc>
                <w:tcPr>
                  <w:tcW w:w="404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r>
          </w:tbl>
          <w:p>
            <w:pPr>
              <w:pStyle w:val="8"/>
              <w:shd w:val="clear" w:color="auto" w:fill="auto"/>
              <w:jc w:val="center"/>
              <w:rPr>
                <w:rFonts w:hint="default" w:ascii="Times New Roman" w:hAnsi="Times New Roman" w:eastAsia="宋体" w:cs="Times New Roman"/>
                <w:b/>
                <w:bCs/>
                <w:color w:val="auto"/>
                <w:sz w:val="21"/>
                <w:szCs w:val="21"/>
                <w:lang w:val="en-US" w:eastAsia="zh-CN"/>
              </w:rPr>
            </w:pP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eastAsia="宋体" w:cs="Times New Roman"/>
                <w:b/>
                <w:color w:val="auto"/>
                <w:sz w:val="21"/>
                <w:szCs w:val="21"/>
                <w:lang w:val="en-US" w:eastAsia="zh-CN"/>
              </w:rPr>
              <w:t xml:space="preserve">.9  </w:t>
            </w:r>
            <w:r>
              <w:rPr>
                <w:rFonts w:hint="default" w:ascii="Times New Roman" w:hAnsi="Times New Roman" w:eastAsia="宋体" w:cs="Times New Roman"/>
                <w:b/>
                <w:color w:val="auto"/>
                <w:sz w:val="21"/>
                <w:szCs w:val="21"/>
                <w:lang w:val="en-US" w:eastAsia="zh-CN"/>
              </w:rPr>
              <w:t>工业企业厂界环境噪声排放标准单位：dB（A）</w:t>
            </w:r>
          </w:p>
          <w:tbl>
            <w:tblPr>
              <w:tblStyle w:val="73"/>
              <w:tblW w:w="8099" w:type="dxa"/>
              <w:tblInd w:w="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9"/>
              <w:gridCol w:w="3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0" w:hRule="atLeast"/>
              </w:trPr>
              <w:tc>
                <w:tcPr>
                  <w:tcW w:w="416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c>
                <w:tcPr>
                  <w:tcW w:w="393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16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w:t>
                  </w:r>
                </w:p>
              </w:tc>
              <w:tc>
                <w:tcPr>
                  <w:tcW w:w="393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r>
          </w:tbl>
          <w:p>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3.9</w:t>
            </w:r>
            <w:r>
              <w:rPr>
                <w:rFonts w:hint="default" w:ascii="Times New Roman" w:hAnsi="Times New Roman" w:cs="Times New Roman"/>
                <w:color w:val="auto"/>
                <w:lang w:val="en-US" w:eastAsia="zh-CN"/>
              </w:rPr>
              <w:t>固体废物</w:t>
            </w:r>
          </w:p>
          <w:p>
            <w:pPr>
              <w:pStyle w:val="78"/>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en-US" w:bidi="ar-SA"/>
              </w:rPr>
              <w:t>一般</w:t>
            </w:r>
            <w:r>
              <w:rPr>
                <w:rFonts w:hint="eastAsia" w:ascii="Times New Roman" w:hAnsi="Times New Roman" w:eastAsia="宋体" w:cs="Times New Roman"/>
                <w:color w:val="auto"/>
                <w:kern w:val="2"/>
                <w:sz w:val="24"/>
                <w:szCs w:val="24"/>
                <w:lang w:val="en-US" w:eastAsia="zh-CN" w:bidi="ar-SA"/>
              </w:rPr>
              <w:t>工业</w:t>
            </w:r>
            <w:r>
              <w:rPr>
                <w:rFonts w:hint="default" w:ascii="Times New Roman" w:hAnsi="Times New Roman" w:eastAsia="宋体" w:cs="Times New Roman"/>
                <w:color w:val="auto"/>
                <w:kern w:val="2"/>
                <w:sz w:val="24"/>
                <w:szCs w:val="24"/>
                <w:lang w:val="en-US" w:eastAsia="en-US" w:bidi="ar-SA"/>
              </w:rPr>
              <w:t>固废贮存、处置应</w:t>
            </w:r>
            <w:r>
              <w:rPr>
                <w:rFonts w:hint="eastAsia" w:ascii="Times New Roman" w:hAnsi="Times New Roman" w:eastAsia="宋体" w:cs="Times New Roman"/>
                <w:color w:val="auto"/>
                <w:kern w:val="2"/>
                <w:sz w:val="24"/>
                <w:szCs w:val="24"/>
                <w:lang w:val="en-US" w:eastAsia="zh-CN" w:bidi="ar-SA"/>
              </w:rPr>
              <w:t>执行《</w:t>
            </w:r>
            <w:r>
              <w:rPr>
                <w:rFonts w:hint="default" w:ascii="Times New Roman" w:hAnsi="Times New Roman" w:eastAsia="宋体" w:cs="Times New Roman"/>
                <w:color w:val="auto"/>
                <w:kern w:val="2"/>
                <w:sz w:val="24"/>
                <w:szCs w:val="24"/>
                <w:lang w:val="en-US" w:eastAsia="en-US" w:bidi="ar-SA"/>
              </w:rPr>
              <w:t>一般工业固体废物贮存和填埋污染控制标准</w:t>
            </w:r>
            <w:r>
              <w:rPr>
                <w:rFonts w:hint="eastAsia" w:ascii="Times New Roman" w:hAnsi="Times New Roman" w:eastAsia="宋体" w:cs="Times New Roman"/>
                <w:color w:val="auto"/>
                <w:kern w:val="2"/>
                <w:sz w:val="24"/>
                <w:szCs w:val="24"/>
                <w:lang w:val="en-US" w:eastAsia="zh-CN" w:bidi="ar-SA"/>
              </w:rPr>
              <w:t>》（GB18599-2020）；</w:t>
            </w:r>
            <w:r>
              <w:rPr>
                <w:rFonts w:hint="default" w:ascii="Times New Roman" w:hAnsi="Times New Roman" w:eastAsia="宋体" w:cs="Times New Roman"/>
                <w:color w:val="auto"/>
                <w:kern w:val="2"/>
                <w:sz w:val="24"/>
                <w:szCs w:val="24"/>
                <w:lang w:val="en-US" w:eastAsia="en-US" w:bidi="ar-SA"/>
              </w:rPr>
              <w:t>危险废物执行《危险废物贮存污染控制标准》</w:t>
            </w:r>
            <w:r>
              <w:rPr>
                <w:rFonts w:hint="eastAsia" w:ascii="Times New Roman" w:hAnsi="Times New Roman" w:eastAsia="宋体" w:cs="Times New Roman"/>
                <w:color w:val="auto"/>
                <w:kern w:val="2"/>
                <w:sz w:val="24"/>
                <w:szCs w:val="24"/>
                <w:lang w:val="en-US" w:eastAsia="en-US" w:bidi="ar-SA"/>
              </w:rPr>
              <w:t>（GB18597-2023）</w:t>
            </w:r>
            <w:r>
              <w:rPr>
                <w:rFonts w:hint="default" w:ascii="Times New Roman" w:hAnsi="Times New Roman" w:eastAsia="宋体" w:cs="Times New Roman"/>
                <w:color w:val="auto"/>
                <w:kern w:val="2"/>
                <w:sz w:val="24"/>
                <w:szCs w:val="24"/>
                <w:lang w:val="en-US" w:eastAsia="en-US" w:bidi="ar-SA"/>
              </w:rPr>
              <w:t>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1089" w:type="dxa"/>
            <w:tcBorders>
              <w:bottom w:val="single" w:color="auto" w:sz="8" w:space="0"/>
            </w:tcBorders>
            <w:noWrap w:val="0"/>
            <w:vAlign w:val="center"/>
          </w:tcPr>
          <w:p>
            <w:pPr>
              <w:adjustRightInd w:val="0"/>
              <w:snapToGrid w:val="0"/>
              <w:spacing w:line="480" w:lineRule="exact"/>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总量控制指标</w:t>
            </w:r>
          </w:p>
        </w:tc>
        <w:tc>
          <w:tcPr>
            <w:tcW w:w="8459" w:type="dxa"/>
            <w:tcBorders>
              <w:bottom w:val="single" w:color="auto" w:sz="8" w:space="0"/>
            </w:tcBorders>
            <w:noWrap w:val="0"/>
            <w:vAlign w:val="center"/>
          </w:tcPr>
          <w:p>
            <w:pPr>
              <w:pStyle w:val="78"/>
              <w:spacing w:line="360" w:lineRule="auto"/>
              <w:ind w:firstLine="48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en-US" w:bidi="ar-SA"/>
              </w:rPr>
              <w:t>根</w:t>
            </w:r>
            <w:r>
              <w:rPr>
                <w:rFonts w:hint="default" w:ascii="Times New Roman" w:hAnsi="Times New Roman" w:eastAsia="宋体" w:cs="Times New Roman"/>
                <w:color w:val="auto"/>
                <w:kern w:val="2"/>
                <w:sz w:val="24"/>
                <w:szCs w:val="24"/>
                <w:lang w:val="en-US" w:eastAsia="zh-CN" w:bidi="ar-SA"/>
              </w:rPr>
              <w:t>据2022年1月国务院印发的《“十四五”节能减排综合工作方案》，环境污染物总量控制指标分别为COD、氨氮、</w:t>
            </w:r>
            <w:r>
              <w:rPr>
                <w:rFonts w:hint="eastAsia" w:ascii="Times New Roman" w:hAnsi="Times New Roman" w:eastAsia="宋体" w:cs="Times New Roman"/>
                <w:color w:val="auto"/>
                <w:kern w:val="2"/>
                <w:sz w:val="24"/>
                <w:szCs w:val="24"/>
                <w:lang w:val="en-US" w:eastAsia="zh-CN" w:bidi="ar-SA"/>
              </w:rPr>
              <w:t>氮氧化物</w:t>
            </w:r>
            <w:r>
              <w:rPr>
                <w:rFonts w:hint="default" w:ascii="Times New Roman" w:hAnsi="Times New Roman" w:eastAsia="宋体" w:cs="Times New Roman"/>
                <w:color w:val="auto"/>
                <w:kern w:val="2"/>
                <w:sz w:val="24"/>
                <w:szCs w:val="24"/>
                <w:lang w:val="en-US" w:eastAsia="zh-CN" w:bidi="ar-SA"/>
              </w:rPr>
              <w:t>和挥发性有机物。</w:t>
            </w:r>
          </w:p>
          <w:p>
            <w:pPr>
              <w:adjustRightInd w:val="0"/>
              <w:snapToGrid w:val="0"/>
              <w:spacing w:line="360" w:lineRule="auto"/>
              <w:ind w:firstLine="480" w:firstLineChars="200"/>
              <w:jc w:val="left"/>
              <w:rPr>
                <w:rFonts w:hint="default" w:ascii="Times New Roman" w:hAnsi="Times New Roman" w:eastAsia="宋体" w:cs="Times New Roman"/>
                <w:color w:val="auto"/>
                <w:kern w:val="10"/>
                <w:sz w:val="24"/>
                <w:szCs w:val="24"/>
              </w:rPr>
            </w:pPr>
            <w:r>
              <w:rPr>
                <w:rFonts w:hint="default" w:ascii="Times New Roman" w:hAnsi="Times New Roman" w:eastAsia="宋体" w:cs="Times New Roman"/>
                <w:color w:val="auto"/>
                <w:kern w:val="2"/>
                <w:sz w:val="24"/>
                <w:szCs w:val="24"/>
                <w:lang w:val="en-US" w:eastAsia="zh-CN" w:bidi="ar-SA"/>
              </w:rPr>
              <w:t>本项目废气主要为颗粒物</w:t>
            </w:r>
            <w:r>
              <w:rPr>
                <w:rFonts w:hint="eastAsia" w:ascii="Times New Roman" w:hAnsi="Times New Roman" w:eastAsia="宋体" w:cs="Times New Roman"/>
                <w:color w:val="auto"/>
                <w:kern w:val="2"/>
                <w:sz w:val="24"/>
                <w:szCs w:val="24"/>
                <w:lang w:val="en-US" w:eastAsia="zh-CN" w:bidi="ar-SA"/>
              </w:rPr>
              <w:t>和非甲烷总烃</w:t>
            </w:r>
            <w:r>
              <w:rPr>
                <w:rFonts w:hint="default" w:ascii="Times New Roman" w:hAnsi="Times New Roman" w:eastAsia="宋体" w:cs="Times New Roman"/>
                <w:color w:val="auto"/>
                <w:kern w:val="2"/>
                <w:sz w:val="24"/>
                <w:szCs w:val="24"/>
                <w:lang w:val="en-US" w:eastAsia="zh-CN" w:bidi="ar-SA"/>
              </w:rPr>
              <w:t>，因此本项目总量控制指标</w:t>
            </w:r>
            <w:r>
              <w:rPr>
                <w:rFonts w:hint="eastAsia" w:ascii="Times New Roman" w:hAnsi="Times New Roman" w:eastAsia="宋体" w:cs="Times New Roman"/>
                <w:color w:val="auto"/>
                <w:kern w:val="2"/>
                <w:sz w:val="24"/>
                <w:szCs w:val="24"/>
                <w:lang w:val="en-US" w:eastAsia="zh-CN" w:bidi="ar-SA"/>
              </w:rPr>
              <w:t>为非甲烷总烃：0.482t</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a</w:t>
            </w:r>
            <w:r>
              <w:rPr>
                <w:rFonts w:hint="default" w:ascii="Times New Roman" w:hAnsi="Times New Roman" w:eastAsia="宋体" w:cs="Times New Roman"/>
                <w:color w:val="auto"/>
                <w:kern w:val="2"/>
                <w:sz w:val="24"/>
                <w:szCs w:val="24"/>
                <w:lang w:val="en-US" w:eastAsia="zh-CN" w:bidi="ar-SA"/>
              </w:rPr>
              <w:t>。</w:t>
            </w:r>
          </w:p>
        </w:tc>
      </w:tr>
    </w:tbl>
    <w:p>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9" w:name="_Toc6367"/>
      <w:bookmarkStart w:id="30" w:name="_Toc10712"/>
      <w:r>
        <w:rPr>
          <w:rFonts w:hint="default" w:ascii="Times New Roman" w:hAnsi="Times New Roman" w:eastAsia="黑体" w:cs="Times New Roman"/>
          <w:b/>
          <w:bCs/>
          <w:color w:val="auto"/>
          <w:kern w:val="44"/>
          <w:sz w:val="32"/>
          <w:szCs w:val="32"/>
          <w:lang w:val="en-US" w:eastAsia="zh-CN" w:bidi="ar-SA"/>
        </w:rPr>
        <w:t>四、主要环境影响和保护措施</w:t>
      </w:r>
      <w:bookmarkEnd w:id="29"/>
      <w:bookmarkEnd w:id="30"/>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5"/>
        <w:gridCol w:w="7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845" w:type="dxa"/>
            <w:tcBorders>
              <w:top w:val="single" w:color="auto" w:sz="8" w:space="0"/>
            </w:tcBorders>
            <w:noWrap w:val="0"/>
            <w:tcMar>
              <w:left w:w="28" w:type="dxa"/>
              <w:right w:w="28" w:type="dxa"/>
            </w:tcMar>
            <w:vAlign w:val="center"/>
          </w:tcPr>
          <w:p>
            <w:pPr>
              <w:adjustRightInd w:val="0"/>
              <w:snapToGrid w:val="0"/>
              <w:spacing w:line="480" w:lineRule="exact"/>
              <w:ind w:left="0" w:leftChars="0" w:firstLine="0" w:firstLineChars="0"/>
              <w:jc w:val="center"/>
              <w:rPr>
                <w:rFonts w:hint="default" w:ascii="Times New Roman" w:hAnsi="Times New Roman" w:cs="Times New Roman"/>
                <w:color w:val="auto"/>
                <w:kern w:val="0"/>
                <w:sz w:val="24"/>
                <w:szCs w:val="24"/>
                <w:lang w:val="en-US" w:eastAsia="zh-CN"/>
              </w:rPr>
            </w:pPr>
            <w:r>
              <w:rPr>
                <w:rFonts w:hint="eastAsia" w:ascii="Times New Roman" w:hAnsi="Times New Roman" w:eastAsia="宋体" w:cs="Times New Roman"/>
                <w:color w:val="auto"/>
                <w:kern w:val="2"/>
                <w:sz w:val="24"/>
                <w:szCs w:val="24"/>
                <w:lang w:val="en-US" w:eastAsia="zh-CN" w:bidi="ar-SA"/>
              </w:rPr>
              <w:t>施工期</w:t>
            </w:r>
            <w:r>
              <w:rPr>
                <w:rFonts w:hint="default" w:ascii="Times New Roman" w:hAnsi="Times New Roman" w:eastAsia="宋体" w:cs="Times New Roman"/>
                <w:color w:val="auto"/>
                <w:kern w:val="2"/>
                <w:sz w:val="24"/>
                <w:szCs w:val="24"/>
                <w:lang w:val="en-US" w:eastAsia="zh-CN" w:bidi="ar-SA"/>
              </w:rPr>
              <w:t>环境保护措施</w:t>
            </w:r>
          </w:p>
        </w:tc>
        <w:tc>
          <w:tcPr>
            <w:tcW w:w="7975" w:type="dxa"/>
            <w:tcBorders>
              <w:top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en-US" w:bidi="ar-SA"/>
              </w:rPr>
              <w:t>本项目租赁</w:t>
            </w:r>
            <w:r>
              <w:rPr>
                <w:rFonts w:hint="default" w:ascii="Times New Roman" w:hAnsi="Times New Roman" w:eastAsia="宋体" w:cs="Times New Roman"/>
                <w:color w:val="auto"/>
                <w:kern w:val="2"/>
                <w:sz w:val="24"/>
                <w:szCs w:val="24"/>
                <w:lang w:val="en-US" w:eastAsia="zh-CN" w:bidi="ar-SA"/>
              </w:rPr>
              <w:t>安康安贝斯玩具产业链孵化园有限公司</w:t>
            </w:r>
            <w:r>
              <w:rPr>
                <w:rFonts w:hint="default" w:ascii="Times New Roman" w:hAnsi="Times New Roman" w:eastAsia="宋体" w:cs="Times New Roman"/>
                <w:color w:val="auto"/>
                <w:kern w:val="2"/>
                <w:sz w:val="24"/>
                <w:szCs w:val="24"/>
                <w:lang w:val="en-US" w:eastAsia="en-US" w:bidi="ar-SA"/>
              </w:rPr>
              <w:t>现有的厂房进行</w:t>
            </w:r>
            <w:r>
              <w:rPr>
                <w:rFonts w:hint="default" w:ascii="Times New Roman" w:hAnsi="Times New Roman" w:eastAsia="宋体" w:cs="Times New Roman"/>
                <w:color w:val="auto"/>
                <w:kern w:val="2"/>
                <w:sz w:val="24"/>
                <w:szCs w:val="24"/>
                <w:lang w:val="en-US" w:eastAsia="zh-CN" w:bidi="ar-SA"/>
              </w:rPr>
              <w:t>生产</w:t>
            </w:r>
            <w:r>
              <w:rPr>
                <w:rFonts w:hint="default" w:ascii="Times New Roman" w:hAnsi="Times New Roman" w:eastAsia="宋体" w:cs="Times New Roman"/>
                <w:color w:val="auto"/>
                <w:kern w:val="2"/>
                <w:sz w:val="24"/>
                <w:szCs w:val="24"/>
                <w:lang w:val="en-US" w:eastAsia="en-US" w:bidi="ar-SA"/>
              </w:rPr>
              <w:t>经营活动，本项目施工期</w:t>
            </w:r>
            <w:r>
              <w:rPr>
                <w:rFonts w:hint="default" w:ascii="Times New Roman" w:hAnsi="Times New Roman" w:eastAsia="宋体" w:cs="Times New Roman"/>
                <w:color w:val="auto"/>
                <w:kern w:val="2"/>
                <w:sz w:val="24"/>
                <w:szCs w:val="24"/>
                <w:lang w:val="en-US" w:eastAsia="zh-CN" w:bidi="ar-SA"/>
              </w:rPr>
              <w:t>不涉及土建基础施工，不涉及油漆施工，仅进行设备开箱、安装和调试，</w:t>
            </w:r>
            <w:r>
              <w:rPr>
                <w:color w:val="auto"/>
              </w:rPr>
              <w:t>主要污染物为施工过程中产生的扬尘</w:t>
            </w:r>
            <w:r>
              <w:rPr>
                <w:rFonts w:hint="eastAsia"/>
                <w:color w:val="auto"/>
                <w:lang w:val="en-US" w:eastAsia="zh-CN"/>
              </w:rPr>
              <w:t>、</w:t>
            </w:r>
            <w:r>
              <w:rPr>
                <w:color w:val="auto"/>
              </w:rPr>
              <w:t>施工人员生活污水、装修噪声、废弃包装物等。</w:t>
            </w:r>
          </w:p>
          <w:p>
            <w:pPr>
              <w:pStyle w:val="4"/>
              <w:bidi w:val="0"/>
              <w:rPr>
                <w:rFonts w:hint="eastAsia"/>
                <w:color w:val="auto"/>
                <w:lang w:val="en-US" w:eastAsia="zh-CN"/>
              </w:rPr>
            </w:pPr>
            <w:bookmarkStart w:id="31" w:name="_Toc7290"/>
            <w:bookmarkStart w:id="32" w:name="_Toc8738"/>
            <w:r>
              <w:rPr>
                <w:rFonts w:hint="eastAsia"/>
                <w:color w:val="auto"/>
              </w:rPr>
              <w:t>4.1</w:t>
            </w:r>
            <w:r>
              <w:rPr>
                <w:rFonts w:hint="eastAsia"/>
                <w:color w:val="auto"/>
                <w:lang w:val="en-US" w:eastAsia="zh-CN"/>
              </w:rPr>
              <w:t>废气</w:t>
            </w:r>
            <w:bookmarkEnd w:id="31"/>
            <w:bookmarkEnd w:id="32"/>
          </w:p>
          <w:p>
            <w:pPr>
              <w:ind w:firstLine="480"/>
              <w:rPr>
                <w:color w:val="auto"/>
              </w:rPr>
            </w:pPr>
            <w:r>
              <w:rPr>
                <w:color w:val="auto"/>
              </w:rPr>
              <w:t>本项目施工期废气</w:t>
            </w:r>
            <w:r>
              <w:rPr>
                <w:rFonts w:hint="eastAsia"/>
                <w:color w:val="auto"/>
              </w:rPr>
              <w:t>主要为生产设备</w:t>
            </w:r>
            <w:r>
              <w:rPr>
                <w:color w:val="auto"/>
              </w:rPr>
              <w:t>利用车辆运输</w:t>
            </w:r>
            <w:r>
              <w:rPr>
                <w:rFonts w:hint="eastAsia"/>
                <w:color w:val="auto"/>
              </w:rPr>
              <w:t>到</w:t>
            </w:r>
            <w:r>
              <w:rPr>
                <w:rFonts w:hint="eastAsia"/>
                <w:color w:val="auto"/>
                <w:lang w:val="en-US" w:eastAsia="zh-CN"/>
              </w:rPr>
              <w:t>项目地的过程中</w:t>
            </w:r>
            <w:r>
              <w:rPr>
                <w:rFonts w:hint="eastAsia"/>
                <w:color w:val="auto"/>
              </w:rPr>
              <w:t>和安装过程产生的</w:t>
            </w:r>
            <w:r>
              <w:rPr>
                <w:color w:val="auto"/>
              </w:rPr>
              <w:t>扬尘</w:t>
            </w:r>
            <w:r>
              <w:rPr>
                <w:rFonts w:hint="eastAsia"/>
                <w:color w:val="auto"/>
              </w:rPr>
              <w:t>，</w:t>
            </w:r>
            <w:r>
              <w:rPr>
                <w:color w:val="auto"/>
              </w:rPr>
              <w:t>扬尘</w:t>
            </w:r>
            <w:r>
              <w:rPr>
                <w:rFonts w:hint="eastAsia"/>
                <w:color w:val="auto"/>
              </w:rPr>
              <w:t>的产生量</w:t>
            </w:r>
            <w:r>
              <w:rPr>
                <w:color w:val="auto"/>
              </w:rPr>
              <w:t>与污染源的距离、道路路面</w:t>
            </w:r>
            <w:r>
              <w:rPr>
                <w:rFonts w:hint="eastAsia"/>
                <w:color w:val="auto"/>
              </w:rPr>
              <w:t>情况</w:t>
            </w:r>
            <w:r>
              <w:rPr>
                <w:color w:val="auto"/>
              </w:rPr>
              <w:t>、行驶速度等因素有关。一般情况，在自然风力作用下，车辆产生的扬尘约为0.035kg/车辆•米，所影响的范围为</w:t>
            </w:r>
            <w:r>
              <w:rPr>
                <w:rFonts w:hint="eastAsia"/>
                <w:color w:val="auto"/>
              </w:rPr>
              <w:t>园区</w:t>
            </w:r>
            <w:r>
              <w:rPr>
                <w:color w:val="auto"/>
              </w:rPr>
              <w:t>道路两侧30m以内的范围</w:t>
            </w:r>
            <w:r>
              <w:rPr>
                <w:rFonts w:hint="eastAsia"/>
                <w:color w:val="auto"/>
                <w:lang w:eastAsia="zh-CN"/>
              </w:rPr>
              <w:t>。</w:t>
            </w:r>
            <w:r>
              <w:rPr>
                <w:rFonts w:hint="eastAsia"/>
                <w:color w:val="auto"/>
              </w:rPr>
              <w:t>设备安装过程地面起尘等和地面清洁程度有关，本项目生产设备全部安装在</w:t>
            </w:r>
            <w:r>
              <w:rPr>
                <w:rFonts w:hint="eastAsia"/>
                <w:color w:val="auto"/>
                <w:lang w:val="en-US" w:eastAsia="zh-CN"/>
              </w:rPr>
              <w:t>半</w:t>
            </w:r>
            <w:r>
              <w:rPr>
                <w:rFonts w:hint="eastAsia"/>
                <w:color w:val="auto"/>
              </w:rPr>
              <w:t>密闭的厂房内且</w:t>
            </w:r>
            <w:r>
              <w:rPr>
                <w:rFonts w:hint="eastAsia"/>
                <w:color w:val="auto"/>
                <w:lang w:val="en-US" w:eastAsia="zh-CN"/>
              </w:rPr>
              <w:t>厂区除绿化外</w:t>
            </w:r>
            <w:r>
              <w:rPr>
                <w:rFonts w:hint="eastAsia"/>
                <w:color w:val="auto"/>
              </w:rPr>
              <w:t>已全部硬化，设备安装和物资堆放产生的扬尘极少。</w:t>
            </w:r>
          </w:p>
          <w:p>
            <w:pPr>
              <w:ind w:firstLine="480"/>
              <w:rPr>
                <w:rFonts w:hint="eastAsia"/>
                <w:color w:val="auto"/>
              </w:rPr>
            </w:pPr>
            <w:r>
              <w:rPr>
                <w:rFonts w:hint="eastAsia"/>
                <w:color w:val="auto"/>
              </w:rPr>
              <w:t>项目拟采取的以下废气防治措施：</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根据</w:t>
            </w:r>
            <w:r>
              <w:rPr>
                <w:color w:val="auto"/>
              </w:rPr>
              <w:t>设备运</w:t>
            </w:r>
            <w:r>
              <w:rPr>
                <w:rFonts w:hint="eastAsia"/>
                <w:color w:val="auto"/>
              </w:rPr>
              <w:t>输</w:t>
            </w:r>
            <w:r>
              <w:rPr>
                <w:color w:val="auto"/>
              </w:rPr>
              <w:t>需求</w:t>
            </w:r>
            <w:r>
              <w:rPr>
                <w:rFonts w:hint="eastAsia"/>
                <w:color w:val="auto"/>
              </w:rPr>
              <w:t>选用</w:t>
            </w:r>
            <w:r>
              <w:rPr>
                <w:color w:val="auto"/>
              </w:rPr>
              <w:t>合适的运输车辆</w:t>
            </w:r>
            <w:r>
              <w:rPr>
                <w:rFonts w:hint="eastAsia"/>
                <w:color w:val="auto"/>
              </w:rPr>
              <w:t>大小和</w:t>
            </w:r>
            <w:r>
              <w:rPr>
                <w:color w:val="auto"/>
              </w:rPr>
              <w:t>型号</w:t>
            </w:r>
            <w:r>
              <w:rPr>
                <w:rFonts w:hint="eastAsia"/>
                <w:color w:val="auto"/>
              </w:rPr>
              <w:t>；</w:t>
            </w:r>
          </w:p>
          <w:p>
            <w:pPr>
              <w:ind w:firstLine="480"/>
              <w:rPr>
                <w:color w:val="auto"/>
              </w:rPr>
            </w:pPr>
            <w:r>
              <w:rPr>
                <w:rFonts w:hint="eastAsia"/>
                <w:color w:val="auto"/>
              </w:rPr>
              <w:t>②合理安排运输时间，</w:t>
            </w:r>
            <w:r>
              <w:rPr>
                <w:color w:val="auto"/>
              </w:rPr>
              <w:t>避免在</w:t>
            </w:r>
            <w:r>
              <w:rPr>
                <w:rFonts w:hint="eastAsia"/>
                <w:color w:val="auto"/>
              </w:rPr>
              <w:t>恶劣</w:t>
            </w:r>
            <w:r>
              <w:rPr>
                <w:color w:val="auto"/>
              </w:rPr>
              <w:t>天气运输</w:t>
            </w:r>
            <w:r>
              <w:rPr>
                <w:rFonts w:hint="eastAsia"/>
                <w:color w:val="auto"/>
              </w:rPr>
              <w:t>；</w:t>
            </w:r>
          </w:p>
          <w:p>
            <w:pPr>
              <w:ind w:firstLine="480"/>
              <w:rPr>
                <w:rFonts w:hint="eastAsia"/>
                <w:color w:val="auto"/>
              </w:rPr>
            </w:pPr>
            <w:r>
              <w:rPr>
                <w:rFonts w:hint="eastAsia"/>
                <w:color w:val="auto"/>
              </w:rPr>
              <w:t>③加强施工管理和</w:t>
            </w:r>
            <w:r>
              <w:rPr>
                <w:color w:val="auto"/>
              </w:rPr>
              <w:t>通风</w:t>
            </w:r>
            <w:r>
              <w:rPr>
                <w:rFonts w:hint="eastAsia"/>
                <w:color w:val="auto"/>
              </w:rPr>
              <w:t>。</w:t>
            </w:r>
          </w:p>
          <w:p>
            <w:pPr>
              <w:ind w:firstLine="480"/>
              <w:rPr>
                <w:rFonts w:hint="eastAsia"/>
                <w:color w:val="auto"/>
              </w:rPr>
            </w:pPr>
            <w:r>
              <w:rPr>
                <w:color w:val="auto"/>
              </w:rPr>
              <w:t>本项目施工周期短，</w:t>
            </w:r>
            <w:r>
              <w:rPr>
                <w:rFonts w:hint="eastAsia"/>
                <w:color w:val="auto"/>
                <w:lang w:val="en-US" w:eastAsia="zh-CN"/>
              </w:rPr>
              <w:t>粉尘</w:t>
            </w:r>
            <w:r>
              <w:rPr>
                <w:color w:val="auto"/>
              </w:rPr>
              <w:t>产生量</w:t>
            </w:r>
            <w:r>
              <w:rPr>
                <w:rFonts w:hint="eastAsia"/>
                <w:color w:val="auto"/>
              </w:rPr>
              <w:t>极</w:t>
            </w:r>
            <w:r>
              <w:rPr>
                <w:color w:val="auto"/>
              </w:rPr>
              <w:t>小</w:t>
            </w:r>
            <w:r>
              <w:rPr>
                <w:rFonts w:hint="eastAsia"/>
                <w:color w:val="auto"/>
              </w:rPr>
              <w:t>，项目施工期采取上述措施后，</w:t>
            </w:r>
            <w:r>
              <w:rPr>
                <w:color w:val="auto"/>
              </w:rPr>
              <w:t>对施工区域外的环境基本无影响。</w:t>
            </w:r>
          </w:p>
          <w:p>
            <w:pPr>
              <w:pStyle w:val="4"/>
              <w:spacing w:before="120" w:after="120"/>
              <w:rPr>
                <w:rFonts w:hint="eastAsia" w:eastAsia="黑体"/>
                <w:color w:val="auto"/>
                <w:lang w:eastAsia="zh-CN"/>
              </w:rPr>
            </w:pPr>
            <w:bookmarkStart w:id="33" w:name="_Toc1967"/>
            <w:bookmarkStart w:id="34" w:name="_Toc1517"/>
            <w:r>
              <w:rPr>
                <w:rFonts w:hint="eastAsia"/>
                <w:color w:val="auto"/>
              </w:rPr>
              <w:t>4.2</w:t>
            </w:r>
            <w:r>
              <w:rPr>
                <w:rFonts w:hint="eastAsia"/>
                <w:color w:val="auto"/>
                <w:lang w:val="en-US" w:eastAsia="zh-CN"/>
              </w:rPr>
              <w:t>废水</w:t>
            </w:r>
            <w:bookmarkEnd w:id="33"/>
            <w:bookmarkEnd w:id="34"/>
          </w:p>
          <w:p>
            <w:pPr>
              <w:ind w:firstLine="480"/>
              <w:rPr>
                <w:color w:val="auto"/>
              </w:rPr>
            </w:pPr>
            <w:r>
              <w:rPr>
                <w:rFonts w:hint="eastAsia" w:ascii="Times New Roman" w:hAnsi="Times New Roman" w:eastAsia="宋体" w:cs="Times New Roman"/>
                <w:color w:val="auto"/>
              </w:rPr>
              <w:t>本项目施工期废水主要为工作人员产生的生活污水，建设过程不涉及土建，施工期约</w:t>
            </w:r>
            <w:r>
              <w:rPr>
                <w:rFonts w:hint="eastAsia" w:ascii="Times New Roman" w:hAnsi="Times New Roman" w:eastAsia="宋体" w:cs="Times New Roman"/>
                <w:color w:val="auto"/>
                <w:lang w:val="en-US" w:eastAsia="zh-CN"/>
              </w:rPr>
              <w:t>为10</w:t>
            </w:r>
            <w:r>
              <w:rPr>
                <w:rFonts w:hint="eastAsia" w:ascii="Times New Roman" w:hAnsi="Times New Roman" w:eastAsia="宋体" w:cs="Times New Roman"/>
                <w:color w:val="auto"/>
              </w:rPr>
              <w:t>d，施工人员约</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人</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项目施工人员不在厂区内食宿，故</w:t>
            </w:r>
            <w:r>
              <w:rPr>
                <w:rFonts w:hint="eastAsia" w:ascii="Times New Roman" w:hAnsi="Times New Roman" w:eastAsia="宋体" w:cs="Times New Roman"/>
                <w:color w:val="auto"/>
              </w:rPr>
              <w:t>本次以《陕西省用行业用水定额（DB61/T）943-2020）》中附录B</w:t>
            </w:r>
            <w:r>
              <w:rPr>
                <w:rFonts w:hint="eastAsia" w:ascii="Times New Roman" w:hAnsi="Times New Roman" w:eastAsia="宋体" w:cs="Times New Roman"/>
                <w:color w:val="auto"/>
                <w:lang w:val="en-US" w:eastAsia="zh-CN"/>
              </w:rPr>
              <w:t>中</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居民用水－陕南农村用水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的用水定额80</w:t>
            </w:r>
            <w:r>
              <w:rPr>
                <w:rFonts w:hint="eastAsia" w:ascii="Times New Roman" w:hAnsi="Times New Roman" w:eastAsia="宋体" w:cs="Times New Roman"/>
                <w:color w:val="auto"/>
              </w:rPr>
              <w:t>L/（人•d）</w:t>
            </w:r>
            <w:r>
              <w:rPr>
                <w:rFonts w:hint="eastAsia" w:ascii="Times New Roman" w:hAnsi="Times New Roman" w:eastAsia="宋体" w:cs="Times New Roman"/>
                <w:color w:val="auto"/>
                <w:lang w:val="en-US" w:eastAsia="zh-CN"/>
              </w:rPr>
              <w:t>的</w:t>
            </w:r>
            <w:r>
              <w:rPr>
                <w:rFonts w:hint="eastAsia" w:ascii="Times New Roman" w:hAnsi="Times New Roman" w:eastAsia="宋体" w:cs="Times New Roman"/>
                <w:color w:val="auto"/>
              </w:rPr>
              <w:t>计算</w:t>
            </w:r>
            <w:r>
              <w:rPr>
                <w:rFonts w:hint="eastAsia" w:ascii="Times New Roman" w:hAnsi="Times New Roman" w:eastAsia="宋体" w:cs="Times New Roman"/>
                <w:color w:val="auto"/>
                <w:lang w:val="en-US" w:eastAsia="zh-CN"/>
              </w:rPr>
              <w:t>用水及</w:t>
            </w:r>
            <w:r>
              <w:rPr>
                <w:rFonts w:hint="eastAsia" w:ascii="Times New Roman" w:hAnsi="Times New Roman" w:eastAsia="宋体" w:cs="Times New Roman"/>
                <w:color w:val="auto"/>
              </w:rPr>
              <w:t>产污</w:t>
            </w:r>
            <w:r>
              <w:rPr>
                <w:rFonts w:hint="eastAsia" w:ascii="Times New Roman" w:hAnsi="Times New Roman" w:eastAsia="宋体" w:cs="Times New Roman"/>
                <w:color w:val="auto"/>
                <w:lang w:val="en-US" w:eastAsia="zh-CN"/>
              </w:rPr>
              <w:t>情况</w:t>
            </w:r>
            <w:r>
              <w:rPr>
                <w:rFonts w:hint="eastAsia" w:ascii="Times New Roman" w:hAnsi="Times New Roman" w:eastAsia="宋体" w:cs="Times New Roman"/>
                <w:color w:val="auto"/>
              </w:rPr>
              <w:t>，则施工期工人生活用水量为</w:t>
            </w:r>
            <w:r>
              <w:rPr>
                <w:rFonts w:hint="eastAsia" w:ascii="Times New Roman" w:hAnsi="Times New Roman" w:eastAsia="宋体" w:cs="Times New Roman"/>
                <w:color w:val="auto"/>
                <w:lang w:val="en-US" w:eastAsia="zh-CN"/>
              </w:rPr>
              <w:t>0.4</w:t>
            </w:r>
            <w:r>
              <w:rPr>
                <w:rFonts w:hint="eastAsia" w:ascii="Times New Roman" w:hAnsi="Times New Roman" w:eastAsia="宋体" w:cs="Times New Roman"/>
                <w:color w:val="auto"/>
              </w:rPr>
              <w:t>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/d，产污系数按</w:t>
            </w:r>
            <w:r>
              <w:rPr>
                <w:rFonts w:hint="eastAsia" w:ascii="Times New Roman" w:hAnsi="Times New Roman" w:eastAsia="宋体" w:cs="Times New Roman"/>
                <w:color w:val="auto"/>
                <w:lang w:val="en-US" w:eastAsia="zh-CN"/>
              </w:rPr>
              <w:t>0.8</w:t>
            </w:r>
            <w:r>
              <w:rPr>
                <w:rFonts w:hint="eastAsia" w:ascii="Times New Roman" w:hAnsi="Times New Roman" w:eastAsia="宋体" w:cs="Times New Roman"/>
                <w:color w:val="auto"/>
              </w:rPr>
              <w:t>计</w:t>
            </w:r>
            <w:r>
              <w:rPr>
                <w:color w:val="auto"/>
              </w:rPr>
              <w:t>，</w:t>
            </w:r>
            <w:r>
              <w:rPr>
                <w:rFonts w:hint="eastAsia"/>
                <w:color w:val="auto"/>
              </w:rPr>
              <w:t>污</w:t>
            </w:r>
            <w:r>
              <w:rPr>
                <w:color w:val="auto"/>
              </w:rPr>
              <w:t>水日排放量为</w:t>
            </w:r>
            <w:r>
              <w:rPr>
                <w:rFonts w:hint="eastAsia"/>
                <w:color w:val="auto"/>
                <w:lang w:val="en-US" w:eastAsia="zh-CN"/>
              </w:rPr>
              <w:t>0.32</w:t>
            </w:r>
            <w:r>
              <w:rPr>
                <w:color w:val="auto"/>
              </w:rPr>
              <w:t>m</w:t>
            </w:r>
            <w:r>
              <w:rPr>
                <w:color w:val="auto"/>
                <w:vertAlign w:val="superscript"/>
              </w:rPr>
              <w:t>3</w:t>
            </w:r>
            <w:r>
              <w:rPr>
                <w:color w:val="auto"/>
              </w:rPr>
              <w:t>，</w:t>
            </w:r>
            <w:r>
              <w:rPr>
                <w:rFonts w:hint="eastAsia"/>
                <w:color w:val="auto"/>
                <w:lang w:val="en-US" w:eastAsia="zh-CN"/>
              </w:rPr>
              <w:t>则施工期</w:t>
            </w:r>
            <w:r>
              <w:rPr>
                <w:color w:val="auto"/>
              </w:rPr>
              <w:t>总排放量为</w:t>
            </w:r>
            <w:r>
              <w:rPr>
                <w:rFonts w:hint="eastAsia"/>
                <w:color w:val="auto"/>
                <w:lang w:val="en-US" w:eastAsia="zh-CN"/>
              </w:rPr>
              <w:t>3.2</w:t>
            </w:r>
            <w:r>
              <w:rPr>
                <w:color w:val="auto"/>
              </w:rPr>
              <w:t>m</w:t>
            </w:r>
            <w:r>
              <w:rPr>
                <w:color w:val="auto"/>
                <w:vertAlign w:val="superscript"/>
              </w:rPr>
              <w:t>3</w:t>
            </w:r>
            <w:r>
              <w:rPr>
                <w:rFonts w:hint="eastAsia"/>
                <w:color w:val="auto"/>
              </w:rPr>
              <w:t>。</w:t>
            </w:r>
          </w:p>
          <w:p>
            <w:pPr>
              <w:ind w:firstLine="480"/>
              <w:rPr>
                <w:color w:val="auto"/>
              </w:rPr>
            </w:pPr>
            <w:r>
              <w:rPr>
                <w:rFonts w:hint="eastAsia"/>
                <w:color w:val="auto"/>
                <w:lang w:val="en-US" w:eastAsia="zh-CN"/>
              </w:rPr>
              <w:t>施工期生活污水</w:t>
            </w:r>
            <w:r>
              <w:rPr>
                <w:color w:val="auto"/>
              </w:rPr>
              <w:t>依托</w:t>
            </w:r>
            <w:r>
              <w:rPr>
                <w:rFonts w:hint="eastAsia"/>
                <w:color w:val="auto"/>
                <w:lang w:val="en-US" w:eastAsia="zh-CN"/>
              </w:rPr>
              <w:t>园区</w:t>
            </w:r>
            <w:r>
              <w:rPr>
                <w:color w:val="auto"/>
              </w:rPr>
              <w:t>已建化粪池处理后，</w:t>
            </w:r>
            <w:r>
              <w:rPr>
                <w:rFonts w:hint="default" w:ascii="Times New Roman" w:hAnsi="Times New Roman" w:cs="Times New Roman"/>
                <w:color w:val="auto"/>
                <w:sz w:val="24"/>
                <w:szCs w:val="32"/>
                <w:shd w:val="clear" w:color="auto" w:fill="auto"/>
              </w:rPr>
              <w:t>经管道输送至</w:t>
            </w:r>
            <w:r>
              <w:rPr>
                <w:rFonts w:hint="default" w:ascii="Times New Roman" w:hAnsi="Times New Roman" w:cs="Times New Roman"/>
                <w:color w:val="auto"/>
                <w:sz w:val="24"/>
                <w:szCs w:val="32"/>
                <w:shd w:val="clear" w:color="auto" w:fill="auto"/>
                <w:lang w:eastAsia="zh-CN"/>
              </w:rPr>
              <w:t>安康市恒口示范区</w:t>
            </w:r>
            <w:r>
              <w:rPr>
                <w:rFonts w:hint="default" w:ascii="Times New Roman" w:hAnsi="Times New Roman" w:cs="Times New Roman"/>
                <w:color w:val="auto"/>
                <w:sz w:val="24"/>
                <w:szCs w:val="32"/>
                <w:shd w:val="clear" w:color="auto" w:fill="auto"/>
              </w:rPr>
              <w:t>污水处理厂处理</w:t>
            </w:r>
            <w:r>
              <w:rPr>
                <w:rFonts w:hint="eastAsia" w:ascii="Times New Roman" w:hAnsi="Times New Roman" w:cs="Times New Roman"/>
                <w:color w:val="auto"/>
                <w:sz w:val="24"/>
                <w:szCs w:val="32"/>
                <w:shd w:val="clear" w:color="auto" w:fill="auto"/>
                <w:lang w:eastAsia="zh-CN"/>
              </w:rPr>
              <w:t>，</w:t>
            </w:r>
            <w:r>
              <w:rPr>
                <w:color w:val="auto"/>
              </w:rPr>
              <w:t>对环境影响较小。</w:t>
            </w:r>
          </w:p>
          <w:p>
            <w:pPr>
              <w:pStyle w:val="4"/>
              <w:spacing w:before="120" w:after="120"/>
              <w:rPr>
                <w:color w:val="auto"/>
              </w:rPr>
            </w:pPr>
            <w:bookmarkStart w:id="35" w:name="_Toc17979"/>
            <w:bookmarkStart w:id="36" w:name="_Toc22170"/>
            <w:r>
              <w:rPr>
                <w:rFonts w:hint="eastAsia"/>
                <w:color w:val="auto"/>
              </w:rPr>
              <w:t>4.3</w:t>
            </w:r>
            <w:r>
              <w:rPr>
                <w:color w:val="auto"/>
              </w:rPr>
              <w:t>噪声</w:t>
            </w:r>
            <w:bookmarkEnd w:id="35"/>
            <w:bookmarkEnd w:id="36"/>
          </w:p>
          <w:p>
            <w:pPr>
              <w:ind w:firstLine="480"/>
              <w:rPr>
                <w:color w:val="auto"/>
              </w:rPr>
            </w:pPr>
            <w:r>
              <w:rPr>
                <w:color w:val="auto"/>
              </w:rPr>
              <w:t>本项目在现有厂房进行建设，不</w:t>
            </w:r>
            <w:r>
              <w:rPr>
                <w:rFonts w:hint="eastAsia"/>
                <w:color w:val="auto"/>
              </w:rPr>
              <w:t>涉及</w:t>
            </w:r>
            <w:r>
              <w:rPr>
                <w:color w:val="auto"/>
              </w:rPr>
              <w:t>土建工程</w:t>
            </w:r>
            <w:r>
              <w:rPr>
                <w:rFonts w:hint="eastAsia"/>
                <w:color w:val="auto"/>
              </w:rPr>
              <w:t>和装修</w:t>
            </w:r>
            <w:r>
              <w:rPr>
                <w:color w:val="auto"/>
              </w:rPr>
              <w:t>，施工期较短，施工</w:t>
            </w:r>
            <w:r>
              <w:rPr>
                <w:rFonts w:hint="eastAsia"/>
                <w:color w:val="auto"/>
              </w:rPr>
              <w:t>期</w:t>
            </w:r>
            <w:r>
              <w:rPr>
                <w:color w:val="auto"/>
              </w:rPr>
              <w:t>噪声主要</w:t>
            </w:r>
            <w:r>
              <w:rPr>
                <w:rFonts w:hint="eastAsia"/>
                <w:color w:val="auto"/>
                <w:lang w:eastAsia="zh-CN"/>
              </w:rPr>
              <w:t>来自</w:t>
            </w:r>
            <w:r>
              <w:rPr>
                <w:rFonts w:hint="eastAsia"/>
                <w:color w:val="auto"/>
              </w:rPr>
              <w:t>设备安装</w:t>
            </w:r>
            <w:r>
              <w:rPr>
                <w:color w:val="auto"/>
              </w:rPr>
              <w:t>、调试验收过程中各类机械</w:t>
            </w:r>
            <w:r>
              <w:rPr>
                <w:rFonts w:hint="eastAsia"/>
                <w:color w:val="auto"/>
              </w:rPr>
              <w:t>运行</w:t>
            </w:r>
            <w:r>
              <w:rPr>
                <w:color w:val="auto"/>
              </w:rPr>
              <w:t>和摩擦产生的噪声，具有阶段性、临时性</w:t>
            </w:r>
            <w:r>
              <w:rPr>
                <w:rFonts w:hint="eastAsia"/>
                <w:color w:val="auto"/>
              </w:rPr>
              <w:t>和</w:t>
            </w:r>
            <w:r>
              <w:rPr>
                <w:color w:val="auto"/>
              </w:rPr>
              <w:t>不固定性。</w:t>
            </w:r>
          </w:p>
          <w:p>
            <w:pPr>
              <w:ind w:firstLine="480"/>
              <w:rPr>
                <w:color w:val="auto"/>
              </w:rPr>
            </w:pPr>
            <w:r>
              <w:rPr>
                <w:rFonts w:hint="eastAsia"/>
                <w:color w:val="auto"/>
              </w:rPr>
              <w:t>项目拟采取以下降噪措施：</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合理安排</w:t>
            </w:r>
            <w:r>
              <w:rPr>
                <w:rFonts w:hint="eastAsia"/>
                <w:color w:val="auto"/>
              </w:rPr>
              <w:t>设备</w:t>
            </w:r>
            <w:r>
              <w:rPr>
                <w:color w:val="auto"/>
              </w:rPr>
              <w:t>安装和调试的作业时间：施工方应合理安排装修施工时间，避免强噪声机械持续作业，非工艺要求时必须严禁夜间施工。如工艺要求必须连续作业的强噪声施工，应首先征得园区</w:t>
            </w:r>
            <w:r>
              <w:rPr>
                <w:rFonts w:hint="eastAsia"/>
                <w:color w:val="auto"/>
              </w:rPr>
              <w:t>管委会</w:t>
            </w:r>
            <w:r>
              <w:rPr>
                <w:color w:val="auto"/>
              </w:rPr>
              <w:t>和当地主管部门同意。</w:t>
            </w:r>
          </w:p>
          <w:p>
            <w:pPr>
              <w:ind w:firstLine="48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color w:val="auto"/>
              </w:rPr>
              <w:t>设备运输的车辆进场安排专人指挥，禁止运输车辆场内鸣笛。</w:t>
            </w:r>
          </w:p>
          <w:p>
            <w:pPr>
              <w:ind w:firstLine="48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color w:val="auto"/>
              </w:rPr>
              <w:t>加强施工人员的管理，施工中减少不必要的金属敲击</w:t>
            </w:r>
            <w:r>
              <w:rPr>
                <w:rFonts w:hint="eastAsia"/>
                <w:color w:val="auto"/>
              </w:rPr>
              <w:t>噪声</w:t>
            </w:r>
            <w:r>
              <w:rPr>
                <w:color w:val="auto"/>
              </w:rPr>
              <w:t>。</w:t>
            </w:r>
          </w:p>
          <w:p>
            <w:pPr>
              <w:ind w:firstLine="480"/>
              <w:rPr>
                <w:color w:val="auto"/>
              </w:rPr>
            </w:pPr>
            <w:r>
              <w:rPr>
                <w:color w:val="auto"/>
              </w:rPr>
              <w:t>采取上述措施后，施工期间的场界噪声能够满足《建筑施工场界环境噪声排放标准》（GB12523-2011）</w:t>
            </w:r>
            <w:r>
              <w:rPr>
                <w:rFonts w:hint="eastAsia"/>
                <w:color w:val="auto"/>
              </w:rPr>
              <w:t>表1中</w:t>
            </w:r>
            <w:r>
              <w:rPr>
                <w:color w:val="auto"/>
              </w:rPr>
              <w:t>的标准限值要求</w:t>
            </w:r>
            <w:r>
              <w:rPr>
                <w:rFonts w:hint="eastAsia"/>
                <w:color w:val="auto"/>
              </w:rPr>
              <w:t>，</w:t>
            </w:r>
            <w:r>
              <w:rPr>
                <w:color w:val="auto"/>
              </w:rPr>
              <w:t>且伴随着施工期的结束，其影响将会消失。</w:t>
            </w:r>
          </w:p>
          <w:p>
            <w:pPr>
              <w:pStyle w:val="4"/>
              <w:spacing w:before="120" w:after="120"/>
              <w:rPr>
                <w:rFonts w:hint="default" w:eastAsia="黑体"/>
                <w:color w:val="auto"/>
                <w:lang w:val="en-US" w:eastAsia="zh-CN"/>
              </w:rPr>
            </w:pPr>
            <w:bookmarkStart w:id="37" w:name="_Toc29140"/>
            <w:bookmarkStart w:id="38" w:name="_Toc3407"/>
            <w:r>
              <w:rPr>
                <w:rFonts w:hint="eastAsia"/>
                <w:color w:val="auto"/>
              </w:rPr>
              <w:t>4.4</w:t>
            </w:r>
            <w:r>
              <w:rPr>
                <w:rFonts w:hint="eastAsia"/>
                <w:color w:val="auto"/>
                <w:lang w:val="en-US" w:eastAsia="zh-CN"/>
              </w:rPr>
              <w:t>固体废物</w:t>
            </w:r>
            <w:bookmarkEnd w:id="37"/>
            <w:bookmarkEnd w:id="38"/>
          </w:p>
          <w:p>
            <w:pPr>
              <w:ind w:firstLine="480"/>
              <w:rPr>
                <w:color w:val="auto"/>
              </w:rPr>
            </w:pPr>
            <w:r>
              <w:rPr>
                <w:color w:val="auto"/>
              </w:rPr>
              <w:t>施工期固废主要为废包装材料、废</w:t>
            </w:r>
            <w:r>
              <w:rPr>
                <w:rFonts w:hint="eastAsia"/>
                <w:color w:val="auto"/>
              </w:rPr>
              <w:t>安装</w:t>
            </w:r>
            <w:r>
              <w:rPr>
                <w:color w:val="auto"/>
              </w:rPr>
              <w:t>材料及施工人员生活垃圾。</w:t>
            </w:r>
          </w:p>
          <w:p>
            <w:pPr>
              <w:ind w:firstLine="480"/>
              <w:rPr>
                <w:color w:val="auto"/>
              </w:rPr>
            </w:pPr>
            <w:r>
              <w:rPr>
                <w:color w:val="auto"/>
              </w:rPr>
              <w:t>①生活垃圾</w:t>
            </w:r>
          </w:p>
          <w:p>
            <w:pPr>
              <w:ind w:firstLine="480"/>
              <w:rPr>
                <w:color w:val="auto"/>
              </w:rPr>
            </w:pPr>
            <w:r>
              <w:rPr>
                <w:color w:val="auto"/>
              </w:rPr>
              <w:t>本项目施工高峰期施工人员为</w:t>
            </w:r>
            <w:r>
              <w:rPr>
                <w:rFonts w:hint="eastAsia"/>
                <w:color w:val="auto"/>
                <w:lang w:val="en-US" w:eastAsia="zh-CN"/>
              </w:rPr>
              <w:t>5</w:t>
            </w:r>
            <w:r>
              <w:rPr>
                <w:color w:val="auto"/>
              </w:rPr>
              <w:t>人，生活垃圾产生量按0.5kg/人•d计，</w:t>
            </w:r>
            <w:r>
              <w:rPr>
                <w:rFonts w:hint="eastAsia"/>
                <w:color w:val="auto"/>
              </w:rPr>
              <w:t>则</w:t>
            </w:r>
            <w:r>
              <w:rPr>
                <w:color w:val="auto"/>
              </w:rPr>
              <w:t>日产生量</w:t>
            </w:r>
            <w:r>
              <w:rPr>
                <w:rFonts w:hint="eastAsia"/>
                <w:color w:val="auto"/>
              </w:rPr>
              <w:t>为0.0</w:t>
            </w:r>
            <w:r>
              <w:rPr>
                <w:color w:val="auto"/>
              </w:rPr>
              <w:t>0</w:t>
            </w:r>
            <w:r>
              <w:rPr>
                <w:rFonts w:hint="eastAsia"/>
                <w:color w:val="auto"/>
                <w:lang w:val="en-US" w:eastAsia="zh-CN"/>
              </w:rPr>
              <w:t>2</w:t>
            </w:r>
            <w:r>
              <w:rPr>
                <w:color w:val="auto"/>
              </w:rPr>
              <w:t>5t，施工期为</w:t>
            </w:r>
            <w:r>
              <w:rPr>
                <w:rFonts w:hint="eastAsia"/>
                <w:color w:val="auto"/>
                <w:lang w:val="en-US" w:eastAsia="zh-CN"/>
              </w:rPr>
              <w:t>10</w:t>
            </w:r>
            <w:r>
              <w:rPr>
                <w:color w:val="auto"/>
              </w:rPr>
              <w:t>天，</w:t>
            </w:r>
            <w:r>
              <w:rPr>
                <w:rFonts w:hint="eastAsia"/>
                <w:color w:val="auto"/>
              </w:rPr>
              <w:t>则</w:t>
            </w:r>
            <w:r>
              <w:rPr>
                <w:color w:val="auto"/>
              </w:rPr>
              <w:t>总产生量为</w:t>
            </w:r>
            <w:r>
              <w:rPr>
                <w:rFonts w:hint="eastAsia"/>
                <w:color w:val="auto"/>
                <w:lang w:val="en-US" w:eastAsia="zh-CN"/>
              </w:rPr>
              <w:t>0.025</w:t>
            </w:r>
            <w:r>
              <w:rPr>
                <w:color w:val="auto"/>
              </w:rPr>
              <w:t>t。</w:t>
            </w:r>
            <w:r>
              <w:rPr>
                <w:rFonts w:hint="eastAsia"/>
                <w:color w:val="auto"/>
              </w:rPr>
              <w:t>拟采取</w:t>
            </w:r>
            <w:r>
              <w:rPr>
                <w:color w:val="auto"/>
              </w:rPr>
              <w:t>垃圾</w:t>
            </w:r>
            <w:r>
              <w:rPr>
                <w:rFonts w:hint="eastAsia"/>
                <w:color w:val="auto"/>
                <w:lang w:val="en-US" w:eastAsia="zh-CN"/>
              </w:rPr>
              <w:t>袋</w:t>
            </w:r>
            <w:r>
              <w:rPr>
                <w:color w:val="auto"/>
              </w:rPr>
              <w:t>收集后由环卫部门</w:t>
            </w:r>
            <w:r>
              <w:rPr>
                <w:rFonts w:hint="eastAsia"/>
                <w:color w:val="auto"/>
                <w:lang w:val="en-US" w:eastAsia="zh-CN"/>
              </w:rPr>
              <w:t>统一</w:t>
            </w:r>
            <w:r>
              <w:rPr>
                <w:color w:val="auto"/>
              </w:rPr>
              <w:t>清运</w:t>
            </w:r>
            <w:r>
              <w:rPr>
                <w:rFonts w:hint="eastAsia"/>
                <w:color w:val="auto"/>
              </w:rPr>
              <w:t>处置</w:t>
            </w:r>
            <w:r>
              <w:rPr>
                <w:color w:val="auto"/>
              </w:rPr>
              <w:t>。</w:t>
            </w:r>
          </w:p>
          <w:p>
            <w:pPr>
              <w:ind w:firstLine="480"/>
              <w:rPr>
                <w:color w:val="auto"/>
              </w:rPr>
            </w:pPr>
            <w:r>
              <w:rPr>
                <w:color w:val="auto"/>
              </w:rPr>
              <w:t>②废包装材料、废</w:t>
            </w:r>
            <w:r>
              <w:rPr>
                <w:rFonts w:hint="eastAsia"/>
                <w:color w:val="auto"/>
              </w:rPr>
              <w:t>安装</w:t>
            </w:r>
            <w:r>
              <w:rPr>
                <w:color w:val="auto"/>
              </w:rPr>
              <w:t>材料</w:t>
            </w:r>
          </w:p>
          <w:p>
            <w:pPr>
              <w:ind w:firstLine="480"/>
              <w:rPr>
                <w:color w:val="auto"/>
              </w:rPr>
            </w:pPr>
            <w:r>
              <w:rPr>
                <w:rFonts w:hint="eastAsia"/>
                <w:color w:val="auto"/>
              </w:rPr>
              <w:t>本项目设备开箱和安装过程产生</w:t>
            </w:r>
            <w:r>
              <w:rPr>
                <w:rFonts w:hint="eastAsia"/>
                <w:color w:val="auto"/>
                <w:lang w:eastAsia="zh-CN"/>
              </w:rPr>
              <w:t>废</w:t>
            </w:r>
            <w:r>
              <w:rPr>
                <w:rFonts w:hint="eastAsia"/>
                <w:color w:val="auto"/>
              </w:rPr>
              <w:t>包装和安装材料，产生量约为</w:t>
            </w:r>
            <w:r>
              <w:rPr>
                <w:rFonts w:hint="eastAsia"/>
                <w:color w:val="auto"/>
                <w:lang w:val="en-US" w:eastAsia="zh-CN"/>
              </w:rPr>
              <w:t>0.5</w:t>
            </w:r>
            <w:r>
              <w:rPr>
                <w:rFonts w:hint="eastAsia"/>
                <w:color w:val="auto"/>
              </w:rPr>
              <w:t>t。拟采取措施</w:t>
            </w:r>
            <w:r>
              <w:rPr>
                <w:rFonts w:hint="eastAsia"/>
                <w:color w:val="auto"/>
                <w:lang w:val="en-US" w:eastAsia="zh-CN"/>
              </w:rPr>
              <w:t>为</w:t>
            </w:r>
            <w:r>
              <w:rPr>
                <w:rFonts w:hint="eastAsia"/>
                <w:color w:val="auto"/>
              </w:rPr>
              <w:t>能回收再用的</w:t>
            </w:r>
            <w:r>
              <w:rPr>
                <w:rFonts w:hint="eastAsia"/>
                <w:color w:val="auto"/>
                <w:lang w:val="en-US" w:eastAsia="zh-CN"/>
              </w:rPr>
              <w:t>废</w:t>
            </w:r>
            <w:r>
              <w:rPr>
                <w:rFonts w:hint="eastAsia"/>
                <w:color w:val="auto"/>
              </w:rPr>
              <w:t>材料，集中收集后外售废旧物资</w:t>
            </w:r>
            <w:r>
              <w:rPr>
                <w:rFonts w:hint="eastAsia"/>
                <w:color w:val="auto"/>
                <w:lang w:val="en-US" w:eastAsia="zh-CN"/>
              </w:rPr>
              <w:t>收购</w:t>
            </w:r>
            <w:r>
              <w:rPr>
                <w:rFonts w:hint="eastAsia"/>
                <w:color w:val="auto"/>
              </w:rPr>
              <w:t>站，不能外售的</w:t>
            </w:r>
            <w:r>
              <w:rPr>
                <w:rFonts w:hint="eastAsia"/>
                <w:color w:val="auto"/>
                <w:lang w:val="en-US" w:eastAsia="zh-CN"/>
              </w:rPr>
              <w:t>废</w:t>
            </w:r>
            <w:r>
              <w:rPr>
                <w:rFonts w:hint="eastAsia"/>
                <w:color w:val="auto"/>
              </w:rPr>
              <w:t>材料集中收集后交环卫部门</w:t>
            </w:r>
            <w:r>
              <w:rPr>
                <w:color w:val="auto"/>
              </w:rPr>
              <w:t>清运</w:t>
            </w:r>
            <w:r>
              <w:rPr>
                <w:rFonts w:hint="eastAsia"/>
                <w:color w:val="auto"/>
              </w:rPr>
              <w:t>处置</w:t>
            </w:r>
            <w:r>
              <w:rPr>
                <w:color w:val="auto"/>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color w:val="auto"/>
              </w:rPr>
              <w:t>综上，采取以上污染物防治措施后，本项目施工期对环境影响较小</w:t>
            </w:r>
            <w:r>
              <w:rPr>
                <w:rFonts w:hint="eastAsia"/>
                <w:color w:val="auto"/>
                <w:lang w:val="en-US" w:eastAsia="zh-CN"/>
              </w:rPr>
              <w:t>且施工期对外环境的影响是暂时的，施工结束后其影响将逐渐消失</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75" w:hRule="atLeast"/>
          <w:jc w:val="center"/>
        </w:trPr>
        <w:tc>
          <w:tcPr>
            <w:tcW w:w="845" w:type="dxa"/>
            <w:tcBorders>
              <w:top w:val="single" w:color="auto" w:sz="8" w:space="0"/>
            </w:tcBorders>
            <w:noWrap w:val="0"/>
            <w:tcMar>
              <w:left w:w="28" w:type="dxa"/>
              <w:right w:w="28" w:type="dxa"/>
            </w:tcMar>
            <w:vAlign w:val="center"/>
          </w:tcPr>
          <w:p>
            <w:pPr>
              <w:adjustRightInd w:val="0"/>
              <w:snapToGrid w:val="0"/>
              <w:spacing w:line="480" w:lineRule="exact"/>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运营期环境影响和保护措施</w:t>
            </w:r>
          </w:p>
        </w:tc>
        <w:tc>
          <w:tcPr>
            <w:tcW w:w="7975" w:type="dxa"/>
            <w:tcBorders>
              <w:top w:val="single" w:color="auto" w:sz="8" w:space="0"/>
            </w:tcBorders>
            <w:noWrap w:val="0"/>
            <w:vAlign w:val="center"/>
          </w:tcPr>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废气源强分析</w:t>
            </w:r>
          </w:p>
          <w:p>
            <w:pPr>
              <w:pStyle w:val="90"/>
              <w:spacing w:before="66" w:line="220" w:lineRule="auto"/>
              <w:ind w:left="0" w:leftChars="0" w:firstLine="602" w:firstLineChars="200"/>
              <w:jc w:val="left"/>
              <w:rPr>
                <w:rFonts w:hint="default" w:ascii="Times New Roman" w:hAnsi="Times New Roman" w:eastAsia="黑体" w:cs="Times New Roman"/>
                <w:b/>
                <w:bCs/>
                <w:color w:val="auto"/>
                <w:kern w:val="2"/>
                <w:sz w:val="30"/>
                <w:szCs w:val="32"/>
                <w:lang w:val="en-US" w:eastAsia="zh-CN" w:bidi="ar-SA"/>
              </w:rPr>
            </w:pPr>
            <w:r>
              <w:rPr>
                <w:rFonts w:hint="default" w:ascii="Times New Roman" w:hAnsi="Times New Roman" w:eastAsia="黑体" w:cs="Times New Roman"/>
                <w:b/>
                <w:bCs/>
                <w:color w:val="auto"/>
                <w:kern w:val="2"/>
                <w:sz w:val="30"/>
                <w:szCs w:val="32"/>
                <w:lang w:val="en-US" w:eastAsia="zh-CN" w:bidi="ar-SA"/>
              </w:rPr>
              <w:t>4.</w:t>
            </w:r>
            <w:r>
              <w:rPr>
                <w:rFonts w:hint="eastAsia" w:ascii="Times New Roman" w:hAnsi="Times New Roman" w:eastAsia="黑体" w:cs="Times New Roman"/>
                <w:b/>
                <w:bCs/>
                <w:color w:val="auto"/>
                <w:kern w:val="2"/>
                <w:sz w:val="30"/>
                <w:szCs w:val="32"/>
                <w:lang w:val="en-US" w:eastAsia="zh-CN" w:bidi="ar-SA"/>
              </w:rPr>
              <w:t>5</w:t>
            </w:r>
            <w:r>
              <w:rPr>
                <w:rFonts w:hint="default" w:ascii="Times New Roman" w:hAnsi="Times New Roman" w:eastAsia="黑体" w:cs="Times New Roman"/>
                <w:b/>
                <w:bCs/>
                <w:color w:val="auto"/>
                <w:kern w:val="2"/>
                <w:sz w:val="30"/>
                <w:szCs w:val="32"/>
                <w:lang w:val="en-US" w:eastAsia="zh-CN" w:bidi="ar-SA"/>
              </w:rPr>
              <w:t>.1团粒废气</w:t>
            </w:r>
          </w:p>
          <w:p>
            <w:pPr>
              <w:keepNext w:val="0"/>
              <w:keepLines w:val="0"/>
              <w:pageBreakBefore w:val="0"/>
              <w:widowControl w:val="0"/>
              <w:kinsoku/>
              <w:wordWrap/>
              <w:overflowPunct/>
              <w:topLinePunct w:val="0"/>
              <w:autoSpaceDE/>
              <w:autoSpaceDN/>
              <w:bidi w:val="0"/>
              <w:adjustRightInd/>
              <w:snapToGrid/>
              <w:textAlignment w:val="auto"/>
              <w:rPr>
                <w:rFonts w:hint="default"/>
                <w:b/>
                <w:bCs/>
                <w:lang w:val="en-US" w:eastAsia="zh-CN"/>
              </w:rPr>
            </w:pPr>
            <w:r>
              <w:rPr>
                <w:rFonts w:hint="eastAsia"/>
                <w:b/>
                <w:bCs/>
                <w:lang w:val="en-US" w:eastAsia="zh-CN"/>
              </w:rPr>
              <w:t>（1）</w:t>
            </w:r>
            <w:r>
              <w:rPr>
                <w:rFonts w:hint="default"/>
                <w:b/>
                <w:bCs/>
                <w:lang w:val="en-US" w:eastAsia="zh-CN"/>
              </w:rPr>
              <w:t>污染源强核算</w:t>
            </w:r>
            <w:r>
              <w:rPr>
                <w:rFonts w:hint="eastAsia"/>
                <w:b/>
                <w:bCs/>
                <w:lang w:val="en-US" w:eastAsia="zh-CN"/>
              </w:rPr>
              <w:t>及治理措施</w:t>
            </w:r>
          </w:p>
          <w:p>
            <w:pPr>
              <w:pStyle w:val="90"/>
              <w:spacing w:before="164" w:line="362" w:lineRule="auto"/>
              <w:ind w:right="168" w:firstLine="480" w:firstLineChars="200"/>
              <w:rPr>
                <w:sz w:val="24"/>
                <w:szCs w:val="24"/>
              </w:rPr>
            </w:pPr>
            <w:r>
              <w:rPr>
                <w:rFonts w:hint="eastAsia" w:ascii="Times New Roman" w:hAnsi="Times New Roman" w:cs="Times New Roman"/>
                <w:color w:val="auto"/>
                <w:sz w:val="24"/>
                <w:szCs w:val="24"/>
                <w:lang w:val="en-US" w:eastAsia="zh-CN"/>
              </w:rPr>
              <w:t>经</w:t>
            </w:r>
            <w:r>
              <w:rPr>
                <w:rFonts w:hint="default" w:ascii="Times New Roman" w:hAnsi="Times New Roman" w:cs="Times New Roman"/>
                <w:color w:val="auto"/>
                <w:sz w:val="24"/>
                <w:szCs w:val="24"/>
                <w:lang w:val="en-US" w:eastAsia="zh-CN"/>
              </w:rPr>
              <w:t>本项目运营期废气主要为</w:t>
            </w:r>
            <w:r>
              <w:rPr>
                <w:rFonts w:hint="eastAsia" w:ascii="Times New Roman" w:hAnsi="Times New Roman" w:cs="Times New Roman"/>
                <w:color w:val="auto"/>
                <w:sz w:val="24"/>
                <w:szCs w:val="24"/>
                <w:lang w:val="en-US" w:eastAsia="zh-CN"/>
              </w:rPr>
              <w:t>团粒机造</w:t>
            </w:r>
            <w:r>
              <w:rPr>
                <w:rFonts w:hint="default" w:ascii="Times New Roman" w:hAnsi="Times New Roman" w:cs="Times New Roman"/>
                <w:color w:val="auto"/>
                <w:sz w:val="24"/>
                <w:szCs w:val="24"/>
                <w:lang w:val="en-US" w:eastAsia="zh-CN"/>
              </w:rPr>
              <w:t>粒时产生的颗粒物和</w:t>
            </w:r>
            <w:r>
              <w:rPr>
                <w:rFonts w:hint="eastAsia" w:ascii="Times New Roman" w:hAnsi="Times New Roman" w:cs="Times New Roman"/>
                <w:color w:val="auto"/>
                <w:sz w:val="24"/>
                <w:szCs w:val="24"/>
                <w:lang w:val="en-US" w:eastAsia="zh-CN"/>
              </w:rPr>
              <w:t>非甲烷总烃，通过团粒机进料口上方的集气管道收集</w:t>
            </w:r>
            <w:r>
              <w:rPr>
                <w:rFonts w:hint="default" w:ascii="Times New Roman" w:hAnsi="Times New Roman" w:cs="Times New Roman"/>
                <w:color w:val="auto"/>
                <w:sz w:val="24"/>
                <w:szCs w:val="24"/>
                <w:lang w:val="en-US" w:eastAsia="zh-CN"/>
              </w:rPr>
              <w:t>，通过</w:t>
            </w:r>
            <w:r>
              <w:rPr>
                <w:rFonts w:hint="eastAsia" w:ascii="Times New Roman" w:hAnsi="Times New Roman" w:cs="Times New Roman"/>
                <w:color w:val="auto"/>
                <w:sz w:val="24"/>
                <w:szCs w:val="24"/>
                <w:lang w:val="en-US" w:eastAsia="zh-CN"/>
              </w:rPr>
              <w:t>“滤网除尘+水雾除尘+活性炭吸附+一根</w:t>
            </w:r>
            <w:r>
              <w:rPr>
                <w:rFonts w:hint="default" w:ascii="Times New Roman" w:hAnsi="Times New Roman" w:cs="Times New Roman"/>
                <w:color w:val="auto"/>
                <w:sz w:val="24"/>
                <w:szCs w:val="24"/>
                <w:lang w:val="en-US" w:eastAsia="zh-CN"/>
              </w:rPr>
              <w:t>15m高排气筒</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排放。本项目废气产污节点及处理措施汇总如下：</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表4.1</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本项目废气产污节点及处理措施汇总表</w:t>
            </w:r>
          </w:p>
          <w:tbl>
            <w:tblPr>
              <w:tblStyle w:val="27"/>
              <w:tblW w:w="7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2341"/>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34"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pacing w:val="-3"/>
                      <w:sz w:val="21"/>
                      <w:szCs w:val="21"/>
                      <w:vertAlign w:val="baseline"/>
                    </w:rPr>
                  </w:pPr>
                  <w:r>
                    <w:rPr>
                      <w:rFonts w:hint="default" w:ascii="Times New Roman" w:hAnsi="Times New Roman" w:cs="Times New Roman"/>
                      <w:b/>
                      <w:bCs/>
                      <w:sz w:val="21"/>
                      <w:szCs w:val="21"/>
                    </w:rPr>
                    <w:t>产污节点</w:t>
                  </w:r>
                </w:p>
              </w:tc>
              <w:tc>
                <w:tcPr>
                  <w:tcW w:w="2341"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pacing w:val="-3"/>
                      <w:sz w:val="21"/>
                      <w:szCs w:val="21"/>
                      <w:vertAlign w:val="baseline"/>
                    </w:rPr>
                  </w:pPr>
                  <w:r>
                    <w:rPr>
                      <w:rFonts w:hint="default" w:ascii="Times New Roman" w:hAnsi="Times New Roman" w:cs="Times New Roman"/>
                      <w:b/>
                      <w:bCs/>
                      <w:sz w:val="21"/>
                      <w:szCs w:val="21"/>
                    </w:rPr>
                    <w:t>污染物</w:t>
                  </w:r>
                </w:p>
              </w:tc>
              <w:tc>
                <w:tcPr>
                  <w:tcW w:w="3403"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pacing w:val="-3"/>
                      <w:sz w:val="21"/>
                      <w:szCs w:val="21"/>
                      <w:vertAlign w:val="baseline"/>
                    </w:rPr>
                  </w:pPr>
                  <w:r>
                    <w:rPr>
                      <w:rFonts w:hint="default" w:ascii="Times New Roman" w:hAnsi="Times New Roman" w:cs="Times New Roman"/>
                      <w:b/>
                      <w:bCs/>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834" w:type="dxa"/>
                  <w:vMerge w:val="restart"/>
                  <w:noWrap w:val="0"/>
                  <w:vAlign w:val="center"/>
                </w:tcPr>
                <w:p>
                  <w:pPr>
                    <w:pStyle w:val="90"/>
                    <w:spacing w:before="172" w:line="240" w:lineRule="auto"/>
                    <w:ind w:left="0" w:leftChars="0" w:firstLine="0" w:firstLineChars="0"/>
                    <w:jc w:val="center"/>
                    <w:rPr>
                      <w:rFonts w:hint="default" w:ascii="Times New Roman" w:hAnsi="Times New Roman" w:eastAsia="宋体" w:cs="Times New Roman"/>
                      <w:b/>
                      <w:bCs/>
                      <w:spacing w:val="-3"/>
                      <w:sz w:val="21"/>
                      <w:szCs w:val="21"/>
                      <w:vertAlign w:val="baseline"/>
                      <w:lang w:eastAsia="zh-CN"/>
                    </w:rPr>
                  </w:pPr>
                  <w:r>
                    <w:rPr>
                      <w:rFonts w:hint="default" w:ascii="Times New Roman" w:hAnsi="Times New Roman" w:cs="Times New Roman"/>
                      <w:spacing w:val="-2"/>
                      <w:sz w:val="21"/>
                      <w:szCs w:val="21"/>
                      <w:lang w:eastAsia="zh-CN"/>
                    </w:rPr>
                    <w:t>团粒</w:t>
                  </w:r>
                </w:p>
              </w:tc>
              <w:tc>
                <w:tcPr>
                  <w:tcW w:w="2341" w:type="dxa"/>
                  <w:noWrap w:val="0"/>
                  <w:vAlign w:val="center"/>
                </w:tcPr>
                <w:p>
                  <w:pPr>
                    <w:pStyle w:val="90"/>
                    <w:spacing w:before="172" w:line="240" w:lineRule="auto"/>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3403" w:type="dxa"/>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pacing w:val="-3"/>
                      <w:sz w:val="21"/>
                      <w:szCs w:val="21"/>
                      <w:vertAlign w:val="baseline"/>
                      <w:lang w:val="en-US"/>
                    </w:rPr>
                  </w:pPr>
                  <w:r>
                    <w:rPr>
                      <w:rFonts w:hint="eastAsia" w:ascii="Times New Roman" w:hAnsi="Times New Roman" w:cs="Times New Roman"/>
                      <w:spacing w:val="-2"/>
                      <w:sz w:val="21"/>
                      <w:szCs w:val="21"/>
                      <w:lang w:val="en-US" w:eastAsia="zh-CN"/>
                    </w:rPr>
                    <w:t>滤网除尘+水雾除尘+活性炭吸附+一根15</w:t>
                  </w:r>
                  <w:r>
                    <w:rPr>
                      <w:rFonts w:hint="default" w:ascii="Times New Roman" w:hAnsi="Times New Roman" w:cs="Times New Roman"/>
                      <w:spacing w:val="-2"/>
                      <w:sz w:val="21"/>
                      <w:szCs w:val="21"/>
                      <w:lang w:eastAsia="zh-CN"/>
                    </w:rPr>
                    <w:t>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834" w:type="dxa"/>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spacing w:val="-2"/>
                      <w:sz w:val="21"/>
                      <w:szCs w:val="21"/>
                      <w:lang w:eastAsia="zh-CN"/>
                    </w:rPr>
                  </w:pPr>
                </w:p>
              </w:tc>
              <w:tc>
                <w:tcPr>
                  <w:tcW w:w="2341" w:type="dxa"/>
                  <w:noWrap w:val="0"/>
                  <w:vAlign w:val="center"/>
                </w:tcPr>
                <w:p>
                  <w:pPr>
                    <w:pStyle w:val="90"/>
                    <w:spacing w:before="172" w:line="240" w:lineRule="auto"/>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非甲烷总烃</w:t>
                  </w:r>
                </w:p>
              </w:tc>
              <w:tc>
                <w:tcPr>
                  <w:tcW w:w="3403" w:type="dxa"/>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sz w:val="21"/>
                      <w:szCs w:val="21"/>
                    </w:rPr>
                  </w:pPr>
                </w:p>
              </w:tc>
            </w:tr>
          </w:tbl>
          <w:p>
            <w:pPr>
              <w:pStyle w:val="90"/>
              <w:numPr>
                <w:ilvl w:val="0"/>
                <w:numId w:val="4"/>
              </w:numPr>
              <w:spacing w:before="164" w:line="360" w:lineRule="auto"/>
              <w:ind w:right="168"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造粒废气</w:t>
            </w:r>
          </w:p>
          <w:p>
            <w:pPr>
              <w:keepNext w:val="0"/>
              <w:keepLines w:val="0"/>
              <w:widowControl/>
              <w:suppressLineNumbers w:val="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环评要求：类比同行业及</w:t>
            </w:r>
            <w:r>
              <w:rPr>
                <w:rFonts w:hint="eastAsia"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排放源统计调查产排污核算方法</w:t>
            </w:r>
            <w:r>
              <w:rPr>
                <w:rFonts w:hint="eastAsia" w:ascii="Times New Roman" w:hAnsi="Times New Roman" w:eastAsia="宋体" w:cs="Times New Roman"/>
                <w:color w:val="auto"/>
                <w:kern w:val="2"/>
                <w:sz w:val="24"/>
                <w:szCs w:val="24"/>
                <w:lang w:val="en-US" w:eastAsia="zh-CN" w:bidi="ar-SA"/>
              </w:rPr>
              <w:t>和系数手册</w:t>
            </w:r>
            <w:r>
              <w:rPr>
                <w:rFonts w:hint="eastAsia" w:cs="Times New Roman"/>
                <w:color w:val="auto"/>
                <w:kern w:val="2"/>
                <w:sz w:val="24"/>
                <w:szCs w:val="24"/>
                <w:lang w:val="en-US" w:eastAsia="zh-CN" w:bidi="ar-SA"/>
              </w:rPr>
              <w: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集气管道的收集效率按70%计</w:t>
            </w:r>
            <w:r>
              <w:rPr>
                <w:rFonts w:hint="eastAsia" w:ascii="Times New Roman" w:hAnsi="Times New Roman" w:cs="Times New Roman"/>
                <w:color w:val="auto"/>
                <w:sz w:val="24"/>
                <w:szCs w:val="24"/>
                <w:lang w:val="en-US" w:eastAsia="zh-CN"/>
              </w:rPr>
              <w:t>，废气经活性炭吸附（处理效率取55%）去除废气中的非甲烷总烃、经</w:t>
            </w:r>
            <w:r>
              <w:rPr>
                <w:rFonts w:hint="default" w:ascii="Times New Roman" w:hAnsi="Times New Roman" w:cs="Times New Roman"/>
                <w:color w:val="auto"/>
                <w:sz w:val="24"/>
                <w:szCs w:val="24"/>
                <w:lang w:val="en-US" w:eastAsia="zh-CN"/>
              </w:rPr>
              <w:t>滤</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网除尘+水雾除尘</w:t>
            </w:r>
            <w:r>
              <w:rPr>
                <w:rFonts w:hint="eastAsia" w:ascii="Times New Roman" w:hAnsi="Times New Roman" w:cs="Times New Roman"/>
                <w:color w:val="auto"/>
                <w:sz w:val="24"/>
                <w:szCs w:val="24"/>
                <w:lang w:val="en-US" w:eastAsia="zh-CN"/>
              </w:rPr>
              <w:t>”（处理</w:t>
            </w:r>
            <w:r>
              <w:rPr>
                <w:rFonts w:hint="default" w:ascii="Times New Roman" w:hAnsi="Times New Roman" w:cs="Times New Roman"/>
                <w:color w:val="auto"/>
                <w:sz w:val="24"/>
                <w:szCs w:val="24"/>
                <w:lang w:val="en-US" w:eastAsia="zh-CN"/>
              </w:rPr>
              <w:t>效率</w:t>
            </w:r>
            <w:r>
              <w:rPr>
                <w:rFonts w:hint="eastAsia" w:ascii="Times New Roman" w:hAnsi="Times New Roman" w:cs="Times New Roman"/>
                <w:color w:val="auto"/>
                <w:sz w:val="24"/>
                <w:szCs w:val="24"/>
                <w:lang w:val="en-US" w:eastAsia="zh-CN"/>
              </w:rPr>
              <w:t>取</w:t>
            </w:r>
            <w:r>
              <w:rPr>
                <w:rFonts w:hint="default" w:ascii="Times New Roman" w:hAnsi="Times New Roman" w:cs="Times New Roman"/>
                <w:color w:val="auto"/>
                <w:sz w:val="24"/>
                <w:szCs w:val="24"/>
                <w:lang w:val="en-US" w:eastAsia="zh-CN"/>
              </w:rPr>
              <w:t>90%</w:t>
            </w:r>
            <w:r>
              <w:rPr>
                <w:rFonts w:hint="eastAsia" w:ascii="Times New Roman" w:hAnsi="Times New Roman" w:cs="Times New Roman"/>
                <w:color w:val="auto"/>
                <w:sz w:val="24"/>
                <w:szCs w:val="24"/>
                <w:lang w:val="en-US" w:eastAsia="zh-CN"/>
              </w:rPr>
              <w:t>）去除废气中的非甲烷总烃和颗粒物后，经风机引至房顶，通过15m高排气筒高空排放。</w:t>
            </w:r>
          </w:p>
          <w:p>
            <w:pPr>
              <w:pStyle w:val="90"/>
              <w:spacing w:before="164" w:line="360" w:lineRule="auto"/>
              <w:ind w:right="168"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①非甲烷总烃</w:t>
            </w:r>
          </w:p>
          <w:p>
            <w:pPr>
              <w:pStyle w:val="90"/>
              <w:spacing w:before="164" w:line="360" w:lineRule="auto"/>
              <w:ind w:right="168"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本项目在团粒机运行过程中，物料不会发生</w:t>
            </w:r>
            <w:r>
              <w:rPr>
                <w:rFonts w:hint="eastAsia" w:ascii="Times New Roman" w:hAnsi="Times New Roman" w:cs="Times New Roman"/>
                <w:color w:val="auto"/>
                <w:sz w:val="24"/>
                <w:szCs w:val="24"/>
                <w:lang w:val="en-US" w:eastAsia="zh-CN"/>
              </w:rPr>
              <w:t>热</w:t>
            </w:r>
            <w:r>
              <w:rPr>
                <w:rFonts w:hint="default" w:ascii="Times New Roman" w:hAnsi="Times New Roman" w:cs="Times New Roman"/>
                <w:color w:val="auto"/>
                <w:sz w:val="24"/>
                <w:szCs w:val="24"/>
                <w:lang w:val="en-US" w:eastAsia="zh-CN"/>
              </w:rPr>
              <w:t>分解，但会产生少量的烃类混合物，以非甲烷总烃计。参照《排放源统计调查产排污核算方法和系数手册》</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生态环境部公告2021年第24号</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-4220非金属废料和碎屑加工处理行业系数表中废PE/PP造粒，非甲烷总烃产生量按350g/t-原料估算</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本项目使用原辅材料实际总重量为</w:t>
            </w:r>
            <w:r>
              <w:rPr>
                <w:rFonts w:hint="eastAsia" w:ascii="Times New Roman" w:hAnsi="Times New Roman" w:cs="Times New Roman"/>
                <w:color w:val="auto"/>
                <w:sz w:val="24"/>
                <w:szCs w:val="24"/>
                <w:lang w:val="en-US" w:eastAsia="zh-CN"/>
              </w:rPr>
              <w:t>2240.7t</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lang w:val="en-US" w:eastAsia="zh-CN"/>
              </w:rPr>
              <w:t>则造粒产生的非甲烷总烃量为</w:t>
            </w:r>
            <w:r>
              <w:rPr>
                <w:rFonts w:hint="eastAsia" w:ascii="Times New Roman" w:hAnsi="Times New Roman" w:cs="Times New Roman"/>
                <w:color w:val="auto"/>
                <w:sz w:val="24"/>
                <w:szCs w:val="24"/>
                <w:lang w:val="en-US" w:eastAsia="zh-CN"/>
              </w:rPr>
              <w:t>0.784</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p>
          <w:p>
            <w:pPr>
              <w:pStyle w:val="90"/>
              <w:spacing w:before="164" w:line="362" w:lineRule="auto"/>
              <w:ind w:right="168"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则收集</w:t>
            </w:r>
            <w:r>
              <w:rPr>
                <w:rFonts w:hint="eastAsia" w:ascii="Times New Roman" w:hAnsi="Times New Roman" w:cs="Times New Roman"/>
                <w:color w:val="auto"/>
                <w:sz w:val="24"/>
                <w:szCs w:val="24"/>
                <w:lang w:val="en-US" w:eastAsia="zh-CN"/>
              </w:rPr>
              <w:t>的非甲烷总烃</w:t>
            </w:r>
            <w:r>
              <w:rPr>
                <w:rFonts w:hint="default" w:ascii="Times New Roman" w:hAnsi="Times New Roman" w:cs="Times New Roman"/>
                <w:color w:val="auto"/>
                <w:sz w:val="24"/>
                <w:szCs w:val="24"/>
                <w:lang w:val="en-US" w:eastAsia="zh-CN"/>
              </w:rPr>
              <w:t>量为0.</w:t>
            </w:r>
            <w:r>
              <w:rPr>
                <w:rFonts w:hint="eastAsia" w:ascii="Times New Roman" w:hAnsi="Times New Roman" w:cs="Times New Roman"/>
                <w:color w:val="auto"/>
                <w:sz w:val="24"/>
                <w:szCs w:val="24"/>
                <w:lang w:val="en-US" w:eastAsia="zh-CN"/>
              </w:rPr>
              <w:t>549</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活性炭吸附量为0.302</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未收集</w:t>
            </w:r>
            <w:r>
              <w:rPr>
                <w:rFonts w:hint="eastAsia" w:ascii="Times New Roman" w:hAnsi="Times New Roman" w:cs="Times New Roman"/>
                <w:color w:val="auto"/>
                <w:sz w:val="24"/>
                <w:szCs w:val="24"/>
                <w:lang w:val="en-US" w:eastAsia="zh-CN"/>
              </w:rPr>
              <w:t>的非甲烷总烃</w:t>
            </w:r>
            <w:r>
              <w:rPr>
                <w:rFonts w:hint="default" w:ascii="Times New Roman" w:hAnsi="Times New Roman" w:cs="Times New Roman"/>
                <w:color w:val="auto"/>
                <w:sz w:val="24"/>
                <w:szCs w:val="24"/>
                <w:lang w:val="en-US" w:eastAsia="zh-CN"/>
              </w:rPr>
              <w:t>量为0.</w:t>
            </w:r>
            <w:r>
              <w:rPr>
                <w:rFonts w:hint="eastAsia" w:ascii="Times New Roman" w:hAnsi="Times New Roman" w:cs="Times New Roman"/>
                <w:color w:val="auto"/>
                <w:sz w:val="24"/>
                <w:szCs w:val="24"/>
                <w:lang w:val="en-US" w:eastAsia="zh-CN"/>
              </w:rPr>
              <w:t>235</w:t>
            </w:r>
            <w:r>
              <w:rPr>
                <w:rFonts w:hint="default" w:ascii="Times New Roman" w:hAnsi="Times New Roman" w:cs="Times New Roman"/>
                <w:color w:val="auto"/>
                <w:sz w:val="24"/>
                <w:szCs w:val="24"/>
                <w:lang w:val="en-US" w:eastAsia="zh-CN"/>
              </w:rPr>
              <w:t>t/a。</w:t>
            </w:r>
          </w:p>
          <w:p>
            <w:pPr>
              <w:pStyle w:val="90"/>
              <w:spacing w:before="164" w:line="362" w:lineRule="auto"/>
              <w:ind w:right="168"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②颗粒物</w:t>
            </w:r>
          </w:p>
          <w:p>
            <w:pPr>
              <w:pStyle w:val="90"/>
              <w:spacing w:before="164" w:line="362" w:lineRule="auto"/>
              <w:ind w:right="168"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在加料、搅拌、团粒过程，会有一定的颗粒物产生。类比同类型</w:t>
            </w:r>
            <w:r>
              <w:rPr>
                <w:rFonts w:hint="eastAsia" w:ascii="Times New Roman" w:hAnsi="Times New Roman" w:cs="Times New Roman"/>
                <w:color w:val="auto"/>
                <w:sz w:val="24"/>
                <w:szCs w:val="24"/>
                <w:lang w:val="en-US" w:eastAsia="zh-CN"/>
              </w:rPr>
              <w:t>《安徽德俊新材料科技有限公司年破碎1.5万吨废丝和布边角料制团粒项目》，</w:t>
            </w:r>
            <w:r>
              <w:rPr>
                <w:rFonts w:hint="default" w:ascii="Times New Roman" w:hAnsi="Times New Roman" w:cs="Times New Roman"/>
                <w:color w:val="auto"/>
                <w:sz w:val="24"/>
                <w:szCs w:val="24"/>
                <w:lang w:val="en-US" w:eastAsia="zh-CN"/>
              </w:rPr>
              <w:t>颗粒物产生量为0.2kg/t·原料（废旧塑料），则团粒产生的颗粒物量为0.448t/a。集气管道的收集效率按70%计</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滤网除尘+水雾除尘</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除尘效率按90%计，则</w:t>
            </w:r>
            <w:r>
              <w:rPr>
                <w:rFonts w:hint="eastAsia" w:ascii="Times New Roman" w:hAnsi="Times New Roman" w:cs="Times New Roman"/>
                <w:color w:val="auto"/>
                <w:sz w:val="24"/>
                <w:szCs w:val="24"/>
                <w:lang w:val="en-US" w:eastAsia="zh-CN"/>
              </w:rPr>
              <w:t>集气管道</w:t>
            </w:r>
            <w:r>
              <w:rPr>
                <w:rFonts w:hint="default" w:ascii="Times New Roman" w:hAnsi="Times New Roman" w:cs="Times New Roman"/>
                <w:color w:val="auto"/>
                <w:sz w:val="24"/>
                <w:szCs w:val="24"/>
                <w:lang w:val="en-US" w:eastAsia="zh-CN"/>
              </w:rPr>
              <w:t>收集颗粒物量为</w:t>
            </w:r>
            <w:r>
              <w:rPr>
                <w:rFonts w:hint="eastAsia" w:ascii="Times New Roman" w:hAnsi="Times New Roman" w:cs="Times New Roman"/>
                <w:color w:val="auto"/>
                <w:sz w:val="24"/>
                <w:szCs w:val="24"/>
                <w:lang w:val="en-US" w:eastAsia="zh-CN"/>
              </w:rPr>
              <w:t>0.314</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未收集颗粒物量为0.134t/a。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滤网除尘+水雾除尘</w:t>
            </w:r>
            <w:r>
              <w:rPr>
                <w:rFonts w:hint="eastAsia" w:ascii="Times New Roman" w:hAnsi="Times New Roman" w:cs="Times New Roman"/>
                <w:color w:val="auto"/>
                <w:sz w:val="24"/>
                <w:szCs w:val="24"/>
                <w:lang w:val="en-US" w:eastAsia="zh-CN"/>
              </w:rPr>
              <w:t>”收集颗粒物量为0.283</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未收集颗粒物量为0</w:t>
            </w:r>
            <w:r>
              <w:rPr>
                <w:rFonts w:hint="eastAsia" w:ascii="Times New Roman" w:hAnsi="Times New Roman" w:cs="Times New Roman"/>
                <w:color w:val="auto"/>
                <w:sz w:val="24"/>
                <w:szCs w:val="24"/>
                <w:lang w:val="en-US" w:eastAsia="zh-CN"/>
              </w:rPr>
              <w:t>.031</w:t>
            </w:r>
            <w:r>
              <w:rPr>
                <w:rFonts w:hint="default" w:ascii="Times New Roman" w:hAnsi="Times New Roman" w:cs="Times New Roman"/>
                <w:color w:val="auto"/>
                <w:sz w:val="24"/>
                <w:szCs w:val="24"/>
                <w:lang w:val="en-US" w:eastAsia="zh-CN"/>
              </w:rPr>
              <w:t>t/a。</w:t>
            </w:r>
          </w:p>
          <w:p>
            <w:pPr>
              <w:pStyle w:val="90"/>
              <w:spacing w:before="164" w:line="362" w:lineRule="auto"/>
              <w:ind w:right="168"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lang w:val="en-US" w:eastAsia="zh-CN"/>
              </w:rPr>
              <w:t>《排放源统计调查产排污核算方法和系数手册》</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生态环境部公告2021年第24号</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-4220非金属废料和碎屑加工处理行业系数表中废PE/PP造粒</w:t>
            </w:r>
            <w:r>
              <w:rPr>
                <w:rFonts w:hint="eastAsia" w:ascii="Times New Roman" w:hAnsi="Times New Roman" w:cs="Times New Roman"/>
                <w:color w:val="auto"/>
                <w:sz w:val="24"/>
                <w:szCs w:val="24"/>
                <w:lang w:val="en-US" w:eastAsia="zh-CN"/>
              </w:rPr>
              <w:t>工业废气量按4000Nm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/吨－原料计。</w:t>
            </w:r>
          </w:p>
          <w:p>
            <w:pPr>
              <w:pStyle w:val="90"/>
              <w:spacing w:before="164" w:line="362" w:lineRule="auto"/>
              <w:ind w:right="168"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造粒工序年工作时长为</w:t>
            </w:r>
            <w:r>
              <w:rPr>
                <w:rFonts w:hint="eastAsia" w:ascii="Times New Roman" w:hAnsi="Times New Roman" w:cs="Times New Roman"/>
                <w:color w:val="auto"/>
                <w:sz w:val="24"/>
                <w:szCs w:val="24"/>
                <w:lang w:val="en-US" w:eastAsia="zh-CN"/>
              </w:rPr>
              <w:t>2400</w:t>
            </w:r>
            <w:r>
              <w:rPr>
                <w:rFonts w:hint="default"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lang w:val="en-US" w:eastAsia="zh-CN"/>
              </w:rPr>
              <w:t>，则有组织</w:t>
            </w:r>
            <w:r>
              <w:rPr>
                <w:rFonts w:hint="default" w:ascii="Times New Roman" w:hAnsi="Times New Roman" w:cs="Times New Roman"/>
                <w:color w:val="auto"/>
                <w:sz w:val="24"/>
                <w:szCs w:val="24"/>
                <w:lang w:val="en-US" w:eastAsia="zh-CN"/>
              </w:rPr>
              <w:t>非甲烷总烃排放量为</w:t>
            </w:r>
            <w:r>
              <w:rPr>
                <w:rFonts w:hint="eastAsia" w:ascii="Times New Roman" w:hAnsi="Times New Roman" w:cs="Times New Roman"/>
                <w:color w:val="auto"/>
                <w:sz w:val="24"/>
                <w:szCs w:val="24"/>
                <w:lang w:val="en-US" w:eastAsia="zh-CN"/>
              </w:rPr>
              <w:t>0.247</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排放速率为</w:t>
            </w:r>
            <w:r>
              <w:rPr>
                <w:rFonts w:hint="eastAsia" w:ascii="Times New Roman" w:hAnsi="Times New Roman" w:cs="Times New Roman"/>
                <w:color w:val="auto"/>
                <w:sz w:val="24"/>
                <w:szCs w:val="24"/>
                <w:lang w:val="en-US" w:eastAsia="zh-CN"/>
              </w:rPr>
              <w:t>0.103</w:t>
            </w:r>
            <w:r>
              <w:rPr>
                <w:rFonts w:hint="default" w:ascii="Times New Roman" w:hAnsi="Times New Roman" w:cs="Times New Roman"/>
                <w:color w:val="auto"/>
                <w:sz w:val="24"/>
                <w:szCs w:val="24"/>
                <w:lang w:val="en-US" w:eastAsia="zh-CN"/>
              </w:rPr>
              <w:t>kg/h，排放浓度为</w:t>
            </w:r>
            <w:r>
              <w:rPr>
                <w:rFonts w:hint="eastAsia" w:ascii="Times New Roman" w:hAnsi="Times New Roman" w:cs="Times New Roman"/>
                <w:color w:val="auto"/>
                <w:sz w:val="24"/>
                <w:szCs w:val="24"/>
                <w:lang w:val="en-US" w:eastAsia="zh-CN"/>
              </w:rPr>
              <w:t>27.6</w:t>
            </w:r>
            <w:r>
              <w:rPr>
                <w:rFonts w:hint="default" w:ascii="Times New Roman" w:hAnsi="Times New Roman" w:cs="Times New Roman"/>
                <w:color w:val="auto"/>
                <w:sz w:val="24"/>
                <w:szCs w:val="24"/>
                <w:lang w:val="en-US" w:eastAsia="zh-CN"/>
              </w:rPr>
              <w:t>mg/m³</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非甲烷总烃无组织排放量</w:t>
            </w:r>
            <w:r>
              <w:rPr>
                <w:rFonts w:hint="eastAsia" w:ascii="Times New Roman" w:hAnsi="Times New Roman" w:cs="Times New Roman"/>
                <w:color w:val="auto"/>
                <w:sz w:val="24"/>
                <w:szCs w:val="24"/>
                <w:lang w:val="en-US" w:eastAsia="zh-CN"/>
              </w:rPr>
              <w:t>为0.235</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产生及排放速率为</w:t>
            </w:r>
            <w:r>
              <w:rPr>
                <w:rFonts w:hint="eastAsia" w:ascii="Times New Roman" w:hAnsi="Times New Roman" w:cs="Times New Roman"/>
                <w:color w:val="auto"/>
                <w:sz w:val="24"/>
                <w:szCs w:val="24"/>
                <w:lang w:val="en-US" w:eastAsia="zh-CN"/>
              </w:rPr>
              <w:t>0.098</w:t>
            </w:r>
            <w:r>
              <w:rPr>
                <w:rFonts w:hint="default" w:ascii="Times New Roman" w:hAnsi="Times New Roman" w:cs="Times New Roman"/>
                <w:color w:val="auto"/>
                <w:sz w:val="24"/>
                <w:szCs w:val="24"/>
                <w:lang w:val="en-US" w:eastAsia="zh-CN"/>
              </w:rPr>
              <w:t>kg/h</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造粒颗粒物有组织排放量</w:t>
            </w:r>
            <w:r>
              <w:rPr>
                <w:rFonts w:hint="eastAsia" w:ascii="Times New Roman" w:hAnsi="Times New Roman" w:cs="Times New Roman"/>
                <w:color w:val="auto"/>
                <w:sz w:val="24"/>
                <w:szCs w:val="24"/>
                <w:lang w:val="en-US" w:eastAsia="zh-CN"/>
              </w:rPr>
              <w:t>为0.031</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排放速率为</w:t>
            </w:r>
            <w:r>
              <w:rPr>
                <w:rFonts w:hint="eastAsia" w:ascii="Times New Roman" w:hAnsi="Times New Roman" w:cs="Times New Roman"/>
                <w:color w:val="auto"/>
                <w:sz w:val="24"/>
                <w:szCs w:val="24"/>
                <w:lang w:val="en-US" w:eastAsia="zh-CN"/>
              </w:rPr>
              <w:t>0.013</w:t>
            </w:r>
            <w:r>
              <w:rPr>
                <w:rFonts w:hint="default" w:ascii="Times New Roman" w:hAnsi="Times New Roman" w:cs="Times New Roman"/>
                <w:color w:val="auto"/>
                <w:sz w:val="24"/>
                <w:szCs w:val="24"/>
                <w:lang w:val="en-US" w:eastAsia="zh-CN"/>
              </w:rPr>
              <w:t>kg/h</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排放浓度为</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val="en-US" w:eastAsia="zh-CN"/>
              </w:rPr>
              <w:t>mg/m³</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无组织产生及排放量为</w:t>
            </w:r>
            <w:r>
              <w:rPr>
                <w:rFonts w:hint="eastAsia" w:ascii="Times New Roman" w:hAnsi="Times New Roman" w:cs="Times New Roman"/>
                <w:color w:val="auto"/>
                <w:sz w:val="24"/>
                <w:szCs w:val="24"/>
                <w:lang w:val="en-US" w:eastAsia="zh-CN"/>
              </w:rPr>
              <w:t>0.134</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产生及排放速率为</w:t>
            </w:r>
            <w:r>
              <w:rPr>
                <w:rFonts w:hint="eastAsia" w:ascii="Times New Roman" w:hAnsi="Times New Roman" w:cs="Times New Roman"/>
                <w:color w:val="auto"/>
                <w:sz w:val="24"/>
                <w:szCs w:val="24"/>
                <w:lang w:val="en-US" w:eastAsia="zh-CN"/>
              </w:rPr>
              <w:t>0.056</w:t>
            </w:r>
            <w:r>
              <w:rPr>
                <w:rFonts w:hint="default" w:ascii="Times New Roman" w:hAnsi="Times New Roman" w:cs="Times New Roman"/>
                <w:color w:val="auto"/>
                <w:sz w:val="24"/>
                <w:szCs w:val="24"/>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.2废气排放情况</w:t>
            </w:r>
            <w:r>
              <w:rPr>
                <w:rFonts w:hint="eastAsia" w:ascii="Times New Roman" w:hAnsi="Times New Roman" w:eastAsia="宋体" w:cs="Times New Roman"/>
                <w:b/>
                <w:bCs/>
                <w:color w:val="auto"/>
                <w:highlight w:val="none"/>
                <w:lang w:val="en-US" w:eastAsia="zh-CN"/>
              </w:rPr>
              <w:t>及可行性分析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表4.2</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本项目废气产生排放情况一览表</w:t>
            </w:r>
          </w:p>
          <w:tbl>
            <w:tblPr>
              <w:tblStyle w:val="26"/>
              <w:tblW w:w="7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30"/>
              <w:gridCol w:w="932"/>
              <w:gridCol w:w="830"/>
              <w:gridCol w:w="1314"/>
              <w:gridCol w:w="874"/>
              <w:gridCol w:w="830"/>
              <w:gridCol w:w="911"/>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52" w:type="dxa"/>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产污环节</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排放形式</w:t>
                  </w:r>
                </w:p>
              </w:tc>
              <w:tc>
                <w:tcPr>
                  <w:tcW w:w="932"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产生量t/a</w:t>
                  </w:r>
                </w:p>
              </w:tc>
              <w:tc>
                <w:tcPr>
                  <w:tcW w:w="2188" w:type="dxa"/>
                  <w:gridSpan w:val="2"/>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废气处理设施</w:t>
                  </w:r>
                </w:p>
              </w:tc>
              <w:tc>
                <w:tcPr>
                  <w:tcW w:w="2504" w:type="dxa"/>
                  <w:gridSpan w:val="3"/>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452"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p>
              </w:tc>
              <w:tc>
                <w:tcPr>
                  <w:tcW w:w="932"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p>
              </w:tc>
              <w:tc>
                <w:tcPr>
                  <w:tcW w:w="1314"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污染防治措施</w:t>
                  </w:r>
                </w:p>
              </w:tc>
              <w:tc>
                <w:tcPr>
                  <w:tcW w:w="874"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是否为可行技术</w:t>
                  </w:r>
                </w:p>
              </w:tc>
              <w:tc>
                <w:tcPr>
                  <w:tcW w:w="830"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排放浓度mg/m</w:t>
                  </w:r>
                  <w:r>
                    <w:rPr>
                      <w:rFonts w:hint="default" w:ascii="Times New Roman" w:hAnsi="Times New Roman" w:cs="Times New Roman"/>
                      <w:b/>
                      <w:bCs/>
                      <w:sz w:val="21"/>
                      <w:szCs w:val="21"/>
                      <w:vertAlign w:val="superscript"/>
                    </w:rPr>
                    <w:t>3</w:t>
                  </w:r>
                </w:p>
              </w:tc>
              <w:tc>
                <w:tcPr>
                  <w:tcW w:w="911"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排放速率kg/h</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52"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830" w:type="dxa"/>
                  <w:vMerge w:val="restart"/>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有组织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p>
              </w:tc>
              <w:tc>
                <w:tcPr>
                  <w:tcW w:w="830" w:type="dxa"/>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0.314</w:t>
                  </w:r>
                </w:p>
              </w:tc>
              <w:tc>
                <w:tcPr>
                  <w:tcW w:w="1314" w:type="dxa"/>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滤网除尘+水雾除尘</w:t>
                  </w:r>
                  <w:r>
                    <w:rPr>
                      <w:rFonts w:hint="eastAsia" w:ascii="Times New Roman" w:hAnsi="Times New Roman" w:cs="Times New Roman"/>
                      <w:b w:val="0"/>
                      <w:bCs w:val="0"/>
                      <w:sz w:val="21"/>
                      <w:szCs w:val="21"/>
                      <w:lang w:val="en-US" w:eastAsia="zh-CN"/>
                    </w:rPr>
                    <w:t>+活性炭吸附+一根</w:t>
                  </w:r>
                  <w:r>
                    <w:rPr>
                      <w:rFonts w:hint="default" w:ascii="Times New Roman" w:hAnsi="Times New Roman" w:cs="Times New Roman"/>
                      <w:b w:val="0"/>
                      <w:bCs w:val="0"/>
                      <w:sz w:val="21"/>
                      <w:szCs w:val="21"/>
                      <w:lang w:val="en-US" w:eastAsia="zh-CN"/>
                    </w:rPr>
                    <w:t>15m高排气筒排放</w:t>
                  </w:r>
                </w:p>
              </w:tc>
              <w:tc>
                <w:tcPr>
                  <w:tcW w:w="874" w:type="dxa"/>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可行</w:t>
                  </w:r>
                </w:p>
              </w:tc>
              <w:tc>
                <w:tcPr>
                  <w:tcW w:w="830"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color w:val="FF0000"/>
                      <w:sz w:val="21"/>
                      <w:szCs w:val="21"/>
                      <w:lang w:val="en-US" w:eastAsia="zh-CN"/>
                    </w:rPr>
                  </w:pPr>
                  <w:r>
                    <w:rPr>
                      <w:rFonts w:hint="eastAsia" w:ascii="Times New Roman" w:hAnsi="Times New Roman" w:cs="Times New Roman"/>
                      <w:b w:val="0"/>
                      <w:bCs w:val="0"/>
                      <w:sz w:val="21"/>
                      <w:szCs w:val="21"/>
                      <w:lang w:val="en-US" w:eastAsia="zh-CN"/>
                    </w:rPr>
                    <w:t>3.5</w:t>
                  </w:r>
                </w:p>
              </w:tc>
              <w:tc>
                <w:tcPr>
                  <w:tcW w:w="911"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0.013</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52"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830"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非甲烷总烃</w:t>
                  </w:r>
                </w:p>
              </w:tc>
              <w:tc>
                <w:tcPr>
                  <w:tcW w:w="830" w:type="dxa"/>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0.549</w:t>
                  </w:r>
                </w:p>
              </w:tc>
              <w:tc>
                <w:tcPr>
                  <w:tcW w:w="1314" w:type="dxa"/>
                  <w:vMerge w:val="continue"/>
                  <w:tcBorders>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874" w:type="dxa"/>
                  <w:vMerge w:val="continue"/>
                  <w:tcBorders>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27.6</w:t>
                  </w:r>
                </w:p>
              </w:tc>
              <w:tc>
                <w:tcPr>
                  <w:tcW w:w="911"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0.103</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52"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830" w:type="dxa"/>
                  <w:vMerge w:val="restart"/>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无组织</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颗粒物</w:t>
                  </w:r>
                </w:p>
              </w:tc>
              <w:tc>
                <w:tcPr>
                  <w:tcW w:w="830" w:type="dxa"/>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0.134</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874"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0.056</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52"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830" w:type="dxa"/>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32"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非甲烷总烃</w:t>
                  </w:r>
                </w:p>
              </w:tc>
              <w:tc>
                <w:tcPr>
                  <w:tcW w:w="830" w:type="dxa"/>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0.235</w:t>
                  </w:r>
                </w:p>
              </w:tc>
              <w:tc>
                <w:tcPr>
                  <w:tcW w:w="1314"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874"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0.098</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0.235</w:t>
                  </w:r>
                </w:p>
              </w:tc>
            </w:tr>
          </w:tbl>
          <w:p>
            <w:pPr>
              <w:pStyle w:val="90"/>
              <w:spacing w:before="168" w:line="459" w:lineRule="exact"/>
              <w:ind w:left="0" w:lef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废气治理措施可行性分析：</w:t>
            </w:r>
          </w:p>
          <w:p>
            <w:pPr>
              <w:pStyle w:val="90"/>
              <w:spacing w:before="168" w:line="459" w:lineRule="exact"/>
              <w:ind w:left="0" w:lef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参考《排污许可证申请与核发技术规范橡胶和塑料制品工业》（HJ1122—2020）附录－《表A.2塑料制品工业排污单位废气污染防治可行技术参考表》中塑料零件及其他塑料制品制造过程中产生的非甲烷总烃污染物防治可行性技术为：喷淋；吸附；吸附浓缩+热力燃烧/催化燃烧；颗粒物防治可行性技术为袋式除尘；滤筒</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滤芯除尘。本项目拟采用的“</w:t>
            </w:r>
            <w:r>
              <w:rPr>
                <w:rFonts w:hint="default" w:ascii="Times New Roman" w:hAnsi="Times New Roman" w:eastAsia="宋体" w:cs="Times New Roman"/>
                <w:color w:val="auto"/>
                <w:sz w:val="24"/>
                <w:szCs w:val="24"/>
                <w:lang w:val="en-US" w:eastAsia="zh-CN"/>
              </w:rPr>
              <w:t>滤网除尘+水雾除尘</w:t>
            </w:r>
            <w:r>
              <w:rPr>
                <w:rFonts w:hint="eastAsia" w:ascii="Times New Roman" w:hAnsi="Times New Roman" w:eastAsia="宋体" w:cs="Times New Roman"/>
                <w:color w:val="auto"/>
                <w:sz w:val="24"/>
                <w:szCs w:val="24"/>
                <w:lang w:val="en-US" w:eastAsia="zh-CN"/>
              </w:rPr>
              <w:t>+活性炭吸附+一根</w:t>
            </w:r>
            <w:r>
              <w:rPr>
                <w:rFonts w:hint="default" w:ascii="Times New Roman" w:hAnsi="Times New Roman" w:eastAsia="宋体" w:cs="Times New Roman"/>
                <w:color w:val="auto"/>
                <w:sz w:val="24"/>
                <w:szCs w:val="24"/>
                <w:lang w:val="en-US" w:eastAsia="zh-CN"/>
              </w:rPr>
              <w:t>15m高排气筒</w:t>
            </w:r>
            <w:r>
              <w:rPr>
                <w:rFonts w:hint="eastAsia" w:ascii="Times New Roman" w:hAnsi="Times New Roman" w:eastAsia="宋体" w:cs="Times New Roman"/>
                <w:color w:val="auto"/>
                <w:sz w:val="24"/>
                <w:szCs w:val="24"/>
                <w:lang w:val="en-US" w:eastAsia="zh-CN"/>
              </w:rPr>
              <w:t>”处理措施符合可行性技术要求且根据本次环评废气核算，项目采用的处理措施处理效率良好，有组织颗粒物与非甲烷总烃</w:t>
            </w:r>
            <w:r>
              <w:rPr>
                <w:rFonts w:hint="default" w:ascii="Times New Roman" w:hAnsi="Times New Roman" w:eastAsia="宋体" w:cs="Times New Roman"/>
                <w:color w:val="auto"/>
                <w:sz w:val="24"/>
                <w:szCs w:val="24"/>
                <w:lang w:val="en-US" w:eastAsia="en-US"/>
              </w:rPr>
              <w:t>满足</w:t>
            </w:r>
            <w:r>
              <w:rPr>
                <w:rFonts w:hint="default" w:ascii="Times New Roman" w:hAnsi="Times New Roman" w:eastAsia="宋体" w:cs="Times New Roman"/>
                <w:color w:val="auto"/>
                <w:sz w:val="24"/>
                <w:szCs w:val="24"/>
                <w:lang w:val="en-US" w:eastAsia="zh-CN"/>
              </w:rPr>
              <w:t>《合成树脂工业污染物排放标准》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GB31572-2015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en-US"/>
              </w:rPr>
              <w:t>中表</w:t>
            </w:r>
            <w:r>
              <w:rPr>
                <w:rFonts w:hint="eastAsia" w:ascii="Times New Roman" w:hAnsi="Times New Roman" w:eastAsia="宋体" w:cs="Times New Roman"/>
                <w:color w:val="auto"/>
                <w:sz w:val="24"/>
                <w:szCs w:val="24"/>
                <w:lang w:val="en-US" w:eastAsia="zh-CN"/>
              </w:rPr>
              <w:t>4排放</w:t>
            </w:r>
            <w:r>
              <w:rPr>
                <w:rFonts w:hint="default" w:ascii="Times New Roman" w:hAnsi="Times New Roman" w:eastAsia="宋体" w:cs="Times New Roman"/>
                <w:color w:val="auto"/>
                <w:sz w:val="24"/>
                <w:szCs w:val="24"/>
                <w:lang w:val="en-US" w:eastAsia="en-US"/>
              </w:rPr>
              <w:t>要求</w:t>
            </w:r>
            <w:r>
              <w:rPr>
                <w:rFonts w:hint="eastAsia" w:ascii="Times New Roman" w:hAnsi="Times New Roman" w:eastAsia="宋体" w:cs="Times New Roman"/>
                <w:color w:val="auto"/>
                <w:sz w:val="24"/>
                <w:szCs w:val="24"/>
                <w:lang w:val="en-US" w:eastAsia="zh-CN"/>
              </w:rPr>
              <w:t>，由此判定</w:t>
            </w:r>
            <w:r>
              <w:rPr>
                <w:rFonts w:hint="default" w:ascii="Times New Roman" w:hAnsi="Times New Roman" w:eastAsia="宋体" w:cs="Times New Roman"/>
                <w:color w:val="auto"/>
                <w:sz w:val="24"/>
                <w:szCs w:val="24"/>
                <w:lang w:val="en-US" w:eastAsia="zh-CN"/>
              </w:rPr>
              <w:t>污染防治措施</w:t>
            </w:r>
            <w:r>
              <w:rPr>
                <w:rFonts w:hint="eastAsia" w:ascii="Times New Roman" w:hAnsi="Times New Roman" w:eastAsia="宋体" w:cs="Times New Roman"/>
                <w:color w:val="auto"/>
                <w:sz w:val="24"/>
                <w:szCs w:val="24"/>
                <w:lang w:val="en-US" w:eastAsia="zh-CN"/>
              </w:rPr>
              <w:t>可行。</w:t>
            </w:r>
          </w:p>
          <w:p>
            <w:pPr>
              <w:pStyle w:val="90"/>
              <w:spacing w:before="168" w:line="459" w:lineRule="exact"/>
              <w:ind w:left="0" w:leftChars="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综上所述，项目运营期产生的有机废气在采取环评提出的措施处理后可达标排放，满足相应标准要求，故本项目选用的废气处理措施基本可行，对周围环境影响较小。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.3废气排放口设置</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表4.3</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项目废气排放口设置情况</w:t>
            </w:r>
          </w:p>
          <w:tbl>
            <w:tblPr>
              <w:tblStyle w:val="26"/>
              <w:tblW w:w="773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90"/>
              <w:gridCol w:w="542"/>
              <w:gridCol w:w="565"/>
              <w:gridCol w:w="486"/>
              <w:gridCol w:w="715"/>
              <w:gridCol w:w="1732"/>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72"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w:t>
                  </w:r>
                </w:p>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名称</w:t>
                  </w:r>
                </w:p>
              </w:tc>
              <w:tc>
                <w:tcPr>
                  <w:tcW w:w="575"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w:t>
                  </w:r>
                </w:p>
              </w:tc>
              <w:tc>
                <w:tcPr>
                  <w:tcW w:w="350"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高度/m</w:t>
                  </w:r>
                </w:p>
              </w:tc>
              <w:tc>
                <w:tcPr>
                  <w:tcW w:w="365"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内径/m</w:t>
                  </w:r>
                </w:p>
              </w:tc>
              <w:tc>
                <w:tcPr>
                  <w:tcW w:w="314"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温度/℃</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类型</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坐标</w:t>
                  </w: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72"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团粒废气排气筒</w:t>
                  </w:r>
                </w:p>
              </w:tc>
              <w:tc>
                <w:tcPr>
                  <w:tcW w:w="575"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val="0"/>
                      <w:bCs w:val="0"/>
                      <w:sz w:val="21"/>
                      <w:szCs w:val="21"/>
                      <w:lang w:val="en-US" w:eastAsia="zh-CN"/>
                    </w:rPr>
                    <w:t>颗粒物</w:t>
                  </w:r>
                </w:p>
              </w:tc>
              <w:tc>
                <w:tcPr>
                  <w:tcW w:w="350"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15</w:t>
                  </w:r>
                </w:p>
              </w:tc>
              <w:tc>
                <w:tcPr>
                  <w:tcW w:w="365"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0.3</w:t>
                  </w:r>
                </w:p>
              </w:tc>
              <w:tc>
                <w:tcPr>
                  <w:tcW w:w="314"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常温</w:t>
                  </w:r>
                </w:p>
              </w:tc>
              <w:tc>
                <w:tcPr>
                  <w:tcW w:w="462"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一般排放口</w:t>
                  </w:r>
                </w:p>
              </w:tc>
              <w:tc>
                <w:tcPr>
                  <w:tcW w:w="1119"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108°44″38.183"</w:t>
                  </w:r>
                </w:p>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32°44″43.237"</w:t>
                  </w:r>
                </w:p>
              </w:tc>
              <w:tc>
                <w:tcPr>
                  <w:tcW w:w="1241" w:type="pct"/>
                  <w:vMerge w:val="restart"/>
                  <w:tcBorders>
                    <w:top w:val="single" w:color="auto" w:sz="4" w:space="0"/>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《合成树脂工业污染物排放标准》</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GB31572-2015</w:t>
                  </w:r>
                  <w:r>
                    <w:rPr>
                      <w:rFonts w:hint="eastAsia" w:ascii="Times New Roman" w:hAnsi="Times New Roman" w:cs="Times New Roman"/>
                      <w:b w:val="0"/>
                      <w:bCs w:val="0"/>
                      <w:sz w:val="21"/>
                      <w:szCs w:val="21"/>
                      <w:lang w:val="en-US" w:eastAsia="zh-CN"/>
                    </w:rPr>
                    <w:t>）表4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72"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575" w:type="pct"/>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非甲烷总烃</w:t>
                  </w:r>
                </w:p>
              </w:tc>
              <w:tc>
                <w:tcPr>
                  <w:tcW w:w="350"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65"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14"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462"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1119"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1241" w:type="pct"/>
                  <w:vMerge w:val="continue"/>
                  <w:tcBorders>
                    <w:left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4大气影响环境分析</w:t>
            </w:r>
          </w:p>
          <w:p>
            <w:pPr>
              <w:pStyle w:val="90"/>
              <w:spacing w:before="164" w:line="362" w:lineRule="auto"/>
              <w:ind w:right="168" w:firstLine="480" w:firstLineChars="200"/>
              <w:rPr>
                <w:rFonts w:hint="default" w:ascii="Times New Roman" w:hAnsi="Times New Roman" w:eastAsia="宋体" w:cs="Times New Roman"/>
                <w:color w:val="auto"/>
                <w:kern w:val="2"/>
                <w:sz w:val="24"/>
                <w:szCs w:val="24"/>
                <w:highlight w:val="none"/>
                <w:lang w:val="en-US" w:eastAsia="en-US" w:bidi="ar-SA"/>
              </w:rPr>
            </w:pPr>
            <w:r>
              <w:rPr>
                <w:rFonts w:hint="default" w:ascii="Times New Roman" w:hAnsi="Times New Roman" w:eastAsia="宋体" w:cs="Times New Roman"/>
                <w:color w:val="auto"/>
                <w:kern w:val="2"/>
                <w:sz w:val="24"/>
                <w:szCs w:val="24"/>
                <w:highlight w:val="none"/>
                <w:lang w:val="en-US" w:eastAsia="en-US" w:bidi="ar-SA"/>
              </w:rPr>
              <w:t>本项目</w:t>
            </w:r>
            <w:r>
              <w:rPr>
                <w:rFonts w:hint="default" w:ascii="Times New Roman" w:hAnsi="Times New Roman" w:eastAsia="宋体" w:cs="Times New Roman"/>
                <w:color w:val="auto"/>
                <w:kern w:val="2"/>
                <w:sz w:val="24"/>
                <w:szCs w:val="24"/>
                <w:highlight w:val="none"/>
                <w:lang w:val="en-US" w:eastAsia="zh-CN" w:bidi="ar-SA"/>
              </w:rPr>
              <w:t>团粒</w:t>
            </w:r>
            <w:r>
              <w:rPr>
                <w:rFonts w:hint="default" w:ascii="Times New Roman" w:hAnsi="Times New Roman" w:eastAsia="宋体" w:cs="Times New Roman"/>
                <w:color w:val="auto"/>
                <w:kern w:val="2"/>
                <w:sz w:val="24"/>
                <w:szCs w:val="24"/>
                <w:highlight w:val="none"/>
                <w:lang w:val="en-US" w:eastAsia="en-US" w:bidi="ar-SA"/>
              </w:rPr>
              <w:t>工序产生的颗粒物</w:t>
            </w:r>
            <w:r>
              <w:rPr>
                <w:rFonts w:hint="eastAsia" w:ascii="Times New Roman" w:hAnsi="Times New Roman" w:eastAsia="宋体" w:cs="Times New Roman"/>
                <w:color w:val="auto"/>
                <w:kern w:val="2"/>
                <w:sz w:val="24"/>
                <w:szCs w:val="24"/>
                <w:highlight w:val="none"/>
                <w:lang w:val="en-US" w:eastAsia="zh-CN" w:bidi="ar-SA"/>
              </w:rPr>
              <w:t>和非甲烷总烃</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en-US" w:bidi="ar-SA"/>
              </w:rPr>
              <w:t>经</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滤网除尘+水雾除尘</w:t>
            </w:r>
            <w:r>
              <w:rPr>
                <w:rFonts w:hint="eastAsia" w:ascii="Times New Roman" w:hAnsi="Times New Roman" w:eastAsia="宋体" w:cs="Times New Roman"/>
                <w:color w:val="auto"/>
                <w:kern w:val="2"/>
                <w:sz w:val="24"/>
                <w:szCs w:val="24"/>
                <w:highlight w:val="none"/>
                <w:lang w:val="en-US" w:eastAsia="zh-CN" w:bidi="ar-SA"/>
              </w:rPr>
              <w:t>+活性炭吸附+一根</w:t>
            </w:r>
            <w:r>
              <w:rPr>
                <w:rFonts w:hint="default" w:ascii="Times New Roman" w:hAnsi="Times New Roman" w:eastAsia="宋体" w:cs="Times New Roman"/>
                <w:color w:val="auto"/>
                <w:kern w:val="2"/>
                <w:sz w:val="24"/>
                <w:szCs w:val="24"/>
                <w:highlight w:val="none"/>
                <w:lang w:val="en-US" w:eastAsia="en-US" w:bidi="ar-SA"/>
              </w:rPr>
              <w:t>15m</w:t>
            </w:r>
            <w:r>
              <w:rPr>
                <w:rFonts w:hint="eastAsia" w:ascii="Times New Roman" w:hAnsi="Times New Roman" w:eastAsia="宋体" w:cs="Times New Roman"/>
                <w:color w:val="auto"/>
                <w:kern w:val="2"/>
                <w:sz w:val="24"/>
                <w:szCs w:val="24"/>
                <w:highlight w:val="none"/>
                <w:lang w:val="en-US" w:eastAsia="zh-CN" w:bidi="ar-SA"/>
              </w:rPr>
              <w:t>高</w:t>
            </w:r>
            <w:r>
              <w:rPr>
                <w:rFonts w:hint="default" w:ascii="Times New Roman" w:hAnsi="Times New Roman" w:eastAsia="宋体" w:cs="Times New Roman"/>
                <w:color w:val="auto"/>
                <w:kern w:val="2"/>
                <w:sz w:val="24"/>
                <w:szCs w:val="24"/>
                <w:highlight w:val="none"/>
                <w:lang w:val="en-US" w:eastAsia="en-US" w:bidi="ar-SA"/>
              </w:rPr>
              <w:t>排气筒</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en-US" w:bidi="ar-SA"/>
              </w:rPr>
              <w:t>排放，颗粒物浓度为</w:t>
            </w:r>
            <w:r>
              <w:rPr>
                <w:rFonts w:hint="eastAsia" w:ascii="Times New Roman" w:hAnsi="Times New Roman" w:cs="Times New Roman"/>
                <w:color w:val="auto"/>
                <w:kern w:val="2"/>
                <w:sz w:val="24"/>
                <w:szCs w:val="24"/>
                <w:highlight w:val="none"/>
                <w:lang w:val="en-US" w:eastAsia="zh-CN" w:bidi="ar-SA"/>
              </w:rPr>
              <w:t>3.5</w:t>
            </w:r>
            <w:r>
              <w:rPr>
                <w:rFonts w:hint="default" w:ascii="Times New Roman" w:hAnsi="Times New Roman" w:eastAsia="宋体" w:cs="Times New Roman"/>
                <w:color w:val="auto"/>
                <w:kern w:val="2"/>
                <w:sz w:val="24"/>
                <w:szCs w:val="24"/>
                <w:highlight w:val="none"/>
                <w:lang w:val="en-US" w:eastAsia="en-US" w:bidi="ar-SA"/>
              </w:rPr>
              <w:t>mg/m³</w:t>
            </w:r>
            <w:r>
              <w:rPr>
                <w:rFonts w:hint="eastAsia" w:ascii="Times New Roman" w:hAnsi="Times New Roman" w:eastAsia="宋体"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en-US" w:bidi="ar-SA"/>
              </w:rPr>
              <w:t>浓度为</w:t>
            </w:r>
            <w:r>
              <w:rPr>
                <w:rFonts w:hint="eastAsia" w:ascii="Times New Roman" w:hAnsi="Times New Roman" w:cs="Times New Roman"/>
                <w:color w:val="auto"/>
                <w:kern w:val="2"/>
                <w:sz w:val="24"/>
                <w:szCs w:val="24"/>
                <w:highlight w:val="none"/>
                <w:lang w:val="en-US" w:eastAsia="zh-CN" w:bidi="ar-SA"/>
              </w:rPr>
              <w:t>27.6</w:t>
            </w:r>
            <w:r>
              <w:rPr>
                <w:rFonts w:hint="default" w:ascii="Times New Roman" w:hAnsi="Times New Roman" w:eastAsia="宋体" w:cs="Times New Roman"/>
                <w:color w:val="auto"/>
                <w:kern w:val="2"/>
                <w:sz w:val="24"/>
                <w:szCs w:val="24"/>
                <w:highlight w:val="none"/>
                <w:lang w:val="en-US" w:eastAsia="en-US" w:bidi="ar-SA"/>
              </w:rPr>
              <w:t>mg/m³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en-US" w:bidi="ar-SA"/>
              </w:rPr>
              <w:t>满足</w:t>
            </w:r>
            <w:r>
              <w:rPr>
                <w:rFonts w:hint="default" w:ascii="Times New Roman" w:hAnsi="Times New Roman" w:eastAsia="宋体" w:cs="Times New Roman"/>
                <w:color w:val="auto"/>
                <w:kern w:val="2"/>
                <w:sz w:val="24"/>
                <w:szCs w:val="24"/>
                <w:highlight w:val="none"/>
                <w:lang w:val="en-US" w:eastAsia="zh-CN" w:bidi="ar-SA"/>
              </w:rPr>
              <w:t>《合成树脂工业污染物排放标准》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GB31572-2015</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en-US" w:bidi="ar-SA"/>
              </w:rPr>
              <w:t>中表</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en-US" w:bidi="ar-SA"/>
              </w:rPr>
              <w:t>要求</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en-US" w:bidi="ar-SA"/>
              </w:rPr>
              <w:t>颗粒物≤</w:t>
            </w:r>
            <w:r>
              <w:rPr>
                <w:rFonts w:hint="eastAsia" w:ascii="Times New Roman" w:hAnsi="Times New Roman" w:cs="Times New Roman"/>
                <w:color w:val="auto"/>
                <w:kern w:val="2"/>
                <w:sz w:val="24"/>
                <w:szCs w:val="24"/>
                <w:highlight w:val="none"/>
                <w:lang w:val="en-US" w:eastAsia="zh-CN" w:bidi="ar-SA"/>
              </w:rPr>
              <w:t>30</w:t>
            </w:r>
            <w:r>
              <w:rPr>
                <w:rFonts w:hint="default" w:ascii="Times New Roman" w:hAnsi="Times New Roman" w:eastAsia="宋体" w:cs="Times New Roman"/>
                <w:color w:val="auto"/>
                <w:kern w:val="2"/>
                <w:sz w:val="24"/>
                <w:szCs w:val="24"/>
                <w:highlight w:val="none"/>
                <w:lang w:val="en-US" w:eastAsia="en-US" w:bidi="ar-SA"/>
              </w:rPr>
              <w:t>mg/m³</w:t>
            </w:r>
            <w:r>
              <w:rPr>
                <w:rFonts w:hint="eastAsia" w:ascii="Times New Roman" w:hAnsi="Times New Roman" w:eastAsia="宋体" w:cs="Times New Roman"/>
                <w:color w:val="auto"/>
                <w:kern w:val="2"/>
                <w:sz w:val="24"/>
                <w:szCs w:val="24"/>
                <w:highlight w:val="none"/>
                <w:lang w:val="en-US" w:eastAsia="zh-CN" w:bidi="ar-SA"/>
              </w:rPr>
              <w:t>、非甲烷总烃</w:t>
            </w:r>
            <w:r>
              <w:rPr>
                <w:rFonts w:hint="default" w:ascii="Times New Roman" w:hAnsi="Times New Roman" w:eastAsia="宋体" w:cs="Times New Roman"/>
                <w:color w:val="auto"/>
                <w:kern w:val="2"/>
                <w:sz w:val="24"/>
                <w:szCs w:val="24"/>
                <w:highlight w:val="none"/>
                <w:lang w:val="en-US" w:eastAsia="en-US" w:bidi="ar-SA"/>
              </w:rPr>
              <w:t>≤</w:t>
            </w:r>
            <w:r>
              <w:rPr>
                <w:rFonts w:hint="eastAsia" w:ascii="Times New Roman" w:hAnsi="Times New Roman" w:eastAsia="宋体" w:cs="Times New Roman"/>
                <w:color w:val="auto"/>
                <w:kern w:val="2"/>
                <w:sz w:val="24"/>
                <w:szCs w:val="24"/>
                <w:highlight w:val="none"/>
                <w:lang w:val="en-US" w:eastAsia="zh-CN" w:bidi="ar-SA"/>
              </w:rPr>
              <w:t>1</w:t>
            </w:r>
            <w:r>
              <w:rPr>
                <w:rFonts w:hint="eastAsia" w:ascii="Times New Roman" w:hAnsi="Times New Roman"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en-US" w:bidi="ar-SA"/>
              </w:rPr>
              <w:t>mg/m³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en-US" w:bidi="ar-SA"/>
              </w:rPr>
              <w:t>。</w:t>
            </w:r>
          </w:p>
          <w:p>
            <w:pPr>
              <w:widowControl/>
              <w:adjustRightInd w:val="0"/>
              <w:snapToGrid w:val="0"/>
              <w:spacing w:line="480" w:lineRule="exact"/>
              <w:ind w:firstLine="480" w:firstLineChars="200"/>
              <w:jc w:val="left"/>
              <w:rPr>
                <w:rFonts w:hint="default" w:ascii="Times New Roman" w:hAnsi="Times New Roman" w:eastAsia="宋体" w:cs="Times New Roman"/>
                <w:color w:val="auto"/>
                <w:sz w:val="24"/>
                <w:szCs w:val="24"/>
                <w:highlight w:val="none"/>
                <w:lang w:val="en-US" w:eastAsia="en-US"/>
              </w:rPr>
            </w:pPr>
            <w:r>
              <w:rPr>
                <w:rFonts w:hint="default" w:ascii="Times New Roman" w:hAnsi="Times New Roman" w:eastAsia="宋体" w:cs="Times New Roman"/>
                <w:color w:val="auto"/>
                <w:sz w:val="24"/>
                <w:szCs w:val="24"/>
                <w:highlight w:val="none"/>
                <w:lang w:val="en-US" w:eastAsia="en-US"/>
              </w:rPr>
              <w:t>参照《排污单位自行监测技术指南总则》</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en-US"/>
              </w:rPr>
              <w:t>HJ819-2017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en-US"/>
              </w:rPr>
              <w:t>、《排污许可证申请与核发技术规范废弃资源加工工业》</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en-US"/>
              </w:rPr>
              <w:t>HJ1034</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en-US"/>
              </w:rPr>
              <w:t>2019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en-US"/>
              </w:rPr>
              <w:t>中规定的自行监测要求，本项目废气监测计划如下。</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表4.4</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项目运营期废气监测计划表</w:t>
            </w:r>
          </w:p>
          <w:tbl>
            <w:tblPr>
              <w:tblStyle w:val="73"/>
              <w:tblW w:w="753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433"/>
              <w:gridCol w:w="1596"/>
              <w:gridCol w:w="1340"/>
              <w:gridCol w:w="239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773"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1433"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排放口编号/监测点位</w:t>
                  </w:r>
                </w:p>
              </w:tc>
              <w:tc>
                <w:tcPr>
                  <w:tcW w:w="1596"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监测因子</w:t>
                  </w:r>
                </w:p>
              </w:tc>
              <w:tc>
                <w:tcPr>
                  <w:tcW w:w="1340"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监测频次</w:t>
                  </w:r>
                </w:p>
              </w:tc>
              <w:tc>
                <w:tcPr>
                  <w:tcW w:w="2395" w:type="dxa"/>
                  <w:tcBorders>
                    <w:bottom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773"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1433"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团粒废气排放口</w:t>
                  </w:r>
                </w:p>
              </w:tc>
              <w:tc>
                <w:tcPr>
                  <w:tcW w:w="15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r>
                    <w:rPr>
                      <w:rFonts w:hint="eastAsia" w:ascii="Times New Roman" w:hAnsi="Times New Roman" w:cs="Times New Roman"/>
                      <w:b w:val="0"/>
                      <w:bCs w:val="0"/>
                      <w:sz w:val="21"/>
                      <w:szCs w:val="21"/>
                      <w:lang w:val="en-US" w:eastAsia="zh-CN"/>
                    </w:rPr>
                    <w:t>、非甲烷总烃</w:t>
                  </w:r>
                </w:p>
              </w:tc>
              <w:tc>
                <w:tcPr>
                  <w:tcW w:w="1340" w:type="dxa"/>
                  <w:tcBorders>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1次/半年</w:t>
                  </w:r>
                </w:p>
              </w:tc>
              <w:tc>
                <w:tcPr>
                  <w:tcW w:w="2395"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《合成树脂工业污染物排放标准》</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GB31572-2015</w:t>
                  </w:r>
                  <w:r>
                    <w:rPr>
                      <w:rFonts w:hint="eastAsia" w:ascii="Times New Roman" w:hAnsi="Times New Roman" w:cs="Times New Roman"/>
                      <w:b w:val="0"/>
                      <w:bCs w:val="0"/>
                      <w:sz w:val="21"/>
                      <w:szCs w:val="21"/>
                      <w:lang w:val="en-US" w:eastAsia="zh-CN"/>
                    </w:rPr>
                    <w:t>）表4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773"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1433"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周界外浓度最高点</w:t>
                  </w:r>
                </w:p>
              </w:tc>
              <w:tc>
                <w:tcPr>
                  <w:tcW w:w="15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颗粒物</w:t>
                  </w:r>
                  <w:r>
                    <w:rPr>
                      <w:rFonts w:hint="eastAsia" w:ascii="Times New Roman" w:hAnsi="Times New Roman" w:cs="Times New Roman"/>
                      <w:b w:val="0"/>
                      <w:bCs w:val="0"/>
                      <w:sz w:val="21"/>
                      <w:szCs w:val="21"/>
                      <w:lang w:val="en-US" w:eastAsia="zh-CN"/>
                    </w:rPr>
                    <w:t>、非甲烷总烃</w:t>
                  </w:r>
                </w:p>
              </w:tc>
              <w:tc>
                <w:tcPr>
                  <w:tcW w:w="1340" w:type="dxa"/>
                  <w:tcBorders>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1次/半年</w:t>
                  </w:r>
                </w:p>
              </w:tc>
              <w:tc>
                <w:tcPr>
                  <w:tcW w:w="2395"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《合成树脂工业污染物排放标准》</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GB31572-2015</w:t>
                  </w:r>
                  <w:r>
                    <w:rPr>
                      <w:rFonts w:hint="eastAsia" w:ascii="Times New Roman" w:hAnsi="Times New Roman" w:cs="Times New Roman"/>
                      <w:b w:val="0"/>
                      <w:bCs w:val="0"/>
                      <w:sz w:val="21"/>
                      <w:szCs w:val="21"/>
                      <w:lang w:val="en-US" w:eastAsia="zh-CN"/>
                    </w:rPr>
                    <w:t>）表9</w:t>
                  </w:r>
                </w:p>
              </w:tc>
            </w:tr>
          </w:tbl>
          <w:p>
            <w:pPr>
              <w:widowControl/>
              <w:adjustRightInd w:val="0"/>
              <w:snapToGrid w:val="0"/>
              <w:spacing w:line="480" w:lineRule="exact"/>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综上，本项目在落实本次环评提出的废气污染防治措施后，废气污染物可实现达标排放，不会影响区域环境质量，不会</w:t>
            </w:r>
            <w:r>
              <w:rPr>
                <w:rFonts w:hint="eastAsia" w:ascii="Times New Roman" w:hAnsi="Times New Roman" w:cs="Times New Roman"/>
                <w:color w:val="auto"/>
                <w:sz w:val="24"/>
                <w:szCs w:val="24"/>
                <w:highlight w:val="none"/>
                <w:lang w:val="en-US" w:eastAsia="zh-CN"/>
              </w:rPr>
              <w:t>对</w:t>
            </w:r>
            <w:r>
              <w:rPr>
                <w:rFonts w:hint="default" w:ascii="Times New Roman" w:hAnsi="Times New Roman" w:cs="Times New Roman"/>
                <w:color w:val="auto"/>
                <w:sz w:val="24"/>
                <w:szCs w:val="24"/>
                <w:highlight w:val="none"/>
              </w:rPr>
              <w:t>周围的居民产生明显不利影响。</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4.6废水源强分析</w:t>
            </w:r>
          </w:p>
          <w:p>
            <w:pPr>
              <w:widowControl/>
              <w:adjustRightInd w:val="0"/>
              <w:snapToGrid w:val="0"/>
              <w:spacing w:line="480" w:lineRule="exact"/>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项目生产工艺废水</w:t>
            </w:r>
            <w:r>
              <w:rPr>
                <w:rFonts w:hint="default" w:ascii="Times New Roman" w:hAnsi="Times New Roman" w:cs="Times New Roman"/>
                <w:color w:val="auto"/>
                <w:kern w:val="0"/>
                <w:sz w:val="24"/>
                <w:szCs w:val="24"/>
                <w:lang w:val="en-US" w:eastAsia="zh-CN"/>
              </w:rPr>
              <w:t>循环使用不外排。建设单位不提供食宿，</w:t>
            </w:r>
            <w:r>
              <w:rPr>
                <w:rFonts w:hint="default" w:ascii="Times New Roman" w:hAnsi="Times New Roman" w:cs="Times New Roman"/>
                <w:color w:val="auto"/>
                <w:kern w:val="0"/>
                <w:sz w:val="24"/>
                <w:szCs w:val="24"/>
              </w:rPr>
              <w:t>员工生活污水</w:t>
            </w:r>
            <w:r>
              <w:rPr>
                <w:rFonts w:hint="default" w:ascii="Times New Roman" w:hAnsi="Times New Roman" w:cs="Times New Roman"/>
                <w:color w:val="auto"/>
                <w:kern w:val="0"/>
                <w:sz w:val="24"/>
                <w:szCs w:val="24"/>
                <w:lang w:val="en-US" w:eastAsia="zh-CN"/>
              </w:rPr>
              <w:t>来自日常办公，</w:t>
            </w:r>
            <w:r>
              <w:rPr>
                <w:rFonts w:hint="default" w:ascii="Times New Roman" w:hAnsi="Times New Roman" w:cs="Times New Roman"/>
                <w:color w:val="auto"/>
                <w:kern w:val="0"/>
                <w:sz w:val="24"/>
                <w:szCs w:val="24"/>
              </w:rPr>
              <w:t>排</w:t>
            </w:r>
            <w:r>
              <w:rPr>
                <w:rFonts w:hint="default" w:ascii="Times New Roman" w:hAnsi="Times New Roman" w:cs="Times New Roman"/>
                <w:color w:val="auto"/>
                <w:kern w:val="0"/>
                <w:sz w:val="24"/>
                <w:szCs w:val="24"/>
                <w:lang w:val="en-US" w:eastAsia="zh-CN"/>
              </w:rPr>
              <w:t>放量为0.24</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3</w:t>
            </w:r>
            <w:r>
              <w:rPr>
                <w:rFonts w:hint="default" w:ascii="Times New Roman" w:hAnsi="Times New Roman" w:cs="Times New Roman"/>
                <w:color w:val="auto"/>
                <w:kern w:val="0"/>
                <w:sz w:val="24"/>
                <w:szCs w:val="24"/>
                <w:lang w:val="en-US" w:eastAsia="zh-CN"/>
              </w:rPr>
              <w:t>/d，项目一年生产300天，则年</w:t>
            </w:r>
            <w:r>
              <w:rPr>
                <w:rFonts w:hint="default" w:ascii="Times New Roman" w:hAnsi="Times New Roman" w:cs="Times New Roman"/>
                <w:color w:val="auto"/>
                <w:kern w:val="0"/>
                <w:sz w:val="24"/>
                <w:szCs w:val="24"/>
              </w:rPr>
              <w:t>生活污水排</w:t>
            </w:r>
            <w:r>
              <w:rPr>
                <w:rFonts w:hint="default" w:ascii="Times New Roman" w:hAnsi="Times New Roman" w:cs="Times New Roman"/>
                <w:color w:val="auto"/>
                <w:kern w:val="0"/>
                <w:sz w:val="24"/>
                <w:szCs w:val="24"/>
                <w:lang w:val="en-US" w:eastAsia="zh-CN"/>
              </w:rPr>
              <w:t>放量为72</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3</w:t>
            </w:r>
            <w:r>
              <w:rPr>
                <w:rFonts w:hint="default" w:ascii="Times New Roman" w:hAnsi="Times New Roman" w:cs="Times New Roman"/>
                <w:color w:val="auto"/>
                <w:kern w:val="0"/>
                <w:sz w:val="24"/>
                <w:szCs w:val="24"/>
                <w:lang w:val="en-US" w:eastAsia="zh-CN"/>
              </w:rPr>
              <w:t>/a。</w:t>
            </w:r>
            <w:r>
              <w:rPr>
                <w:rFonts w:hint="default" w:ascii="Times New Roman" w:hAnsi="Times New Roman" w:cs="Times New Roman"/>
                <w:color w:val="auto"/>
                <w:kern w:val="0"/>
                <w:sz w:val="24"/>
                <w:szCs w:val="24"/>
              </w:rPr>
              <w:t>员工生活污水排入</w:t>
            </w:r>
            <w:r>
              <w:rPr>
                <w:rFonts w:hint="default" w:ascii="Times New Roman" w:hAnsi="Times New Roman" w:cs="Times New Roman"/>
                <w:color w:val="auto"/>
                <w:kern w:val="0"/>
                <w:sz w:val="24"/>
                <w:szCs w:val="24"/>
                <w:lang w:val="en-US" w:eastAsia="zh-CN"/>
              </w:rPr>
              <w:t>园区</w:t>
            </w:r>
            <w:r>
              <w:rPr>
                <w:rFonts w:hint="default" w:ascii="Times New Roman" w:hAnsi="Times New Roman" w:cs="Times New Roman"/>
                <w:color w:val="auto"/>
                <w:kern w:val="0"/>
                <w:sz w:val="24"/>
                <w:szCs w:val="24"/>
              </w:rPr>
              <w:t>化粪池处理后，</w:t>
            </w:r>
            <w:r>
              <w:rPr>
                <w:rFonts w:hint="default" w:ascii="Times New Roman" w:hAnsi="Times New Roman" w:cs="Times New Roman"/>
                <w:color w:val="auto"/>
                <w:sz w:val="24"/>
                <w:szCs w:val="32"/>
                <w:shd w:val="clear" w:color="auto" w:fill="auto"/>
              </w:rPr>
              <w:t>经管道输送至</w:t>
            </w:r>
            <w:r>
              <w:rPr>
                <w:rFonts w:hint="default" w:ascii="Times New Roman" w:hAnsi="Times New Roman" w:cs="Times New Roman"/>
                <w:color w:val="auto"/>
                <w:sz w:val="24"/>
                <w:szCs w:val="32"/>
                <w:shd w:val="clear" w:color="auto" w:fill="auto"/>
                <w:lang w:eastAsia="zh-CN"/>
              </w:rPr>
              <w:t>安康市恒口示范区</w:t>
            </w:r>
            <w:r>
              <w:rPr>
                <w:rFonts w:hint="default" w:ascii="Times New Roman" w:hAnsi="Times New Roman" w:cs="Times New Roman"/>
                <w:color w:val="auto"/>
                <w:sz w:val="24"/>
                <w:szCs w:val="32"/>
                <w:shd w:val="clear" w:color="auto" w:fill="auto"/>
              </w:rPr>
              <w:t>污水处理厂处理。生活污水中主要污染物为COD、BOD</w:t>
            </w:r>
            <w:r>
              <w:rPr>
                <w:rFonts w:hint="default" w:ascii="Times New Roman" w:hAnsi="Times New Roman" w:cs="Times New Roman"/>
                <w:color w:val="auto"/>
                <w:sz w:val="24"/>
                <w:szCs w:val="32"/>
                <w:shd w:val="clear" w:color="auto" w:fill="auto"/>
                <w:vertAlign w:val="subscript"/>
              </w:rPr>
              <w:t>5</w:t>
            </w:r>
            <w:r>
              <w:rPr>
                <w:rFonts w:hint="default" w:ascii="Times New Roman" w:hAnsi="Times New Roman" w:cs="Times New Roman"/>
                <w:color w:val="auto"/>
                <w:sz w:val="24"/>
                <w:szCs w:val="32"/>
                <w:shd w:val="clear" w:color="auto" w:fill="auto"/>
              </w:rPr>
              <w:t>、SS和NH</w:t>
            </w:r>
            <w:r>
              <w:rPr>
                <w:rFonts w:hint="default" w:ascii="Times New Roman" w:hAnsi="Times New Roman" w:cs="Times New Roman"/>
                <w:color w:val="auto"/>
                <w:sz w:val="24"/>
                <w:szCs w:val="32"/>
                <w:shd w:val="clear" w:color="auto" w:fill="auto"/>
                <w:vertAlign w:val="subscript"/>
              </w:rPr>
              <w:t>3</w:t>
            </w:r>
            <w:r>
              <w:rPr>
                <w:rFonts w:hint="default" w:ascii="Times New Roman" w:hAnsi="Times New Roman" w:cs="Times New Roman"/>
                <w:color w:val="auto"/>
                <w:sz w:val="24"/>
                <w:szCs w:val="32"/>
                <w:shd w:val="clear" w:color="auto" w:fill="auto"/>
              </w:rPr>
              <w:t>-N等</w:t>
            </w:r>
            <w:r>
              <w:rPr>
                <w:rFonts w:hint="default" w:ascii="Times New Roman" w:hAnsi="Times New Roman" w:cs="Times New Roman"/>
                <w:color w:val="auto"/>
                <w:kern w:val="0"/>
                <w:sz w:val="24"/>
                <w:szCs w:val="24"/>
              </w:rPr>
              <w:t>。</w:t>
            </w:r>
          </w:p>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表4.5</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本项目废水排放情况汇总（pH无量纲）</w:t>
            </w:r>
          </w:p>
          <w:tbl>
            <w:tblPr>
              <w:tblStyle w:val="73"/>
              <w:tblW w:w="77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7"/>
              <w:gridCol w:w="1198"/>
              <w:gridCol w:w="987"/>
              <w:gridCol w:w="1060"/>
              <w:gridCol w:w="962"/>
              <w:gridCol w:w="969"/>
              <w:gridCol w:w="987"/>
              <w:gridCol w:w="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污染源名称</w:t>
                  </w:r>
                </w:p>
              </w:tc>
              <w:tc>
                <w:tcPr>
                  <w:tcW w:w="1189"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废水量（t/a）</w:t>
                  </w:r>
                </w:p>
              </w:tc>
              <w:tc>
                <w:tcPr>
                  <w:tcW w:w="980"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污染物名称</w:t>
                  </w:r>
                </w:p>
              </w:tc>
              <w:tc>
                <w:tcPr>
                  <w:tcW w:w="2007" w:type="dxa"/>
                  <w:gridSpan w:val="2"/>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产生情况</w:t>
                  </w:r>
                </w:p>
              </w:tc>
              <w:tc>
                <w:tcPr>
                  <w:tcW w:w="962"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拟采取处理方式</w:t>
                  </w:r>
                </w:p>
              </w:tc>
              <w:tc>
                <w:tcPr>
                  <w:tcW w:w="1876" w:type="dxa"/>
                  <w:gridSpan w:val="2"/>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1189"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980"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产生浓度（mg/l）</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产生量（t/a）</w:t>
                  </w:r>
                </w:p>
              </w:tc>
              <w:tc>
                <w:tcPr>
                  <w:tcW w:w="962"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排放浓度（mg/l）</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生活污水</w:t>
                  </w:r>
                </w:p>
              </w:tc>
              <w:tc>
                <w:tcPr>
                  <w:tcW w:w="1189"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72</w:t>
                  </w: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pH</w:t>
                  </w: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6-9</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vMerge w:val="restart"/>
                  <w:tcBorders>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化粪池</w:t>
                  </w: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6-9</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1189"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COD</w:t>
                  </w: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300</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0.0216</w:t>
                  </w:r>
                </w:p>
              </w:tc>
              <w:tc>
                <w:tcPr>
                  <w:tcW w:w="962"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240</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1189"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BOD</w:t>
                  </w:r>
                  <w:r>
                    <w:rPr>
                      <w:rFonts w:hint="eastAsia" w:ascii="Times New Roman" w:hAnsi="Times New Roman" w:cs="Times New Roman"/>
                      <w:b w:val="0"/>
                      <w:bCs w:val="0"/>
                      <w:sz w:val="21"/>
                      <w:szCs w:val="21"/>
                      <w:vertAlign w:val="subscript"/>
                      <w:lang w:val="en-US" w:eastAsia="zh-CN"/>
                    </w:rPr>
                    <w:t>5</w:t>
                  </w: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200</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0.0144</w:t>
                  </w:r>
                </w:p>
              </w:tc>
              <w:tc>
                <w:tcPr>
                  <w:tcW w:w="962"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170</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1189"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NH₃-N</w:t>
                  </w: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25</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0.0018</w:t>
                  </w:r>
                </w:p>
              </w:tc>
              <w:tc>
                <w:tcPr>
                  <w:tcW w:w="962" w:type="dxa"/>
                  <w:vMerge w:val="continue"/>
                  <w:tcBorders>
                    <w:top w:val="nil"/>
                    <w:bottom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24</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1189"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SS</w:t>
                  </w: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200</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0.0144</w:t>
                  </w:r>
                </w:p>
              </w:tc>
              <w:tc>
                <w:tcPr>
                  <w:tcW w:w="962" w:type="dxa"/>
                  <w:vMerge w:val="continue"/>
                  <w:tcBorders>
                    <w:top w:val="nil"/>
                  </w:tcBorders>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60</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0.0043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3"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合计</w:t>
                  </w:r>
                </w:p>
              </w:tc>
              <w:tc>
                <w:tcPr>
                  <w:tcW w:w="1189"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72</w:t>
                  </w: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5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5"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80"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896" w:type="dxa"/>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bl>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ascii="Times New Roman" w:hAnsi="Times New Roman" w:eastAsia="宋体" w:cs="Times New Roman"/>
                <w:b/>
                <w:color w:val="auto"/>
                <w:sz w:val="21"/>
                <w:szCs w:val="21"/>
                <w:lang w:val="en-US" w:eastAsia="zh-CN"/>
              </w:rPr>
              <w:t>.</w:t>
            </w:r>
            <w:r>
              <w:rPr>
                <w:rFonts w:hint="default" w:ascii="Times New Roman" w:hAnsi="Times New Roman" w:eastAsia="宋体" w:cs="Times New Roman"/>
                <w:b/>
                <w:color w:val="auto"/>
                <w:sz w:val="21"/>
                <w:szCs w:val="21"/>
                <w:lang w:val="en-US" w:eastAsia="zh-CN"/>
              </w:rPr>
              <w:t>6</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废水排放口信息</w:t>
            </w:r>
          </w:p>
          <w:tbl>
            <w:tblPr>
              <w:tblStyle w:val="26"/>
              <w:tblW w:w="7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517"/>
              <w:gridCol w:w="490"/>
              <w:gridCol w:w="374"/>
              <w:gridCol w:w="994"/>
              <w:gridCol w:w="1437"/>
              <w:gridCol w:w="835"/>
              <w:gridCol w:w="1037"/>
              <w:gridCol w:w="777"/>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2"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排放口编号</w:t>
                  </w:r>
                </w:p>
              </w:tc>
              <w:tc>
                <w:tcPr>
                  <w:tcW w:w="329"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排放口名称</w:t>
                  </w:r>
                </w:p>
              </w:tc>
              <w:tc>
                <w:tcPr>
                  <w:tcW w:w="312"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排放口类型</w:t>
                  </w:r>
                </w:p>
              </w:tc>
              <w:tc>
                <w:tcPr>
                  <w:tcW w:w="238"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排放方式</w:t>
                  </w:r>
                </w:p>
              </w:tc>
              <w:tc>
                <w:tcPr>
                  <w:tcW w:w="634"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排放去向</w:t>
                  </w:r>
                </w:p>
              </w:tc>
              <w:tc>
                <w:tcPr>
                  <w:tcW w:w="916"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排放规律</w:t>
                  </w:r>
                </w:p>
              </w:tc>
              <w:tc>
                <w:tcPr>
                  <w:tcW w:w="1194" w:type="pct"/>
                  <w:gridSpan w:val="2"/>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排放口位置</w:t>
                  </w:r>
                </w:p>
              </w:tc>
              <w:tc>
                <w:tcPr>
                  <w:tcW w:w="495"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污染物</w:t>
                  </w:r>
                </w:p>
              </w:tc>
              <w:tc>
                <w:tcPr>
                  <w:tcW w:w="454"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排放标准</w:t>
                  </w:r>
                </w:p>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42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329"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31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238"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634"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916"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532"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经度</w:t>
                  </w:r>
                </w:p>
              </w:tc>
              <w:tc>
                <w:tcPr>
                  <w:tcW w:w="661"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纬度</w:t>
                  </w:r>
                </w:p>
              </w:tc>
              <w:tc>
                <w:tcPr>
                  <w:tcW w:w="495"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c>
                <w:tcPr>
                  <w:tcW w:w="454"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2"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DW001</w:t>
                  </w:r>
                </w:p>
              </w:tc>
              <w:tc>
                <w:tcPr>
                  <w:tcW w:w="329"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厂区总排放</w:t>
                  </w:r>
                </w:p>
              </w:tc>
              <w:tc>
                <w:tcPr>
                  <w:tcW w:w="312"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一般排放口</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总排口</w:t>
                  </w:r>
                </w:p>
              </w:tc>
              <w:tc>
                <w:tcPr>
                  <w:tcW w:w="238"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间接排放</w:t>
                  </w:r>
                </w:p>
              </w:tc>
              <w:tc>
                <w:tcPr>
                  <w:tcW w:w="634"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经市政管网排至安康市恒口示范区污水处理厂</w:t>
                  </w:r>
                </w:p>
              </w:tc>
              <w:tc>
                <w:tcPr>
                  <w:tcW w:w="916"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间歇排放，排放期间流量不稳定且无规律，但不属于冲击型排放</w:t>
                  </w:r>
                </w:p>
              </w:tc>
              <w:tc>
                <w:tcPr>
                  <w:tcW w:w="532"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E108°6′</w:t>
                  </w:r>
                </w:p>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17.265″</w:t>
                  </w:r>
                </w:p>
              </w:tc>
              <w:tc>
                <w:tcPr>
                  <w:tcW w:w="661" w:type="pct"/>
                  <w:vMerge w:val="restar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N34°17′31.683″</w:t>
                  </w:r>
                </w:p>
              </w:tc>
              <w:tc>
                <w:tcPr>
                  <w:tcW w:w="495"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pH</w:t>
                  </w:r>
                </w:p>
              </w:tc>
              <w:tc>
                <w:tcPr>
                  <w:tcW w:w="454"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29"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1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238"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34"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16"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53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61"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495"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COD</w:t>
                  </w:r>
                </w:p>
              </w:tc>
              <w:tc>
                <w:tcPr>
                  <w:tcW w:w="454"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29"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1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238"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34"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16"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53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61"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495"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BOD</w:t>
                  </w:r>
                  <w:r>
                    <w:rPr>
                      <w:rFonts w:hint="default" w:ascii="Times New Roman" w:hAnsi="Times New Roman" w:cs="Times New Roman"/>
                      <w:b w:val="0"/>
                      <w:bCs w:val="0"/>
                      <w:sz w:val="21"/>
                      <w:szCs w:val="21"/>
                      <w:vertAlign w:val="subscript"/>
                      <w:lang w:val="en-US" w:eastAsia="zh-CN"/>
                    </w:rPr>
                    <w:t>5</w:t>
                  </w:r>
                </w:p>
              </w:tc>
              <w:tc>
                <w:tcPr>
                  <w:tcW w:w="454"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29"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1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238"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34"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16"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53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61"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495"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SS</w:t>
                  </w:r>
                </w:p>
              </w:tc>
              <w:tc>
                <w:tcPr>
                  <w:tcW w:w="454"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2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29"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31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238"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34"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916"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532"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661" w:type="pct"/>
                  <w:vMerge w:val="continue"/>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p>
              </w:tc>
              <w:tc>
                <w:tcPr>
                  <w:tcW w:w="495"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NH</w:t>
                  </w:r>
                  <w:r>
                    <w:rPr>
                      <w:rFonts w:hint="default" w:ascii="Times New Roman" w:hAnsi="Times New Roman" w:cs="Times New Roman"/>
                      <w:b w:val="0"/>
                      <w:bCs w:val="0"/>
                      <w:sz w:val="21"/>
                      <w:szCs w:val="21"/>
                      <w:vertAlign w:val="subscript"/>
                      <w:lang w:val="en-US" w:eastAsia="zh-CN"/>
                    </w:rPr>
                    <w:t>3</w:t>
                  </w:r>
                  <w:r>
                    <w:rPr>
                      <w:rFonts w:hint="default" w:ascii="Times New Roman" w:hAnsi="Times New Roman" w:cs="Times New Roman"/>
                      <w:b w:val="0"/>
                      <w:bCs w:val="0"/>
                      <w:sz w:val="21"/>
                      <w:szCs w:val="21"/>
                      <w:lang w:val="en-US" w:eastAsia="zh-CN"/>
                    </w:rPr>
                    <w:t>-N</w:t>
                  </w:r>
                </w:p>
              </w:tc>
              <w:tc>
                <w:tcPr>
                  <w:tcW w:w="454"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45</w:t>
                  </w:r>
                </w:p>
              </w:tc>
            </w:tr>
          </w:tbl>
          <w:p>
            <w:pPr>
              <w:adjustRightInd w:val="0"/>
              <w:snapToGrid w:val="0"/>
              <w:spacing w:line="480" w:lineRule="exact"/>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废水排放可依托性分析</w:t>
            </w:r>
          </w:p>
          <w:p>
            <w:pPr>
              <w:pStyle w:val="93"/>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安康市恒口示范区污水处理厂位于安康市恒口示范区大同镇王家台村，服务范围为恒口示范区范围，本项目所在区域属于其服务范围内。</w:t>
            </w:r>
          </w:p>
          <w:p>
            <w:pPr>
              <w:pStyle w:val="93"/>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污水处理厂工艺简介</w:t>
            </w:r>
          </w:p>
          <w:p>
            <w:pPr>
              <w:pStyle w:val="93"/>
              <w:ind w:firstLine="480"/>
              <w:rPr>
                <w:rFonts w:hint="default" w:ascii="Times New Roman" w:hAnsi="Times New Roman" w:cs="Times New Roman"/>
                <w:color w:val="auto"/>
              </w:rPr>
            </w:pPr>
            <w:r>
              <w:rPr>
                <w:rFonts w:hint="default" w:ascii="Times New Roman" w:hAnsi="Times New Roman" w:cs="Times New Roman"/>
                <w:color w:val="auto"/>
              </w:rPr>
              <w:t>根据安康市恒口示范区污水处理厂排污许可副本，安康市恒口示范区污水处理厂采用A</w:t>
            </w:r>
            <w:r>
              <w:rPr>
                <w:rFonts w:hint="default" w:ascii="Times New Roman" w:hAnsi="Times New Roman" w:cs="Times New Roman"/>
                <w:color w:val="auto"/>
                <w:vertAlign w:val="superscript"/>
              </w:rPr>
              <w:t>2</w:t>
            </w:r>
            <w:r>
              <w:rPr>
                <w:rFonts w:hint="default" w:ascii="Times New Roman" w:hAnsi="Times New Roman" w:cs="Times New Roman"/>
                <w:color w:val="auto"/>
              </w:rPr>
              <w:t>/O+混凝沉淀工艺，设计规模为日处理污水2万t/d，</w:t>
            </w:r>
          </w:p>
          <w:p>
            <w:pPr>
              <w:pStyle w:val="93"/>
              <w:ind w:firstLine="48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lang w:val="en-US" w:eastAsia="zh-CN"/>
              </w:rPr>
              <w:t>依托</w:t>
            </w:r>
            <w:r>
              <w:rPr>
                <w:rFonts w:hint="default" w:ascii="Times New Roman" w:hAnsi="Times New Roman" w:cs="Times New Roman"/>
                <w:color w:val="auto"/>
              </w:rPr>
              <w:t>分析</w:t>
            </w:r>
          </w:p>
          <w:p>
            <w:pPr>
              <w:pStyle w:val="93"/>
              <w:ind w:firstLine="480"/>
              <w:rPr>
                <w:rFonts w:hint="default" w:ascii="Times New Roman" w:hAnsi="Times New Roman" w:cs="Times New Roman"/>
                <w:color w:val="auto"/>
              </w:rPr>
            </w:pPr>
            <w:r>
              <w:rPr>
                <w:rFonts w:hint="default" w:ascii="Times New Roman" w:hAnsi="Times New Roman" w:cs="Times New Roman"/>
                <w:color w:val="auto"/>
              </w:rPr>
              <w:t>目前，安康市恒口示范区污水处理厂设计日处理综合废水量20000m</w:t>
            </w:r>
            <w:r>
              <w:rPr>
                <w:rFonts w:hint="default" w:ascii="Times New Roman" w:hAnsi="Times New Roman" w:cs="Times New Roman"/>
                <w:color w:val="auto"/>
                <w:vertAlign w:val="superscript"/>
              </w:rPr>
              <w:t>3</w:t>
            </w:r>
            <w:r>
              <w:rPr>
                <w:rFonts w:hint="default" w:ascii="Times New Roman" w:hAnsi="Times New Roman" w:cs="Times New Roman"/>
                <w:color w:val="auto"/>
              </w:rPr>
              <w:t>/d，而本项目建成后排入安康市恒口示范区污水处理厂</w:t>
            </w:r>
            <w:r>
              <w:rPr>
                <w:rFonts w:hint="eastAsia" w:ascii="Times New Roman" w:hAnsi="Times New Roman" w:cs="Times New Roman"/>
                <w:color w:val="auto"/>
                <w:lang w:val="en-US" w:eastAsia="zh-CN"/>
              </w:rPr>
              <w:t>的</w:t>
            </w:r>
            <w:r>
              <w:rPr>
                <w:rFonts w:hint="default" w:ascii="Times New Roman" w:hAnsi="Times New Roman" w:cs="Times New Roman"/>
                <w:color w:val="auto"/>
              </w:rPr>
              <w:t>规模平均为</w:t>
            </w:r>
            <w:r>
              <w:rPr>
                <w:rFonts w:hint="eastAsia" w:ascii="Times New Roman" w:hAnsi="Times New Roman" w:cs="Times New Roman"/>
                <w:color w:val="auto"/>
                <w:lang w:val="en-US" w:eastAsia="zh-CN"/>
              </w:rPr>
              <w:t>0.24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/d，安康市恒口示范区污水处理厂污水处理规模可以满足本项目污水处理要求，且尚有余量，因此，项目运营期产生的废水可排入安康市恒口示范区污水处理厂。</w:t>
            </w:r>
          </w:p>
          <w:p>
            <w:pPr>
              <w:pStyle w:val="93"/>
              <w:ind w:firstLine="480"/>
              <w:rPr>
                <w:rFonts w:hint="default" w:ascii="Times New Roman" w:hAnsi="Times New Roman" w:cs="Times New Roman"/>
                <w:color w:val="auto"/>
              </w:rPr>
            </w:pPr>
            <w:r>
              <w:rPr>
                <w:rFonts w:hint="default" w:ascii="Times New Roman" w:hAnsi="Times New Roman" w:cs="Times New Roman"/>
                <w:color w:val="auto"/>
              </w:rPr>
              <w:t>安康市恒口示范区污水处理厂主要采用A</w:t>
            </w:r>
            <w:r>
              <w:rPr>
                <w:rFonts w:hint="default" w:ascii="Times New Roman" w:hAnsi="Times New Roman" w:cs="Times New Roman"/>
                <w:color w:val="auto"/>
                <w:vertAlign w:val="superscript"/>
              </w:rPr>
              <w:t>2</w:t>
            </w:r>
            <w:r>
              <w:rPr>
                <w:rFonts w:hint="default" w:ascii="Times New Roman" w:hAnsi="Times New Roman" w:cs="Times New Roman"/>
                <w:color w:val="auto"/>
              </w:rPr>
              <w:t>/O生物处理+混凝沉淀工艺，其出水水质达到《城镇污水处理厂污染物排放标准》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GB18918-2002）一级A标准，尾水最终汇入月河。</w:t>
            </w:r>
          </w:p>
          <w:p>
            <w:pPr>
              <w:adjustRightInd w:val="0"/>
              <w:snapToGrid w:val="0"/>
              <w:spacing w:line="480" w:lineRule="exact"/>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在上述前提下，本项目废水不会对附近的地表水水质造成严重污染影响</w:t>
            </w:r>
            <w:r>
              <w:rPr>
                <w:rFonts w:hint="default" w:ascii="Times New Roman" w:hAnsi="Times New Roman" w:cs="Times New Roman"/>
                <w:color w:val="auto"/>
                <w:sz w:val="24"/>
                <w:szCs w:val="24"/>
                <w:lang w:eastAsia="zh-CN"/>
              </w:rPr>
              <w:t>。</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.1源强及治理措施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本项目噪声源主要为</w:t>
            </w:r>
            <w:r>
              <w:rPr>
                <w:rFonts w:hint="default" w:ascii="Times New Roman" w:hAnsi="Times New Roman" w:cs="Times New Roman"/>
                <w:color w:val="auto"/>
                <w:highlight w:val="none"/>
                <w:lang w:val="en-US" w:eastAsia="zh-CN"/>
              </w:rPr>
              <w:t>团粒机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切丝机</w:t>
            </w:r>
            <w:r>
              <w:rPr>
                <w:rFonts w:hint="default" w:ascii="Times New Roman" w:hAnsi="Times New Roman" w:cs="Times New Roman"/>
                <w:color w:val="auto"/>
                <w:highlight w:val="none"/>
              </w:rPr>
              <w:t>、电动叉车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散热设施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风机等。本项目设备</w:t>
            </w:r>
            <w:r>
              <w:rPr>
                <w:rFonts w:hint="default" w:ascii="Times New Roman" w:hAnsi="Times New Roman" w:cs="Times New Roman"/>
                <w:color w:val="auto"/>
                <w:highlight w:val="none"/>
                <w:lang w:val="en-US" w:eastAsia="zh-CN"/>
              </w:rPr>
              <w:t>均</w:t>
            </w:r>
            <w:r>
              <w:rPr>
                <w:rFonts w:hint="default" w:ascii="Times New Roman" w:hAnsi="Times New Roman" w:cs="Times New Roman"/>
                <w:color w:val="auto"/>
                <w:highlight w:val="none"/>
              </w:rPr>
              <w:t>安装在室内，为进一步减少项目生产噪声对周边环境的影响，要求企业生产过程中落实以下措施：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①从声源上控制，选用低噪声和符合国家噪声标准的设备。合理布局厂房，高噪声设备设置安装基础减震。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②加强设备的维护和保养，确保设备处于良好</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运转状态，以防止设备故障形成的非正常生产噪声。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③加强职工环保意识培训，提倡文明生产，减少人为噪声，最大限度减少流动噪声源。</w:t>
            </w:r>
          </w:p>
          <w:p>
            <w:pPr>
              <w:ind w:firstLine="48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highlight w:val="none"/>
              </w:rPr>
              <w:t>除上述措施外，项目生产设施基本布置在厂房内，能对噪声进行阻隔。项目厂房构筑物结构为钢结构，墙身采用</w:t>
            </w:r>
            <w:r>
              <w:rPr>
                <w:rFonts w:hint="default" w:ascii="Times New Roman" w:hAnsi="Times New Roman" w:cs="Times New Roman"/>
                <w:color w:val="auto"/>
                <w:highlight w:val="none"/>
                <w:lang w:val="zh-CN"/>
              </w:rPr>
              <w:t>100厚夹芯岩棉彩钢板，</w:t>
            </w:r>
            <w:r>
              <w:rPr>
                <w:rFonts w:hint="default" w:ascii="Times New Roman" w:hAnsi="Times New Roman" w:cs="Times New Roman"/>
                <w:color w:val="auto"/>
                <w:highlight w:val="none"/>
              </w:rPr>
              <w:t>建筑物隔声量以15dB（A）计</w:t>
            </w:r>
            <w:r>
              <w:rPr>
                <w:rFonts w:hint="eastAsia" w:ascii="Times New Roman" w:hAnsi="Times New Roman" w:cs="Times New Roman"/>
                <w:color w:val="auto"/>
                <w:highlight w:val="none"/>
                <w:lang w:eastAsia="zh-CN"/>
              </w:rPr>
              <w:t>。</w:t>
            </w:r>
          </w:p>
        </w:tc>
      </w:tr>
    </w:tbl>
    <w:p>
      <w:pPr>
        <w:rPr>
          <w:rFonts w:hint="default" w:ascii="Times New Roman" w:hAnsi="Times New Roman" w:cs="Times New Roman"/>
          <w:color w:val="auto"/>
        </w:rPr>
        <w:sectPr>
          <w:footerReference r:id="rId8"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13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5" w:hRule="atLeast"/>
          <w:jc w:val="center"/>
        </w:trPr>
        <w:tc>
          <w:tcPr>
            <w:tcW w:w="788" w:type="dxa"/>
            <w:noWrap w:val="0"/>
            <w:vAlign w:val="center"/>
          </w:tcPr>
          <w:p>
            <w:pPr>
              <w:adjustRightInd w:val="0"/>
              <w:snapToGrid w:val="0"/>
              <w:spacing w:line="240" w:lineRule="auto"/>
              <w:ind w:firstLine="0" w:firstLineChars="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运营</w:t>
            </w:r>
          </w:p>
          <w:p>
            <w:pPr>
              <w:adjustRightInd w:val="0"/>
              <w:snapToGrid w:val="0"/>
              <w:spacing w:line="240" w:lineRule="auto"/>
              <w:ind w:firstLine="0" w:firstLineChars="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期环</w:t>
            </w:r>
          </w:p>
          <w:p>
            <w:pPr>
              <w:adjustRightInd w:val="0"/>
              <w:snapToGrid w:val="0"/>
              <w:spacing w:line="240" w:lineRule="auto"/>
              <w:ind w:firstLine="0" w:firstLineChars="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境影</w:t>
            </w:r>
          </w:p>
          <w:p>
            <w:pPr>
              <w:adjustRightInd w:val="0"/>
              <w:snapToGrid w:val="0"/>
              <w:spacing w:line="240" w:lineRule="auto"/>
              <w:ind w:firstLine="0" w:firstLineChars="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响和</w:t>
            </w:r>
          </w:p>
          <w:p>
            <w:pPr>
              <w:adjustRightInd w:val="0"/>
              <w:snapToGrid w:val="0"/>
              <w:spacing w:line="240" w:lineRule="auto"/>
              <w:ind w:firstLine="0" w:firstLineChars="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保护</w:t>
            </w:r>
          </w:p>
          <w:p>
            <w:pPr>
              <w:ind w:firstLine="0" w:firstLineChars="0"/>
              <w:jc w:val="center"/>
              <w:rPr>
                <w:rFonts w:hint="default" w:ascii="Times New Roman" w:hAnsi="Times New Roman" w:cs="Times New Roman"/>
                <w:b/>
                <w:color w:val="auto"/>
                <w:kern w:val="0"/>
                <w:sz w:val="22"/>
                <w:szCs w:val="22"/>
                <w:highlight w:val="none"/>
              </w:rPr>
            </w:pPr>
            <w:r>
              <w:rPr>
                <w:rFonts w:hint="default" w:ascii="Times New Roman" w:hAnsi="Times New Roman" w:cs="Times New Roman"/>
                <w:bCs/>
                <w:color w:val="auto"/>
                <w:highlight w:val="none"/>
              </w:rPr>
              <w:t>措施</w:t>
            </w:r>
          </w:p>
        </w:tc>
        <w:tc>
          <w:tcPr>
            <w:tcW w:w="12843" w:type="dxa"/>
            <w:noWrap w:val="0"/>
            <w:vAlign w:val="top"/>
          </w:tcPr>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ascii="Times New Roman" w:hAnsi="Times New Roman" w:eastAsia="宋体" w:cs="Times New Roman"/>
                <w:b/>
                <w:color w:val="auto"/>
                <w:sz w:val="21"/>
                <w:szCs w:val="21"/>
                <w:lang w:val="en-US" w:eastAsia="zh-CN"/>
              </w:rPr>
              <w:t xml:space="preserve">.7  </w:t>
            </w:r>
            <w:r>
              <w:rPr>
                <w:rFonts w:hint="default" w:ascii="Times New Roman" w:hAnsi="Times New Roman" w:eastAsia="宋体" w:cs="Times New Roman"/>
                <w:b/>
                <w:color w:val="auto"/>
                <w:sz w:val="21"/>
                <w:szCs w:val="21"/>
                <w:lang w:val="en-US" w:eastAsia="zh-CN"/>
              </w:rPr>
              <w:t>本项目噪声源强及治理措施一览表（室内声源）</w:t>
            </w:r>
          </w:p>
          <w:tbl>
            <w:tblPr>
              <w:tblStyle w:val="26"/>
              <w:tblW w:w="11826" w:type="dxa"/>
              <w:jc w:val="center"/>
              <w:tblLayout w:type="autofit"/>
              <w:tblCellMar>
                <w:top w:w="0" w:type="dxa"/>
                <w:left w:w="108" w:type="dxa"/>
                <w:bottom w:w="0" w:type="dxa"/>
                <w:right w:w="108" w:type="dxa"/>
              </w:tblCellMar>
            </w:tblPr>
            <w:tblGrid>
              <w:gridCol w:w="476"/>
              <w:gridCol w:w="476"/>
              <w:gridCol w:w="742"/>
              <w:gridCol w:w="806"/>
              <w:gridCol w:w="859"/>
              <w:gridCol w:w="819"/>
              <w:gridCol w:w="1763"/>
              <w:gridCol w:w="573"/>
              <w:gridCol w:w="528"/>
              <w:gridCol w:w="627"/>
              <w:gridCol w:w="714"/>
              <w:gridCol w:w="882"/>
              <w:gridCol w:w="758"/>
              <w:gridCol w:w="882"/>
              <w:gridCol w:w="921"/>
            </w:tblGrid>
            <w:tr>
              <w:tblPrEx>
                <w:tblCellMar>
                  <w:top w:w="0" w:type="dxa"/>
                  <w:left w:w="108" w:type="dxa"/>
                  <w:bottom w:w="0" w:type="dxa"/>
                  <w:right w:w="108" w:type="dxa"/>
                </w:tblCellMar>
              </w:tblPrEx>
              <w:trPr>
                <w:trHeight w:val="797" w:hRule="atLeast"/>
                <w:jc w:val="center"/>
              </w:trPr>
              <w:tc>
                <w:tcPr>
                  <w:tcW w:w="476"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476"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构筑物名称</w:t>
                  </w:r>
                </w:p>
              </w:tc>
              <w:tc>
                <w:tcPr>
                  <w:tcW w:w="742"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声源名称</w:t>
                  </w:r>
                </w:p>
              </w:tc>
              <w:tc>
                <w:tcPr>
                  <w:tcW w:w="806"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数量（台/套）</w:t>
                  </w:r>
                </w:p>
              </w:tc>
              <w:tc>
                <w:tcPr>
                  <w:tcW w:w="1678" w:type="dxa"/>
                  <w:gridSpan w:val="2"/>
                  <w:tcBorders>
                    <w:top w:val="single" w:color="auto" w:sz="4" w:space="0"/>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声源源强声功率级dB（A）</w:t>
                  </w:r>
                </w:p>
              </w:tc>
              <w:tc>
                <w:tcPr>
                  <w:tcW w:w="1763"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声源控制措施</w:t>
                  </w:r>
                </w:p>
              </w:tc>
              <w:tc>
                <w:tcPr>
                  <w:tcW w:w="1728" w:type="dxa"/>
                  <w:gridSpan w:val="3"/>
                  <w:tcBorders>
                    <w:top w:val="single" w:color="auto" w:sz="4" w:space="0"/>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空间相对位置m</w:t>
                  </w:r>
                </w:p>
              </w:tc>
              <w:tc>
                <w:tcPr>
                  <w:tcW w:w="714"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距室内边界距离m</w:t>
                  </w:r>
                </w:p>
              </w:tc>
              <w:tc>
                <w:tcPr>
                  <w:tcW w:w="882"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室内边界声级dB（A）</w:t>
                  </w:r>
                </w:p>
              </w:tc>
              <w:tc>
                <w:tcPr>
                  <w:tcW w:w="758"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每日运行时间</w:t>
                  </w:r>
                </w:p>
              </w:tc>
              <w:tc>
                <w:tcPr>
                  <w:tcW w:w="882" w:type="dxa"/>
                  <w:vMerge w:val="restart"/>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建筑物插入损失dB（A）</w:t>
                  </w:r>
                </w:p>
              </w:tc>
              <w:tc>
                <w:tcPr>
                  <w:tcW w:w="921" w:type="dxa"/>
                  <w:vMerge w:val="restart"/>
                  <w:tcBorders>
                    <w:top w:val="single" w:color="auto" w:sz="4" w:space="0"/>
                    <w:left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建筑物外噪声</w:t>
                  </w:r>
                </w:p>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声压级dB（A）</w:t>
                  </w:r>
                </w:p>
              </w:tc>
            </w:tr>
            <w:tr>
              <w:tblPrEx>
                <w:tblCellMar>
                  <w:top w:w="0" w:type="dxa"/>
                  <w:left w:w="108" w:type="dxa"/>
                  <w:bottom w:w="0" w:type="dxa"/>
                  <w:right w:w="108" w:type="dxa"/>
                </w:tblCellMar>
              </w:tblPrEx>
              <w:trPr>
                <w:trHeight w:val="815" w:hRule="atLeast"/>
                <w:jc w:val="center"/>
              </w:trPr>
              <w:tc>
                <w:tcPr>
                  <w:tcW w:w="4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4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806"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85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单台声功率级</w:t>
                  </w:r>
                </w:p>
              </w:tc>
              <w:tc>
                <w:tcPr>
                  <w:tcW w:w="81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叠加声功率级</w:t>
                  </w:r>
                </w:p>
              </w:tc>
              <w:tc>
                <w:tcPr>
                  <w:tcW w:w="176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57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X</w:t>
                  </w:r>
                </w:p>
              </w:tc>
              <w:tc>
                <w:tcPr>
                  <w:tcW w:w="52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Y</w:t>
                  </w:r>
                </w:p>
              </w:tc>
              <w:tc>
                <w:tcPr>
                  <w:tcW w:w="627"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Z</w:t>
                  </w:r>
                </w:p>
              </w:tc>
              <w:tc>
                <w:tcPr>
                  <w:tcW w:w="7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882"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758"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882"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921" w:type="dxa"/>
                  <w:vMerge w:val="continue"/>
                  <w:tcBorders>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r>
            <w:tr>
              <w:tblPrEx>
                <w:tblCellMar>
                  <w:top w:w="0" w:type="dxa"/>
                  <w:left w:w="108" w:type="dxa"/>
                  <w:bottom w:w="0" w:type="dxa"/>
                  <w:right w:w="108" w:type="dxa"/>
                </w:tblCellMar>
              </w:tblPrEx>
              <w:trPr>
                <w:trHeight w:val="815" w:hRule="atLeast"/>
                <w:jc w:val="center"/>
              </w:trPr>
              <w:tc>
                <w:tcPr>
                  <w:tcW w:w="476" w:type="dxa"/>
                  <w:tcBorders>
                    <w:top w:val="nil"/>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476" w:type="dxa"/>
                  <w:vMerge w:val="restart"/>
                  <w:tcBorders>
                    <w:top w:val="nil"/>
                    <w:left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生产厂房</w:t>
                  </w:r>
                </w:p>
              </w:tc>
              <w:tc>
                <w:tcPr>
                  <w:tcW w:w="74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团粒机</w:t>
                  </w:r>
                </w:p>
              </w:tc>
              <w:tc>
                <w:tcPr>
                  <w:tcW w:w="806"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85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75</w:t>
                  </w:r>
                </w:p>
              </w:tc>
              <w:tc>
                <w:tcPr>
                  <w:tcW w:w="81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75.00</w:t>
                  </w:r>
                </w:p>
              </w:tc>
              <w:tc>
                <w:tcPr>
                  <w:tcW w:w="176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低噪声设备、基础减震、墙体隔声</w:t>
                  </w:r>
                </w:p>
              </w:tc>
              <w:tc>
                <w:tcPr>
                  <w:tcW w:w="57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28</w:t>
                  </w:r>
                </w:p>
              </w:tc>
              <w:tc>
                <w:tcPr>
                  <w:tcW w:w="52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23</w:t>
                  </w:r>
                </w:p>
              </w:tc>
              <w:tc>
                <w:tcPr>
                  <w:tcW w:w="627"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2.5</w:t>
                  </w:r>
                </w:p>
              </w:tc>
              <w:tc>
                <w:tcPr>
                  <w:tcW w:w="714"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88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68.98</w:t>
                  </w:r>
                </w:p>
              </w:tc>
              <w:tc>
                <w:tcPr>
                  <w:tcW w:w="75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8h</w:t>
                  </w:r>
                </w:p>
              </w:tc>
              <w:tc>
                <w:tcPr>
                  <w:tcW w:w="88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21</w:t>
                  </w:r>
                </w:p>
              </w:tc>
              <w:tc>
                <w:tcPr>
                  <w:tcW w:w="921"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47.98</w:t>
                  </w:r>
                </w:p>
              </w:tc>
            </w:tr>
            <w:tr>
              <w:tblPrEx>
                <w:tblCellMar>
                  <w:top w:w="0" w:type="dxa"/>
                  <w:left w:w="108" w:type="dxa"/>
                  <w:bottom w:w="0" w:type="dxa"/>
                  <w:right w:w="108" w:type="dxa"/>
                </w:tblCellMar>
              </w:tblPrEx>
              <w:trPr>
                <w:trHeight w:val="815" w:hRule="atLeast"/>
                <w:jc w:val="center"/>
              </w:trPr>
              <w:tc>
                <w:tcPr>
                  <w:tcW w:w="476" w:type="dxa"/>
                  <w:tcBorders>
                    <w:top w:val="nil"/>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476" w:type="dxa"/>
                  <w:vMerge w:val="continue"/>
                  <w:tcBorders>
                    <w:left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p>
              </w:tc>
              <w:tc>
                <w:tcPr>
                  <w:tcW w:w="74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切丝机</w:t>
                  </w:r>
                </w:p>
              </w:tc>
              <w:tc>
                <w:tcPr>
                  <w:tcW w:w="806"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85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70</w:t>
                  </w:r>
                </w:p>
              </w:tc>
              <w:tc>
                <w:tcPr>
                  <w:tcW w:w="81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70.00</w:t>
                  </w:r>
                </w:p>
              </w:tc>
              <w:tc>
                <w:tcPr>
                  <w:tcW w:w="176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低噪声设备、基础减震、墙体隔声</w:t>
                  </w:r>
                </w:p>
              </w:tc>
              <w:tc>
                <w:tcPr>
                  <w:tcW w:w="57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26</w:t>
                  </w:r>
                </w:p>
              </w:tc>
              <w:tc>
                <w:tcPr>
                  <w:tcW w:w="52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21</w:t>
                  </w:r>
                </w:p>
              </w:tc>
              <w:tc>
                <w:tcPr>
                  <w:tcW w:w="627"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1.0</w:t>
                  </w:r>
                </w:p>
              </w:tc>
              <w:tc>
                <w:tcPr>
                  <w:tcW w:w="714"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w:t>
                  </w:r>
                </w:p>
              </w:tc>
              <w:tc>
                <w:tcPr>
                  <w:tcW w:w="88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60.46</w:t>
                  </w:r>
                </w:p>
              </w:tc>
              <w:tc>
                <w:tcPr>
                  <w:tcW w:w="75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4h</w:t>
                  </w:r>
                </w:p>
              </w:tc>
              <w:tc>
                <w:tcPr>
                  <w:tcW w:w="88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21</w:t>
                  </w:r>
                </w:p>
              </w:tc>
              <w:tc>
                <w:tcPr>
                  <w:tcW w:w="921"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39.46</w:t>
                  </w:r>
                </w:p>
              </w:tc>
            </w:tr>
            <w:tr>
              <w:tblPrEx>
                <w:tblCellMar>
                  <w:top w:w="0" w:type="dxa"/>
                  <w:left w:w="108" w:type="dxa"/>
                  <w:bottom w:w="0" w:type="dxa"/>
                  <w:right w:w="108" w:type="dxa"/>
                </w:tblCellMar>
              </w:tblPrEx>
              <w:trPr>
                <w:trHeight w:val="815" w:hRule="atLeast"/>
                <w:jc w:val="center"/>
              </w:trPr>
              <w:tc>
                <w:tcPr>
                  <w:tcW w:w="476" w:type="dxa"/>
                  <w:tcBorders>
                    <w:top w:val="nil"/>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476" w:type="dxa"/>
                  <w:vMerge w:val="continue"/>
                  <w:tcBorders>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p>
              </w:tc>
              <w:tc>
                <w:tcPr>
                  <w:tcW w:w="74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风机</w:t>
                  </w:r>
                </w:p>
              </w:tc>
              <w:tc>
                <w:tcPr>
                  <w:tcW w:w="806"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85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75</w:t>
                  </w:r>
                </w:p>
              </w:tc>
              <w:tc>
                <w:tcPr>
                  <w:tcW w:w="819"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75.00</w:t>
                  </w:r>
                </w:p>
              </w:tc>
              <w:tc>
                <w:tcPr>
                  <w:tcW w:w="176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低噪声设备、基础减震、墙体隔声</w:t>
                  </w:r>
                </w:p>
              </w:tc>
              <w:tc>
                <w:tcPr>
                  <w:tcW w:w="573"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28</w:t>
                  </w:r>
                </w:p>
              </w:tc>
              <w:tc>
                <w:tcPr>
                  <w:tcW w:w="52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23</w:t>
                  </w:r>
                </w:p>
              </w:tc>
              <w:tc>
                <w:tcPr>
                  <w:tcW w:w="627"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1.5</w:t>
                  </w:r>
                </w:p>
              </w:tc>
              <w:tc>
                <w:tcPr>
                  <w:tcW w:w="714"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88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68.98</w:t>
                  </w:r>
                </w:p>
              </w:tc>
              <w:tc>
                <w:tcPr>
                  <w:tcW w:w="758"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8h</w:t>
                  </w:r>
                </w:p>
              </w:tc>
              <w:tc>
                <w:tcPr>
                  <w:tcW w:w="882"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21</w:t>
                  </w:r>
                </w:p>
              </w:tc>
              <w:tc>
                <w:tcPr>
                  <w:tcW w:w="921" w:type="dxa"/>
                  <w:tcBorders>
                    <w:top w:val="nil"/>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47.98</w:t>
                  </w:r>
                </w:p>
              </w:tc>
            </w:tr>
            <w:tr>
              <w:tblPrEx>
                <w:tblCellMar>
                  <w:top w:w="0" w:type="dxa"/>
                  <w:left w:w="108" w:type="dxa"/>
                  <w:bottom w:w="0" w:type="dxa"/>
                  <w:right w:w="108" w:type="dxa"/>
                </w:tblCellMar>
              </w:tblPrEx>
              <w:trPr>
                <w:trHeight w:val="825" w:hRule="atLeast"/>
                <w:jc w:val="center"/>
              </w:trPr>
              <w:tc>
                <w:tcPr>
                  <w:tcW w:w="476" w:type="dxa"/>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w:t>
                  </w:r>
                </w:p>
              </w:tc>
              <w:tc>
                <w:tcPr>
                  <w:tcW w:w="4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p>
              </w:tc>
              <w:tc>
                <w:tcPr>
                  <w:tcW w:w="742" w:type="dxa"/>
                  <w:tcBorders>
                    <w:top w:val="single" w:color="auto" w:sz="4" w:space="0"/>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散热设施</w:t>
                  </w:r>
                </w:p>
              </w:tc>
              <w:tc>
                <w:tcPr>
                  <w:tcW w:w="806" w:type="dxa"/>
                  <w:tcBorders>
                    <w:top w:val="single" w:color="auto" w:sz="4" w:space="0"/>
                    <w:left w:val="nil"/>
                    <w:bottom w:val="single" w:color="auto" w:sz="4" w:space="0"/>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859"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70</w:t>
                  </w:r>
                </w:p>
              </w:tc>
              <w:tc>
                <w:tcPr>
                  <w:tcW w:w="819"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74.77</w:t>
                  </w:r>
                </w:p>
              </w:tc>
              <w:tc>
                <w:tcPr>
                  <w:tcW w:w="1763"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低噪声设备、基础减震、墙体隔声</w:t>
                  </w:r>
                </w:p>
              </w:tc>
              <w:tc>
                <w:tcPr>
                  <w:tcW w:w="573"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26</w:t>
                  </w:r>
                </w:p>
              </w:tc>
              <w:tc>
                <w:tcPr>
                  <w:tcW w:w="528"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26</w:t>
                  </w:r>
                </w:p>
              </w:tc>
              <w:tc>
                <w:tcPr>
                  <w:tcW w:w="627"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714"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882"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68.75</w:t>
                  </w:r>
                </w:p>
              </w:tc>
              <w:tc>
                <w:tcPr>
                  <w:tcW w:w="758"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8h</w:t>
                  </w:r>
                </w:p>
              </w:tc>
              <w:tc>
                <w:tcPr>
                  <w:tcW w:w="882"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21</w:t>
                  </w:r>
                </w:p>
              </w:tc>
              <w:tc>
                <w:tcPr>
                  <w:tcW w:w="921" w:type="dxa"/>
                  <w:tcBorders>
                    <w:top w:val="nil"/>
                    <w:left w:val="nil"/>
                    <w:bottom w:val="nil"/>
                    <w:right w:val="single" w:color="auto" w:sz="4" w:space="0"/>
                  </w:tcBorders>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47.75</w:t>
                  </w:r>
                </w:p>
              </w:tc>
            </w:tr>
            <w:tr>
              <w:tblPrEx>
                <w:tblCellMar>
                  <w:top w:w="0" w:type="dxa"/>
                  <w:left w:w="108" w:type="dxa"/>
                  <w:bottom w:w="0" w:type="dxa"/>
                  <w:right w:w="108" w:type="dxa"/>
                </w:tblCellMar>
              </w:tblPrEx>
              <w:trPr>
                <w:trHeight w:val="825" w:hRule="atLeast"/>
                <w:jc w:val="center"/>
              </w:trPr>
              <w:tc>
                <w:tcPr>
                  <w:tcW w:w="11826" w:type="dxa"/>
                  <w:gridSpan w:val="15"/>
                  <w:tcBorders>
                    <w:top w:val="single" w:color="auto" w:sz="4" w:space="0"/>
                    <w:left w:val="single" w:color="auto" w:sz="4" w:space="0"/>
                    <w:bottom w:val="single" w:color="auto" w:sz="4" w:space="0"/>
                    <w:right w:val="single" w:color="auto" w:sz="4" w:space="0"/>
                  </w:tcBorders>
                  <w:noWrap w:val="0"/>
                  <w:vAlign w:val="center"/>
                </w:tcPr>
                <w:p>
                  <w:pPr>
                    <w:pStyle w:val="90"/>
                    <w:spacing w:before="172" w:line="192" w:lineRule="auto"/>
                    <w:ind w:left="0" w:leftChars="0" w:firstLine="0" w:firstLineChars="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highlight w:val="none"/>
                      <w:lang w:val="en-US" w:eastAsia="zh-CN"/>
                    </w:rPr>
                    <w:t>备注，本次以项目西侧拐角为原点，北侧为Y轴，东侧为X轴，安装高度为Z。</w:t>
                  </w:r>
                </w:p>
              </w:tc>
            </w:tr>
          </w:tbl>
          <w:p>
            <w:pPr>
              <w:ind w:firstLine="482"/>
              <w:rPr>
                <w:rFonts w:hint="default" w:ascii="Times New Roman" w:hAnsi="Times New Roman" w:cs="Times New Roman"/>
                <w:b/>
                <w:bCs/>
                <w:color w:val="auto"/>
                <w:highlight w:val="none"/>
              </w:rPr>
            </w:pPr>
          </w:p>
          <w:p>
            <w:pPr>
              <w:ind w:firstLine="442"/>
              <w:jc w:val="center"/>
              <w:rPr>
                <w:rFonts w:hint="default" w:ascii="Times New Roman" w:hAnsi="Times New Roman" w:cs="Times New Roman"/>
                <w:b/>
                <w:color w:val="auto"/>
                <w:kern w:val="0"/>
                <w:sz w:val="22"/>
                <w:szCs w:val="22"/>
                <w:highlight w:val="none"/>
              </w:rPr>
            </w:pP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sectPr>
          <w:pgSz w:w="16840" w:h="11907" w:orient="landscape"/>
          <w:pgMar w:top="1531" w:right="1701" w:bottom="1531" w:left="212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2"/>
        <w:gridCol w:w="82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0" w:hRule="atLeast"/>
          <w:jc w:val="center"/>
        </w:trPr>
        <w:tc>
          <w:tcPr>
            <w:tcW w:w="742" w:type="dxa"/>
            <w:noWrap w:val="0"/>
            <w:tcMar>
              <w:left w:w="28" w:type="dxa"/>
              <w:right w:w="28" w:type="dxa"/>
            </w:tcMar>
            <w:vAlign w:val="center"/>
          </w:tcPr>
          <w:p>
            <w:pPr>
              <w:pStyle w:val="45"/>
              <w:rPr>
                <w:rFonts w:hint="default" w:ascii="Times New Roman" w:hAnsi="Times New Roman" w:cs="Times New Roman"/>
                <w:color w:val="auto"/>
              </w:rPr>
            </w:pPr>
          </w:p>
        </w:tc>
        <w:tc>
          <w:tcPr>
            <w:tcW w:w="82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39" w:name="_Toc3644"/>
            <w:bookmarkStart w:id="40" w:name="_Toc19998"/>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.2噪声预测及达标性分析</w:t>
            </w:r>
            <w:bookmarkEnd w:id="39"/>
            <w:bookmarkEnd w:id="40"/>
          </w:p>
          <w:p>
            <w:pPr>
              <w:widowControl/>
              <w:kinsoku w:val="0"/>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本项目运营期噪声预测按照《环境影响评价技术导则声环境》（HJ2.4-2021）中的要求进行，预测设备噪声</w:t>
            </w:r>
            <w:r>
              <w:rPr>
                <w:rFonts w:hint="eastAsia" w:cs="Times New Roman"/>
                <w:color w:val="auto"/>
                <w:highlight w:val="none"/>
                <w:lang w:val="en-US" w:eastAsia="zh-CN"/>
              </w:rPr>
              <w:t>对</w:t>
            </w:r>
            <w:r>
              <w:rPr>
                <w:rFonts w:hint="default" w:ascii="Times New Roman" w:hAnsi="Times New Roman" w:cs="Times New Roman"/>
                <w:color w:val="auto"/>
                <w:highlight w:val="none"/>
              </w:rPr>
              <w:t>企业边界的影响，并判断是否达标，具体如下：</w:t>
            </w:r>
          </w:p>
          <w:p>
            <w:pPr>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（1）预测条件假设</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①所有产噪设备均在正常工况条件下运行；</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②室内噪声源考虑声源所在厂房围护结构的隔声作用，转化为室外声源预测；</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③为便于预测计算，将生产车间各噪声源概化叠加作为源强；</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④考虑声源至预测点的距离衰减，忽略传播中建筑物的阻挡、地面反射以及空气吸收、雨、雪、温度等影响。</w:t>
            </w:r>
          </w:p>
          <w:p>
            <w:pPr>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（2）预测模式选取</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①室内声源</w:t>
            </w:r>
          </w:p>
          <w:p>
            <w:pPr>
              <w:adjustRightInd w:val="0"/>
              <w:snapToGrid w:val="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position w:val="-28"/>
                <w:highlight w:val="none"/>
              </w:rPr>
              <w:object>
                <v:shape id="_x0000_i1025" o:spt="75" type="#_x0000_t75" style="height:34pt;width:132.95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p1</w:t>
            </w:r>
            <w:r>
              <w:rPr>
                <w:rFonts w:hint="default" w:ascii="Times New Roman" w:hAnsi="Times New Roman" w:cs="Times New Roman"/>
                <w:color w:val="auto"/>
                <w:highlight w:val="none"/>
              </w:rPr>
              <w:t>——靠近开口处（或窗户）室内某倍频带的声压级或A声级，dB；</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w</w:t>
            </w:r>
            <w:r>
              <w:rPr>
                <w:rFonts w:hint="default" w:ascii="Times New Roman" w:hAnsi="Times New Roman" w:cs="Times New Roman"/>
                <w:color w:val="auto"/>
                <w:highlight w:val="none"/>
              </w:rPr>
              <w:t>——点声源声功率级（A计权或倍频带），dB；</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Q——指向性因数；通常对无指向性声源，当声源放在房间中心时，Q=1；当放在一面墙的中心时，Q=2；当放在两面墙夹角处时，Q=4；当放在三面墙夹角处时，Q=8；</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R——房间常数；R=Sa/（1-a），S为房间内表面面积，</w:t>
            </w:r>
            <w:r>
              <w:rPr>
                <w:rFonts w:hint="default" w:ascii="Times New Roman" w:hAnsi="Times New Roman" w:cs="Times New Roman"/>
                <w:color w:val="auto"/>
                <w:highlight w:val="none"/>
                <w:lang w:val="en-US" w:eastAsia="zh-CN"/>
              </w:rPr>
              <w:t>770.12</w:t>
            </w:r>
            <w:r>
              <w:rPr>
                <w:rFonts w:hint="default" w:ascii="Times New Roman" w:hAnsi="Times New Roman" w:cs="Times New Roman"/>
                <w:color w:val="auto"/>
                <w:highlight w:val="none"/>
                <w:vertAlign w:val="baseline"/>
                <w:lang w:eastAsia="zh-CN"/>
              </w:rPr>
              <w:t>m</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；α为平均吸声系数；本项目生产车间厂房长</w:t>
            </w:r>
            <w:r>
              <w:rPr>
                <w:rFonts w:hint="default" w:ascii="Times New Roman" w:hAnsi="Times New Roman" w:cs="Times New Roman"/>
                <w:color w:val="auto"/>
                <w:highlight w:val="none"/>
                <w:lang w:val="en-US" w:eastAsia="zh-CN"/>
              </w:rPr>
              <w:t>40</w:t>
            </w:r>
            <w:r>
              <w:rPr>
                <w:rFonts w:hint="default" w:ascii="Times New Roman" w:hAnsi="Times New Roman" w:cs="Times New Roman"/>
                <w:color w:val="auto"/>
                <w:highlight w:val="none"/>
              </w:rPr>
              <w:t>m，宽</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m，高</w:t>
            </w:r>
            <w:r>
              <w:rPr>
                <w:rFonts w:hint="default" w:ascii="Times New Roman" w:hAnsi="Times New Roman" w:eastAsia="宋体" w:cs="Times New Roman"/>
                <w:color w:val="auto"/>
                <w:highlight w:val="none"/>
              </w:rPr>
              <w:t>18m，</w:t>
            </w:r>
            <w:r>
              <w:rPr>
                <w:rFonts w:hint="default" w:ascii="Times New Roman" w:hAnsi="Times New Roman" w:eastAsia="宋体" w:cs="Times New Roman"/>
                <w:color w:val="auto"/>
                <w:highlight w:val="none"/>
                <w:lang w:val="en-US" w:eastAsia="zh-CN"/>
              </w:rPr>
              <w:t>钢架结构</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α取0.02；</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r——声源到靠近围护结构某点处的距离，m。</w:t>
            </w:r>
          </w:p>
          <w:p>
            <w:pPr>
              <w:adjustRightInd w:val="0"/>
              <w:snapToGrid w:val="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在室内近似为扩散声场时，按下式计算出靠近室外围护结构处的声压级：</w:t>
            </w:r>
            <w:r>
              <w:rPr>
                <w:rFonts w:hint="default" w:ascii="Times New Roman" w:hAnsi="Times New Roman" w:cs="Times New Roman"/>
                <w:color w:val="auto"/>
                <w:highlight w:val="none"/>
              </w:rPr>
              <w:cr/>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p2</w:t>
            </w:r>
            <w:r>
              <w:rPr>
                <w:rFonts w:hint="default" w:ascii="Times New Roman" w:hAnsi="Times New Roman" w:cs="Times New Roman"/>
                <w:color w:val="auto"/>
                <w:highlight w:val="none"/>
              </w:rPr>
              <w:t>（T）=L</w:t>
            </w:r>
            <w:r>
              <w:rPr>
                <w:rFonts w:hint="default" w:ascii="Times New Roman" w:hAnsi="Times New Roman" w:cs="Times New Roman"/>
                <w:color w:val="auto"/>
                <w:highlight w:val="none"/>
                <w:vertAlign w:val="subscript"/>
              </w:rPr>
              <w:t>p1i</w:t>
            </w:r>
            <w:r>
              <w:rPr>
                <w:rFonts w:hint="default" w:ascii="Times New Roman" w:hAnsi="Times New Roman" w:cs="Times New Roman"/>
                <w:color w:val="auto"/>
                <w:highlight w:val="none"/>
              </w:rPr>
              <w:t>（T）-（TL</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+6）</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Lp</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（T）——靠近围护结构处室外N个声源i倍频带的叠加声压级，dB；</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Lp</w:t>
            </w:r>
            <w:r>
              <w:rPr>
                <w:rFonts w:hint="default" w:ascii="Times New Roman" w:hAnsi="Times New Roman" w:cs="Times New Roman"/>
                <w:color w:val="auto"/>
                <w:highlight w:val="none"/>
                <w:vertAlign w:val="subscript"/>
              </w:rPr>
              <w:t>1i</w:t>
            </w:r>
            <w:r>
              <w:rPr>
                <w:rFonts w:hint="default" w:ascii="Times New Roman" w:hAnsi="Times New Roman" w:cs="Times New Roman"/>
                <w:color w:val="auto"/>
                <w:highlight w:val="none"/>
              </w:rPr>
              <w:t>（T）——靠近围护结构处室内N个声源i倍频带的叠加声压级，dB；</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TL</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——围护结构i倍频带的隔声量，dB，本项目取15dB。</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②噪声贡献值计算：</w:t>
            </w:r>
          </w:p>
          <w:p>
            <w:pPr>
              <w:adjustRightInd w:val="0"/>
              <w:snapToGrid w:val="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314575" cy="561975"/>
                  <wp:effectExtent l="0" t="0" r="1905" b="1905"/>
                  <wp:docPr id="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1"/>
                          <pic:cNvPicPr>
                            <a:picLocks noChangeAspect="1"/>
                          </pic:cNvPicPr>
                        </pic:nvPicPr>
                        <pic:blipFill>
                          <a:blip r:embed="rId20"/>
                          <a:stretch>
                            <a:fillRect/>
                          </a:stretch>
                        </pic:blipFill>
                        <pic:spPr>
                          <a:xfrm>
                            <a:off x="0" y="0"/>
                            <a:ext cx="2314575" cy="561975"/>
                          </a:xfrm>
                          <a:prstGeom prst="rect">
                            <a:avLst/>
                          </a:prstGeom>
                          <a:noFill/>
                          <a:ln>
                            <a:noFill/>
                          </a:ln>
                        </pic:spPr>
                      </pic:pic>
                    </a:graphicData>
                  </a:graphic>
                </wp:inline>
              </w:drawing>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Lp</w:t>
            </w:r>
            <w:r>
              <w:rPr>
                <w:rFonts w:hint="default" w:ascii="Times New Roman" w:hAnsi="Times New Roman" w:cs="Times New Roman"/>
                <w:color w:val="auto"/>
                <w:highlight w:val="none"/>
                <w:vertAlign w:val="subscript"/>
              </w:rPr>
              <w:t>li</w:t>
            </w:r>
            <w:r>
              <w:rPr>
                <w:rFonts w:hint="default" w:ascii="Times New Roman" w:hAnsi="Times New Roman" w:cs="Times New Roman"/>
                <w:color w:val="auto"/>
                <w:highlight w:val="none"/>
              </w:rPr>
              <w:t>（T）—靠近围护结构处室内N个声源i倍频带的叠加声压级，dB；</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Lp</w:t>
            </w:r>
            <w:r>
              <w:rPr>
                <w:rFonts w:hint="default" w:ascii="Times New Roman" w:hAnsi="Times New Roman" w:cs="Times New Roman"/>
                <w:color w:val="auto"/>
                <w:highlight w:val="none"/>
                <w:vertAlign w:val="subscript"/>
              </w:rPr>
              <w:t>lij</w:t>
            </w:r>
            <w:r>
              <w:rPr>
                <w:rFonts w:hint="default" w:ascii="Times New Roman" w:hAnsi="Times New Roman" w:cs="Times New Roman"/>
                <w:color w:val="auto"/>
                <w:highlight w:val="none"/>
              </w:rPr>
              <w:t>—室内j声源i倍频带的声压级，dB；</w:t>
            </w:r>
          </w:p>
          <w:p>
            <w:pPr>
              <w:adjustRightInd w:val="0"/>
              <w:snapToGrid w:val="0"/>
              <w:ind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N—声源总数。</w:t>
            </w:r>
          </w:p>
          <w:p>
            <w:pPr>
              <w:numPr>
                <w:ilvl w:val="0"/>
                <w:numId w:val="5"/>
              </w:numPr>
              <w:snapToGrid w:val="0"/>
              <w:ind w:firstLine="482"/>
              <w:jc w:val="left"/>
              <w:rPr>
                <w:rFonts w:hint="default" w:ascii="Times New Roman" w:hAnsi="Times New Roman" w:cs="Times New Roman"/>
              </w:rPr>
            </w:pPr>
            <w:r>
              <w:rPr>
                <w:rFonts w:hint="default" w:ascii="Times New Roman" w:hAnsi="Times New Roman" w:cs="Times New Roman"/>
                <w:b/>
                <w:bCs/>
                <w:color w:val="auto"/>
                <w:highlight w:val="none"/>
              </w:rPr>
              <w:t>预测结果</w:t>
            </w:r>
          </w:p>
          <w:tbl>
            <w:tblPr>
              <w:tblStyle w:val="27"/>
              <w:tblpPr w:leftFromText="180" w:rightFromText="180" w:vertAnchor="text" w:horzAnchor="page" w:tblpXSpec="center" w:tblpY="455"/>
              <w:tblOverlap w:val="never"/>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240"/>
              <w:gridCol w:w="1294"/>
              <w:gridCol w:w="1297"/>
              <w:gridCol w:w="1294"/>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95" w:type="dxa"/>
                  <w:vMerge w:val="restart"/>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预测点</w:t>
                  </w:r>
                </w:p>
              </w:tc>
              <w:tc>
                <w:tcPr>
                  <w:tcW w:w="1240" w:type="dxa"/>
                  <w:vMerge w:val="restart"/>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贡献值</w:t>
                  </w:r>
                </w:p>
              </w:tc>
              <w:tc>
                <w:tcPr>
                  <w:tcW w:w="2591" w:type="dxa"/>
                  <w:gridSpan w:val="2"/>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噪声标准限值</w:t>
                  </w:r>
                </w:p>
              </w:tc>
              <w:tc>
                <w:tcPr>
                  <w:tcW w:w="2591" w:type="dxa"/>
                  <w:gridSpan w:val="2"/>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95" w:type="dxa"/>
                  <w:vMerge w:val="continue"/>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1240" w:type="dxa"/>
                  <w:vMerge w:val="continue"/>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昼间</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夜间</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昼间</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95"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北侧厂界</w:t>
                  </w:r>
                </w:p>
              </w:tc>
              <w:tc>
                <w:tcPr>
                  <w:tcW w:w="1240"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52.79</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65</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55</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95"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东侧厂界</w:t>
                  </w:r>
                </w:p>
              </w:tc>
              <w:tc>
                <w:tcPr>
                  <w:tcW w:w="1240"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34.21</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65</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55</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95"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南侧厂界</w:t>
                  </w:r>
                </w:p>
              </w:tc>
              <w:tc>
                <w:tcPr>
                  <w:tcW w:w="1240"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26.94</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65</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55</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595"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西侧厂界</w:t>
                  </w:r>
                </w:p>
              </w:tc>
              <w:tc>
                <w:tcPr>
                  <w:tcW w:w="1240"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46.96</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65</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55</w:t>
                  </w:r>
                </w:p>
              </w:tc>
              <w:tc>
                <w:tcPr>
                  <w:tcW w:w="1294"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c>
                <w:tcPr>
                  <w:tcW w:w="1297" w:type="dxa"/>
                  <w:noWrap w:val="0"/>
                  <w:vAlign w:val="center"/>
                </w:tcPr>
                <w:p>
                  <w:pPr>
                    <w:pStyle w:val="90"/>
                    <w:spacing w:before="172" w:line="192"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达标</w:t>
                  </w:r>
                </w:p>
              </w:tc>
            </w:tr>
          </w:tbl>
          <w:p>
            <w:pPr>
              <w:wordWrap w:val="0"/>
              <w:topLinePunct/>
              <w:adjustRightInd w:val="0"/>
              <w:snapToGrid w:val="0"/>
              <w:spacing w:line="240" w:lineRule="auto"/>
              <w:ind w:left="0" w:leftChars="0" w:firstLine="0" w:firstLineChars="0"/>
              <w:jc w:val="center"/>
              <w:outlineLvl w:val="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表4.8</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本项目噪声预测结果表</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由上表的预测结果可知，本项目东、西、南、北厂界昼间噪声预测值能够达到《工业企业厂界环境噪声排放标准》（GB12348-2008）中3类标准要求，因此项目运行对周边声环境的影响较小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41" w:name="_Toc27084"/>
            <w:bookmarkStart w:id="42" w:name="_Toc32759"/>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.3环境监测与管理</w:t>
            </w:r>
            <w:bookmarkEnd w:id="41"/>
            <w:bookmarkEnd w:id="42"/>
          </w:p>
          <w:p>
            <w:pPr>
              <w:bidi w:val="0"/>
              <w:rPr>
                <w:rFonts w:hint="default" w:ascii="Times New Roman" w:hAnsi="Times New Roman" w:cs="Times New Roman"/>
                <w:color w:val="auto"/>
              </w:rPr>
            </w:pPr>
            <w:r>
              <w:rPr>
                <w:rFonts w:hint="default" w:ascii="Times New Roman" w:hAnsi="Times New Roman" w:cs="Times New Roman"/>
                <w:color w:val="auto"/>
              </w:rPr>
              <w:t>根据本项目运营期的噪声环境污染特点，企业应自觉接受当地</w:t>
            </w:r>
            <w:r>
              <w:rPr>
                <w:rFonts w:hint="default" w:ascii="Times New Roman" w:hAnsi="Times New Roman" w:cs="Times New Roman"/>
                <w:color w:val="auto"/>
                <w:lang w:val="en-US" w:eastAsia="zh-CN"/>
              </w:rPr>
              <w:t>生态环境</w:t>
            </w:r>
            <w:r>
              <w:rPr>
                <w:rFonts w:hint="default" w:ascii="Times New Roman" w:hAnsi="Times New Roman" w:cs="Times New Roman"/>
                <w:color w:val="auto"/>
              </w:rPr>
              <w:t>部门的监督与管理。根据《排污单位自行监测技术指南总则》（HJ819-2017），本项目噪声污染物达标排放监测计划建议如下。</w:t>
            </w:r>
          </w:p>
          <w:p>
            <w:pPr>
              <w:bidi w:val="0"/>
              <w:rPr>
                <w:rFonts w:hint="default" w:ascii="Times New Roman" w:hAnsi="Times New Roman" w:cs="Times New Roman"/>
                <w:color w:val="auto"/>
              </w:rPr>
            </w:pPr>
          </w:p>
          <w:p>
            <w:pPr>
              <w:pStyle w:val="83"/>
              <w:spacing w:line="240" w:lineRule="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w:t>
            </w:r>
            <w:r>
              <w:rPr>
                <w:rFonts w:hint="eastAsia" w:ascii="Times New Roman" w:hAnsi="Times New Roman" w:eastAsia="宋体" w:cs="Times New Roman"/>
                <w:b/>
                <w:color w:val="auto"/>
                <w:kern w:val="2"/>
                <w:sz w:val="21"/>
                <w:szCs w:val="21"/>
                <w:lang w:val="en-US" w:eastAsia="zh-CN" w:bidi="ar-SA"/>
              </w:rPr>
              <w:t xml:space="preserve">.9  </w:t>
            </w:r>
            <w:r>
              <w:rPr>
                <w:rFonts w:hint="default" w:ascii="Times New Roman" w:hAnsi="Times New Roman" w:eastAsia="宋体" w:cs="Times New Roman"/>
                <w:b/>
                <w:color w:val="auto"/>
                <w:kern w:val="2"/>
                <w:sz w:val="21"/>
                <w:szCs w:val="21"/>
                <w:lang w:val="en-US" w:eastAsia="zh-CN" w:bidi="ar-SA"/>
              </w:rPr>
              <w:t>污染源与环境监测计划表</w:t>
            </w:r>
          </w:p>
          <w:tbl>
            <w:tblPr>
              <w:tblStyle w:val="26"/>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126"/>
              <w:gridCol w:w="1068"/>
              <w:gridCol w:w="2458"/>
              <w:gridCol w:w="650"/>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监测点位</w:t>
                  </w:r>
                </w:p>
              </w:tc>
              <w:tc>
                <w:tcPr>
                  <w:tcW w:w="699"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监测项目</w:t>
                  </w:r>
                </w:p>
              </w:tc>
              <w:tc>
                <w:tcPr>
                  <w:tcW w:w="663"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监测频次</w:t>
                  </w:r>
                </w:p>
              </w:tc>
              <w:tc>
                <w:tcPr>
                  <w:tcW w:w="1526"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执行标准</w:t>
                  </w:r>
                </w:p>
              </w:tc>
              <w:tc>
                <w:tcPr>
                  <w:tcW w:w="403"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级别</w:t>
                  </w:r>
                </w:p>
              </w:tc>
              <w:tc>
                <w:tcPr>
                  <w:tcW w:w="919" w:type="pct"/>
                  <w:noWrap w:val="0"/>
                  <w:vAlign w:val="center"/>
                </w:tcPr>
                <w:p>
                  <w:pPr>
                    <w:pStyle w:val="90"/>
                    <w:spacing w:before="172"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87"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厂界东侧、南侧、西侧、北侧</w:t>
                  </w:r>
                </w:p>
              </w:tc>
              <w:tc>
                <w:tcPr>
                  <w:tcW w:w="699"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等效连续A声级</w:t>
                  </w:r>
                </w:p>
              </w:tc>
              <w:tc>
                <w:tcPr>
                  <w:tcW w:w="663"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1次/季度</w:t>
                  </w:r>
                </w:p>
              </w:tc>
              <w:tc>
                <w:tcPr>
                  <w:tcW w:w="1526"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《工业企业厂界环境噪声排放标准》（GB12348-2008）</w:t>
                  </w:r>
                </w:p>
              </w:tc>
              <w:tc>
                <w:tcPr>
                  <w:tcW w:w="403"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3类</w:t>
                  </w:r>
                </w:p>
              </w:tc>
              <w:tc>
                <w:tcPr>
                  <w:tcW w:w="919" w:type="pct"/>
                  <w:noWrap w:val="0"/>
                  <w:vAlign w:val="center"/>
                </w:tcPr>
                <w:p>
                  <w:pPr>
                    <w:pStyle w:val="90"/>
                    <w:spacing w:before="172" w:line="240" w:lineRule="auto"/>
                    <w:ind w:left="0" w:leftChars="0" w:firstLine="0" w:firstLineChars="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昼间：65dB（A）夜间：55dB（A）</w:t>
                  </w:r>
                </w:p>
              </w:tc>
            </w:tr>
          </w:tbl>
          <w:p>
            <w:pPr>
              <w:pStyle w:val="4"/>
              <w:bidi w:val="0"/>
              <w:rPr>
                <w:rFonts w:hint="default" w:ascii="Times New Roman" w:hAnsi="Times New Roman" w:cs="Times New Roman"/>
                <w:color w:val="auto"/>
                <w:lang w:val="en-US" w:eastAsia="zh-CN"/>
              </w:rPr>
            </w:pPr>
            <w:bookmarkStart w:id="43" w:name="_Toc12500"/>
            <w:bookmarkStart w:id="44" w:name="_Toc27538"/>
            <w:bookmarkStart w:id="45" w:name="_Toc17925"/>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固体废物</w:t>
            </w:r>
            <w:bookmarkEnd w:id="43"/>
            <w:bookmarkEnd w:id="4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highlight w:val="none"/>
                <w:lang w:val="en-US" w:eastAsia="zh-CN"/>
              </w:rPr>
            </w:pPr>
            <w:bookmarkStart w:id="46" w:name="_Toc25082"/>
            <w:r>
              <w:rPr>
                <w:rFonts w:hint="default" w:ascii="Times New Roman" w:hAnsi="Times New Roman" w:eastAsia="宋体" w:cs="Times New Roman"/>
                <w:color w:val="auto"/>
                <w:highlight w:val="none"/>
              </w:rPr>
              <w:t>根据项目工程分析，本项目运营期产生的固体废物包括一般固体废物和危险固体废物</w:t>
            </w:r>
            <w:r>
              <w:rPr>
                <w:rFonts w:hint="eastAsia"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.1源强及治理措施</w:t>
            </w:r>
            <w:bookmarkEnd w:id="45"/>
            <w:bookmarkEnd w:id="46"/>
          </w:p>
          <w:p>
            <w:pPr>
              <w:ind w:firstLine="482"/>
              <w:rPr>
                <w:rFonts w:hint="default" w:ascii="Times New Roman" w:hAnsi="Times New Roman" w:cs="Times New Roman"/>
                <w:b/>
                <w:bCs/>
                <w:color w:val="auto"/>
                <w:highlight w:val="none"/>
              </w:rPr>
            </w:pPr>
            <w:r>
              <w:rPr>
                <w:rFonts w:hint="default"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w:t>
            </w:r>
            <w:r>
              <w:rPr>
                <w:rFonts w:hint="default" w:ascii="Times New Roman" w:hAnsi="Times New Roman" w:cs="Times New Roman"/>
                <w:b/>
                <w:bCs/>
                <w:color w:val="auto"/>
                <w:highlight w:val="none"/>
              </w:rPr>
              <w:t>生活垃圾</w:t>
            </w:r>
          </w:p>
          <w:p>
            <w:pPr>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人，每人每天生活垃圾产生量按0.5kg/人</w:t>
            </w:r>
            <w:r>
              <w:rPr>
                <w:rFonts w:hint="default" w:ascii="Times New Roman" w:hAnsi="Times New Roman" w:cs="Times New Roman"/>
                <w:b/>
                <w:bCs/>
                <w:color w:val="auto"/>
                <w:highlight w:val="none"/>
              </w:rPr>
              <w:t>·</w:t>
            </w:r>
            <w:r>
              <w:rPr>
                <w:rFonts w:hint="default" w:ascii="Times New Roman" w:hAnsi="Times New Roman" w:cs="Times New Roman"/>
                <w:color w:val="auto"/>
                <w:highlight w:val="none"/>
              </w:rPr>
              <w:t>d计算，年工作3</w:t>
            </w:r>
            <w:r>
              <w:rPr>
                <w:rFonts w:hint="default" w:ascii="Times New Roman" w:hAnsi="Times New Roman" w:cs="Times New Roman"/>
                <w:color w:val="auto"/>
                <w:highlight w:val="none"/>
                <w:lang w:val="en-US" w:eastAsia="zh-CN"/>
              </w:rPr>
              <w:t>00</w:t>
            </w:r>
            <w:r>
              <w:rPr>
                <w:rFonts w:hint="default" w:ascii="Times New Roman" w:hAnsi="Times New Roman" w:cs="Times New Roman"/>
                <w:color w:val="auto"/>
                <w:highlight w:val="none"/>
              </w:rPr>
              <w:t>天，则产生垃圾量为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p>
          <w:p>
            <w:pPr>
              <w:pStyle w:val="90"/>
              <w:spacing w:before="183" w:line="360" w:lineRule="auto"/>
              <w:rPr>
                <w:rFonts w:hint="default" w:ascii="Times New Roman" w:hAnsi="Times New Roman" w:cs="Times New Roman"/>
                <w:color w:val="auto"/>
                <w:highlight w:val="none"/>
                <w:lang w:eastAsia="zh-CN"/>
              </w:rPr>
            </w:pPr>
            <w:r>
              <w:rPr>
                <w:rFonts w:hint="default" w:ascii="Times New Roman" w:hAnsi="Times New Roman" w:eastAsia="宋体" w:cs="Times New Roman"/>
                <w:b/>
                <w:bCs/>
                <w:color w:val="auto"/>
                <w:kern w:val="2"/>
                <w:sz w:val="24"/>
                <w:szCs w:val="24"/>
                <w:highlight w:val="none"/>
                <w:lang w:val="en-US" w:eastAsia="zh-CN" w:bidi="ar-SA"/>
              </w:rPr>
              <w:t>治理措施：</w:t>
            </w:r>
            <w:r>
              <w:rPr>
                <w:rFonts w:hint="default" w:ascii="Times New Roman" w:hAnsi="Times New Roman" w:eastAsia="宋体" w:cs="Times New Roman"/>
                <w:color w:val="auto"/>
                <w:kern w:val="2"/>
                <w:sz w:val="24"/>
                <w:szCs w:val="24"/>
                <w:highlight w:val="none"/>
                <w:lang w:val="en-US" w:eastAsia="zh-CN" w:bidi="ar-SA"/>
              </w:rPr>
              <w:t>生活垃圾集中分类收集后由环卫部门处置。</w:t>
            </w:r>
          </w:p>
          <w:p>
            <w:pPr>
              <w:rPr>
                <w:rFonts w:hint="default" w:ascii="Times New Roman" w:hAnsi="Times New Roman" w:cs="Times New Roman"/>
              </w:rPr>
            </w:pP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）一般工业固体废物</w:t>
            </w:r>
          </w:p>
          <w:p>
            <w:pPr>
              <w:ind w:firstLine="482"/>
              <w:rPr>
                <w:rFonts w:hint="default" w:ascii="Times New Roman" w:hAnsi="Times New Roman" w:cs="Times New Roman"/>
                <w:b/>
                <w:bCs/>
                <w:color w:val="auto"/>
                <w:highlight w:val="none"/>
              </w:rPr>
            </w:pPr>
            <w:r>
              <w:rPr>
                <w:rFonts w:hint="default" w:ascii="Times New Roman" w:hAnsi="Times New Roman" w:eastAsia="宋体" w:cs="Times New Roman"/>
                <w:b/>
                <w:bCs/>
                <w:color w:val="auto"/>
                <w:highlight w:val="none"/>
              </w:rPr>
              <w:t>①</w:t>
            </w:r>
            <w:r>
              <w:rPr>
                <w:rFonts w:hint="default" w:ascii="Times New Roman" w:hAnsi="Times New Roman" w:cs="Times New Roman"/>
                <w:b/>
                <w:bCs/>
                <w:color w:val="auto"/>
                <w:vertAlign w:val="baseline"/>
                <w:lang w:val="en-US" w:eastAsia="zh-CN"/>
              </w:rPr>
              <w:t>分拣废物</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项目生产过程产生的分拣废物，根据</w:t>
            </w:r>
            <w:r>
              <w:rPr>
                <w:rFonts w:hint="default" w:ascii="Times New Roman" w:hAnsi="Times New Roman" w:cs="Times New Roman"/>
                <w:color w:val="auto"/>
              </w:rPr>
              <w:t>《排放源统计调查产排污核算方法和系数手册》（环境部公告2021年第24号）中</w:t>
            </w:r>
            <w:r>
              <w:rPr>
                <w:rFonts w:hint="default" w:ascii="Times New Roman" w:hAnsi="Times New Roman" w:cs="Times New Roman"/>
                <w:color w:val="auto"/>
                <w:lang w:val="en-US" w:eastAsia="zh-CN"/>
              </w:rPr>
              <w:t>4220非金属废料和碎屑加工处理行业系数表</w:t>
            </w:r>
            <w:r>
              <w:rPr>
                <w:rFonts w:hint="default" w:ascii="Times New Roman" w:hAnsi="Times New Roman" w:cs="Times New Roman"/>
                <w:color w:val="auto"/>
              </w:rPr>
              <w:t>中</w:t>
            </w:r>
            <w:r>
              <w:rPr>
                <w:rFonts w:hint="default" w:ascii="Times New Roman" w:hAnsi="Times New Roman" w:cs="Times New Roman"/>
                <w:color w:val="auto"/>
                <w:lang w:val="en-US" w:eastAsia="zh-CN"/>
              </w:rPr>
              <w:t>一般固体废物产生污系数为30</w:t>
            </w:r>
            <w:r>
              <w:rPr>
                <w:rFonts w:hint="default" w:ascii="Times New Roman" w:hAnsi="Times New Roman" w:cs="Times New Roman"/>
                <w:color w:val="auto"/>
              </w:rPr>
              <w:t>kg/t-</w:t>
            </w:r>
            <w:r>
              <w:rPr>
                <w:rFonts w:hint="default" w:ascii="Times New Roman" w:hAnsi="Times New Roman" w:cs="Times New Roman"/>
                <w:color w:val="auto"/>
                <w:lang w:val="en-US" w:eastAsia="zh-CN"/>
              </w:rPr>
              <w:t>原料</w:t>
            </w:r>
            <w:r>
              <w:rPr>
                <w:rFonts w:hint="default" w:ascii="Times New Roman" w:hAnsi="Times New Roman" w:cs="Times New Roman"/>
                <w:color w:val="auto"/>
              </w:rPr>
              <w:t>，</w:t>
            </w:r>
            <w:r>
              <w:rPr>
                <w:rFonts w:hint="default" w:ascii="Times New Roman" w:hAnsi="Times New Roman" w:cs="Times New Roman"/>
                <w:color w:val="auto"/>
                <w:lang w:val="en-US" w:eastAsia="zh-CN"/>
              </w:rPr>
              <w:t>根据企业提供的资料可知，本项目原料用量为2310t</w:t>
            </w:r>
            <w:r>
              <w:rPr>
                <w:rFonts w:hint="default" w:ascii="Times New Roman" w:hAnsi="Times New Roman" w:cs="Times New Roman"/>
                <w:color w:val="auto"/>
              </w:rPr>
              <w:t>/</w:t>
            </w:r>
            <w:r>
              <w:rPr>
                <w:rFonts w:hint="default" w:ascii="Times New Roman" w:hAnsi="Times New Roman" w:cs="Times New Roman"/>
                <w:color w:val="auto"/>
                <w:lang w:val="en-US" w:eastAsia="zh-CN"/>
              </w:rPr>
              <w:t>a，则分拣废物产生量为69.3</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rPr>
              <w:t>属于一般固体废物。</w:t>
            </w:r>
          </w:p>
          <w:p>
            <w:pPr>
              <w:ind w:firstLine="482"/>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治理措施：</w:t>
            </w:r>
            <w:r>
              <w:rPr>
                <w:rFonts w:hint="default" w:ascii="Times New Roman" w:hAnsi="Times New Roman" w:cs="Times New Roman"/>
                <w:color w:val="auto"/>
                <w:highlight w:val="none"/>
                <w:lang w:val="en-US" w:eastAsia="zh-CN"/>
              </w:rPr>
              <w:t>分拣废物集中袋装收集后外售</w:t>
            </w:r>
            <w:r>
              <w:rPr>
                <w:rFonts w:hint="default" w:ascii="Times New Roman" w:hAnsi="Times New Roman" w:cs="Times New Roman"/>
                <w:color w:val="auto"/>
                <w:highlight w:val="none"/>
              </w:rPr>
              <w:t>。</w:t>
            </w:r>
          </w:p>
          <w:p>
            <w:pPr>
              <w:shd w:val="clear" w:color="auto" w:fill="auto"/>
              <w:ind w:firstLine="482"/>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②</w:t>
            </w:r>
            <w:r>
              <w:rPr>
                <w:rFonts w:hint="default" w:ascii="Times New Roman" w:hAnsi="Times New Roman" w:cs="Times New Roman"/>
                <w:b/>
                <w:bCs/>
                <w:color w:val="auto"/>
                <w:highlight w:val="none"/>
                <w:lang w:val="en-US" w:eastAsia="zh-CN"/>
              </w:rPr>
              <w:t>除尘器收集废物</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本项目除尘器收集废物主要是废丝和布边角料颗粒和丝状物在滤网除尘设备和水雾除尘设备除尘过程中产生</w:t>
            </w:r>
            <w:r>
              <w:rPr>
                <w:rFonts w:hint="eastAsia" w:ascii="Times New Roman" w:hAnsi="Times New Roman" w:eastAsia="宋体" w:cs="Times New Roman"/>
                <w:color w:val="auto"/>
                <w:lang w:val="en-US" w:eastAsia="zh-CN"/>
              </w:rPr>
              <w:t>，产生量</w:t>
            </w:r>
            <w:r>
              <w:rPr>
                <w:rFonts w:hint="default" w:ascii="Times New Roman" w:hAnsi="Times New Roman" w:eastAsia="宋体" w:cs="Times New Roman"/>
                <w:color w:val="auto"/>
                <w:lang w:val="en-US" w:eastAsia="zh-CN"/>
              </w:rPr>
              <w:t>为0.</w:t>
            </w:r>
            <w:r>
              <w:rPr>
                <w:rFonts w:hint="eastAsia" w:ascii="Times New Roman" w:hAnsi="Times New Roman" w:eastAsia="宋体" w:cs="Times New Roman"/>
                <w:color w:val="auto"/>
                <w:lang w:val="en-US" w:eastAsia="zh-CN"/>
              </w:rPr>
              <w:t>283</w:t>
            </w:r>
            <w:r>
              <w:rPr>
                <w:rFonts w:hint="default" w:ascii="Times New Roman" w:hAnsi="Times New Roman" w:eastAsia="宋体" w:cs="Times New Roman"/>
                <w:color w:val="auto"/>
                <w:lang w:val="en-US" w:eastAsia="zh-CN"/>
              </w:rPr>
              <w:t>t/a。</w:t>
            </w:r>
          </w:p>
          <w:p>
            <w:pPr>
              <w:bidi w:val="0"/>
              <w:rPr>
                <w:rFonts w:hint="default" w:ascii="Times New Roman" w:hAnsi="Times New Roman" w:eastAsia="宋体" w:cs="Times New Roman"/>
                <w:color w:val="auto"/>
                <w:lang w:val="en-US" w:eastAsia="zh-CN"/>
              </w:rPr>
            </w:pPr>
            <w:r>
              <w:rPr>
                <w:rFonts w:hint="default" w:ascii="Times New Roman" w:hAnsi="Times New Roman" w:cs="Times New Roman"/>
                <w:b/>
                <w:bCs/>
                <w:color w:val="auto"/>
                <w:highlight w:val="none"/>
              </w:rPr>
              <w:t>治理措施：</w:t>
            </w:r>
            <w:r>
              <w:rPr>
                <w:rFonts w:hint="default" w:ascii="Times New Roman" w:hAnsi="Times New Roman" w:eastAsia="宋体" w:cs="Times New Roman"/>
                <w:color w:val="auto"/>
                <w:lang w:val="en-US" w:eastAsia="zh-CN"/>
              </w:rPr>
              <w:t>建设单位定期清理滤网和水雾除尘箱，清理后的废物回用于生产。</w:t>
            </w:r>
          </w:p>
          <w:p>
            <w:pPr>
              <w:ind w:firstLine="482"/>
              <w:rPr>
                <w:b/>
                <w:bCs/>
                <w:color w:val="auto"/>
                <w:highlight w:val="none"/>
              </w:rPr>
            </w:pPr>
            <w:r>
              <w:rPr>
                <w:b/>
                <w:bCs/>
                <w:color w:val="auto"/>
                <w:highlight w:val="none"/>
              </w:rPr>
              <w:t>（</w:t>
            </w:r>
            <w:r>
              <w:rPr>
                <w:rFonts w:hint="eastAsia"/>
                <w:b/>
                <w:bCs/>
                <w:color w:val="auto"/>
                <w:highlight w:val="none"/>
                <w:lang w:val="en-US" w:eastAsia="zh-CN"/>
              </w:rPr>
              <w:t>3</w:t>
            </w:r>
            <w:r>
              <w:rPr>
                <w:b/>
                <w:bCs/>
                <w:color w:val="auto"/>
                <w:highlight w:val="none"/>
              </w:rPr>
              <w:t>）危险废物</w:t>
            </w:r>
          </w:p>
          <w:p>
            <w:pPr>
              <w:shd w:val="clear" w:color="auto" w:fill="auto"/>
              <w:ind w:firstLine="482"/>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①</w:t>
            </w:r>
            <w:r>
              <w:rPr>
                <w:rFonts w:hint="eastAsia" w:ascii="Times New Roman" w:hAnsi="Times New Roman" w:eastAsia="宋体" w:cs="Times New Roman"/>
                <w:b/>
                <w:bCs/>
                <w:color w:val="auto"/>
                <w:highlight w:val="none"/>
                <w:lang w:val="en-US" w:eastAsia="zh-CN"/>
              </w:rPr>
              <w:t>废活性炭</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本项目有机废气采用活性炭吸附，根据《简明通风设计手册》</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活性炭</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有机废气=1:</w:t>
            </w:r>
            <w:r>
              <w:rPr>
                <w:rFonts w:hint="eastAsia" w:ascii="Times New Roman" w:hAnsi="Times New Roman" w:eastAsia="宋体" w:cs="Times New Roman"/>
                <w:color w:val="auto"/>
                <w:lang w:val="en-US" w:eastAsia="zh-CN"/>
              </w:rPr>
              <w:t>0.3”</w:t>
            </w:r>
            <w:r>
              <w:rPr>
                <w:rFonts w:hint="default" w:ascii="Times New Roman" w:hAnsi="Times New Roman" w:eastAsia="宋体" w:cs="Times New Roman"/>
                <w:color w:val="auto"/>
                <w:lang w:val="en-US" w:eastAsia="zh-CN"/>
              </w:rPr>
              <w:t>即1kg的活性炭可以吸附</w:t>
            </w:r>
            <w:r>
              <w:rPr>
                <w:rFonts w:hint="eastAsia" w:ascii="Times New Roman" w:hAnsi="Times New Roman" w:eastAsia="宋体" w:cs="Times New Roman"/>
                <w:color w:val="auto"/>
                <w:lang w:val="en-US" w:eastAsia="zh-CN"/>
              </w:rPr>
              <w:t>0.3</w:t>
            </w:r>
            <w:r>
              <w:rPr>
                <w:rFonts w:hint="default" w:ascii="Times New Roman" w:hAnsi="Times New Roman" w:eastAsia="宋体" w:cs="Times New Roman"/>
                <w:color w:val="auto"/>
                <w:lang w:val="en-US" w:eastAsia="zh-CN"/>
              </w:rPr>
              <w:t>kg的有机废气，本项目需活性炭处理有机废气量为</w:t>
            </w:r>
            <w:r>
              <w:rPr>
                <w:rFonts w:hint="eastAsia" w:ascii="Times New Roman" w:hAnsi="Times New Roman" w:eastAsia="宋体" w:cs="Times New Roman"/>
                <w:color w:val="auto"/>
                <w:lang w:val="en-US" w:eastAsia="zh-CN"/>
              </w:rPr>
              <w:t>0.</w:t>
            </w:r>
            <w:r>
              <w:rPr>
                <w:rFonts w:hint="eastAsia" w:cs="Times New Roman"/>
                <w:color w:val="auto"/>
                <w:lang w:val="en-US" w:eastAsia="zh-CN"/>
              </w:rPr>
              <w:t>302</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需要活性炭量为</w:t>
            </w:r>
            <w:r>
              <w:rPr>
                <w:rFonts w:hint="eastAsia" w:cs="Times New Roman"/>
                <w:color w:val="auto"/>
                <w:lang w:val="en-US" w:eastAsia="zh-CN"/>
              </w:rPr>
              <w:t>1.007</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，活性炭一年更换两次，则本项目产生的废活性炭为</w:t>
            </w:r>
            <w:r>
              <w:rPr>
                <w:rFonts w:hint="eastAsia" w:cs="Times New Roman"/>
                <w:color w:val="auto"/>
                <w:lang w:val="en-US" w:eastAsia="zh-CN"/>
              </w:rPr>
              <w:t>1.007</w:t>
            </w:r>
            <w:r>
              <w:rPr>
                <w:rFonts w:hint="eastAsia" w:ascii="Times New Roman" w:hAnsi="Times New Roman" w:eastAsia="宋体" w:cs="Times New Roman"/>
                <w:color w:val="auto"/>
                <w:lang w:val="en-US" w:eastAsia="zh-CN"/>
              </w:rPr>
              <w:t>t/a</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eastAsia" w:cs="Times New Roman"/>
                <w:color w:val="auto"/>
                <w:lang w:val="en-US" w:eastAsia="zh-CN"/>
              </w:rPr>
              <w:t>2.014</w:t>
            </w:r>
            <w:r>
              <w:rPr>
                <w:rFonts w:hint="eastAsia" w:ascii="Times New Roman" w:hAnsi="Times New Roman" w:eastAsia="宋体" w:cs="Times New Roman"/>
                <w:color w:val="auto"/>
                <w:lang w:val="en-US" w:eastAsia="zh-CN"/>
              </w:rPr>
              <w:t>t/a。</w:t>
            </w:r>
          </w:p>
          <w:p>
            <w:pPr>
              <w:ind w:firstLine="482"/>
              <w:rPr>
                <w:rFonts w:hint="default" w:ascii="Times New Roman" w:hAnsi="Times New Roman" w:eastAsia="宋体" w:cs="Times New Roman"/>
                <w:color w:val="auto"/>
                <w:lang w:val="en-US" w:eastAsia="zh-CN"/>
              </w:rPr>
            </w:pPr>
            <w:r>
              <w:rPr>
                <w:rFonts w:hint="eastAsia"/>
                <w:b/>
                <w:color w:val="auto"/>
                <w:kern w:val="21"/>
                <w:highlight w:val="none"/>
              </w:rPr>
              <w:t>治理措施：</w:t>
            </w:r>
            <w:r>
              <w:rPr>
                <w:rFonts w:hint="default" w:ascii="Times New Roman" w:hAnsi="Times New Roman" w:eastAsia="宋体" w:cs="Times New Roman"/>
                <w:color w:val="auto"/>
                <w:lang w:val="en-US" w:eastAsia="zh-CN"/>
              </w:rPr>
              <w:t>废活性炭</w:t>
            </w:r>
            <w:r>
              <w:rPr>
                <w:rFonts w:hint="eastAsia" w:ascii="Times New Roman" w:hAnsi="Times New Roman" w:eastAsia="宋体" w:cs="Times New Roman"/>
                <w:color w:val="auto"/>
                <w:lang w:val="en-US" w:eastAsia="zh-CN"/>
              </w:rPr>
              <w:t>属于危险废物，环评要求建设单位设置危废暂存间，将</w:t>
            </w:r>
            <w:r>
              <w:rPr>
                <w:rFonts w:hint="default" w:ascii="Times New Roman" w:hAnsi="Times New Roman" w:eastAsia="宋体" w:cs="Times New Roman"/>
                <w:color w:val="auto"/>
                <w:lang w:val="en-US" w:eastAsia="zh-CN"/>
              </w:rPr>
              <w:t>废活性炭</w:t>
            </w:r>
            <w:r>
              <w:rPr>
                <w:rFonts w:hint="eastAsia" w:ascii="Times New Roman" w:hAnsi="Times New Roman" w:eastAsia="宋体" w:cs="Times New Roman"/>
                <w:color w:val="auto"/>
                <w:lang w:val="en-US" w:eastAsia="zh-CN"/>
              </w:rPr>
              <w:t>暂存于危废暂存间，委托有资质单位处置。</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综上，本项目固体废物产生、处理与处置情况汇总如下表所示：</w:t>
            </w:r>
          </w:p>
          <w:p>
            <w:pPr>
              <w:pStyle w:val="83"/>
              <w:spacing w:line="240" w:lineRule="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表4.10</w:t>
            </w:r>
            <w:r>
              <w:rPr>
                <w:rFonts w:hint="eastAsia" w:eastAsia="宋体" w:cs="Times New Roman"/>
                <w:b/>
                <w:color w:val="auto"/>
                <w:kern w:val="2"/>
                <w:sz w:val="21"/>
                <w:szCs w:val="21"/>
                <w:lang w:val="en-US" w:eastAsia="zh-CN" w:bidi="ar-SA"/>
              </w:rPr>
              <w:t xml:space="preserve">  </w:t>
            </w:r>
            <w:r>
              <w:rPr>
                <w:rFonts w:hint="default" w:ascii="Times New Roman" w:hAnsi="Times New Roman" w:eastAsia="宋体" w:cs="Times New Roman"/>
                <w:b/>
                <w:color w:val="auto"/>
                <w:kern w:val="2"/>
                <w:sz w:val="21"/>
                <w:szCs w:val="21"/>
                <w:lang w:val="en-US" w:eastAsia="zh-CN" w:bidi="ar-SA"/>
              </w:rPr>
              <w:t>本项目固体废物产生与处置情况一览表</w:t>
            </w:r>
          </w:p>
          <w:tbl>
            <w:tblPr>
              <w:tblStyle w:val="26"/>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006"/>
              <w:gridCol w:w="430"/>
              <w:gridCol w:w="769"/>
              <w:gridCol w:w="773"/>
              <w:gridCol w:w="675"/>
              <w:gridCol w:w="713"/>
              <w:gridCol w:w="881"/>
              <w:gridCol w:w="948"/>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产生环节</w:t>
                  </w:r>
                </w:p>
              </w:tc>
              <w:tc>
                <w:tcPr>
                  <w:tcW w:w="1006"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名称</w:t>
                  </w:r>
                </w:p>
              </w:tc>
              <w:tc>
                <w:tcPr>
                  <w:tcW w:w="430"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属性</w:t>
                  </w:r>
                </w:p>
              </w:tc>
              <w:tc>
                <w:tcPr>
                  <w:tcW w:w="769"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废物类别</w:t>
                  </w:r>
                </w:p>
              </w:tc>
              <w:tc>
                <w:tcPr>
                  <w:tcW w:w="773"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废物代码</w:t>
                  </w:r>
                </w:p>
              </w:tc>
              <w:tc>
                <w:tcPr>
                  <w:tcW w:w="675"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危险特性</w:t>
                  </w:r>
                </w:p>
              </w:tc>
              <w:tc>
                <w:tcPr>
                  <w:tcW w:w="713"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物理性状</w:t>
                  </w:r>
                </w:p>
              </w:tc>
              <w:tc>
                <w:tcPr>
                  <w:tcW w:w="881"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年产生量（t/a）</w:t>
                  </w:r>
                </w:p>
              </w:tc>
              <w:tc>
                <w:tcPr>
                  <w:tcW w:w="948"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贮存</w:t>
                  </w:r>
                </w:p>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方式</w:t>
                  </w:r>
                </w:p>
              </w:tc>
              <w:tc>
                <w:tcPr>
                  <w:tcW w:w="1154" w:type="dxa"/>
                  <w:noWrap w:val="0"/>
                  <w:vAlign w:val="center"/>
                </w:tcPr>
                <w:p>
                  <w:pPr>
                    <w:pStyle w:val="83"/>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68"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zh-CN" w:eastAsia="zh-CN" w:bidi="ar-SA"/>
                    </w:rPr>
                    <w:t>办公生活</w:t>
                  </w:r>
                </w:p>
              </w:tc>
              <w:tc>
                <w:tcPr>
                  <w:tcW w:w="1006"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生活垃圾</w:t>
                  </w:r>
                </w:p>
              </w:tc>
              <w:tc>
                <w:tcPr>
                  <w:tcW w:w="430" w:type="dxa"/>
                  <w:vMerge w:val="restart"/>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一般工业固体废物</w:t>
                  </w:r>
                </w:p>
              </w:tc>
              <w:tc>
                <w:tcPr>
                  <w:tcW w:w="769"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773"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675"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713" w:type="dxa"/>
                  <w:vMerge w:val="restart"/>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固体</w:t>
                  </w:r>
                </w:p>
              </w:tc>
              <w:tc>
                <w:tcPr>
                  <w:tcW w:w="881"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1.5</w:t>
                  </w:r>
                </w:p>
              </w:tc>
              <w:tc>
                <w:tcPr>
                  <w:tcW w:w="948"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桶装</w:t>
                  </w:r>
                </w:p>
              </w:tc>
              <w:tc>
                <w:tcPr>
                  <w:tcW w:w="1154"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交由环卫部门外运处置。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产品生产</w:t>
                  </w:r>
                </w:p>
              </w:tc>
              <w:tc>
                <w:tcPr>
                  <w:tcW w:w="1006"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分拣废物</w:t>
                  </w:r>
                </w:p>
              </w:tc>
              <w:tc>
                <w:tcPr>
                  <w:tcW w:w="430" w:type="dxa"/>
                  <w:vMerge w:val="continue"/>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p>
              </w:tc>
              <w:tc>
                <w:tcPr>
                  <w:tcW w:w="769"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773"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675"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713" w:type="dxa"/>
                  <w:vMerge w:val="continue"/>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p>
              </w:tc>
              <w:tc>
                <w:tcPr>
                  <w:tcW w:w="881"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69.3</w:t>
                  </w:r>
                </w:p>
              </w:tc>
              <w:tc>
                <w:tcPr>
                  <w:tcW w:w="948"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袋装</w:t>
                  </w:r>
                </w:p>
              </w:tc>
              <w:tc>
                <w:tcPr>
                  <w:tcW w:w="1154"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vMerge w:val="restart"/>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环保工程</w:t>
                  </w:r>
                </w:p>
              </w:tc>
              <w:tc>
                <w:tcPr>
                  <w:tcW w:w="1006"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除尘器收集废物</w:t>
                  </w:r>
                </w:p>
              </w:tc>
              <w:tc>
                <w:tcPr>
                  <w:tcW w:w="430" w:type="dxa"/>
                  <w:vMerge w:val="continue"/>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p>
              </w:tc>
              <w:tc>
                <w:tcPr>
                  <w:tcW w:w="769"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773"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675"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713" w:type="dxa"/>
                  <w:vMerge w:val="continue"/>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p>
              </w:tc>
              <w:tc>
                <w:tcPr>
                  <w:tcW w:w="881"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0.2</w:t>
                  </w:r>
                  <w:r>
                    <w:rPr>
                      <w:rFonts w:hint="eastAsia" w:ascii="Times New Roman" w:hAnsi="Times New Roman" w:eastAsia="宋体" w:cs="Times New Roman"/>
                      <w:b w:val="0"/>
                      <w:bCs/>
                      <w:color w:val="auto"/>
                      <w:kern w:val="2"/>
                      <w:sz w:val="21"/>
                      <w:szCs w:val="21"/>
                      <w:lang w:val="en-US" w:eastAsia="zh-CN" w:bidi="ar-SA"/>
                    </w:rPr>
                    <w:t>83</w:t>
                  </w:r>
                </w:p>
              </w:tc>
              <w:tc>
                <w:tcPr>
                  <w:tcW w:w="948"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1154"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vMerge w:val="continue"/>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bookmarkStart w:id="47" w:name="_Toc8516"/>
                  <w:bookmarkStart w:id="48" w:name="_Toc23813"/>
                </w:p>
              </w:tc>
              <w:tc>
                <w:tcPr>
                  <w:tcW w:w="1006"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废活性炭</w:t>
                  </w:r>
                </w:p>
              </w:tc>
              <w:tc>
                <w:tcPr>
                  <w:tcW w:w="430"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危险废物</w:t>
                  </w:r>
                </w:p>
              </w:tc>
              <w:tc>
                <w:tcPr>
                  <w:tcW w:w="769"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HW49</w:t>
                  </w:r>
                </w:p>
              </w:tc>
              <w:tc>
                <w:tcPr>
                  <w:tcW w:w="773"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900-041-49</w:t>
                  </w:r>
                </w:p>
              </w:tc>
              <w:tc>
                <w:tcPr>
                  <w:tcW w:w="675"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T，</w:t>
                  </w:r>
                  <w:r>
                    <w:rPr>
                      <w:rFonts w:hint="default" w:ascii="Times New Roman" w:hAnsi="Times New Roman" w:eastAsia="宋体" w:cs="Times New Roman"/>
                      <w:b w:val="0"/>
                      <w:bCs/>
                      <w:color w:val="auto"/>
                      <w:kern w:val="2"/>
                      <w:sz w:val="21"/>
                      <w:szCs w:val="21"/>
                      <w:lang w:val="zh-CN" w:eastAsia="zh-CN" w:bidi="ar-SA"/>
                    </w:rPr>
                    <w:t>In</w:t>
                  </w:r>
                </w:p>
              </w:tc>
              <w:tc>
                <w:tcPr>
                  <w:tcW w:w="713" w:type="dxa"/>
                  <w:vMerge w:val="continue"/>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p>
              </w:tc>
              <w:tc>
                <w:tcPr>
                  <w:tcW w:w="881"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eastAsia="宋体" w:cs="Times New Roman"/>
                      <w:b w:val="0"/>
                      <w:bCs/>
                      <w:color w:val="auto"/>
                      <w:kern w:val="2"/>
                      <w:sz w:val="21"/>
                      <w:szCs w:val="21"/>
                      <w:lang w:val="en-US" w:eastAsia="zh-CN" w:bidi="ar-SA"/>
                    </w:rPr>
                    <w:t>2.014</w:t>
                  </w:r>
                </w:p>
              </w:tc>
              <w:tc>
                <w:tcPr>
                  <w:tcW w:w="948" w:type="dxa"/>
                  <w:noWrap w:val="0"/>
                  <w:vAlign w:val="center"/>
                </w:tcPr>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密封</w:t>
                  </w:r>
                </w:p>
                <w:p>
                  <w:pPr>
                    <w:pStyle w:val="83"/>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桶装</w:t>
                  </w:r>
                </w:p>
              </w:tc>
              <w:tc>
                <w:tcPr>
                  <w:tcW w:w="1154" w:type="dxa"/>
                  <w:noWrap w:val="0"/>
                  <w:vAlign w:val="center"/>
                </w:tcPr>
                <w:p>
                  <w:pPr>
                    <w:spacing w:line="240" w:lineRule="auto"/>
                    <w:ind w:left="0" w:leftChars="0"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暂存于危废暂存间，委托有资质单位处置。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17" w:type="dxa"/>
                  <w:gridSpan w:val="10"/>
                  <w:noWrap w:val="0"/>
                  <w:vAlign w:val="center"/>
                </w:tcPr>
                <w:p>
                  <w:pPr>
                    <w:pStyle w:val="82"/>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注：T</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毒性（Toxicity）；C</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腐蚀性（Corrosivity）；I</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易燃性（Ignitability）；</w:t>
                  </w:r>
                </w:p>
                <w:p>
                  <w:pPr>
                    <w:pStyle w:val="83"/>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R</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反应性（Reactivity）；In</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感染性（Infectivity）</w:t>
                  </w:r>
                  <w:r>
                    <w:rPr>
                      <w:rFonts w:ascii="宋体"/>
                      <w:color w:val="auto"/>
                      <w:sz w:val="20"/>
                      <w:szCs w:val="20"/>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.2固体废物</w:t>
            </w:r>
            <w:bookmarkEnd w:id="47"/>
            <w:r>
              <w:rPr>
                <w:rFonts w:hint="default" w:ascii="Times New Roman" w:hAnsi="Times New Roman" w:eastAsia="宋体" w:cs="Times New Roman"/>
                <w:b/>
                <w:bCs/>
                <w:color w:val="auto"/>
                <w:highlight w:val="none"/>
                <w:lang w:val="en-US" w:eastAsia="zh-CN"/>
              </w:rPr>
              <w:t>环境管理要求</w:t>
            </w:r>
            <w:bookmarkEnd w:id="48"/>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（1）生活垃圾的环境管理要求</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厂区内职工日常生活产生的生活垃圾，交由环卫部门统一清运。生活垃圾应采取袋装收集的方式处理。</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（2）一般固体废物环境管理要求</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①一般工业固体废物应执行《一般工业固体废物贮存和填埋污染控制标准》（GB18599-2020）中的有关规定，各类废物可分类收集、定点堆放在厂区内的一般固废暂存区，同时定期外运处置。</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②贮存场所应采取防止粉尘污染的措施，并采取防渗、防雨淋、防流散措施。贮存场所应按《环境保护图形标志固体废物贮存（处置）场》（GB15562.2-1995）及修改单设置环境保护图形标志。</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综上所述，本项目固体废物去向明确，建设单位在严格落实本次评价提出的固废治理措施的前提下，不会对项目地及周边食品类企业</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土壤</w:t>
            </w:r>
            <w:r>
              <w:rPr>
                <w:rFonts w:hint="eastAsia" w:ascii="Times New Roman" w:hAnsi="Times New Roman" w:eastAsia="宋体" w:cs="Times New Roman"/>
                <w:color w:val="auto"/>
                <w:lang w:val="en-US" w:eastAsia="zh-CN"/>
              </w:rPr>
              <w:t>和</w:t>
            </w:r>
            <w:r>
              <w:rPr>
                <w:rFonts w:hint="default" w:ascii="Times New Roman" w:hAnsi="Times New Roman" w:eastAsia="宋体" w:cs="Times New Roman"/>
                <w:color w:val="auto"/>
                <w:lang w:val="en-US" w:eastAsia="zh-CN"/>
              </w:rPr>
              <w:t>水环境造成二次污染。</w:t>
            </w:r>
          </w:p>
          <w:p>
            <w:pPr>
              <w:ind w:firstLine="482"/>
              <w:rPr>
                <w:rFonts w:hint="eastAsia"/>
                <w:b/>
                <w:bCs/>
                <w:color w:val="auto"/>
                <w:highlight w:val="none"/>
              </w:rPr>
            </w:pPr>
            <w:r>
              <w:rPr>
                <w:rFonts w:hint="eastAsia"/>
                <w:b/>
                <w:bCs/>
                <w:color w:val="auto"/>
                <w:highlight w:val="none"/>
              </w:rPr>
              <w:t>（3）危险废物环境管理要求</w:t>
            </w:r>
          </w:p>
          <w:p>
            <w:pPr>
              <w:ind w:firstLine="482"/>
              <w:rPr>
                <w:b/>
                <w:bCs/>
                <w:color w:val="auto"/>
                <w:highlight w:val="none"/>
              </w:rPr>
            </w:pPr>
            <w:r>
              <w:rPr>
                <w:rFonts w:hint="eastAsia"/>
                <w:b/>
                <w:bCs/>
                <w:color w:val="auto"/>
                <w:highlight w:val="none"/>
              </w:rPr>
              <w:t>1）收集环节</w:t>
            </w:r>
          </w:p>
          <w:p>
            <w:pPr>
              <w:ind w:firstLine="480"/>
              <w:rPr>
                <w:color w:val="auto"/>
                <w:highlight w:val="none"/>
              </w:rPr>
            </w:pPr>
            <w:r>
              <w:rPr>
                <w:rFonts w:hint="eastAsia"/>
                <w:color w:val="auto"/>
                <w:highlight w:val="none"/>
              </w:rPr>
              <w:t>本项目危险废物的收集主要指在危险废物产生节点将危险废物集中到适当的包装容器中或运输车辆上的活动。依据《危险废物收集贮存运输技术规范》（HJ2025-2012），本次评价提出以下环境管理要求：</w:t>
            </w:r>
          </w:p>
          <w:p>
            <w:pPr>
              <w:ind w:firstLine="480"/>
              <w:rPr>
                <w:rFonts w:hint="eastAsia"/>
                <w:color w:val="auto"/>
                <w:highlight w:val="none"/>
              </w:rPr>
            </w:pPr>
            <w:r>
              <w:rPr>
                <w:rFonts w:hint="eastAsia"/>
                <w:color w:val="auto"/>
                <w:highlight w:val="none"/>
              </w:rPr>
              <w:t>①危险废物的收集应根据危险废物产生的工艺特征、排放周期、危险废物特性、废物管理计划等因素制定收集计划。</w:t>
            </w:r>
          </w:p>
          <w:p>
            <w:pPr>
              <w:ind w:firstLine="480"/>
              <w:rPr>
                <w:rFonts w:hint="eastAsia"/>
                <w:color w:val="auto"/>
                <w:highlight w:val="none"/>
              </w:rPr>
            </w:pPr>
            <w:r>
              <w:rPr>
                <w:rFonts w:hint="eastAsia"/>
                <w:color w:val="auto"/>
                <w:highlight w:val="none"/>
              </w:rPr>
              <w:t>②危险废物的收集应制定详细的操作规程，内容至少应包括适用范围、操作程序和方法、专用设备和工具、转移和交接、安全保障和应急防护等。</w:t>
            </w:r>
          </w:p>
          <w:p>
            <w:pPr>
              <w:ind w:firstLine="480"/>
              <w:rPr>
                <w:rFonts w:hint="eastAsia"/>
                <w:color w:val="auto"/>
                <w:highlight w:val="none"/>
              </w:rPr>
            </w:pPr>
            <w:r>
              <w:rPr>
                <w:rFonts w:hint="eastAsia"/>
                <w:color w:val="auto"/>
                <w:highlight w:val="none"/>
              </w:rPr>
              <w:t>③危险废物收集和转运作业人员应根据工作需要配备必要的个人防护装备，如手套、防护镜、防护服、防毒面具或口罩等。</w:t>
            </w:r>
          </w:p>
          <w:p>
            <w:pPr>
              <w:ind w:firstLine="480"/>
              <w:rPr>
                <w:rFonts w:hint="eastAsia"/>
                <w:color w:val="auto"/>
                <w:highlight w:val="none"/>
              </w:rPr>
            </w:pPr>
            <w:r>
              <w:rPr>
                <w:rFonts w:hint="eastAsia"/>
                <w:color w:val="auto"/>
                <w:highlight w:val="none"/>
              </w:rPr>
              <w:t>④危险废物收集时应根据危险废物的种类、数量、危险特性、物理形态、运输要求等因素确定包装形式。</w:t>
            </w:r>
          </w:p>
          <w:p>
            <w:pPr>
              <w:ind w:firstLine="480"/>
              <w:rPr>
                <w:rFonts w:hint="eastAsia"/>
                <w:color w:val="auto"/>
                <w:highlight w:val="none"/>
              </w:rPr>
            </w:pPr>
            <w:r>
              <w:rPr>
                <w:rFonts w:hint="eastAsia"/>
                <w:color w:val="auto"/>
                <w:highlight w:val="none"/>
              </w:rPr>
              <w:t>⑤应根据收集设备、转运车辆以及现场人员等实际情况确定相应作业区域，同时要设置作业界限标志和警示牌。</w:t>
            </w:r>
          </w:p>
          <w:p>
            <w:pPr>
              <w:ind w:firstLine="482"/>
              <w:rPr>
                <w:b/>
                <w:bCs/>
                <w:color w:val="auto"/>
                <w:highlight w:val="none"/>
              </w:rPr>
            </w:pPr>
            <w:r>
              <w:rPr>
                <w:rFonts w:hint="eastAsia"/>
                <w:b/>
                <w:bCs/>
                <w:color w:val="auto"/>
                <w:highlight w:val="none"/>
              </w:rPr>
              <w:t>2）贮存环节</w:t>
            </w:r>
          </w:p>
          <w:p>
            <w:pPr>
              <w:ind w:firstLine="480"/>
              <w:rPr>
                <w:rFonts w:hint="eastAsia" w:ascii="Times New Roman" w:hAnsi="Times New Roman" w:eastAsia="宋体" w:cs="Times New Roman"/>
                <w:color w:val="auto"/>
                <w:highlight w:val="none"/>
              </w:rPr>
            </w:pPr>
            <w:r>
              <w:rPr>
                <w:rFonts w:hint="eastAsia"/>
                <w:color w:val="auto"/>
                <w:highlight w:val="none"/>
              </w:rPr>
              <w:t>各类废物在堆场内根据其性质实现分类堆放，并设置相关危险废物识别的标志，建立危废管理档案、台账，合法、安全、规范处置危废。根据现场勘察，本项目周边存在食品</w:t>
            </w:r>
            <w:r>
              <w:rPr>
                <w:rFonts w:hint="eastAsia" w:ascii="Times New Roman" w:hAnsi="Times New Roman" w:eastAsia="宋体" w:cs="Times New Roman"/>
                <w:color w:val="auto"/>
                <w:highlight w:val="none"/>
              </w:rPr>
              <w:t>类企业，为防止危废暂存间使用过程对</w:t>
            </w:r>
            <w:r>
              <w:rPr>
                <w:rFonts w:hint="eastAsia"/>
                <w:color w:val="auto"/>
                <w:highlight w:val="none"/>
              </w:rPr>
              <w:t>周边食品</w:t>
            </w:r>
            <w:r>
              <w:rPr>
                <w:rFonts w:hint="eastAsia" w:ascii="Times New Roman" w:hAnsi="Times New Roman" w:eastAsia="宋体" w:cs="Times New Roman"/>
                <w:color w:val="auto"/>
                <w:highlight w:val="none"/>
              </w:rPr>
              <w:t>类企业</w:t>
            </w:r>
            <w:r>
              <w:rPr>
                <w:rFonts w:hint="eastAsia" w:ascii="Times New Roman" w:hAnsi="Times New Roman" w:eastAsia="宋体" w:cs="Times New Roman"/>
                <w:color w:val="auto"/>
                <w:highlight w:val="none"/>
                <w:lang w:val="en-US" w:eastAsia="zh-CN"/>
              </w:rPr>
              <w:t>和周边居民</w:t>
            </w:r>
            <w:r>
              <w:rPr>
                <w:rFonts w:hint="eastAsia" w:ascii="Times New Roman" w:hAnsi="Times New Roman" w:eastAsia="宋体" w:cs="Times New Roman"/>
                <w:color w:val="auto"/>
                <w:highlight w:val="none"/>
              </w:rPr>
              <w:t>产生潜在风险，建设单位拟设置危险废物暂存间，有效容积</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，该位置可保障项目危险废物储存和转运的全过程均与</w:t>
            </w:r>
            <w:r>
              <w:rPr>
                <w:rFonts w:hint="eastAsia"/>
                <w:color w:val="auto"/>
                <w:highlight w:val="none"/>
              </w:rPr>
              <w:t>周边食品</w:t>
            </w:r>
            <w:r>
              <w:rPr>
                <w:rFonts w:hint="eastAsia" w:ascii="Times New Roman" w:hAnsi="Times New Roman" w:eastAsia="宋体" w:cs="Times New Roman"/>
                <w:color w:val="auto"/>
                <w:highlight w:val="none"/>
              </w:rPr>
              <w:t>类企业</w:t>
            </w:r>
            <w:r>
              <w:rPr>
                <w:rFonts w:hint="eastAsia" w:ascii="Times New Roman" w:hAnsi="Times New Roman" w:eastAsia="宋体" w:cs="Times New Roman"/>
                <w:color w:val="auto"/>
                <w:highlight w:val="none"/>
                <w:lang w:val="en-US" w:eastAsia="zh-CN"/>
              </w:rPr>
              <w:t>和周边居民</w:t>
            </w:r>
            <w:r>
              <w:rPr>
                <w:rFonts w:hint="eastAsia" w:ascii="Times New Roman" w:hAnsi="Times New Roman" w:eastAsia="宋体" w:cs="Times New Roman"/>
                <w:color w:val="auto"/>
                <w:highlight w:val="none"/>
              </w:rPr>
              <w:t>保持一定的距离且容积能满足本项目使用。其管理要求如下：</w:t>
            </w:r>
          </w:p>
          <w:p>
            <w:pPr>
              <w:ind w:firstLine="480"/>
              <w:rPr>
                <w:rFonts w:hint="eastAsia"/>
                <w:color w:val="auto"/>
                <w:highlight w:val="none"/>
              </w:rPr>
            </w:pPr>
            <w:r>
              <w:rPr>
                <w:rFonts w:hint="eastAsia"/>
                <w:color w:val="auto"/>
                <w:highlight w:val="none"/>
              </w:rPr>
              <w:t>①建立危险废物单独贮存场所，且贮存容器应耐腐蚀、耐压、密封，禁止混放不相容固体废物，禁止危险废物混入非危险废物中储存，并针对危险废物设置环境保护图形标志和警示标志。</w:t>
            </w:r>
          </w:p>
          <w:p>
            <w:pPr>
              <w:ind w:firstLine="480"/>
              <w:rPr>
                <w:color w:val="auto"/>
                <w:highlight w:val="none"/>
              </w:rPr>
            </w:pPr>
            <w:r>
              <w:rPr>
                <w:rFonts w:hint="eastAsia"/>
                <w:color w:val="auto"/>
                <w:highlight w:val="none"/>
              </w:rPr>
              <w:t>②</w:t>
            </w:r>
            <w:r>
              <w:rPr>
                <w:color w:val="auto"/>
                <w:highlight w:val="none"/>
              </w:rPr>
              <w:t>危险废物贮存间应满足《危险废物贮存污染控制标准》（</w:t>
            </w:r>
            <w:r>
              <w:rPr>
                <w:rFonts w:hint="eastAsia"/>
                <w:color w:val="auto"/>
                <w:highlight w:val="none"/>
              </w:rPr>
              <w:t>GB 18597-2023</w:t>
            </w:r>
            <w:r>
              <w:rPr>
                <w:color w:val="auto"/>
                <w:highlight w:val="none"/>
              </w:rPr>
              <w:t>）的要求。贮存场所要防风、防雨、防晒，避开易燃、易爆危险品仓库，基础必须防渗，</w:t>
            </w:r>
            <w:r>
              <w:rPr>
                <w:rFonts w:hint="eastAsia"/>
                <w:color w:val="auto"/>
                <w:highlight w:val="none"/>
              </w:rPr>
              <w:t>地面采用</w:t>
            </w:r>
            <w:r>
              <w:rPr>
                <w:color w:val="auto"/>
                <w:highlight w:val="none"/>
              </w:rPr>
              <w:t>2mm厚高密度聚乙烯，或至少2mm厚的其他人工材料</w:t>
            </w:r>
            <w:r>
              <w:rPr>
                <w:rFonts w:hint="eastAsia"/>
                <w:color w:val="auto"/>
                <w:highlight w:val="none"/>
              </w:rPr>
              <w:t>（</w:t>
            </w:r>
            <w:r>
              <w:rPr>
                <w:color w:val="auto"/>
                <w:kern w:val="0"/>
                <w:highlight w:val="none"/>
                <w:lang w:bidi="ar"/>
              </w:rPr>
              <w:t>环氧树脂漆</w:t>
            </w:r>
            <w:r>
              <w:rPr>
                <w:rFonts w:hint="eastAsia"/>
                <w:color w:val="auto"/>
                <w:kern w:val="0"/>
                <w:highlight w:val="none"/>
                <w:lang w:bidi="ar"/>
              </w:rPr>
              <w:t>或</w:t>
            </w:r>
            <w:r>
              <w:rPr>
                <w:rFonts w:hint="eastAsia"/>
                <w:color w:val="auto"/>
                <w:highlight w:val="none"/>
              </w:rPr>
              <w:t>HDPE膜）</w:t>
            </w:r>
            <w:r>
              <w:rPr>
                <w:color w:val="auto"/>
                <w:highlight w:val="none"/>
              </w:rPr>
              <w:t>，渗透系数≤10</w:t>
            </w:r>
            <w:r>
              <w:rPr>
                <w:color w:val="auto"/>
                <w:highlight w:val="none"/>
                <w:vertAlign w:val="superscript"/>
              </w:rPr>
              <w:t>-10</w:t>
            </w:r>
            <w:r>
              <w:rPr>
                <w:color w:val="auto"/>
                <w:highlight w:val="none"/>
              </w:rPr>
              <w:t>cm/s。</w:t>
            </w:r>
          </w:p>
          <w:p>
            <w:pPr>
              <w:ind w:firstLine="480"/>
              <w:rPr>
                <w:rFonts w:hint="eastAsia"/>
                <w:color w:val="auto"/>
                <w:highlight w:val="none"/>
              </w:rPr>
            </w:pPr>
            <w:r>
              <w:rPr>
                <w:rFonts w:hint="eastAsia"/>
                <w:color w:val="auto"/>
                <w:highlight w:val="none"/>
              </w:rPr>
              <w:t>③贮存危险废物时按照危险废物的种类和特性进行分区贮存，每个贮存区域之间宜设置间隔，并设置防雨、防火、防雷、防扬尘装置。</w:t>
            </w:r>
          </w:p>
          <w:p>
            <w:pPr>
              <w:ind w:firstLine="480"/>
              <w:rPr>
                <w:rFonts w:hint="eastAsia"/>
                <w:color w:val="auto"/>
                <w:highlight w:val="none"/>
              </w:rPr>
            </w:pPr>
            <w:r>
              <w:rPr>
                <w:rFonts w:hint="eastAsia"/>
                <w:color w:val="auto"/>
                <w:highlight w:val="none"/>
              </w:rPr>
              <w:t>④危险废物贮存设施应配备通讯设备、照明设施和消防设施等。</w:t>
            </w:r>
          </w:p>
          <w:p>
            <w:pPr>
              <w:ind w:firstLine="480"/>
              <w:rPr>
                <w:rFonts w:hint="eastAsia"/>
                <w:color w:val="auto"/>
                <w:highlight w:val="none"/>
              </w:rPr>
            </w:pPr>
            <w:r>
              <w:rPr>
                <w:rFonts w:hint="eastAsia"/>
                <w:color w:val="auto"/>
                <w:highlight w:val="none"/>
              </w:rPr>
              <w:t>⑤危险废物贮存单位应建立危险废物贮存台账制度，做好危险废物出入库交接记录。</w:t>
            </w:r>
          </w:p>
          <w:p>
            <w:pPr>
              <w:ind w:firstLine="482"/>
              <w:rPr>
                <w:rFonts w:hint="eastAsia"/>
                <w:b/>
                <w:bCs/>
                <w:color w:val="auto"/>
                <w:highlight w:val="none"/>
              </w:rPr>
            </w:pPr>
            <w:r>
              <w:rPr>
                <w:rFonts w:hint="eastAsia"/>
                <w:b/>
                <w:bCs/>
                <w:color w:val="auto"/>
                <w:highlight w:val="none"/>
              </w:rPr>
              <w:t>3）运输环节</w:t>
            </w:r>
          </w:p>
          <w:p>
            <w:pPr>
              <w:ind w:firstLine="480"/>
              <w:rPr>
                <w:color w:val="auto"/>
                <w:highlight w:val="none"/>
              </w:rPr>
            </w:pPr>
            <w:r>
              <w:rPr>
                <w:rFonts w:hint="eastAsia"/>
                <w:color w:val="auto"/>
                <w:highlight w:val="none"/>
              </w:rPr>
              <w:t>本项目的运输过程主要指危险废物在内部转运到临时贮存设施时可能发生倾倒、撒漏到厂区地面或车间地面造成对土壤、地下水等的不利影响。为此，按照《危险废物收集贮存运输技术规范》（HJ2025-2012）的相关内容其管理要求如下：</w:t>
            </w:r>
          </w:p>
          <w:p>
            <w:pPr>
              <w:ind w:firstLine="480"/>
              <w:rPr>
                <w:rFonts w:hint="eastAsia"/>
                <w:color w:val="auto"/>
                <w:highlight w:val="none"/>
              </w:rPr>
            </w:pPr>
            <w:r>
              <w:rPr>
                <w:rFonts w:hint="eastAsia"/>
                <w:color w:val="auto"/>
                <w:highlight w:val="none"/>
              </w:rPr>
              <w:t>①危险废物内部转运应综合考虑厂区的实际情况确定转运路线，尽量避开办公区和生活区。</w:t>
            </w:r>
          </w:p>
          <w:p>
            <w:pPr>
              <w:ind w:firstLine="480"/>
              <w:rPr>
                <w:rFonts w:hint="eastAsia"/>
                <w:color w:val="auto"/>
                <w:highlight w:val="none"/>
              </w:rPr>
            </w:pPr>
            <w:r>
              <w:rPr>
                <w:rFonts w:hint="eastAsia"/>
                <w:color w:val="auto"/>
                <w:highlight w:val="none"/>
              </w:rPr>
              <w:t>②危险废物内部转运作业应采用专用的工具，危险废物内部转运应参照《危险废物收集 贮存 运输技术规范》（HJ2025-2012）做好危险废物厂内转运记录。</w:t>
            </w:r>
          </w:p>
          <w:p>
            <w:pPr>
              <w:ind w:firstLine="480"/>
              <w:rPr>
                <w:rFonts w:hint="eastAsia"/>
                <w:color w:val="auto"/>
                <w:highlight w:val="none"/>
              </w:rPr>
            </w:pPr>
            <w:r>
              <w:rPr>
                <w:rFonts w:hint="eastAsia"/>
                <w:color w:val="auto"/>
                <w:highlight w:val="none"/>
              </w:rPr>
              <w:t>③危险废物内部转运结束后，应对转运路线进行检查和清理，确保无危险废物遗失在转运路线上等。</w:t>
            </w:r>
          </w:p>
          <w:p>
            <w:pPr>
              <w:ind w:firstLine="480"/>
              <w:rPr>
                <w:rFonts w:hint="eastAsia"/>
                <w:color w:val="auto"/>
                <w:highlight w:val="none"/>
              </w:rPr>
            </w:pPr>
            <w:r>
              <w:rPr>
                <w:rFonts w:hint="eastAsia"/>
                <w:color w:val="auto"/>
                <w:highlight w:val="none"/>
              </w:rPr>
              <w:t>本项目危险废物产生位置和危险废物贮存设施距离</w:t>
            </w:r>
            <w:r>
              <w:rPr>
                <w:rFonts w:hint="eastAsia"/>
                <w:color w:val="auto"/>
                <w:highlight w:val="none"/>
                <w:lang w:val="en-US" w:eastAsia="zh-CN"/>
              </w:rPr>
              <w:t>极近</w:t>
            </w:r>
            <w:r>
              <w:rPr>
                <w:rFonts w:hint="eastAsia"/>
                <w:color w:val="auto"/>
                <w:highlight w:val="none"/>
              </w:rPr>
              <w:t>，运输路线均在厂区内，厂区地面除绿化外均为硬化地面，危险废物在厂区内部运输不会对周围环境造成</w:t>
            </w:r>
            <w:r>
              <w:rPr>
                <w:rFonts w:hint="eastAsia"/>
                <w:color w:val="auto"/>
                <w:highlight w:val="none"/>
                <w:lang w:val="en-US" w:eastAsia="zh-CN"/>
              </w:rPr>
              <w:t>环境污染风险</w:t>
            </w:r>
            <w:r>
              <w:rPr>
                <w:rFonts w:hint="eastAsia"/>
                <w:color w:val="auto"/>
                <w:highlight w:val="none"/>
              </w:rPr>
              <w:t>。</w:t>
            </w:r>
          </w:p>
          <w:p>
            <w:pPr>
              <w:ind w:firstLine="482"/>
              <w:rPr>
                <w:rFonts w:hint="eastAsia"/>
                <w:b/>
                <w:bCs/>
                <w:color w:val="auto"/>
                <w:highlight w:val="none"/>
              </w:rPr>
            </w:pPr>
            <w:r>
              <w:rPr>
                <w:rFonts w:hint="eastAsia"/>
                <w:b/>
                <w:bCs/>
                <w:color w:val="auto"/>
                <w:highlight w:val="none"/>
              </w:rPr>
              <w:t>4）委托处置环节</w:t>
            </w:r>
          </w:p>
          <w:p>
            <w:pPr>
              <w:ind w:firstLine="480"/>
              <w:rPr>
                <w:rFonts w:hint="eastAsia" w:ascii="Times New Roman" w:hAnsi="Times New Roman" w:eastAsia="宋体" w:cs="Times New Roman"/>
                <w:color w:val="auto"/>
                <w:highlight w:val="none"/>
              </w:rPr>
            </w:pPr>
            <w:r>
              <w:rPr>
                <w:rFonts w:hint="eastAsia"/>
                <w:color w:val="auto"/>
                <w:highlight w:val="none"/>
              </w:rPr>
              <w:t>本项目产生的危险废物拟交由有资质的单位处理。在选择处置单位时，应选择具有危险废物经营许可证，资质许可范围包含本项目产生的危险废物类别，能够提供专业收集、运输、贮存、处理处置及综合利用危险废物的企业，避免危险废物对环境的二次污染风险。在满足上述条件下，本项目危险废</w:t>
            </w:r>
            <w:r>
              <w:rPr>
                <w:rFonts w:hint="eastAsia" w:ascii="Times New Roman" w:hAnsi="Times New Roman" w:eastAsia="宋体" w:cs="Times New Roman"/>
                <w:color w:val="auto"/>
                <w:highlight w:val="none"/>
              </w:rPr>
              <w:t>物交由有资质单位处理途径可行。</w:t>
            </w:r>
          </w:p>
          <w:p>
            <w:pPr>
              <w:ind w:firstLine="480"/>
              <w:rPr>
                <w:rFonts w:hint="default"/>
              </w:rPr>
            </w:pPr>
            <w:r>
              <w:rPr>
                <w:rFonts w:hint="eastAsia" w:ascii="Times New Roman" w:hAnsi="Times New Roman" w:eastAsia="宋体" w:cs="Times New Roman"/>
                <w:color w:val="auto"/>
                <w:highlight w:val="none"/>
              </w:rPr>
              <w:t>综上所述，本项目固体废物去向明确合理、处置措施可行，建设单位在严格落实本次评价提出的固废治理措施的前提下，不会对周围的食品</w:t>
            </w:r>
            <w:r>
              <w:rPr>
                <w:rFonts w:hint="eastAsia" w:ascii="Times New Roman" w:hAnsi="Times New Roman" w:eastAsia="宋体" w:cs="Times New Roman"/>
                <w:color w:val="auto"/>
                <w:highlight w:val="none"/>
                <w:lang w:val="en-US" w:eastAsia="zh-CN"/>
              </w:rPr>
              <w:t>类</w:t>
            </w:r>
            <w:r>
              <w:rPr>
                <w:rFonts w:hint="eastAsia" w:ascii="Times New Roman" w:hAnsi="Times New Roman" w:eastAsia="宋体" w:cs="Times New Roman"/>
                <w:color w:val="auto"/>
                <w:highlight w:val="none"/>
              </w:rPr>
              <w:t>企业</w:t>
            </w:r>
            <w:r>
              <w:rPr>
                <w:rFonts w:hint="eastAsia" w:ascii="Times New Roman" w:hAnsi="Times New Roman" w:eastAsia="宋体" w:cs="Times New Roman"/>
                <w:color w:val="auto"/>
                <w:highlight w:val="none"/>
                <w:lang w:val="en-US" w:eastAsia="zh-CN"/>
              </w:rPr>
              <w:t>和居民</w:t>
            </w:r>
            <w:r>
              <w:rPr>
                <w:rFonts w:hint="eastAsia" w:ascii="Times New Roman" w:hAnsi="Times New Roman" w:eastAsia="宋体" w:cs="Times New Roman"/>
                <w:color w:val="auto"/>
                <w:highlight w:val="none"/>
              </w:rPr>
              <w:t>造成污染风险，不会对</w:t>
            </w:r>
            <w:r>
              <w:rPr>
                <w:rFonts w:hint="eastAsia" w:ascii="Times New Roman" w:hAnsi="Times New Roman" w:eastAsia="宋体" w:cs="Times New Roman"/>
                <w:color w:val="auto"/>
                <w:highlight w:val="none"/>
                <w:lang w:val="en-US" w:eastAsia="zh-CN"/>
              </w:rPr>
              <w:t>项目地及</w:t>
            </w:r>
            <w:r>
              <w:rPr>
                <w:rFonts w:hint="eastAsia" w:ascii="Times New Roman" w:hAnsi="Times New Roman" w:eastAsia="宋体" w:cs="Times New Roman"/>
                <w:color w:val="auto"/>
                <w:highlight w:val="none"/>
              </w:rPr>
              <w:t>周边土壤和水环境造成二次污染。</w:t>
            </w:r>
          </w:p>
          <w:p>
            <w:pPr>
              <w:pStyle w:val="4"/>
              <w:bidi w:val="0"/>
              <w:rPr>
                <w:rFonts w:hint="default" w:ascii="Times New Roman" w:hAnsi="Times New Roman" w:cs="Times New Roman"/>
                <w:color w:val="auto"/>
                <w:lang w:val="en-US" w:eastAsia="zh-CN"/>
              </w:rPr>
            </w:pPr>
            <w:bookmarkStart w:id="49" w:name="_Toc29518"/>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9</w:t>
            </w:r>
            <w:r>
              <w:rPr>
                <w:rFonts w:hint="default" w:ascii="Times New Roman" w:hAnsi="Times New Roman" w:cs="Times New Roman"/>
                <w:color w:val="auto"/>
                <w:lang w:val="en-US" w:eastAsia="zh-CN"/>
              </w:rPr>
              <w:t>土壤及地下水环境影响分析</w:t>
            </w:r>
            <w:bookmarkEnd w:id="49"/>
          </w:p>
          <w:p>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cs="Times New Roman"/>
                <w:color w:val="auto"/>
                <w:sz w:val="24"/>
                <w:szCs w:val="24"/>
              </w:rPr>
              <w:t>租赁</w:t>
            </w:r>
            <w:r>
              <w:rPr>
                <w:rFonts w:hint="default" w:ascii="Times New Roman" w:hAnsi="Times New Roman" w:eastAsia="宋体" w:cs="Times New Roman"/>
                <w:b w:val="0"/>
                <w:bCs w:val="0"/>
                <w:color w:val="auto"/>
                <w:kern w:val="2"/>
                <w:sz w:val="24"/>
                <w:szCs w:val="24"/>
                <w:lang w:val="en-US" w:eastAsia="zh-CN" w:bidi="ar-SA"/>
              </w:rPr>
              <w:t>安康安贝斯玩具产业链孵化园有限公司</w:t>
            </w:r>
            <w:r>
              <w:rPr>
                <w:rFonts w:hint="default" w:ascii="Times New Roman" w:hAnsi="Times New Roman" w:eastAsia="宋体" w:cs="Times New Roman"/>
                <w:color w:val="auto"/>
                <w:sz w:val="24"/>
                <w:szCs w:val="24"/>
              </w:rPr>
              <w:t>现</w:t>
            </w:r>
            <w:r>
              <w:rPr>
                <w:rFonts w:hint="default" w:ascii="Times New Roman" w:hAnsi="Times New Roman" w:cs="Times New Roman"/>
                <w:color w:val="auto"/>
                <w:sz w:val="24"/>
                <w:szCs w:val="24"/>
              </w:rPr>
              <w:t>有</w:t>
            </w:r>
            <w:r>
              <w:rPr>
                <w:rFonts w:hint="eastAsia" w:cs="Times New Roman"/>
                <w:color w:val="auto"/>
                <w:sz w:val="24"/>
                <w:szCs w:val="24"/>
                <w:lang w:val="en-US" w:eastAsia="zh-CN"/>
              </w:rPr>
              <w:t>标准</w:t>
            </w:r>
            <w:r>
              <w:rPr>
                <w:rFonts w:hint="default" w:ascii="Times New Roman" w:hAnsi="Times New Roman" w:cs="Times New Roman"/>
                <w:color w:val="auto"/>
                <w:sz w:val="24"/>
                <w:szCs w:val="24"/>
              </w:rPr>
              <w:t>厂房进行</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经营活动</w:t>
            </w:r>
            <w:r>
              <w:rPr>
                <w:rFonts w:hint="default" w:ascii="Times New Roman" w:hAnsi="Times New Roman" w:cs="Times New Roman"/>
                <w:color w:val="auto"/>
                <w:highlight w:val="none"/>
              </w:rPr>
              <w:t>，厂房内地面已全部采用混凝土硬化，其他区域除绿化全部硬化。</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50" w:name="_Toc29611"/>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.1污染物类型及污染途径</w:t>
            </w:r>
            <w:bookmarkEnd w:id="50"/>
          </w:p>
          <w:p>
            <w:pPr>
              <w:ind w:firstLine="480"/>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rPr>
              <w:t>本项目土壤、地下水污染源主要为</w:t>
            </w:r>
            <w:r>
              <w:rPr>
                <w:rFonts w:hint="eastAsia" w:ascii="Times New Roman" w:hAnsi="Times New Roman" w:eastAsia="宋体" w:cs="Times New Roman"/>
                <w:color w:val="auto"/>
                <w:highlight w:val="none"/>
                <w:lang w:val="en-US" w:eastAsia="zh-CN"/>
              </w:rPr>
              <w:t>危险废物暂存间</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lang w:val="en-US" w:eastAsia="zh-CN"/>
              </w:rPr>
              <w:t>无</w:t>
            </w:r>
            <w:r>
              <w:rPr>
                <w:rFonts w:hint="default" w:ascii="Times New Roman" w:hAnsi="Times New Roman" w:eastAsia="宋体" w:cs="Times New Roman"/>
                <w:color w:val="auto"/>
                <w:highlight w:val="none"/>
              </w:rPr>
              <w:t>生产</w:t>
            </w:r>
            <w:r>
              <w:rPr>
                <w:rFonts w:hint="eastAsia" w:ascii="Times New Roman" w:hAnsi="Times New Roman" w:eastAsia="宋体" w:cs="Times New Roman"/>
                <w:color w:val="auto"/>
                <w:highlight w:val="none"/>
                <w:lang w:val="en-US" w:eastAsia="zh-CN"/>
              </w:rPr>
              <w:t>废水产生</w:t>
            </w:r>
            <w:r>
              <w:rPr>
                <w:rFonts w:hint="default" w:ascii="Times New Roman" w:hAnsi="Times New Roman" w:eastAsia="宋体" w:cs="Times New Roman"/>
                <w:color w:val="auto"/>
                <w:highlight w:val="none"/>
              </w:rPr>
              <w:t>，生活污水依托园</w:t>
            </w:r>
            <w:r>
              <w:rPr>
                <w:rFonts w:hint="default" w:ascii="Times New Roman" w:hAnsi="Times New Roman" w:eastAsia="宋体" w:cs="Times New Roman"/>
                <w:color w:val="auto"/>
                <w:highlight w:val="none"/>
                <w:lang w:val="en-US" w:eastAsia="zh-CN"/>
              </w:rPr>
              <w:t>区</w:t>
            </w:r>
            <w:r>
              <w:rPr>
                <w:rFonts w:hint="default" w:ascii="Times New Roman" w:hAnsi="Times New Roman" w:eastAsia="宋体" w:cs="Times New Roman"/>
                <w:color w:val="auto"/>
                <w:highlight w:val="none"/>
              </w:rPr>
              <w:t>已建化粪池，化粪池已采取防渗措施。本项目对厂区内按照规范要求进行地面防渗，运营期不会对地下水和土壤产生不利影响。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51" w:name="_Toc23704"/>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.2环境保护措施</w:t>
            </w:r>
            <w:bookmarkEnd w:id="51"/>
          </w:p>
          <w:p>
            <w:pPr>
              <w:ind w:firstLine="480"/>
              <w:rPr>
                <w:rFonts w:hint="eastAsia" w:cs="Times New Roman"/>
                <w:color w:val="auto"/>
                <w:highlight w:val="none"/>
                <w:lang w:eastAsia="zh-CN"/>
              </w:rPr>
            </w:pPr>
            <w:r>
              <w:rPr>
                <w:rFonts w:hint="default" w:ascii="Times New Roman" w:hAnsi="Times New Roman" w:cs="Times New Roman"/>
                <w:color w:val="auto"/>
                <w:highlight w:val="none"/>
              </w:rPr>
              <w:t>为加强环境保护，预防项目运营期对土壤和地下水环境造成的影响，提出以下防控措施</w:t>
            </w:r>
            <w:r>
              <w:rPr>
                <w:rFonts w:hint="eastAsia" w:cs="Times New Roman"/>
                <w:color w:val="auto"/>
                <w:highlight w:val="none"/>
                <w:lang w:eastAsia="zh-CN"/>
              </w:rPr>
              <w:t>。</w:t>
            </w:r>
          </w:p>
          <w:p>
            <w:pPr>
              <w:ind w:firstLine="480"/>
              <w:rPr>
                <w:color w:val="auto"/>
                <w:highlight w:val="none"/>
              </w:rPr>
            </w:pPr>
            <w:r>
              <w:rPr>
                <w:rFonts w:hint="eastAsia"/>
                <w:color w:val="auto"/>
                <w:highlight w:val="none"/>
              </w:rPr>
              <w:t>①源头控制。运营期加强管理、定期对生产和设备检查和保养；</w:t>
            </w:r>
          </w:p>
          <w:p>
            <w:pPr>
              <w:ind w:firstLine="480"/>
              <w:rPr>
                <w:rFonts w:hint="eastAsia" w:cs="Times New Roman"/>
                <w:color w:val="auto"/>
                <w:highlight w:val="none"/>
                <w:lang w:eastAsia="zh-CN"/>
              </w:rPr>
            </w:pPr>
            <w:r>
              <w:rPr>
                <w:rFonts w:hint="eastAsia"/>
                <w:color w:val="auto"/>
                <w:highlight w:val="none"/>
              </w:rPr>
              <w:t>②分区防渗。对危废暂存间进行重点防渗</w:t>
            </w:r>
            <w:r>
              <w:rPr>
                <w:rFonts w:hint="eastAsia"/>
                <w:color w:val="auto"/>
                <w:highlight w:val="none"/>
                <w:lang w:eastAsia="zh-CN"/>
              </w:rPr>
              <w:t>；</w:t>
            </w:r>
            <w:r>
              <w:rPr>
                <w:rFonts w:hint="eastAsia"/>
                <w:color w:val="auto"/>
                <w:highlight w:val="none"/>
              </w:rPr>
              <w:t>生产区采取一般防渗；办公及其他区域采取简单防渗。</w:t>
            </w:r>
          </w:p>
          <w:p>
            <w:pPr>
              <w:pStyle w:val="87"/>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表4</w:t>
            </w:r>
            <w:r>
              <w:rPr>
                <w:rFonts w:hint="eastAsia" w:ascii="Times New Roman" w:hAnsi="Times New Roman" w:cs="Times New Roman"/>
                <w:b/>
                <w:bCs/>
                <w:color w:val="auto"/>
                <w:highlight w:val="none"/>
                <w:lang w:val="en-US" w:eastAsia="zh-CN"/>
              </w:rPr>
              <w:t xml:space="preserve">.11  </w:t>
            </w:r>
            <w:r>
              <w:rPr>
                <w:rFonts w:hint="default" w:ascii="Times New Roman" w:hAnsi="Times New Roman" w:cs="Times New Roman"/>
                <w:b/>
                <w:bCs/>
                <w:color w:val="auto"/>
                <w:highlight w:val="none"/>
                <w:lang w:val="en-US" w:eastAsia="zh-CN"/>
              </w:rPr>
              <w:t>项目分区防渗方案一览表</w:t>
            </w:r>
          </w:p>
          <w:tbl>
            <w:tblPr>
              <w:tblStyle w:val="26"/>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3501"/>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776"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污染防渗区类别</w:t>
                  </w:r>
                </w:p>
              </w:tc>
              <w:tc>
                <w:tcPr>
                  <w:tcW w:w="3501"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防渗性能要求</w:t>
                  </w:r>
                </w:p>
              </w:tc>
              <w:tc>
                <w:tcPr>
                  <w:tcW w:w="2481"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776" w:type="dxa"/>
                  <w:noWrap w:val="0"/>
                  <w:vAlign w:val="center"/>
                </w:tcPr>
                <w:p>
                  <w:pPr>
                    <w:pStyle w:val="82"/>
                    <w:ind w:firstLine="0" w:firstLineChars="0"/>
                    <w:rPr>
                      <w:rFonts w:hint="default" w:ascii="Times New Roman" w:hAnsi="Times New Roman" w:cs="Times New Roman"/>
                      <w:b/>
                      <w:bCs/>
                      <w:color w:val="auto"/>
                      <w:sz w:val="21"/>
                      <w:szCs w:val="21"/>
                      <w:highlight w:val="none"/>
                    </w:rPr>
                  </w:pPr>
                  <w:r>
                    <w:rPr>
                      <w:color w:val="auto"/>
                      <w:highlight w:val="none"/>
                    </w:rPr>
                    <w:t>重点防渗区</w:t>
                  </w:r>
                </w:p>
              </w:tc>
              <w:tc>
                <w:tcPr>
                  <w:tcW w:w="3501" w:type="dxa"/>
                  <w:noWrap w:val="0"/>
                  <w:vAlign w:val="center"/>
                </w:tcPr>
                <w:p>
                  <w:pPr>
                    <w:pStyle w:val="82"/>
                    <w:ind w:firstLine="0" w:firstLineChars="0"/>
                    <w:rPr>
                      <w:rFonts w:hint="default" w:ascii="Times New Roman" w:hAnsi="Times New Roman" w:cs="Times New Roman"/>
                      <w:b/>
                      <w:bCs/>
                      <w:color w:val="auto"/>
                      <w:sz w:val="21"/>
                      <w:szCs w:val="21"/>
                      <w:highlight w:val="none"/>
                    </w:rPr>
                  </w:pPr>
                  <w:r>
                    <w:rPr>
                      <w:color w:val="auto"/>
                      <w:highlight w:val="none"/>
                    </w:rPr>
                    <w:t>采用高密度聚乙烯+混凝土进行防渗，防渗性能应相当于渗透系数小于等于1×10</w:t>
                  </w:r>
                  <w:r>
                    <w:rPr>
                      <w:color w:val="auto"/>
                      <w:highlight w:val="none"/>
                      <w:vertAlign w:val="superscript"/>
                    </w:rPr>
                    <w:t>-</w:t>
                  </w:r>
                  <w:r>
                    <w:rPr>
                      <w:rFonts w:hint="eastAsia"/>
                      <w:color w:val="auto"/>
                      <w:highlight w:val="none"/>
                      <w:vertAlign w:val="superscript"/>
                    </w:rPr>
                    <w:t>10</w:t>
                  </w:r>
                  <w:r>
                    <w:rPr>
                      <w:color w:val="auto"/>
                      <w:highlight w:val="none"/>
                    </w:rPr>
                    <w:t>cm/s和等效粘土防渗层厚度大于等于6.0m</w:t>
                  </w:r>
                  <w:r>
                    <w:rPr>
                      <w:rFonts w:hint="eastAsia"/>
                      <w:color w:val="auto"/>
                      <w:highlight w:val="none"/>
                    </w:rPr>
                    <w:t>。</w:t>
                  </w:r>
                </w:p>
              </w:tc>
              <w:tc>
                <w:tcPr>
                  <w:tcW w:w="2481" w:type="dxa"/>
                  <w:noWrap w:val="0"/>
                  <w:vAlign w:val="center"/>
                </w:tcPr>
                <w:p>
                  <w:pPr>
                    <w:pStyle w:val="82"/>
                    <w:ind w:firstLine="0" w:firstLineChars="0"/>
                    <w:rPr>
                      <w:rFonts w:hint="default" w:ascii="Times New Roman" w:hAnsi="Times New Roman" w:cs="Times New Roman"/>
                      <w:b/>
                      <w:bCs/>
                      <w:color w:val="auto"/>
                      <w:sz w:val="21"/>
                      <w:szCs w:val="21"/>
                      <w:highlight w:val="none"/>
                    </w:rPr>
                  </w:pPr>
                  <w:r>
                    <w:rPr>
                      <w:color w:val="auto"/>
                      <w:highlight w:val="none"/>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776"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3501"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采用混凝土浇筑硬化，防渗性能应相当于渗透系数小于等于1×10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cm/s和等效粘土防渗层厚度大于等于1.5m。</w:t>
                  </w:r>
                </w:p>
              </w:tc>
              <w:tc>
                <w:tcPr>
                  <w:tcW w:w="2481" w:type="dxa"/>
                  <w:noWrap w:val="0"/>
                  <w:vAlign w:val="center"/>
                </w:tcPr>
                <w:p>
                  <w:pPr>
                    <w:pStyle w:val="82"/>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加工区、堆料区、分拣区、成品区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776"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简单防渗区</w:t>
                  </w:r>
                </w:p>
              </w:tc>
              <w:tc>
                <w:tcPr>
                  <w:tcW w:w="3501"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一般硬化处理</w:t>
                  </w:r>
                </w:p>
              </w:tc>
              <w:tc>
                <w:tcPr>
                  <w:tcW w:w="2481"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color w:val="auto"/>
                      <w:highlight w:val="none"/>
                    </w:rPr>
                    <w:t>除重点防渗区、一般防渗区以外的区域</w:t>
                  </w:r>
                </w:p>
              </w:tc>
            </w:tr>
          </w:tbl>
          <w:p>
            <w:pPr>
              <w:ind w:left="0" w:leftChars="0" w:firstLine="0" w:firstLineChars="0"/>
              <w:rPr>
                <w:rFonts w:hint="default" w:ascii="Times New Roman" w:hAnsi="Times New Roman" w:eastAsia="宋体" w:cs="Times New Roman"/>
                <w:b/>
                <w:bCs/>
                <w:color w:val="auto"/>
                <w:highlight w:val="none"/>
                <w:lang w:val="en-US" w:eastAsia="zh-CN"/>
              </w:rPr>
            </w:pPr>
            <w:bookmarkStart w:id="52" w:name="_Toc2229"/>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.3措施的可行性分析</w:t>
            </w:r>
            <w:bookmarkEnd w:id="52"/>
          </w:p>
          <w:p>
            <w:pPr>
              <w:ind w:firstLine="480"/>
              <w:rPr>
                <w:rFonts w:hint="eastAsia" w:ascii="Times New Roman" w:hAnsi="Times New Roman" w:eastAsia="宋体" w:cs="Times New Roman"/>
                <w:color w:val="auto"/>
                <w:highlight w:val="none"/>
              </w:rPr>
            </w:pPr>
            <w:bookmarkStart w:id="53" w:name="_Toc8421"/>
            <w:r>
              <w:rPr>
                <w:rFonts w:hint="eastAsia" w:ascii="Times New Roman" w:hAnsi="Times New Roman" w:eastAsia="宋体" w:cs="Times New Roman"/>
                <w:color w:val="auto"/>
                <w:highlight w:val="none"/>
              </w:rPr>
              <w:t>本项目运营期为预防污染物因</w:t>
            </w:r>
            <w:r>
              <w:rPr>
                <w:rFonts w:hint="eastAsia" w:ascii="Times New Roman" w:hAnsi="Times New Roman" w:eastAsia="宋体" w:cs="Times New Roman"/>
                <w:color w:val="auto"/>
                <w:highlight w:val="none"/>
                <w:lang w:eastAsia="zh-CN"/>
              </w:rPr>
              <w:t>泄漏</w:t>
            </w:r>
            <w:r>
              <w:rPr>
                <w:rFonts w:hint="eastAsia" w:ascii="Times New Roman" w:hAnsi="Times New Roman" w:eastAsia="宋体" w:cs="Times New Roman"/>
                <w:color w:val="auto"/>
                <w:highlight w:val="none"/>
              </w:rPr>
              <w:t>进入土壤和地下水环境，对其造成污染，拟采取</w:t>
            </w:r>
            <w:r>
              <w:rPr>
                <w:rFonts w:hint="eastAsia" w:ascii="Times New Roman" w:hAnsi="Times New Roman" w:eastAsia="宋体" w:cs="Times New Roman"/>
                <w:b/>
                <w:bCs/>
                <w:color w:val="auto"/>
                <w:highlight w:val="none"/>
                <w:u w:val="single"/>
              </w:rPr>
              <w:t>源头控制和采取分区防渗的措施</w:t>
            </w:r>
            <w:r>
              <w:rPr>
                <w:rFonts w:hint="default" w:ascii="Times New Roman" w:hAnsi="Times New Roman" w:eastAsia="宋体" w:cs="Times New Roman"/>
                <w:color w:val="auto"/>
                <w:highlight w:val="none"/>
              </w:rPr>
              <w:t>。对照</w:t>
            </w:r>
            <w:r>
              <w:rPr>
                <w:rFonts w:hint="eastAsia" w:ascii="Times New Roman" w:hAnsi="Times New Roman" w:eastAsia="宋体" w:cs="Times New Roman"/>
                <w:color w:val="auto"/>
                <w:highlight w:val="none"/>
              </w:rPr>
              <w:t>《排污许可证申请与核发技术规范总则》（HJ942-2018）中“6.2.3 渗漏、泄漏防治措施要求”的相关内容，项目采取的分区防渗措施属于标准要求的“</w:t>
            </w:r>
            <w:r>
              <w:rPr>
                <w:rFonts w:hint="eastAsia" w:ascii="Times New Roman" w:hAnsi="Times New Roman" w:eastAsia="宋体" w:cs="Times New Roman"/>
                <w:b/>
                <w:bCs/>
                <w:color w:val="auto"/>
                <w:highlight w:val="none"/>
                <w:u w:val="single"/>
              </w:rPr>
              <w:t>分区防控</w:t>
            </w:r>
            <w:r>
              <w:rPr>
                <w:rFonts w:hint="eastAsia" w:ascii="Times New Roman" w:hAnsi="Times New Roman" w:eastAsia="宋体" w:cs="Times New Roman"/>
                <w:color w:val="auto"/>
                <w:highlight w:val="none"/>
              </w:rPr>
              <w:t>”，防治措施可行。</w:t>
            </w:r>
          </w:p>
          <w:p>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环境风险影响分析</w:t>
            </w:r>
            <w:bookmarkEnd w:id="53"/>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54" w:name="_Toc20268"/>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10</w:t>
            </w:r>
            <w:r>
              <w:rPr>
                <w:rFonts w:hint="default" w:ascii="Times New Roman" w:hAnsi="Times New Roman" w:eastAsia="宋体" w:cs="Times New Roman"/>
                <w:b/>
                <w:bCs/>
                <w:color w:val="auto"/>
                <w:highlight w:val="none"/>
                <w:lang w:val="en-US" w:eastAsia="zh-CN"/>
              </w:rPr>
              <w:t>.1环境风险识别和风险潜势初判</w:t>
            </w:r>
            <w:bookmarkEnd w:id="54"/>
          </w:p>
          <w:p>
            <w:pPr>
              <w:adjustRightInd w:val="0"/>
              <w:snapToGrid w:val="0"/>
              <w:ind w:firstLine="480"/>
              <w:rPr>
                <w:rFonts w:cs="宋体"/>
                <w:color w:val="auto"/>
                <w:highlight w:val="none"/>
              </w:rPr>
            </w:pPr>
            <w:bookmarkStart w:id="55" w:name="_Toc14979"/>
            <w:r>
              <w:rPr>
                <w:rFonts w:hint="eastAsia" w:cs="宋体"/>
                <w:color w:val="auto"/>
                <w:highlight w:val="none"/>
              </w:rPr>
              <w:t>根据《建设项目环境风险评价技术导则》（HJ169-2018）中附录C中的判定方式，计算所涉及的每种危险物质在厂界内的最大存在总量与其在《建设项目环境风险评价技术导则》（HJ 169-2018）附录B中对应临界量的比值Q。</w:t>
            </w:r>
          </w:p>
          <w:p>
            <w:pPr>
              <w:adjustRightInd w:val="0"/>
              <w:snapToGrid w:val="0"/>
              <w:ind w:firstLine="480"/>
              <w:rPr>
                <w:rFonts w:ascii="宋体" w:hAnsi="宋体"/>
                <w:color w:val="auto"/>
                <w:highlight w:val="none"/>
              </w:rPr>
            </w:pPr>
            <w:r>
              <w:rPr>
                <w:rFonts w:hint="eastAsia" w:cs="宋体"/>
                <w:color w:val="auto"/>
                <w:highlight w:val="none"/>
                <w:lang w:val="en-US" w:eastAsia="zh-CN"/>
              </w:rPr>
              <w:t>本项目</w:t>
            </w:r>
            <w:r>
              <w:rPr>
                <w:rFonts w:hint="eastAsia" w:cs="宋体"/>
                <w:color w:val="auto"/>
                <w:highlight w:val="none"/>
              </w:rPr>
              <w:t>只涉及一种危险物质时，计算该物质的总量与其临界量比值，即为Q</w:t>
            </w:r>
            <w:r>
              <w:rPr>
                <w:rFonts w:ascii="宋体" w:hAnsi="宋体"/>
                <w:color w:val="auto"/>
                <w:highlight w:val="none"/>
              </w:rPr>
              <w:t>本项目危险物质数量与临界量情况见下表。</w:t>
            </w:r>
          </w:p>
          <w:p>
            <w:pPr>
              <w:pStyle w:val="87"/>
              <w:rPr>
                <w:b/>
                <w:bCs/>
                <w:color w:val="auto"/>
                <w:highlight w:val="none"/>
              </w:rPr>
            </w:pPr>
            <w:r>
              <w:rPr>
                <w:b/>
                <w:bCs/>
                <w:color w:val="auto"/>
                <w:highlight w:val="none"/>
              </w:rPr>
              <w:t>表4</w:t>
            </w:r>
            <w:r>
              <w:rPr>
                <w:rFonts w:hint="eastAsia"/>
                <w:b/>
                <w:bCs/>
                <w:color w:val="auto"/>
                <w:highlight w:val="none"/>
                <w:lang w:val="en-US" w:eastAsia="zh-CN"/>
              </w:rPr>
              <w:t>.12</w:t>
            </w:r>
            <w:r>
              <w:rPr>
                <w:b/>
                <w:bCs/>
                <w:color w:val="auto"/>
                <w:highlight w:val="none"/>
              </w:rPr>
              <w:t xml:space="preserve">  项目危险物质数量与临界量情况表</w:t>
            </w:r>
          </w:p>
          <w:tbl>
            <w:tblPr>
              <w:tblStyle w:val="26"/>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040"/>
              <w:gridCol w:w="1000"/>
              <w:gridCol w:w="1317"/>
              <w:gridCol w:w="1200"/>
              <w:gridCol w:w="1366"/>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302" w:type="dxa"/>
                  <w:noWrap w:val="0"/>
                  <w:vAlign w:val="center"/>
                </w:tcPr>
                <w:p>
                  <w:pPr>
                    <w:pStyle w:val="82"/>
                    <w:rPr>
                      <w:rStyle w:val="88"/>
                      <w:b/>
                      <w:color w:val="auto"/>
                      <w:highlight w:val="none"/>
                    </w:rPr>
                  </w:pPr>
                  <w:r>
                    <w:rPr>
                      <w:rStyle w:val="88"/>
                      <w:b/>
                      <w:color w:val="auto"/>
                      <w:highlight w:val="none"/>
                    </w:rPr>
                    <w:t>物质名称</w:t>
                  </w:r>
                </w:p>
              </w:tc>
              <w:tc>
                <w:tcPr>
                  <w:tcW w:w="1040" w:type="dxa"/>
                  <w:noWrap w:val="0"/>
                  <w:vAlign w:val="center"/>
                </w:tcPr>
                <w:p>
                  <w:pPr>
                    <w:pStyle w:val="82"/>
                    <w:rPr>
                      <w:rStyle w:val="88"/>
                      <w:b/>
                      <w:color w:val="auto"/>
                      <w:highlight w:val="none"/>
                    </w:rPr>
                  </w:pPr>
                  <w:r>
                    <w:rPr>
                      <w:rStyle w:val="88"/>
                      <w:rFonts w:hint="eastAsia"/>
                      <w:b/>
                      <w:color w:val="auto"/>
                      <w:highlight w:val="none"/>
                    </w:rPr>
                    <w:t>CAS号</w:t>
                  </w:r>
                </w:p>
              </w:tc>
              <w:tc>
                <w:tcPr>
                  <w:tcW w:w="1000" w:type="dxa"/>
                  <w:noWrap w:val="0"/>
                  <w:vAlign w:val="center"/>
                </w:tcPr>
                <w:p>
                  <w:pPr>
                    <w:pStyle w:val="82"/>
                    <w:rPr>
                      <w:rStyle w:val="88"/>
                      <w:b/>
                      <w:color w:val="auto"/>
                      <w:highlight w:val="none"/>
                    </w:rPr>
                  </w:pPr>
                  <w:r>
                    <w:rPr>
                      <w:rStyle w:val="88"/>
                      <w:b/>
                      <w:color w:val="auto"/>
                      <w:highlight w:val="none"/>
                    </w:rPr>
                    <w:t>最大储存量（t）</w:t>
                  </w:r>
                </w:p>
              </w:tc>
              <w:tc>
                <w:tcPr>
                  <w:tcW w:w="1317" w:type="dxa"/>
                  <w:noWrap w:val="0"/>
                  <w:vAlign w:val="center"/>
                </w:tcPr>
                <w:p>
                  <w:pPr>
                    <w:pStyle w:val="82"/>
                    <w:rPr>
                      <w:rStyle w:val="88"/>
                      <w:b/>
                      <w:color w:val="auto"/>
                      <w:highlight w:val="none"/>
                    </w:rPr>
                  </w:pPr>
                  <w:r>
                    <w:rPr>
                      <w:rStyle w:val="88"/>
                      <w:b/>
                      <w:color w:val="auto"/>
                      <w:highlight w:val="none"/>
                    </w:rPr>
                    <w:t>临界量q（t）</w:t>
                  </w:r>
                </w:p>
              </w:tc>
              <w:tc>
                <w:tcPr>
                  <w:tcW w:w="1200" w:type="dxa"/>
                  <w:noWrap w:val="0"/>
                  <w:vAlign w:val="center"/>
                </w:tcPr>
                <w:p>
                  <w:pPr>
                    <w:pStyle w:val="82"/>
                    <w:rPr>
                      <w:rStyle w:val="88"/>
                      <w:b/>
                      <w:color w:val="auto"/>
                      <w:highlight w:val="none"/>
                    </w:rPr>
                  </w:pPr>
                  <w:r>
                    <w:rPr>
                      <w:rStyle w:val="88"/>
                      <w:b/>
                      <w:color w:val="auto"/>
                      <w:highlight w:val="none"/>
                    </w:rPr>
                    <w:t>Q值</w:t>
                  </w:r>
                </w:p>
              </w:tc>
              <w:tc>
                <w:tcPr>
                  <w:tcW w:w="1366" w:type="dxa"/>
                  <w:noWrap w:val="0"/>
                  <w:vAlign w:val="center"/>
                </w:tcPr>
                <w:p>
                  <w:pPr>
                    <w:pStyle w:val="82"/>
                    <w:rPr>
                      <w:rStyle w:val="88"/>
                      <w:b/>
                      <w:color w:val="auto"/>
                      <w:highlight w:val="none"/>
                    </w:rPr>
                  </w:pPr>
                  <w:r>
                    <w:rPr>
                      <w:rStyle w:val="88"/>
                      <w:b/>
                      <w:color w:val="auto"/>
                      <w:highlight w:val="none"/>
                    </w:rPr>
                    <w:t>是否构成重大危险源</w:t>
                  </w:r>
                </w:p>
              </w:tc>
              <w:tc>
                <w:tcPr>
                  <w:tcW w:w="811" w:type="dxa"/>
                  <w:noWrap w:val="0"/>
                  <w:vAlign w:val="center"/>
                </w:tcPr>
                <w:p>
                  <w:pPr>
                    <w:pStyle w:val="82"/>
                    <w:rPr>
                      <w:rStyle w:val="88"/>
                      <w:b/>
                      <w:color w:val="auto"/>
                      <w:highlight w:val="none"/>
                    </w:rPr>
                  </w:pPr>
                  <w:r>
                    <w:rPr>
                      <w:rStyle w:val="88"/>
                      <w:b/>
                      <w:color w:val="auto"/>
                      <w:highlight w:val="none"/>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02" w:type="dxa"/>
                  <w:noWrap w:val="0"/>
                  <w:vAlign w:val="center"/>
                </w:tcPr>
                <w:p>
                  <w:pPr>
                    <w:pStyle w:val="82"/>
                    <w:rPr>
                      <w:rStyle w:val="88"/>
                      <w:rFonts w:hint="default" w:eastAsia="宋体"/>
                      <w:color w:val="auto"/>
                      <w:highlight w:val="none"/>
                      <w:lang w:val="en-US" w:eastAsia="zh-CN"/>
                    </w:rPr>
                  </w:pPr>
                  <w:r>
                    <w:rPr>
                      <w:rStyle w:val="88"/>
                      <w:rFonts w:hint="eastAsia"/>
                      <w:color w:val="auto"/>
                      <w:highlight w:val="none"/>
                      <w:lang w:val="en-US" w:eastAsia="zh-CN"/>
                    </w:rPr>
                    <w:t>废活性炭</w:t>
                  </w:r>
                </w:p>
              </w:tc>
              <w:tc>
                <w:tcPr>
                  <w:tcW w:w="1040" w:type="dxa"/>
                  <w:noWrap w:val="0"/>
                  <w:vAlign w:val="center"/>
                </w:tcPr>
                <w:p>
                  <w:pPr>
                    <w:pStyle w:val="82"/>
                    <w:rPr>
                      <w:rStyle w:val="88"/>
                      <w:color w:val="auto"/>
                      <w:highlight w:val="none"/>
                    </w:rPr>
                  </w:pPr>
                  <w:r>
                    <w:rPr>
                      <w:rStyle w:val="88"/>
                      <w:rFonts w:hint="eastAsia"/>
                      <w:color w:val="auto"/>
                      <w:highlight w:val="none"/>
                    </w:rPr>
                    <w:t>/</w:t>
                  </w:r>
                </w:p>
              </w:tc>
              <w:tc>
                <w:tcPr>
                  <w:tcW w:w="1000" w:type="dxa"/>
                  <w:noWrap w:val="0"/>
                  <w:vAlign w:val="center"/>
                </w:tcPr>
                <w:p>
                  <w:pPr>
                    <w:pStyle w:val="82"/>
                    <w:rPr>
                      <w:rFonts w:hint="default" w:eastAsia="宋体"/>
                      <w:b/>
                      <w:bCs/>
                      <w:color w:val="auto"/>
                      <w:sz w:val="22"/>
                      <w:szCs w:val="22"/>
                      <w:highlight w:val="none"/>
                      <w:lang w:val="en-US" w:eastAsia="zh-CN"/>
                    </w:rPr>
                  </w:pPr>
                  <w:r>
                    <w:rPr>
                      <w:rFonts w:hint="eastAsia" w:ascii="Times New Roman" w:hAnsi="Times New Roman" w:eastAsia="宋体" w:cs="Times New Roman"/>
                      <w:color w:val="auto"/>
                      <w:lang w:val="en-US" w:eastAsia="zh-CN"/>
                    </w:rPr>
                    <w:t>1.646</w:t>
                  </w:r>
                </w:p>
              </w:tc>
              <w:tc>
                <w:tcPr>
                  <w:tcW w:w="1317" w:type="dxa"/>
                  <w:noWrap w:val="0"/>
                  <w:vAlign w:val="center"/>
                </w:tcPr>
                <w:p>
                  <w:pPr>
                    <w:pStyle w:val="82"/>
                    <w:rPr>
                      <w:rFonts w:hint="default" w:eastAsia="宋体"/>
                      <w:color w:val="auto"/>
                      <w:highlight w:val="none"/>
                      <w:lang w:val="en-US" w:eastAsia="zh-CN"/>
                    </w:rPr>
                  </w:pPr>
                  <w:r>
                    <w:rPr>
                      <w:rFonts w:hint="eastAsia"/>
                      <w:color w:val="auto"/>
                      <w:highlight w:val="none"/>
                      <w:lang w:val="en-US" w:eastAsia="zh-CN"/>
                    </w:rPr>
                    <w:t>10</w:t>
                  </w:r>
                </w:p>
              </w:tc>
              <w:tc>
                <w:tcPr>
                  <w:tcW w:w="1200" w:type="dxa"/>
                  <w:noWrap w:val="0"/>
                  <w:vAlign w:val="center"/>
                </w:tcPr>
                <w:p>
                  <w:pPr>
                    <w:pStyle w:val="82"/>
                    <w:rPr>
                      <w:rFonts w:hint="default" w:eastAsia="宋体"/>
                      <w:color w:val="auto"/>
                      <w:highlight w:val="none"/>
                      <w:lang w:val="en-US" w:eastAsia="zh-CN"/>
                    </w:rPr>
                  </w:pPr>
                  <w:r>
                    <w:rPr>
                      <w:rFonts w:hint="eastAsia"/>
                      <w:color w:val="auto"/>
                      <w:highlight w:val="none"/>
                      <w:lang w:val="en-US" w:eastAsia="zh-CN"/>
                    </w:rPr>
                    <w:t>0.1646</w:t>
                  </w:r>
                </w:p>
              </w:tc>
              <w:tc>
                <w:tcPr>
                  <w:tcW w:w="1366" w:type="dxa"/>
                  <w:noWrap w:val="0"/>
                  <w:vAlign w:val="center"/>
                </w:tcPr>
                <w:p>
                  <w:pPr>
                    <w:pStyle w:val="82"/>
                    <w:rPr>
                      <w:rStyle w:val="88"/>
                      <w:color w:val="auto"/>
                      <w:highlight w:val="none"/>
                    </w:rPr>
                  </w:pPr>
                  <w:r>
                    <w:rPr>
                      <w:rStyle w:val="88"/>
                      <w:rFonts w:hint="eastAsia"/>
                      <w:color w:val="auto"/>
                      <w:highlight w:val="none"/>
                    </w:rPr>
                    <w:t>否</w:t>
                  </w:r>
                </w:p>
              </w:tc>
              <w:tc>
                <w:tcPr>
                  <w:tcW w:w="811" w:type="dxa"/>
                  <w:noWrap w:val="0"/>
                  <w:vAlign w:val="center"/>
                </w:tcPr>
                <w:p>
                  <w:pPr>
                    <w:pStyle w:val="82"/>
                    <w:rPr>
                      <w:rStyle w:val="88"/>
                      <w:color w:val="auto"/>
                      <w:highlight w:val="none"/>
                    </w:rPr>
                  </w:pPr>
                  <w:r>
                    <w:rPr>
                      <w:rStyle w:val="88"/>
                      <w:rFonts w:hint="eastAsia"/>
                      <w:color w:val="auto"/>
                      <w:highlight w:val="none"/>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659" w:type="dxa"/>
                  <w:gridSpan w:val="4"/>
                  <w:noWrap w:val="0"/>
                  <w:vAlign w:val="center"/>
                </w:tcPr>
                <w:p>
                  <w:pPr>
                    <w:pStyle w:val="82"/>
                    <w:rPr>
                      <w:rStyle w:val="88"/>
                      <w:color w:val="auto"/>
                      <w:highlight w:val="none"/>
                    </w:rPr>
                  </w:pPr>
                  <w:r>
                    <w:rPr>
                      <w:rStyle w:val="88"/>
                      <w:color w:val="auto"/>
                      <w:highlight w:val="none"/>
                    </w:rPr>
                    <w:t>总计</w:t>
                  </w:r>
                </w:p>
              </w:tc>
              <w:tc>
                <w:tcPr>
                  <w:tcW w:w="1200" w:type="dxa"/>
                  <w:noWrap w:val="0"/>
                  <w:vAlign w:val="center"/>
                </w:tcPr>
                <w:p>
                  <w:pPr>
                    <w:pStyle w:val="82"/>
                    <w:rPr>
                      <w:rFonts w:hint="default" w:eastAsia="宋体"/>
                      <w:color w:val="auto"/>
                      <w:highlight w:val="none"/>
                      <w:lang w:val="en-US" w:eastAsia="zh-CN"/>
                    </w:rPr>
                  </w:pPr>
                  <w:r>
                    <w:rPr>
                      <w:rFonts w:hint="eastAsia"/>
                      <w:color w:val="auto"/>
                      <w:highlight w:val="none"/>
                      <w:lang w:val="en-US" w:eastAsia="zh-CN"/>
                    </w:rPr>
                    <w:t>0.1646</w:t>
                  </w:r>
                </w:p>
              </w:tc>
              <w:tc>
                <w:tcPr>
                  <w:tcW w:w="1366" w:type="dxa"/>
                  <w:noWrap w:val="0"/>
                  <w:vAlign w:val="center"/>
                </w:tcPr>
                <w:p>
                  <w:pPr>
                    <w:pStyle w:val="82"/>
                    <w:rPr>
                      <w:rStyle w:val="88"/>
                      <w:color w:val="auto"/>
                      <w:highlight w:val="none"/>
                    </w:rPr>
                  </w:pPr>
                  <w:r>
                    <w:rPr>
                      <w:rStyle w:val="88"/>
                      <w:color w:val="auto"/>
                      <w:highlight w:val="none"/>
                    </w:rPr>
                    <w:t>/</w:t>
                  </w:r>
                </w:p>
              </w:tc>
              <w:tc>
                <w:tcPr>
                  <w:tcW w:w="811" w:type="dxa"/>
                  <w:noWrap w:val="0"/>
                  <w:vAlign w:val="center"/>
                </w:tcPr>
                <w:p>
                  <w:pPr>
                    <w:pStyle w:val="82"/>
                    <w:rPr>
                      <w:rStyle w:val="88"/>
                      <w:color w:val="auto"/>
                      <w:highlight w:val="none"/>
                    </w:rPr>
                  </w:pPr>
                  <w:r>
                    <w:rPr>
                      <w:rStyle w:val="88"/>
                      <w:color w:val="auto"/>
                      <w:highlight w:val="none"/>
                    </w:rPr>
                    <w:t>/</w:t>
                  </w:r>
                </w:p>
              </w:tc>
            </w:tr>
          </w:tbl>
          <w:p>
            <w:pPr>
              <w:adjustRightInd w:val="0"/>
              <w:snapToGrid w:val="0"/>
              <w:spacing w:line="471" w:lineRule="exact"/>
              <w:ind w:firstLine="480" w:firstLineChars="200"/>
              <w:jc w:val="left"/>
              <w:rPr>
                <w:rFonts w:hint="eastAsia" w:cs="宋体"/>
                <w:color w:val="auto"/>
                <w:kern w:val="0"/>
                <w:sz w:val="24"/>
                <w:szCs w:val="24"/>
                <w:lang w:val="en-US" w:eastAsia="zh-CN"/>
              </w:rPr>
            </w:pPr>
            <w:r>
              <w:rPr>
                <w:rFonts w:hint="eastAsia" w:cs="宋体"/>
                <w:color w:val="auto"/>
                <w:kern w:val="0"/>
                <w:sz w:val="24"/>
                <w:szCs w:val="24"/>
                <w:lang w:val="en-US" w:eastAsia="zh-CN"/>
              </w:rPr>
              <w:t>根据《建设项目环境风险评价技术导则》（HJ169-2018）评价工作等级划分见表4.8。</w:t>
            </w:r>
          </w:p>
          <w:p>
            <w:pPr>
              <w:pStyle w:val="87"/>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表4</w:t>
            </w:r>
            <w:r>
              <w:rPr>
                <w:rFonts w:hint="eastAsia" w:ascii="Times New Roman" w:hAnsi="Times New Roman" w:cs="Times New Roman"/>
                <w:b/>
                <w:bCs/>
                <w:color w:val="auto"/>
                <w:highlight w:val="none"/>
                <w:lang w:val="en-US" w:eastAsia="zh-CN"/>
              </w:rPr>
              <w:t>.13</w:t>
            </w:r>
            <w:r>
              <w:rPr>
                <w:rFonts w:hint="eastAsia" w:ascii="Times New Roman" w:hAnsi="Times New Roman" w:cs="Times New Roman"/>
                <w:b/>
                <w:bCs/>
                <w:color w:val="auto"/>
                <w:highlight w:val="none"/>
              </w:rPr>
              <w:t xml:space="preserve">  风险评价工作等级划分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1215"/>
              <w:gridCol w:w="856"/>
              <w:gridCol w:w="856"/>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环境风险潜势</w:t>
                  </w:r>
                </w:p>
              </w:tc>
              <w:tc>
                <w:tcPr>
                  <w:tcW w:w="758"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Ⅳ</w:t>
                  </w:r>
                </w:p>
              </w:tc>
              <w:tc>
                <w:tcPr>
                  <w:tcW w:w="534"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Ⅲ</w:t>
                  </w:r>
                </w:p>
              </w:tc>
              <w:tc>
                <w:tcPr>
                  <w:tcW w:w="534"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Ⅱ</w:t>
                  </w:r>
                </w:p>
              </w:tc>
              <w:tc>
                <w:tcPr>
                  <w:tcW w:w="1518"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评价工作等级</w:t>
                  </w:r>
                </w:p>
              </w:tc>
              <w:tc>
                <w:tcPr>
                  <w:tcW w:w="758"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一</w:t>
                  </w:r>
                </w:p>
              </w:tc>
              <w:tc>
                <w:tcPr>
                  <w:tcW w:w="534"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二</w:t>
                  </w:r>
                </w:p>
              </w:tc>
              <w:tc>
                <w:tcPr>
                  <w:tcW w:w="534"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三</w:t>
                  </w:r>
                </w:p>
              </w:tc>
              <w:tc>
                <w:tcPr>
                  <w:tcW w:w="1518" w:type="pct"/>
                  <w:noWrap w:val="0"/>
                  <w:vAlign w:val="center"/>
                </w:tcPr>
                <w:p>
                  <w:pPr>
                    <w:pStyle w:val="82"/>
                    <w:rPr>
                      <w:rStyle w:val="88"/>
                      <w:rFonts w:hint="default" w:ascii="Times New Roman" w:hAnsi="宋体" w:eastAsia="宋体" w:cs="Times New Roman"/>
                      <w:color w:val="auto"/>
                      <w:highlight w:val="none"/>
                      <w:lang w:val="en-US" w:eastAsia="zh-CN"/>
                    </w:rPr>
                  </w:pPr>
                  <w:r>
                    <w:rPr>
                      <w:rStyle w:val="88"/>
                      <w:rFonts w:hint="default" w:ascii="Times New Roman" w:hAnsi="宋体" w:eastAsia="宋体" w:cs="Times New Roman"/>
                      <w:color w:val="auto"/>
                      <w:highlight w:val="none"/>
                      <w:lang w:val="en-US" w:eastAsia="zh-CN"/>
                    </w:rPr>
                    <w:t>简单分析</w:t>
                  </w:r>
                </w:p>
              </w:tc>
            </w:tr>
          </w:tbl>
          <w:p>
            <w:pPr>
              <w:adjustRightInd w:val="0"/>
              <w:snapToGrid w:val="0"/>
              <w:spacing w:line="471" w:lineRule="exact"/>
              <w:ind w:left="0" w:leftChars="0" w:firstLine="720" w:firstLineChars="300"/>
              <w:jc w:val="left"/>
              <w:rPr>
                <w:rFonts w:hint="eastAsia"/>
                <w:color w:val="auto"/>
                <w:kern w:val="2"/>
                <w:szCs w:val="24"/>
                <w:highlight w:val="none"/>
              </w:rPr>
            </w:pPr>
            <w:r>
              <w:rPr>
                <w:rFonts w:hint="eastAsia"/>
                <w:color w:val="auto"/>
                <w:kern w:val="2"/>
                <w:szCs w:val="24"/>
                <w:highlight w:val="none"/>
              </w:rPr>
              <w:t>由上表可知，本项目Q值</w:t>
            </w:r>
            <w:r>
              <w:rPr>
                <w:rFonts w:hint="eastAsia"/>
                <w:color w:val="auto"/>
                <w:highlight w:val="none"/>
                <w:lang w:val="en-US" w:eastAsia="zh-CN"/>
              </w:rPr>
              <w:t>0.1646</w:t>
            </w:r>
            <w:r>
              <w:rPr>
                <w:rFonts w:hint="eastAsia"/>
                <w:color w:val="auto"/>
                <w:kern w:val="2"/>
                <w:szCs w:val="24"/>
                <w:highlight w:val="none"/>
              </w:rPr>
              <w:t>＜1，由此判断项目环境风险潜势为I。</w:t>
            </w:r>
            <w:r>
              <w:rPr>
                <w:rFonts w:hint="eastAsia" w:cs="宋体"/>
                <w:color w:val="auto"/>
                <w:kern w:val="0"/>
                <w:sz w:val="24"/>
                <w:szCs w:val="24"/>
                <w:lang w:val="en-US" w:eastAsia="zh-CN"/>
              </w:rPr>
              <w:t>因此，最终确定本项目环境风险评价工作等级为简单分析。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10</w:t>
            </w:r>
            <w:r>
              <w:rPr>
                <w:rFonts w:hint="default" w:ascii="Times New Roman" w:hAnsi="Times New Roman" w:eastAsia="宋体" w:cs="Times New Roman"/>
                <w:b/>
                <w:bCs/>
                <w:color w:val="auto"/>
                <w:highlight w:val="none"/>
                <w:lang w:val="en-US" w:eastAsia="zh-CN"/>
              </w:rPr>
              <w:t>.2环境风险分析</w:t>
            </w:r>
            <w:bookmarkEnd w:id="55"/>
          </w:p>
          <w:p>
            <w:pPr>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本项目存在的环境风险事件为火灾事故</w:t>
            </w:r>
            <w:r>
              <w:rPr>
                <w:rFonts w:hint="eastAsia" w:ascii="Times New Roman" w:hAnsi="Times New Roman" w:eastAsia="宋体" w:cs="Times New Roman"/>
                <w:color w:val="auto"/>
                <w:highlight w:val="none"/>
                <w:lang w:val="en-US" w:eastAsia="zh-CN"/>
              </w:rPr>
              <w:t>和泄漏事故</w:t>
            </w:r>
            <w:r>
              <w:rPr>
                <w:rFonts w:hint="eastAsia" w:ascii="Times New Roman" w:hAnsi="Times New Roman" w:eastAsia="宋体" w:cs="Times New Roman"/>
                <w:color w:val="auto"/>
                <w:highlight w:val="none"/>
                <w:lang w:eastAsia="zh-CN"/>
              </w:rPr>
              <w:t>。</w:t>
            </w:r>
          </w:p>
          <w:p>
            <w:pPr>
              <w:ind w:firstLine="480"/>
            </w:pPr>
            <w:r>
              <w:rPr>
                <w:rFonts w:hint="eastAsia"/>
                <w:color w:val="auto"/>
                <w:highlight w:val="none"/>
              </w:rPr>
              <w:t>泄漏事故：</w:t>
            </w:r>
            <w:r>
              <w:rPr>
                <w:color w:val="auto"/>
                <w:highlight w:val="none"/>
              </w:rPr>
              <w:t>泄漏有事故泄漏和非事故泄漏两种。事故泄漏主要指自然灾害造成的泄漏，如地震、洪水等非人为因素，发生的可能性很低，最坏的情况是废水</w:t>
            </w:r>
            <w:r>
              <w:rPr>
                <w:rFonts w:hint="eastAsia"/>
                <w:color w:val="auto"/>
                <w:highlight w:val="none"/>
                <w:lang w:val="en-US" w:eastAsia="zh-CN"/>
              </w:rPr>
              <w:t>和</w:t>
            </w:r>
            <w:r>
              <w:rPr>
                <w:color w:val="auto"/>
                <w:highlight w:val="none"/>
              </w:rPr>
              <w:t>厂区内现存的</w:t>
            </w:r>
            <w:r>
              <w:rPr>
                <w:rFonts w:hint="eastAsia"/>
                <w:color w:val="auto"/>
                <w:highlight w:val="none"/>
                <w:lang w:val="en-US" w:eastAsia="zh-CN"/>
              </w:rPr>
              <w:t>危险废物泄露至外环境，</w:t>
            </w:r>
            <w:r>
              <w:rPr>
                <w:color w:val="auto"/>
                <w:highlight w:val="none"/>
              </w:rPr>
              <w:t>对厂区附近地表水、土壤造成一定程度的污染。非事故泄漏是指作业不当、维护管理不完善等人为因素造成的泄漏，相对容易发生。由于厂区内原辅材料和产品总储存量不大，局部泄漏量很少，在采取相关应急措施后其风险可控。</w:t>
            </w:r>
            <w:r>
              <w:rPr>
                <w:rFonts w:hint="eastAsia"/>
                <w:color w:val="auto"/>
                <w:highlight w:val="none"/>
              </w:rPr>
              <w:t>项目一般工业固废和危险废物是专门的储存区和</w:t>
            </w:r>
            <w:r>
              <w:rPr>
                <w:rFonts w:hint="eastAsia"/>
                <w:color w:val="auto"/>
                <w:highlight w:val="none"/>
                <w:lang w:val="en-US" w:eastAsia="zh-CN"/>
              </w:rPr>
              <w:t>危废暂存间</w:t>
            </w:r>
            <w:r>
              <w:rPr>
                <w:rFonts w:hint="eastAsia"/>
                <w:color w:val="auto"/>
                <w:highlight w:val="none"/>
              </w:rPr>
              <w:t>储存，且项目全区域都进行了硬化，发生泄漏的概率极小</w:t>
            </w:r>
            <w:r>
              <w:rPr>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火灾事故：</w:t>
            </w:r>
            <w:r>
              <w:rPr>
                <w:rFonts w:hint="default" w:ascii="Times New Roman" w:hAnsi="Times New Roman" w:cs="Times New Roman"/>
                <w:color w:val="auto"/>
                <w:highlight w:val="none"/>
                <w:lang w:val="en-US" w:eastAsia="zh-CN"/>
              </w:rPr>
              <w:t>本项目原料和产品均为</w:t>
            </w:r>
            <w:r>
              <w:rPr>
                <w:rFonts w:hint="eastAsia" w:cs="Times New Roman"/>
                <w:color w:val="auto"/>
                <w:highlight w:val="none"/>
                <w:lang w:val="en-US" w:eastAsia="zh-CN"/>
              </w:rPr>
              <w:t>P</w:t>
            </w:r>
            <w:r>
              <w:rPr>
                <w:rFonts w:hint="default" w:ascii="Times New Roman" w:hAnsi="Times New Roman" w:cs="Times New Roman"/>
                <w:color w:val="auto"/>
                <w:highlight w:val="none"/>
                <w:lang w:val="en-US" w:eastAsia="zh-CN"/>
              </w:rPr>
              <w:t>ET材料，</w:t>
            </w:r>
            <w:r>
              <w:rPr>
                <w:rFonts w:hint="eastAsia" w:cs="Times New Roman"/>
                <w:color w:val="auto"/>
                <w:highlight w:val="none"/>
                <w:lang w:val="en-US" w:eastAsia="zh-CN"/>
              </w:rPr>
              <w:t>P</w:t>
            </w:r>
            <w:r>
              <w:rPr>
                <w:rFonts w:hint="default" w:ascii="Times New Roman" w:hAnsi="Times New Roman" w:cs="Times New Roman"/>
                <w:color w:val="auto"/>
                <w:highlight w:val="none"/>
                <w:lang w:val="en-US" w:eastAsia="zh-CN"/>
              </w:rPr>
              <w:t>ET材料如遇明火</w:t>
            </w:r>
            <w:r>
              <w:rPr>
                <w:rFonts w:hint="default" w:ascii="Times New Roman" w:hAnsi="Times New Roman" w:cs="Times New Roman"/>
                <w:color w:val="auto"/>
                <w:highlight w:val="none"/>
              </w:rPr>
              <w:t>可能导致火灾事故。火灾事故危害除热辐射等直接危害外，未完全燃烧的危险物质在高温下迅速挥发释放至大气，燃烧物质燃烧过程中则同时产生伴生和次生物质。由于部分碳不能被充分燃烧，可能会产生一定量的CO，加上燃烧后形成的浓烟，会对周围的大气环境造成一定的影响。此外，灭火过程中，还将产生消防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具体风险源后果分析见下表。</w:t>
            </w:r>
          </w:p>
          <w:p>
            <w:pPr>
              <w:pStyle w:val="87"/>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表4</w:t>
            </w:r>
            <w:r>
              <w:rPr>
                <w:rFonts w:hint="eastAsia" w:ascii="Times New Roman" w:hAnsi="Times New Roman" w:cs="Times New Roman"/>
                <w:b/>
                <w:bCs/>
                <w:color w:val="auto"/>
                <w:highlight w:val="none"/>
                <w:lang w:val="en-US" w:eastAsia="zh-CN"/>
              </w:rPr>
              <w:t xml:space="preserve">.14  </w:t>
            </w:r>
            <w:r>
              <w:rPr>
                <w:rFonts w:hint="default" w:ascii="Times New Roman" w:hAnsi="Times New Roman" w:cs="Times New Roman"/>
                <w:b/>
                <w:bCs/>
                <w:color w:val="auto"/>
                <w:highlight w:val="none"/>
                <w:lang w:val="en-US" w:eastAsia="zh-CN"/>
              </w:rPr>
              <w:t>风险分析内容表</w:t>
            </w:r>
          </w:p>
          <w:tbl>
            <w:tblPr>
              <w:tblStyle w:val="26"/>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723"/>
              <w:gridCol w:w="1444"/>
              <w:gridCol w:w="748"/>
              <w:gridCol w:w="1735"/>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事故起因</w:t>
                  </w:r>
                </w:p>
              </w:tc>
              <w:tc>
                <w:tcPr>
                  <w:tcW w:w="1723"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环境风险描述</w:t>
                  </w:r>
                </w:p>
              </w:tc>
              <w:tc>
                <w:tcPr>
                  <w:tcW w:w="1444"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涉及化学品（污染物）</w:t>
                  </w:r>
                </w:p>
              </w:tc>
              <w:tc>
                <w:tcPr>
                  <w:tcW w:w="748"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风险类别</w:t>
                  </w:r>
                </w:p>
              </w:tc>
              <w:tc>
                <w:tcPr>
                  <w:tcW w:w="1735"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途径及后果</w:t>
                  </w:r>
                </w:p>
              </w:tc>
              <w:tc>
                <w:tcPr>
                  <w:tcW w:w="1655"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dxa"/>
                  <w:vMerge w:val="restart"/>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火灾</w:t>
                  </w:r>
                </w:p>
              </w:tc>
              <w:tc>
                <w:tcPr>
                  <w:tcW w:w="1723"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塑料</w:t>
                  </w:r>
                  <w:r>
                    <w:rPr>
                      <w:rFonts w:hint="default" w:ascii="Times New Roman" w:hAnsi="Times New Roman" w:cs="Times New Roman"/>
                      <w:color w:val="auto"/>
                      <w:sz w:val="21"/>
                      <w:szCs w:val="21"/>
                      <w:highlight w:val="none"/>
                    </w:rPr>
                    <w:t>燃烧烟尘及污染物污染周围大气环境</w:t>
                  </w:r>
                </w:p>
              </w:tc>
              <w:tc>
                <w:tcPr>
                  <w:tcW w:w="1444"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CO、烟尘</w:t>
                  </w:r>
                </w:p>
              </w:tc>
              <w:tc>
                <w:tcPr>
                  <w:tcW w:w="748"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735"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通过燃烧烟气扩散，对周围大气环境造成短时污染</w:t>
                  </w:r>
                </w:p>
              </w:tc>
              <w:tc>
                <w:tcPr>
                  <w:tcW w:w="1655" w:type="dxa"/>
                  <w:vMerge w:val="restart"/>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落实防止火灾措施，发生火灾时可关闭园区雨水阀门，封堵雨水井。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pPr>
                    <w:pStyle w:val="82"/>
                    <w:spacing w:line="240" w:lineRule="auto"/>
                    <w:rPr>
                      <w:rFonts w:hint="default" w:ascii="Times New Roman" w:hAnsi="Times New Roman" w:cs="Times New Roman"/>
                      <w:color w:val="auto"/>
                      <w:sz w:val="21"/>
                      <w:szCs w:val="21"/>
                      <w:highlight w:val="none"/>
                    </w:rPr>
                  </w:pPr>
                </w:p>
              </w:tc>
              <w:tc>
                <w:tcPr>
                  <w:tcW w:w="1723"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消防废水进入附近水体</w:t>
                  </w:r>
                </w:p>
              </w:tc>
              <w:tc>
                <w:tcPr>
                  <w:tcW w:w="1444"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CODcr</w:t>
                  </w:r>
                </w:p>
              </w:tc>
              <w:tc>
                <w:tcPr>
                  <w:tcW w:w="748"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1735"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通过雨水管对附近内河涌水质造成影响</w:t>
                  </w:r>
                </w:p>
              </w:tc>
              <w:tc>
                <w:tcPr>
                  <w:tcW w:w="1655" w:type="dxa"/>
                  <w:vMerge w:val="continue"/>
                  <w:noWrap w:val="0"/>
                  <w:vAlign w:val="center"/>
                </w:tcPr>
                <w:p>
                  <w:pPr>
                    <w:pStyle w:val="82"/>
                    <w:spacing w:line="240" w:lineRule="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732" w:type="dxa"/>
                  <w:noWrap w:val="0"/>
                  <w:vAlign w:val="center"/>
                </w:tcPr>
                <w:p>
                  <w:pPr>
                    <w:pStyle w:val="82"/>
                    <w:spacing w:line="240" w:lineRule="auto"/>
                    <w:rPr>
                      <w:rFonts w:hint="eastAsia" w:ascii="Times New Roman" w:hAnsi="Times New Roman" w:eastAsia="宋体" w:cs="Times New Roman"/>
                      <w:color w:val="auto"/>
                      <w:sz w:val="21"/>
                      <w:szCs w:val="21"/>
                      <w:highlight w:val="none"/>
                      <w:lang w:val="en-US" w:eastAsia="zh-CN"/>
                    </w:rPr>
                  </w:pPr>
                  <w:bookmarkStart w:id="56" w:name="_Toc17900"/>
                  <w:r>
                    <w:rPr>
                      <w:rFonts w:hint="eastAsia" w:cs="Times New Roman"/>
                      <w:color w:val="auto"/>
                      <w:sz w:val="21"/>
                      <w:szCs w:val="21"/>
                      <w:highlight w:val="none"/>
                      <w:lang w:val="en-US" w:eastAsia="zh-CN"/>
                    </w:rPr>
                    <w:t>泄漏</w:t>
                  </w:r>
                </w:p>
              </w:tc>
              <w:tc>
                <w:tcPr>
                  <w:tcW w:w="1723" w:type="dxa"/>
                  <w:noWrap w:val="0"/>
                  <w:vAlign w:val="center"/>
                </w:tcPr>
                <w:p>
                  <w:pPr>
                    <w:pStyle w:val="82"/>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废活性炭</w:t>
                  </w:r>
                </w:p>
              </w:tc>
              <w:tc>
                <w:tcPr>
                  <w:tcW w:w="1444" w:type="dxa"/>
                  <w:noWrap w:val="0"/>
                  <w:vAlign w:val="center"/>
                </w:tcPr>
                <w:p>
                  <w:pPr>
                    <w:pStyle w:val="82"/>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重金属元素、有机污染物等</w:t>
                  </w:r>
                </w:p>
              </w:tc>
              <w:tc>
                <w:tcPr>
                  <w:tcW w:w="748"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1735" w:type="dxa"/>
                  <w:noWrap w:val="0"/>
                  <w:vAlign w:val="center"/>
                </w:tcPr>
                <w:p>
                  <w:pPr>
                    <w:pStyle w:val="82"/>
                    <w:spacing w:line="240" w:lineRule="auto"/>
                    <w:rPr>
                      <w:rFonts w:hint="default" w:ascii="Times New Roman" w:hAnsi="Times New Roman" w:cs="Times New Roman"/>
                      <w:color w:val="auto"/>
                      <w:sz w:val="21"/>
                      <w:szCs w:val="21"/>
                      <w:highlight w:val="none"/>
                    </w:rPr>
                  </w:pPr>
                  <w:r>
                    <w:rPr>
                      <w:color w:val="auto"/>
                      <w:highlight w:val="none"/>
                    </w:rPr>
                    <w:t>经径流下渗及雨水冲洗，对附近地下水及附近河涌水质造成影响；对大气</w:t>
                  </w:r>
                  <w:r>
                    <w:rPr>
                      <w:rFonts w:hint="eastAsia"/>
                      <w:color w:val="auto"/>
                      <w:highlight w:val="none"/>
                    </w:rPr>
                    <w:t>环境</w:t>
                  </w:r>
                  <w:r>
                    <w:rPr>
                      <w:color w:val="auto"/>
                      <w:highlight w:val="none"/>
                    </w:rPr>
                    <w:t>影响较小</w:t>
                  </w:r>
                </w:p>
              </w:tc>
              <w:tc>
                <w:tcPr>
                  <w:tcW w:w="1655" w:type="dxa"/>
                  <w:noWrap w:val="0"/>
                  <w:vAlign w:val="center"/>
                </w:tcPr>
                <w:p>
                  <w:pPr>
                    <w:pStyle w:val="82"/>
                    <w:spacing w:line="240" w:lineRule="auto"/>
                    <w:rPr>
                      <w:rFonts w:hint="default" w:ascii="Times New Roman" w:hAnsi="Times New Roman" w:cs="Times New Roman"/>
                      <w:color w:val="auto"/>
                      <w:sz w:val="21"/>
                      <w:szCs w:val="21"/>
                      <w:highlight w:val="none"/>
                    </w:rPr>
                  </w:pPr>
                  <w:r>
                    <w:rPr>
                      <w:color w:val="auto"/>
                      <w:kern w:val="0"/>
                      <w:highlight w:val="none"/>
                      <w:lang w:bidi="ar"/>
                    </w:rPr>
                    <w:t>对危险废物贮存间进行设计和建设。地面采用2mm厚的环氧树脂漆</w:t>
                  </w:r>
                  <w:r>
                    <w:rPr>
                      <w:rFonts w:hint="eastAsia"/>
                      <w:color w:val="auto"/>
                      <w:kern w:val="0"/>
                      <w:highlight w:val="none"/>
                      <w:lang w:bidi="ar"/>
                    </w:rPr>
                    <w:t>或</w:t>
                  </w:r>
                  <w:r>
                    <w:rPr>
                      <w:rFonts w:hint="eastAsia"/>
                      <w:color w:val="auto"/>
                      <w:highlight w:val="none"/>
                    </w:rPr>
                    <w:t>HDPE膜</w:t>
                  </w:r>
                  <w:r>
                    <w:rPr>
                      <w:color w:val="auto"/>
                      <w:kern w:val="0"/>
                      <w:highlight w:val="none"/>
                      <w:lang w:bidi="ar"/>
                    </w:rPr>
                    <w:t>进行防腐、防渗处理，</w:t>
                  </w:r>
                  <w:r>
                    <w:rPr>
                      <w:rFonts w:hint="eastAsia"/>
                      <w:color w:val="auto"/>
                      <w:kern w:val="0"/>
                      <w:highlight w:val="none"/>
                      <w:lang w:bidi="ar"/>
                    </w:rPr>
                    <w:t>配置消防器材</w:t>
                  </w:r>
                  <w:r>
                    <w:rPr>
                      <w:color w:val="auto"/>
                      <w:kern w:val="0"/>
                      <w:highlight w:val="none"/>
                      <w:lang w:bidi="ar"/>
                    </w:rPr>
                    <w:t>，确保发生泄漏事故时能及时处理。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10</w:t>
            </w:r>
            <w:r>
              <w:rPr>
                <w:rFonts w:hint="default" w:ascii="Times New Roman" w:hAnsi="Times New Roman" w:eastAsia="宋体" w:cs="Times New Roman"/>
                <w:b/>
                <w:bCs/>
                <w:color w:val="auto"/>
                <w:highlight w:val="none"/>
                <w:lang w:val="en-US" w:eastAsia="zh-CN"/>
              </w:rPr>
              <w:t>.3环境风险防范措施</w:t>
            </w:r>
            <w:bookmarkEnd w:id="56"/>
          </w:p>
          <w:p>
            <w:pPr>
              <w:widowControl/>
              <w:ind w:firstLine="482"/>
              <w:jc w:val="left"/>
              <w:rPr>
                <w:color w:val="auto"/>
                <w:highlight w:val="none"/>
              </w:rPr>
            </w:pPr>
            <w:r>
              <w:rPr>
                <w:rFonts w:hint="eastAsia"/>
                <w:b/>
                <w:bCs/>
                <w:color w:val="auto"/>
                <w:kern w:val="0"/>
                <w:highlight w:val="none"/>
                <w:lang w:bidi="ar"/>
              </w:rPr>
              <w:t>（</w:t>
            </w:r>
            <w:r>
              <w:rPr>
                <w:rFonts w:hint="eastAsia"/>
                <w:b/>
                <w:bCs/>
                <w:color w:val="auto"/>
                <w:kern w:val="0"/>
                <w:highlight w:val="none"/>
                <w:lang w:val="en-US" w:eastAsia="zh-CN" w:bidi="ar"/>
              </w:rPr>
              <w:t>1</w:t>
            </w:r>
            <w:r>
              <w:rPr>
                <w:b/>
                <w:bCs/>
                <w:color w:val="auto"/>
                <w:kern w:val="0"/>
                <w:highlight w:val="none"/>
                <w:lang w:bidi="ar"/>
              </w:rPr>
              <w:t>）危险废物贮存间风险防范措施</w:t>
            </w:r>
          </w:p>
          <w:p>
            <w:pPr>
              <w:widowControl/>
              <w:ind w:firstLine="480"/>
              <w:jc w:val="left"/>
              <w:rPr>
                <w:rFonts w:hint="eastAsia"/>
                <w:b/>
                <w:bCs/>
                <w:color w:val="auto"/>
                <w:kern w:val="0"/>
                <w:highlight w:val="none"/>
                <w:lang w:bidi="ar"/>
              </w:rPr>
            </w:pPr>
            <w:r>
              <w:rPr>
                <w:color w:val="auto"/>
                <w:kern w:val="0"/>
                <w:highlight w:val="none"/>
                <w:lang w:bidi="ar"/>
              </w:rPr>
              <w:t>企业应严格按照《危险废物贮存污染控制标准》</w:t>
            </w:r>
            <w:r>
              <w:rPr>
                <w:rFonts w:hint="eastAsia"/>
                <w:color w:val="auto"/>
                <w:kern w:val="0"/>
                <w:highlight w:val="none"/>
                <w:lang w:bidi="ar"/>
              </w:rPr>
              <w:t>（GB18597-2023）</w:t>
            </w:r>
            <w:r>
              <w:rPr>
                <w:color w:val="auto"/>
                <w:kern w:val="0"/>
                <w:highlight w:val="none"/>
                <w:lang w:bidi="ar"/>
              </w:rPr>
              <w:t>对危险废物贮存间进行设计和建设。地面采用2mm厚的环氧树脂漆</w:t>
            </w:r>
            <w:r>
              <w:rPr>
                <w:rFonts w:hint="eastAsia"/>
                <w:color w:val="auto"/>
                <w:kern w:val="0"/>
                <w:highlight w:val="none"/>
                <w:lang w:bidi="ar"/>
              </w:rPr>
              <w:t>或</w:t>
            </w:r>
            <w:r>
              <w:rPr>
                <w:rFonts w:hint="eastAsia"/>
                <w:color w:val="auto"/>
                <w:highlight w:val="none"/>
              </w:rPr>
              <w:t>HDPE膜</w:t>
            </w:r>
            <w:r>
              <w:rPr>
                <w:color w:val="auto"/>
                <w:kern w:val="0"/>
                <w:highlight w:val="none"/>
                <w:lang w:bidi="ar"/>
              </w:rPr>
              <w:t>进行防腐、防渗处理，</w:t>
            </w:r>
            <w:r>
              <w:rPr>
                <w:rFonts w:hint="eastAsia"/>
                <w:color w:val="auto"/>
                <w:kern w:val="0"/>
                <w:highlight w:val="none"/>
                <w:lang w:bidi="ar"/>
              </w:rPr>
              <w:t>配置消防器材</w:t>
            </w:r>
            <w:r>
              <w:rPr>
                <w:color w:val="auto"/>
                <w:kern w:val="0"/>
                <w:highlight w:val="none"/>
                <w:lang w:bidi="ar"/>
              </w:rPr>
              <w:t xml:space="preserve">，确保发生泄漏事故时能及时处理。 </w:t>
            </w:r>
          </w:p>
          <w:p>
            <w:pPr>
              <w:pStyle w:val="45"/>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w:t>
            </w:r>
            <w:r>
              <w:rPr>
                <w:rFonts w:ascii="Times New Roman" w:hAnsi="Times New Roman" w:eastAsia="宋体" w:cs="Times New Roman"/>
                <w:b/>
                <w:bCs/>
                <w:color w:val="auto"/>
                <w:kern w:val="0"/>
                <w:sz w:val="24"/>
                <w:szCs w:val="24"/>
                <w:highlight w:val="none"/>
                <w:lang w:val="en-US" w:eastAsia="zh-CN" w:bidi="ar"/>
              </w:rPr>
              <w:t>火灾风险防范措施</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①加强对可燃物质、易燃物质的安全管理，保证安全生产，保护环境，原辅料的贮存过程中必须按照国家《仓库防火安全管理规则》等规定做到安全贮存。</w:t>
            </w:r>
          </w:p>
          <w:p>
            <w:pPr>
              <w:widowControl/>
              <w:ind w:firstLine="48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②加强对原辅料的安全管理工作，做到专人管理、专人负责，原辅料的储存场所必须保持干燥，并有相应的防火安全措施。</w:t>
            </w:r>
          </w:p>
          <w:p>
            <w:pPr>
              <w:widowControl/>
              <w:ind w:firstLine="48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③加强设备维护保养，防止因摩擦引起杂质等燃烧，</w:t>
            </w:r>
            <w:r>
              <w:rPr>
                <w:rFonts w:hint="default" w:ascii="Times New Roman" w:hAnsi="Times New Roman" w:cs="Times New Roman"/>
                <w:color w:val="auto"/>
                <w:highlight w:val="none"/>
              </w:rPr>
              <w:t>电气设备定期巡检等</w:t>
            </w:r>
            <w:r>
              <w:rPr>
                <w:rFonts w:hint="default" w:ascii="Times New Roman" w:hAnsi="Times New Roman" w:cs="Times New Roman"/>
                <w:color w:val="auto"/>
                <w:kern w:val="0"/>
                <w:highlight w:val="none"/>
                <w:lang w:bidi="ar"/>
              </w:rPr>
              <w:t>。</w:t>
            </w:r>
          </w:p>
          <w:p>
            <w:pPr>
              <w:widowControl/>
              <w:ind w:firstLine="48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fldChar w:fldCharType="begin"/>
            </w:r>
            <w:r>
              <w:rPr>
                <w:rFonts w:hint="default" w:ascii="Times New Roman" w:hAnsi="Times New Roman" w:cs="Times New Roman"/>
                <w:color w:val="auto"/>
                <w:kern w:val="0"/>
                <w:highlight w:val="none"/>
                <w:lang w:bidi="ar"/>
              </w:rPr>
              <w:instrText xml:space="preserve"> = 4 \* GB3 \* MERGEFORMAT </w:instrText>
            </w:r>
            <w:r>
              <w:rPr>
                <w:rFonts w:hint="default" w:ascii="Times New Roman" w:hAnsi="Times New Roman" w:cs="Times New Roman"/>
                <w:color w:val="auto"/>
                <w:kern w:val="0"/>
                <w:highlight w:val="none"/>
                <w:lang w:bidi="ar"/>
              </w:rPr>
              <w:fldChar w:fldCharType="separate"/>
            </w:r>
            <w:r>
              <w:rPr>
                <w:rFonts w:hint="default" w:ascii="Times New Roman" w:hAnsi="Times New Roman" w:cs="Times New Roman"/>
                <w:color w:val="auto"/>
                <w:kern w:val="0"/>
                <w:highlight w:val="none"/>
                <w:lang w:bidi="ar"/>
              </w:rPr>
              <w:t>④</w:t>
            </w:r>
            <w:r>
              <w:rPr>
                <w:rFonts w:hint="default" w:ascii="Times New Roman" w:hAnsi="Times New Roman" w:cs="Times New Roman"/>
                <w:color w:val="auto"/>
                <w:kern w:val="0"/>
                <w:highlight w:val="none"/>
                <w:lang w:bidi="ar"/>
              </w:rPr>
              <w:fldChar w:fldCharType="end"/>
            </w:r>
            <w:r>
              <w:rPr>
                <w:rFonts w:hint="default" w:ascii="Times New Roman" w:hAnsi="Times New Roman" w:cs="Times New Roman"/>
                <w:color w:val="auto"/>
                <w:kern w:val="0"/>
                <w:highlight w:val="none"/>
                <w:lang w:bidi="ar"/>
              </w:rPr>
              <w:t>厂区配置消防设施并</w:t>
            </w:r>
            <w:r>
              <w:rPr>
                <w:rFonts w:hint="default" w:ascii="Times New Roman" w:hAnsi="Times New Roman" w:cs="Times New Roman"/>
                <w:color w:val="auto"/>
                <w:highlight w:val="none"/>
              </w:rPr>
              <w:t>加强员工安全意识培训</w:t>
            </w:r>
            <w:r>
              <w:rPr>
                <w:rFonts w:hint="default" w:ascii="Times New Roman" w:hAnsi="Times New Roman" w:cs="Times New Roman"/>
                <w:color w:val="auto"/>
                <w:kern w:val="0"/>
                <w:highlight w:val="none"/>
                <w:lang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57" w:name="_Toc27542"/>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10.</w:t>
            </w:r>
            <w:r>
              <w:rPr>
                <w:rFonts w:hint="default" w:ascii="Times New Roman" w:hAnsi="Times New Roman" w:eastAsia="宋体" w:cs="Times New Roman"/>
                <w:b/>
                <w:bCs/>
                <w:color w:val="auto"/>
                <w:highlight w:val="none"/>
                <w:lang w:val="en-US" w:eastAsia="zh-CN"/>
              </w:rPr>
              <w:t>4环境风险评价结论</w:t>
            </w:r>
            <w:bookmarkEnd w:id="57"/>
          </w:p>
          <w:p>
            <w:pPr>
              <w:pStyle w:val="8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本项目存在一定环境风险，最大可信事故主要火灾风险事故</w:t>
            </w:r>
            <w:r>
              <w:rPr>
                <w:rFonts w:hint="eastAsia" w:cs="Times New Roman"/>
                <w:color w:val="auto"/>
                <w:highlight w:val="none"/>
                <w:lang w:val="en-US" w:eastAsia="zh-CN"/>
              </w:rPr>
              <w:t>和</w:t>
            </w:r>
            <w:r>
              <w:rPr>
                <w:color w:val="auto"/>
                <w:highlight w:val="none"/>
              </w:rPr>
              <w:t>泄漏</w:t>
            </w:r>
            <w:r>
              <w:rPr>
                <w:rFonts w:hint="eastAsia" w:cs="Times New Roman"/>
                <w:color w:val="auto"/>
                <w:highlight w:val="none"/>
                <w:lang w:val="en-US" w:eastAsia="zh-CN"/>
              </w:rPr>
              <w:t>事故</w:t>
            </w:r>
            <w:r>
              <w:rPr>
                <w:rFonts w:hint="default" w:ascii="Times New Roman" w:hAnsi="Times New Roman" w:cs="Times New Roman"/>
                <w:color w:val="auto"/>
                <w:highlight w:val="none"/>
              </w:rPr>
              <w:t>，项目严格落实上述措施，并加强防范意识，则项目运营期间发生风险事故</w:t>
            </w:r>
            <w:r>
              <w:rPr>
                <w:rFonts w:hint="eastAsia" w:cs="Times New Roman"/>
                <w:color w:val="auto"/>
                <w:highlight w:val="none"/>
                <w:lang w:val="en-US" w:eastAsia="zh-CN"/>
              </w:rPr>
              <w:t>和泄漏事故</w:t>
            </w:r>
            <w:r>
              <w:rPr>
                <w:rFonts w:hint="default" w:ascii="Times New Roman" w:hAnsi="Times New Roman" w:cs="Times New Roman"/>
                <w:color w:val="auto"/>
                <w:highlight w:val="none"/>
              </w:rPr>
              <w:t>的概率较小，本项目的环境风险可接受。</w:t>
            </w:r>
          </w:p>
          <w:p>
            <w:pPr>
              <w:pStyle w:val="4"/>
              <w:bidi w:val="0"/>
              <w:rPr>
                <w:rFonts w:hint="default" w:ascii="Times New Roman" w:hAnsi="Times New Roman" w:cs="Times New Roman"/>
                <w:color w:val="auto"/>
                <w:lang w:val="en-US" w:eastAsia="zh-CN"/>
              </w:rPr>
            </w:pPr>
            <w:bookmarkStart w:id="58" w:name="_Toc21081"/>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.11</w:t>
            </w:r>
            <w:r>
              <w:rPr>
                <w:rFonts w:hint="default" w:ascii="Times New Roman" w:hAnsi="Times New Roman" w:cs="Times New Roman"/>
                <w:color w:val="auto"/>
                <w:lang w:val="en-US" w:eastAsia="zh-CN"/>
              </w:rPr>
              <w:t>环境管理</w:t>
            </w:r>
            <w:bookmarkEnd w:id="58"/>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59" w:name="_Toc18557"/>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11</w:t>
            </w:r>
            <w:r>
              <w:rPr>
                <w:rFonts w:hint="default" w:ascii="Times New Roman" w:hAnsi="Times New Roman" w:eastAsia="宋体" w:cs="Times New Roman"/>
                <w:b/>
                <w:bCs/>
                <w:color w:val="auto"/>
                <w:highlight w:val="none"/>
                <w:lang w:val="en-US" w:eastAsia="zh-CN"/>
              </w:rPr>
              <w:t>.1排污许可制度</w:t>
            </w:r>
            <w:bookmarkEnd w:id="59"/>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依据国务院办公厅关于印发《控制污染物排放许可制实施方案的通知》（国办发〔2016〕81号）、《排污许可管理办法（试行）》（生态环境部令第7号修改）、《关于做好环境影响评价制度与排污许可制衔接相关工作的通知》（环办环评〔2017〕84号）中相关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应当取得排污许可证而未取得的，不得排放污染物。</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经查《固定污染源排污许可分类管理名录（2019年版）》（生态环境部令第11号），本项目属于“</w:t>
            </w:r>
            <w:r>
              <w:rPr>
                <w:rFonts w:hint="default" w:ascii="Times New Roman" w:hAnsi="Times New Roman" w:cs="Times New Roman"/>
                <w:color w:val="auto"/>
                <w:highlight w:val="none"/>
                <w:lang w:val="en-US" w:eastAsia="zh-CN"/>
              </w:rPr>
              <w:t>三十七</w:t>
            </w:r>
            <w:r>
              <w:rPr>
                <w:rFonts w:hint="default" w:ascii="Times New Roman" w:hAnsi="Times New Roman" w:cs="Times New Roman"/>
                <w:color w:val="auto"/>
                <w:highlight w:val="none"/>
                <w:lang w:val="zh-CN"/>
              </w:rPr>
              <w:t>、废弃资源综合利用业42——金属废料和碎屑加工处理421，</w:t>
            </w:r>
            <w:r>
              <w:rPr>
                <w:rFonts w:hint="default" w:ascii="Times New Roman" w:hAnsi="Times New Roman" w:cs="Times New Roman"/>
                <w:b w:val="0"/>
                <w:bCs w:val="0"/>
                <w:color w:val="auto"/>
                <w:highlight w:val="none"/>
                <w:u w:val="none"/>
                <w:lang w:val="zh-CN"/>
              </w:rPr>
              <w:t>非金属废料和碎屑加工处理422</w:t>
            </w:r>
            <w:r>
              <w:rPr>
                <w:rFonts w:hint="default" w:ascii="Times New Roman" w:hAnsi="Times New Roman" w:cs="Times New Roman"/>
                <w:color w:val="auto"/>
                <w:highlight w:val="none"/>
                <w:lang w:val="zh-CN"/>
              </w:rPr>
              <w:t>——废弃电器电子产品、废机动车、废电机、废电线电缆、</w:t>
            </w:r>
            <w:r>
              <w:rPr>
                <w:rFonts w:hint="default" w:ascii="Times New Roman" w:hAnsi="Times New Roman" w:cs="Times New Roman"/>
                <w:b/>
                <w:bCs/>
                <w:color w:val="auto"/>
                <w:highlight w:val="none"/>
                <w:u w:val="single"/>
                <w:lang w:val="zh-CN"/>
              </w:rPr>
              <w:t>废塑料</w:t>
            </w:r>
            <w:r>
              <w:rPr>
                <w:rFonts w:hint="default" w:ascii="Times New Roman" w:hAnsi="Times New Roman" w:cs="Times New Roman"/>
                <w:color w:val="auto"/>
                <w:highlight w:val="none"/>
                <w:lang w:val="zh-CN"/>
              </w:rPr>
              <w:t>、废船、含水洗工艺的其他废料和碎屑加工处理”，应实施排污许可</w:t>
            </w:r>
            <w:r>
              <w:rPr>
                <w:rFonts w:hint="default" w:ascii="Times New Roman" w:hAnsi="Times New Roman" w:eastAsia="宋体" w:cs="Times New Roman"/>
                <w:b/>
                <w:bCs/>
                <w:color w:val="auto"/>
                <w:highlight w:val="none"/>
                <w:u w:val="single"/>
                <w:lang w:val="en-US" w:eastAsia="zh-CN"/>
              </w:rPr>
              <w:t>简化</w:t>
            </w:r>
            <w:r>
              <w:rPr>
                <w:rFonts w:hint="default" w:ascii="Times New Roman" w:hAnsi="Times New Roman" w:eastAsia="宋体" w:cs="Times New Roman"/>
                <w:b/>
                <w:bCs/>
                <w:color w:val="auto"/>
                <w:highlight w:val="none"/>
                <w:u w:val="single"/>
                <w:lang w:val="zh-CN"/>
              </w:rPr>
              <w:t>管理</w:t>
            </w:r>
            <w:r>
              <w:rPr>
                <w:rFonts w:hint="default" w:ascii="Times New Roman" w:hAnsi="Times New Roman" w:cs="Times New Roman"/>
                <w:color w:val="auto"/>
                <w:highlight w:val="none"/>
              </w:rPr>
              <w:t>，环评要求建设单位应当在启动生产设施或发生实际排污之前</w:t>
            </w:r>
            <w:r>
              <w:rPr>
                <w:rFonts w:hint="default" w:ascii="Times New Roman" w:hAnsi="Times New Roman" w:cs="Times New Roman"/>
                <w:color w:val="auto"/>
                <w:highlight w:val="none"/>
                <w:lang w:val="en-US" w:eastAsia="zh-CN"/>
              </w:rPr>
              <w:t>进行排污许可证</w:t>
            </w:r>
            <w:r>
              <w:rPr>
                <w:rFonts w:hint="default" w:ascii="Times New Roman" w:hAnsi="Times New Roman" w:cs="Times New Roman"/>
                <w:color w:val="auto"/>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highlight w:val="none"/>
                <w:lang w:val="en-US" w:eastAsia="zh-CN"/>
              </w:rPr>
            </w:pPr>
            <w:bookmarkStart w:id="60" w:name="_Toc4536"/>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11</w:t>
            </w:r>
            <w:r>
              <w:rPr>
                <w:rFonts w:hint="default" w:ascii="Times New Roman" w:hAnsi="Times New Roman" w:eastAsia="宋体" w:cs="Times New Roman"/>
                <w:b/>
                <w:bCs/>
                <w:color w:val="auto"/>
                <w:highlight w:val="none"/>
                <w:lang w:val="en-US" w:eastAsia="zh-CN"/>
              </w:rPr>
              <w:t>.2排污口规范化</w:t>
            </w:r>
            <w:bookmarkEnd w:id="60"/>
          </w:p>
          <w:p>
            <w:pPr>
              <w:ind w:firstLine="48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highlight w:val="none"/>
              </w:rPr>
              <w:t>企业污染物排放口（源）及固体废物贮存、堆放场必须按照国家标准《</w:t>
            </w:r>
            <w:r>
              <w:rPr>
                <w:rFonts w:hint="eastAsia" w:cs="Times New Roman"/>
                <w:color w:val="auto"/>
                <w:highlight w:val="none"/>
                <w:lang w:eastAsia="zh-CN"/>
              </w:rPr>
              <w:t>环境保护图形标志-排放口（源）</w:t>
            </w:r>
            <w:r>
              <w:rPr>
                <w:rFonts w:hint="default" w:ascii="Times New Roman" w:hAnsi="Times New Roman" w:cs="Times New Roman"/>
                <w:color w:val="auto"/>
                <w:highlight w:val="none"/>
              </w:rPr>
              <w:t>》（GB15562.1-1995）及《环境保护图形标志固体废物贮存（处置）场》（GB15562.2-1995）的规定，设置环境保护图形标志牌，详见下表。</w:t>
            </w:r>
          </w:p>
          <w:p>
            <w:pPr>
              <w:pStyle w:val="83"/>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表4.1</w:t>
            </w:r>
            <w:r>
              <w:rPr>
                <w:rFonts w:hint="eastAsia" w:ascii="Times New Roman" w:hAnsi="Times New Roman" w:eastAsia="宋体" w:cs="Times New Roman"/>
                <w:b/>
                <w:color w:val="auto"/>
                <w:kern w:val="2"/>
                <w:sz w:val="21"/>
                <w:szCs w:val="21"/>
                <w:lang w:val="en-US" w:eastAsia="zh-CN" w:bidi="ar-SA"/>
              </w:rPr>
              <w:t xml:space="preserve">5  </w:t>
            </w:r>
            <w:r>
              <w:rPr>
                <w:rFonts w:hint="default" w:ascii="Times New Roman" w:hAnsi="Times New Roman" w:eastAsia="宋体" w:cs="Times New Roman"/>
                <w:b/>
                <w:color w:val="auto"/>
                <w:kern w:val="2"/>
                <w:sz w:val="21"/>
                <w:szCs w:val="21"/>
                <w:lang w:val="en-US" w:eastAsia="zh-CN" w:bidi="ar-SA"/>
              </w:rPr>
              <w:t>排污口规范化要求一览表</w:t>
            </w:r>
          </w:p>
          <w:tbl>
            <w:tblPr>
              <w:tblStyle w:val="26"/>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420"/>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013" w:type="dxa"/>
                  <w:vMerge w:val="restart"/>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排污口类型</w:t>
                  </w:r>
                </w:p>
              </w:tc>
              <w:tc>
                <w:tcPr>
                  <w:tcW w:w="7046" w:type="dxa"/>
                  <w:gridSpan w:val="2"/>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013" w:type="dxa"/>
                  <w:vMerge w:val="continue"/>
                  <w:noWrap w:val="0"/>
                  <w:vAlign w:val="center"/>
                </w:tcPr>
                <w:p>
                  <w:pPr>
                    <w:pStyle w:val="82"/>
                    <w:spacing w:line="240" w:lineRule="auto"/>
                    <w:rPr>
                      <w:rFonts w:hint="default" w:ascii="Times New Roman" w:hAnsi="Times New Roman" w:cs="Times New Roman"/>
                      <w:b/>
                      <w:bCs/>
                      <w:color w:val="auto"/>
                      <w:sz w:val="21"/>
                      <w:szCs w:val="21"/>
                      <w:highlight w:val="none"/>
                    </w:rPr>
                  </w:pPr>
                </w:p>
              </w:tc>
              <w:tc>
                <w:tcPr>
                  <w:tcW w:w="2420"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设置要求</w:t>
                  </w:r>
                </w:p>
              </w:tc>
              <w:tc>
                <w:tcPr>
                  <w:tcW w:w="4626" w:type="dxa"/>
                  <w:noWrap w:val="0"/>
                  <w:vAlign w:val="center"/>
                </w:tcPr>
                <w:p>
                  <w:pPr>
                    <w:pStyle w:val="82"/>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图形标志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013" w:type="dxa"/>
                  <w:noWrap w:val="0"/>
                  <w:vAlign w:val="center"/>
                </w:tcPr>
                <w:p>
                  <w:pPr>
                    <w:pStyle w:val="82"/>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有组织废气</w:t>
                  </w:r>
                </w:p>
              </w:tc>
              <w:tc>
                <w:tcPr>
                  <w:tcW w:w="2420"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应按照《</w:t>
                  </w:r>
                  <w:r>
                    <w:rPr>
                      <w:rFonts w:hint="eastAsia" w:cs="Times New Roman"/>
                      <w:color w:val="auto"/>
                      <w:sz w:val="21"/>
                      <w:szCs w:val="21"/>
                      <w:highlight w:val="none"/>
                      <w:lang w:eastAsia="zh-CN"/>
                    </w:rPr>
                    <w:t>环境保护图形标志-排放口（源）</w:t>
                  </w:r>
                  <w:r>
                    <w:rPr>
                      <w:rFonts w:hint="default" w:ascii="Times New Roman" w:hAnsi="Times New Roman" w:cs="Times New Roman"/>
                      <w:color w:val="auto"/>
                      <w:sz w:val="21"/>
                      <w:szCs w:val="21"/>
                      <w:highlight w:val="none"/>
                    </w:rPr>
                    <w:t>》（GB15562.1-1995）及《环境保护图形标志固体废物贮存（处置）场》（GB15562.2-1995）及修改单的规定，设置</w:t>
                  </w:r>
                  <w:r>
                    <w:rPr>
                      <w:rFonts w:hint="eastAsia" w:cs="Times New Roman"/>
                      <w:color w:val="auto"/>
                      <w:sz w:val="21"/>
                      <w:szCs w:val="21"/>
                      <w:highlight w:val="none"/>
                      <w:lang w:val="en-US" w:eastAsia="zh-CN"/>
                    </w:rPr>
                    <w:t>有组织废气</w:t>
                  </w:r>
                  <w:r>
                    <w:rPr>
                      <w:rFonts w:hint="default" w:ascii="Times New Roman" w:hAnsi="Times New Roman" w:cs="Times New Roman"/>
                      <w:color w:val="auto"/>
                      <w:sz w:val="21"/>
                      <w:szCs w:val="21"/>
                      <w:highlight w:val="none"/>
                    </w:rPr>
                    <w:t>监测点，并在该处附近醒目处设置环境保护图形标志牌。</w:t>
                  </w:r>
                </w:p>
              </w:tc>
              <w:tc>
                <w:tcPr>
                  <w:tcW w:w="4626" w:type="dxa"/>
                  <w:noWrap w:val="0"/>
                  <w:vAlign w:val="center"/>
                </w:tcPr>
                <w:p>
                  <w:pPr>
                    <w:pStyle w:val="82"/>
                    <w:spacing w:line="240" w:lineRule="auto"/>
                    <w:jc w:val="left"/>
                    <w:rPr>
                      <w:rFonts w:hint="default"/>
                    </w:rPr>
                  </w:pPr>
                  <w:r>
                    <w:rPr>
                      <w:rFonts w:hint="default" w:ascii="Times New Roman" w:hAnsi="Times New Roman" w:cs="Times New Roman"/>
                      <w:color w:val="auto"/>
                      <w:sz w:val="21"/>
                      <w:szCs w:val="21"/>
                      <w:highlight w:val="none"/>
                    </w:rPr>
                    <w:t>①提示图形</w:t>
                  </w:r>
                </w:p>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drawing>
                      <wp:inline distT="0" distB="0" distL="114300" distR="114300">
                        <wp:extent cx="1668780" cy="1049655"/>
                        <wp:effectExtent l="0" t="0" r="7620" b="1905"/>
                        <wp:docPr id="7" name="图片 252" descr="11cf7c5668917b3d9218577cef04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2" descr="11cf7c5668917b3d9218577cef04c52"/>
                                <pic:cNvPicPr>
                                  <a:picLocks noChangeAspect="1"/>
                                </pic:cNvPicPr>
                              </pic:nvPicPr>
                              <pic:blipFill>
                                <a:blip r:embed="rId21"/>
                                <a:stretch>
                                  <a:fillRect/>
                                </a:stretch>
                              </pic:blipFill>
                              <pic:spPr>
                                <a:xfrm>
                                  <a:off x="0" y="0"/>
                                  <a:ext cx="1668780" cy="1049655"/>
                                </a:xfrm>
                                <a:prstGeom prst="rect">
                                  <a:avLst/>
                                </a:prstGeom>
                                <a:noFill/>
                                <a:ln>
                                  <a:noFill/>
                                </a:ln>
                              </pic:spPr>
                            </pic:pic>
                          </a:graphicData>
                        </a:graphic>
                      </wp:inline>
                    </w:drawing>
                  </w:r>
                </w:p>
                <w:p>
                  <w:pPr>
                    <w:pStyle w:val="82"/>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②警示图形</w:t>
                  </w:r>
                </w:p>
                <w:p>
                  <w:pPr>
                    <w:pStyle w:val="82"/>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drawing>
                      <wp:inline distT="0" distB="0" distL="114300" distR="114300">
                        <wp:extent cx="1074420" cy="956310"/>
                        <wp:effectExtent l="0" t="0" r="7620" b="3810"/>
                        <wp:docPr id="8" name="图片 124" descr="a84f0c35941c9b2f922c8fc1e0f2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4" descr="a84f0c35941c9b2f922c8fc1e0f2f6c"/>
                                <pic:cNvPicPr>
                                  <a:picLocks noChangeAspect="1"/>
                                </pic:cNvPicPr>
                              </pic:nvPicPr>
                              <pic:blipFill>
                                <a:blip r:embed="rId22"/>
                                <a:stretch>
                                  <a:fillRect/>
                                </a:stretch>
                              </pic:blipFill>
                              <pic:spPr>
                                <a:xfrm>
                                  <a:off x="0" y="0"/>
                                  <a:ext cx="1074420" cy="956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013"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2420"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eastAsia"/>
                      <w:color w:val="auto"/>
                      <w:highlight w:val="none"/>
                    </w:rPr>
                    <w:t>应按照《</w:t>
                  </w:r>
                  <w:r>
                    <w:rPr>
                      <w:rFonts w:hint="eastAsia"/>
                      <w:color w:val="auto"/>
                      <w:highlight w:val="none"/>
                      <w:lang w:eastAsia="zh-CN"/>
                    </w:rPr>
                    <w:t>环境保护图形标志-排放口（源）</w:t>
                  </w:r>
                  <w:r>
                    <w:rPr>
                      <w:rFonts w:hint="eastAsia"/>
                      <w:color w:val="auto"/>
                      <w:highlight w:val="none"/>
                    </w:rPr>
                    <w:t>》（</w:t>
                  </w:r>
                  <w:r>
                    <w:rPr>
                      <w:color w:val="auto"/>
                      <w:highlight w:val="none"/>
                    </w:rPr>
                    <w:t>GB15562.1-1995</w:t>
                  </w:r>
                  <w:r>
                    <w:rPr>
                      <w:rFonts w:hint="eastAsia"/>
                      <w:color w:val="auto"/>
                      <w:highlight w:val="none"/>
                    </w:rPr>
                    <w:t>）及《环境保护图形标志固体废物贮存（处置）场》（</w:t>
                  </w:r>
                  <w:r>
                    <w:rPr>
                      <w:color w:val="auto"/>
                      <w:highlight w:val="none"/>
                    </w:rPr>
                    <w:t>GB15562.2-1995</w:t>
                  </w:r>
                  <w:r>
                    <w:rPr>
                      <w:rFonts w:hint="eastAsia"/>
                      <w:color w:val="auto"/>
                      <w:highlight w:val="none"/>
                    </w:rPr>
                    <w:t>）及修改单的规定，设置环境噪声监测点，并在该处附近醒目处设置环境保护图形标志牌</w:t>
                  </w:r>
                </w:p>
              </w:tc>
              <w:tc>
                <w:tcPr>
                  <w:tcW w:w="4626" w:type="dxa"/>
                  <w:noWrap w:val="0"/>
                  <w:vAlign w:val="center"/>
                </w:tcPr>
                <w:p>
                  <w:pPr>
                    <w:pStyle w:val="82"/>
                    <w:spacing w:line="240" w:lineRule="auto"/>
                    <w:jc w:val="left"/>
                    <w:rPr>
                      <w:rFonts w:hint="default"/>
                    </w:rPr>
                  </w:pPr>
                  <w:r>
                    <w:rPr>
                      <w:rFonts w:hint="default" w:ascii="Times New Roman" w:hAnsi="Times New Roman" w:cs="Times New Roman"/>
                      <w:color w:val="auto"/>
                      <w:sz w:val="21"/>
                      <w:szCs w:val="21"/>
                      <w:highlight w:val="none"/>
                    </w:rPr>
                    <w:t>①提示图形</w:t>
                  </w:r>
                </w:p>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743710" cy="1098550"/>
                        <wp:effectExtent l="0" t="0" r="8890" b="13970"/>
                        <wp:docPr id="9" name="图片 88" descr="噪声--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噪声--提示标志"/>
                                <pic:cNvPicPr>
                                  <a:picLocks noChangeAspect="1"/>
                                </pic:cNvPicPr>
                              </pic:nvPicPr>
                              <pic:blipFill>
                                <a:blip r:embed="rId23"/>
                                <a:stretch>
                                  <a:fillRect/>
                                </a:stretch>
                              </pic:blipFill>
                              <pic:spPr>
                                <a:xfrm>
                                  <a:off x="0" y="0"/>
                                  <a:ext cx="1743710" cy="1098550"/>
                                </a:xfrm>
                                <a:prstGeom prst="rect">
                                  <a:avLst/>
                                </a:prstGeom>
                                <a:noFill/>
                                <a:ln>
                                  <a:noFill/>
                                </a:ln>
                              </pic:spPr>
                            </pic:pic>
                          </a:graphicData>
                        </a:graphic>
                      </wp:inline>
                    </w:drawing>
                  </w:r>
                </w:p>
                <w:p>
                  <w:pPr>
                    <w:pStyle w:val="82"/>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②警示图形</w:t>
                  </w:r>
                </w:p>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056640" cy="956945"/>
                        <wp:effectExtent l="0" t="0" r="10160" b="3175"/>
                        <wp:docPr id="10" name="图片 89" descr="噪声--警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噪声--警示标志"/>
                                <pic:cNvPicPr>
                                  <a:picLocks noChangeAspect="1"/>
                                </pic:cNvPicPr>
                              </pic:nvPicPr>
                              <pic:blipFill>
                                <a:blip r:embed="rId24"/>
                                <a:srcRect l="14861" t="3055" r="6264" b="4382"/>
                                <a:stretch>
                                  <a:fillRect/>
                                </a:stretch>
                              </pic:blipFill>
                              <pic:spPr>
                                <a:xfrm>
                                  <a:off x="0" y="0"/>
                                  <a:ext cx="1056640" cy="956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013"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p>
              </w:tc>
              <w:tc>
                <w:tcPr>
                  <w:tcW w:w="2420" w:type="dxa"/>
                  <w:noWrap w:val="0"/>
                  <w:vAlign w:val="center"/>
                </w:tcPr>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一般固体废物按照《一般工业固体废物贮存和填埋污染控制标准》（GB18599-2020）储存。</w:t>
                  </w:r>
                </w:p>
              </w:tc>
              <w:tc>
                <w:tcPr>
                  <w:tcW w:w="4626" w:type="dxa"/>
                  <w:noWrap w:val="0"/>
                  <w:vAlign w:val="center"/>
                </w:tcPr>
                <w:p>
                  <w:pPr>
                    <w:pStyle w:val="82"/>
                    <w:spacing w:line="240" w:lineRule="auto"/>
                    <w:jc w:val="left"/>
                    <w:rPr>
                      <w:rFonts w:hint="default"/>
                    </w:rPr>
                  </w:pPr>
                  <w:r>
                    <w:rPr>
                      <w:rFonts w:hint="default" w:ascii="Times New Roman" w:hAnsi="Times New Roman" w:cs="Times New Roman"/>
                      <w:color w:val="auto"/>
                      <w:sz w:val="21"/>
                      <w:szCs w:val="21"/>
                      <w:highlight w:val="none"/>
                    </w:rPr>
                    <w:t>①提示图形</w:t>
                  </w:r>
                </w:p>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790065" cy="1128395"/>
                        <wp:effectExtent l="0" t="0" r="8255" b="14605"/>
                        <wp:docPr id="11" name="图片 90" descr="一般工业固体废物--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0" descr="一般工业固体废物--提示标志"/>
                                <pic:cNvPicPr>
                                  <a:picLocks noChangeAspect="1"/>
                                </pic:cNvPicPr>
                              </pic:nvPicPr>
                              <pic:blipFill>
                                <a:blip r:embed="rId25"/>
                                <a:stretch>
                                  <a:fillRect/>
                                </a:stretch>
                              </pic:blipFill>
                              <pic:spPr>
                                <a:xfrm>
                                  <a:off x="0" y="0"/>
                                  <a:ext cx="1790065" cy="1128395"/>
                                </a:xfrm>
                                <a:prstGeom prst="rect">
                                  <a:avLst/>
                                </a:prstGeom>
                                <a:noFill/>
                                <a:ln>
                                  <a:noFill/>
                                </a:ln>
                              </pic:spPr>
                            </pic:pic>
                          </a:graphicData>
                        </a:graphic>
                      </wp:inline>
                    </w:drawing>
                  </w:r>
                </w:p>
                <w:p>
                  <w:pPr>
                    <w:pStyle w:val="82"/>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②警示图形</w:t>
                  </w:r>
                </w:p>
                <w:p>
                  <w:pPr>
                    <w:pStyle w:val="8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053465" cy="915035"/>
                        <wp:effectExtent l="0" t="0" r="13335" b="14605"/>
                        <wp:docPr id="12" name="图片 91" descr="一般工业固体废物--警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1" descr="一般工业固体废物--警示标志"/>
                                <pic:cNvPicPr>
                                  <a:picLocks noChangeAspect="1"/>
                                </pic:cNvPicPr>
                              </pic:nvPicPr>
                              <pic:blipFill>
                                <a:blip r:embed="rId26"/>
                                <a:srcRect l="6429" t="6516" r="2596" b="4558"/>
                                <a:stretch>
                                  <a:fillRect/>
                                </a:stretch>
                              </pic:blipFill>
                              <pic:spPr>
                                <a:xfrm>
                                  <a:off x="0" y="0"/>
                                  <a:ext cx="1053465" cy="915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1013" w:type="dxa"/>
                  <w:noWrap w:val="0"/>
                  <w:vAlign w:val="center"/>
                </w:tcPr>
                <w:p>
                  <w:pPr>
                    <w:pStyle w:val="82"/>
                    <w:spacing w:line="240" w:lineRule="auto"/>
                    <w:rPr>
                      <w:rFonts w:hint="default" w:ascii="Times New Roman" w:hAnsi="Times New Roman" w:eastAsia="宋体" w:cs="Times New Roman"/>
                      <w:color w:val="FF0000"/>
                      <w:sz w:val="21"/>
                      <w:szCs w:val="21"/>
                      <w:highlight w:val="none"/>
                      <w:lang w:val="en-US" w:eastAsia="zh-CN"/>
                    </w:rPr>
                  </w:pPr>
                  <w:bookmarkStart w:id="61" w:name="_Toc7764"/>
                  <w:r>
                    <w:rPr>
                      <w:rFonts w:hint="eastAsia" w:cs="Times New Roman"/>
                      <w:color w:val="FF0000"/>
                      <w:sz w:val="21"/>
                      <w:szCs w:val="21"/>
                      <w:highlight w:val="none"/>
                      <w:lang w:val="en-US" w:eastAsia="zh-CN"/>
                    </w:rPr>
                    <w:t>危险废物</w:t>
                  </w:r>
                </w:p>
              </w:tc>
              <w:tc>
                <w:tcPr>
                  <w:tcW w:w="2420" w:type="dxa"/>
                  <w:noWrap w:val="0"/>
                  <w:vAlign w:val="center"/>
                </w:tcPr>
                <w:p>
                  <w:pPr>
                    <w:pStyle w:val="82"/>
                    <w:ind w:firstLine="0" w:firstLineChars="0"/>
                    <w:rPr>
                      <w:rFonts w:hint="default" w:ascii="Times New Roman" w:hAnsi="Times New Roman" w:cs="Times New Roman"/>
                      <w:color w:val="FF0000"/>
                      <w:sz w:val="21"/>
                      <w:szCs w:val="21"/>
                      <w:highlight w:val="none"/>
                    </w:rPr>
                  </w:pPr>
                  <w:r>
                    <w:rPr>
                      <w:color w:val="FF0000"/>
                      <w:highlight w:val="none"/>
                    </w:rPr>
                    <w:t>危险废物应存放在危险废物暂存间内，按照《危险废物贮存污染控制标准》（GB18597-2023）危险废物暂存间要做防渗处理。</w:t>
                  </w:r>
                </w:p>
              </w:tc>
              <w:tc>
                <w:tcPr>
                  <w:tcW w:w="4626" w:type="dxa"/>
                  <w:noWrap w:val="0"/>
                  <w:vAlign w:val="top"/>
                </w:tcPr>
                <w:p>
                  <w:pPr>
                    <w:pStyle w:val="82"/>
                    <w:spacing w:line="240" w:lineRule="auto"/>
                    <w:jc w:val="left"/>
                    <w:rPr>
                      <w:color w:val="FF0000"/>
                      <w:highlight w:val="none"/>
                    </w:rPr>
                  </w:pPr>
                  <w:r>
                    <w:rPr>
                      <w:rFonts w:hint="default" w:ascii="Times New Roman" w:hAnsi="Times New Roman" w:eastAsia="宋体" w:cs="Times New Roman"/>
                      <w:color w:val="FF0000"/>
                      <w:sz w:val="21"/>
                      <w:szCs w:val="21"/>
                      <w:highlight w:val="none"/>
                    </w:rPr>
                    <w:t>①贮存</w:t>
                  </w:r>
                  <w:r>
                    <w:rPr>
                      <w:rFonts w:hint="eastAsia" w:ascii="Times New Roman" w:hAnsi="Times New Roman" w:eastAsia="宋体" w:cs="Times New Roman"/>
                      <w:color w:val="FF0000"/>
                      <w:sz w:val="21"/>
                      <w:szCs w:val="21"/>
                      <w:highlight w:val="none"/>
                    </w:rPr>
                    <w:t>设施标志（设置在危废间室外墙面）</w:t>
                  </w:r>
                  <w:r>
                    <w:rPr>
                      <w:color w:val="FF0000"/>
                      <w:highlight w:val="none"/>
                    </w:rPr>
                    <w:drawing>
                      <wp:inline distT="0" distB="0" distL="114300" distR="114300">
                        <wp:extent cx="1308100" cy="833755"/>
                        <wp:effectExtent l="0" t="0" r="2540" b="4445"/>
                        <wp:docPr id="13" name="图片 2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2" descr="2"/>
                                <pic:cNvPicPr>
                                  <a:picLocks noChangeAspect="1"/>
                                </pic:cNvPicPr>
                              </pic:nvPicPr>
                              <pic:blipFill>
                                <a:blip r:embed="rId27"/>
                                <a:stretch>
                                  <a:fillRect/>
                                </a:stretch>
                              </pic:blipFill>
                              <pic:spPr>
                                <a:xfrm>
                                  <a:off x="0" y="0"/>
                                  <a:ext cx="1308100" cy="833755"/>
                                </a:xfrm>
                                <a:prstGeom prst="rect">
                                  <a:avLst/>
                                </a:prstGeom>
                                <a:noFill/>
                                <a:ln>
                                  <a:noFill/>
                                </a:ln>
                              </pic:spPr>
                            </pic:pic>
                          </a:graphicData>
                        </a:graphic>
                      </wp:inline>
                    </w:drawing>
                  </w:r>
                  <w:r>
                    <w:rPr>
                      <w:color w:val="FF0000"/>
                      <w:highlight w:val="none"/>
                    </w:rPr>
                    <w:t xml:space="preserve"> </w:t>
                  </w:r>
                  <w:r>
                    <w:rPr>
                      <w:color w:val="FF0000"/>
                      <w:highlight w:val="none"/>
                    </w:rPr>
                    <w:drawing>
                      <wp:inline distT="0" distB="0" distL="114300" distR="114300">
                        <wp:extent cx="1273175" cy="800100"/>
                        <wp:effectExtent l="0" t="0" r="6985" b="7620"/>
                        <wp:docPr id="14" name="图片 2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3" descr="5"/>
                                <pic:cNvPicPr>
                                  <a:picLocks noChangeAspect="1"/>
                                </pic:cNvPicPr>
                              </pic:nvPicPr>
                              <pic:blipFill>
                                <a:blip r:embed="rId28"/>
                                <a:stretch>
                                  <a:fillRect/>
                                </a:stretch>
                              </pic:blipFill>
                              <pic:spPr>
                                <a:xfrm>
                                  <a:off x="0" y="0"/>
                                  <a:ext cx="1273175" cy="800100"/>
                                </a:xfrm>
                                <a:prstGeom prst="rect">
                                  <a:avLst/>
                                </a:prstGeom>
                                <a:noFill/>
                                <a:ln>
                                  <a:noFill/>
                                </a:ln>
                              </pic:spPr>
                            </pic:pic>
                          </a:graphicData>
                        </a:graphic>
                      </wp:inline>
                    </w:drawing>
                  </w:r>
                </w:p>
                <w:p>
                  <w:pPr>
                    <w:ind w:firstLine="420"/>
                    <w:jc w:val="left"/>
                    <w:rPr>
                      <w:color w:val="FF0000"/>
                      <w:sz w:val="21"/>
                      <w:szCs w:val="21"/>
                      <w:highlight w:val="none"/>
                    </w:rPr>
                  </w:pPr>
                  <w:r>
                    <w:rPr>
                      <w:color w:val="FF0000"/>
                      <w:sz w:val="21"/>
                      <w:szCs w:val="21"/>
                      <w:highlight w:val="none"/>
                    </w:rPr>
                    <w:t>贮存</w:t>
                  </w:r>
                  <w:r>
                    <w:rPr>
                      <w:rFonts w:hint="eastAsia"/>
                      <w:color w:val="FF0000"/>
                      <w:sz w:val="21"/>
                      <w:szCs w:val="21"/>
                      <w:highlight w:val="none"/>
                    </w:rPr>
                    <w:t>设施</w:t>
                  </w:r>
                  <w:r>
                    <w:rPr>
                      <w:color w:val="FF0000"/>
                      <w:sz w:val="21"/>
                      <w:szCs w:val="21"/>
                      <w:highlight w:val="none"/>
                    </w:rPr>
                    <w:t xml:space="preserve">标志    </w:t>
                  </w:r>
                  <w:r>
                    <w:rPr>
                      <w:rFonts w:hint="eastAsia"/>
                      <w:color w:val="FF0000"/>
                      <w:sz w:val="21"/>
                      <w:szCs w:val="21"/>
                      <w:highlight w:val="none"/>
                    </w:rPr>
                    <w:t xml:space="preserve">  </w:t>
                  </w:r>
                  <w:r>
                    <w:rPr>
                      <w:color w:val="FF0000"/>
                      <w:sz w:val="21"/>
                      <w:szCs w:val="21"/>
                      <w:highlight w:val="none"/>
                    </w:rPr>
                    <w:t xml:space="preserve"> 张贴位置示意</w:t>
                  </w:r>
                </w:p>
                <w:p>
                  <w:pPr>
                    <w:pStyle w:val="82"/>
                    <w:jc w:val="left"/>
                    <w:rPr>
                      <w:color w:val="FF0000"/>
                      <w:highlight w:val="none"/>
                    </w:rPr>
                  </w:pPr>
                  <w:r>
                    <w:rPr>
                      <w:rFonts w:hint="default" w:ascii="Times New Roman" w:hAnsi="Times New Roman" w:eastAsia="宋体" w:cs="Times New Roman"/>
                      <w:color w:val="FF0000"/>
                      <w:sz w:val="21"/>
                      <w:szCs w:val="21"/>
                      <w:highlight w:val="none"/>
                    </w:rPr>
                    <w:t>②</w:t>
                  </w:r>
                  <w:r>
                    <w:rPr>
                      <w:rFonts w:hint="eastAsia"/>
                      <w:color w:val="FF0000"/>
                      <w:highlight w:val="none"/>
                    </w:rPr>
                    <w:t>危险废物标签（</w:t>
                  </w:r>
                  <w:r>
                    <w:rPr>
                      <w:rFonts w:hint="eastAsia" w:ascii="宋体" w:hAnsi="宋体"/>
                      <w:color w:val="FF0000"/>
                      <w:szCs w:val="24"/>
                      <w:highlight w:val="none"/>
                    </w:rPr>
                    <w:t>设置在危废容器或包装物上</w:t>
                  </w:r>
                  <w:r>
                    <w:rPr>
                      <w:rFonts w:hint="eastAsia"/>
                      <w:color w:val="FF0000"/>
                      <w:highlight w:val="none"/>
                    </w:rPr>
                    <w:t>）</w:t>
                  </w:r>
                </w:p>
                <w:p>
                  <w:pPr>
                    <w:pStyle w:val="82"/>
                    <w:rPr>
                      <w:color w:val="FF0000"/>
                      <w:highlight w:val="none"/>
                    </w:rPr>
                  </w:pPr>
                  <w:r>
                    <w:rPr>
                      <w:color w:val="FF0000"/>
                      <w:highlight w:val="none"/>
                    </w:rPr>
                    <w:drawing>
                      <wp:inline distT="0" distB="0" distL="114300" distR="114300">
                        <wp:extent cx="1170305" cy="1170305"/>
                        <wp:effectExtent l="0" t="0" r="3175" b="3175"/>
                        <wp:docPr id="15" name="图片 2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6" descr="1"/>
                                <pic:cNvPicPr>
                                  <a:picLocks noChangeAspect="1"/>
                                </pic:cNvPicPr>
                              </pic:nvPicPr>
                              <pic:blipFill>
                                <a:blip r:embed="rId29"/>
                                <a:stretch>
                                  <a:fillRect/>
                                </a:stretch>
                              </pic:blipFill>
                              <pic:spPr>
                                <a:xfrm>
                                  <a:off x="0" y="0"/>
                                  <a:ext cx="1170305" cy="1170305"/>
                                </a:xfrm>
                                <a:prstGeom prst="rect">
                                  <a:avLst/>
                                </a:prstGeom>
                                <a:noFill/>
                                <a:ln>
                                  <a:noFill/>
                                </a:ln>
                              </pic:spPr>
                            </pic:pic>
                          </a:graphicData>
                        </a:graphic>
                      </wp:inline>
                    </w:drawing>
                  </w:r>
                </w:p>
                <w:p>
                  <w:pPr>
                    <w:pStyle w:val="82"/>
                    <w:rPr>
                      <w:rFonts w:hint="default" w:ascii="Times New Roman" w:hAnsi="Times New Roman" w:cs="Times New Roman"/>
                      <w:color w:val="FF0000"/>
                      <w:sz w:val="21"/>
                      <w:szCs w:val="21"/>
                      <w:highlight w:val="none"/>
                    </w:rPr>
                  </w:pPr>
                  <w:r>
                    <w:rPr>
                      <w:color w:val="FF0000"/>
                      <w:highlight w:val="none"/>
                    </w:rPr>
                    <w:t>危险废物</w:t>
                  </w:r>
                  <w:r>
                    <w:rPr>
                      <w:rFonts w:hint="eastAsia"/>
                      <w:color w:val="FF0000"/>
                      <w:highlight w:val="none"/>
                    </w:rPr>
                    <w:t>标签</w:t>
                  </w:r>
                </w:p>
              </w:tc>
            </w:tr>
          </w:tbl>
          <w:p>
            <w:pPr>
              <w:pStyle w:val="4"/>
              <w:bidi w:val="0"/>
              <w:rPr>
                <w:rFonts w:hint="default" w:ascii="Times New Roman" w:hAnsi="Times New Roman" w:cs="Times New Roman"/>
                <w:color w:val="auto"/>
                <w:lang w:val="zh-CN"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.12</w:t>
            </w:r>
            <w:r>
              <w:rPr>
                <w:rFonts w:hint="default" w:ascii="Times New Roman" w:hAnsi="Times New Roman" w:cs="Times New Roman"/>
                <w:color w:val="auto"/>
                <w:lang w:val="zh-CN" w:eastAsia="zh-CN"/>
              </w:rPr>
              <w:t>环保投资</w:t>
            </w:r>
            <w:bookmarkEnd w:id="61"/>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本项目总投资</w:t>
            </w:r>
            <w:r>
              <w:rPr>
                <w:rFonts w:hint="default" w:ascii="Times New Roman" w:hAnsi="Times New Roman" w:cs="Times New Roman"/>
                <w:color w:val="auto"/>
                <w:highlight w:val="none"/>
                <w:lang w:val="en-US" w:eastAsia="zh-CN"/>
              </w:rPr>
              <w:t>105</w:t>
            </w:r>
            <w:r>
              <w:rPr>
                <w:rFonts w:hint="default" w:ascii="Times New Roman" w:hAnsi="Times New Roman" w:cs="Times New Roman"/>
                <w:color w:val="auto"/>
                <w:highlight w:val="none"/>
                <w:lang w:val="zh-CN"/>
              </w:rPr>
              <w:t>万元，环保投资</w:t>
            </w:r>
            <w:r>
              <w:rPr>
                <w:rFonts w:hint="default" w:ascii="Times New Roman" w:hAnsi="Times New Roman" w:cs="Times New Roman"/>
                <w:color w:val="auto"/>
                <w:highlight w:val="none"/>
                <w:lang w:val="en-US" w:eastAsia="zh-CN"/>
              </w:rPr>
              <w:t>17</w:t>
            </w:r>
            <w:r>
              <w:rPr>
                <w:rFonts w:hint="default" w:ascii="Times New Roman" w:hAnsi="Times New Roman" w:cs="Times New Roman"/>
                <w:color w:val="auto"/>
                <w:highlight w:val="none"/>
                <w:lang w:val="zh-CN"/>
              </w:rPr>
              <w:t>万元。环保投资占总投资的</w:t>
            </w:r>
            <w:r>
              <w:rPr>
                <w:rFonts w:hint="default" w:ascii="Times New Roman" w:hAnsi="Times New Roman" w:cs="Times New Roman"/>
                <w:color w:val="auto"/>
                <w:highlight w:val="none"/>
                <w:lang w:val="en-US" w:eastAsia="zh-CN"/>
              </w:rPr>
              <w:t>16</w:t>
            </w:r>
            <w:r>
              <w:rPr>
                <w:rFonts w:hint="eastAsia" w:cs="Times New Roman"/>
                <w:color w:val="auto"/>
                <w:highlight w:val="none"/>
                <w:lang w:val="en-US" w:eastAsia="zh-CN"/>
              </w:rPr>
              <w:t>.2</w:t>
            </w:r>
            <w:r>
              <w:rPr>
                <w:rFonts w:hint="default" w:ascii="Times New Roman" w:hAnsi="Times New Roman" w:cs="Times New Roman"/>
                <w:color w:val="auto"/>
                <w:highlight w:val="none"/>
                <w:lang w:val="zh-CN"/>
              </w:rPr>
              <w:t>%。项目环保设施（措施）及投资估算见</w:t>
            </w:r>
            <w:r>
              <w:rPr>
                <w:rFonts w:hint="default" w:ascii="Times New Roman" w:hAnsi="Times New Roman" w:cs="Times New Roman"/>
                <w:color w:val="auto"/>
                <w:highlight w:val="none"/>
              </w:rPr>
              <w:t>下</w:t>
            </w:r>
            <w:r>
              <w:rPr>
                <w:rFonts w:hint="default" w:ascii="Times New Roman" w:hAnsi="Times New Roman" w:cs="Times New Roman"/>
                <w:color w:val="auto"/>
                <w:highlight w:val="none"/>
                <w:lang w:val="zh-CN"/>
              </w:rPr>
              <w:t>表。</w:t>
            </w:r>
          </w:p>
          <w:p>
            <w:pPr>
              <w:pStyle w:val="83"/>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w:t>
            </w:r>
            <w:r>
              <w:rPr>
                <w:rFonts w:hint="eastAsia" w:ascii="Times New Roman" w:hAnsi="Times New Roman" w:eastAsia="宋体" w:cs="Times New Roman"/>
                <w:b/>
                <w:color w:val="auto"/>
                <w:kern w:val="2"/>
                <w:sz w:val="21"/>
                <w:szCs w:val="21"/>
                <w:lang w:val="en-US" w:eastAsia="zh-CN" w:bidi="ar-SA"/>
              </w:rPr>
              <w:t xml:space="preserve">.16  </w:t>
            </w:r>
            <w:r>
              <w:rPr>
                <w:rFonts w:hint="default" w:ascii="Times New Roman" w:hAnsi="Times New Roman" w:eastAsia="宋体" w:cs="Times New Roman"/>
                <w:b/>
                <w:color w:val="auto"/>
                <w:kern w:val="2"/>
                <w:sz w:val="21"/>
                <w:szCs w:val="21"/>
                <w:lang w:val="en-US" w:eastAsia="zh-CN" w:bidi="ar-SA"/>
              </w:rPr>
              <w:t>本项目环保措施及投资估算一览表</w:t>
            </w:r>
          </w:p>
          <w:tbl>
            <w:tblPr>
              <w:tblStyle w:val="26"/>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
              <w:gridCol w:w="406"/>
              <w:gridCol w:w="5388"/>
              <w:gridCol w:w="105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治理项目</w:t>
                  </w:r>
                </w:p>
              </w:tc>
              <w:tc>
                <w:tcPr>
                  <w:tcW w:w="5388"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1052"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w:t>
                  </w:r>
                  <w:r>
                    <w:rPr>
                      <w:rFonts w:hint="eastAsia" w:cs="Times New Roman"/>
                      <w:b/>
                      <w:bCs/>
                      <w:color w:val="auto"/>
                      <w:sz w:val="21"/>
                      <w:szCs w:val="21"/>
                      <w:highlight w:val="none"/>
                      <w:lang w:val="en-US" w:eastAsia="zh-CN"/>
                    </w:rPr>
                    <w:t>万</w:t>
                  </w:r>
                  <w:r>
                    <w:rPr>
                      <w:rFonts w:hint="default" w:ascii="Times New Roman" w:hAnsi="Times New Roman" w:cs="Times New Roman"/>
                      <w:b/>
                      <w:bCs/>
                      <w:color w:val="auto"/>
                      <w:sz w:val="21"/>
                      <w:szCs w:val="21"/>
                      <w:highlight w:val="none"/>
                    </w:rPr>
                    <w:t>元）</w:t>
                  </w:r>
                </w:p>
              </w:tc>
              <w:tc>
                <w:tcPr>
                  <w:tcW w:w="860" w:type="dxa"/>
                  <w:noWrap w:val="0"/>
                  <w:vAlign w:val="center"/>
                </w:tcPr>
                <w:p>
                  <w:pPr>
                    <w:pStyle w:val="82"/>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gridSpan w:val="2"/>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5388"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PET团粒生产线配套环保设备一套</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水雾除尘水</w:t>
                  </w:r>
                  <w:r>
                    <w:rPr>
                      <w:rFonts w:hint="default" w:ascii="Times New Roman" w:hAnsi="Times New Roman" w:eastAsia="宋体" w:cs="Times New Roman"/>
                      <w:color w:val="auto"/>
                      <w:sz w:val="21"/>
                      <w:szCs w:val="21"/>
                      <w:highlight w:val="none"/>
                      <w:lang w:val="en-US" w:eastAsia="zh-CN"/>
                    </w:rPr>
                    <w:t>循环</w:t>
                  </w:r>
                  <w:r>
                    <w:rPr>
                      <w:rFonts w:hint="default" w:ascii="Times New Roman" w:hAnsi="Times New Roman" w:eastAsia="宋体" w:cs="Times New Roman"/>
                      <w:color w:val="auto"/>
                      <w:sz w:val="21"/>
                      <w:szCs w:val="21"/>
                      <w:highlight w:val="none"/>
                    </w:rPr>
                    <w:t>回用；</w:t>
                  </w:r>
                  <w:r>
                    <w:rPr>
                      <w:rFonts w:hint="eastAsia" w:ascii="Times New Roman" w:hAnsi="Times New Roman" w:eastAsia="宋体" w:cs="Times New Roman"/>
                      <w:color w:val="auto"/>
                      <w:sz w:val="21"/>
                      <w:szCs w:val="21"/>
                      <w:highlight w:val="none"/>
                      <w:lang w:val="en-US" w:eastAsia="zh-CN"/>
                    </w:rPr>
                    <w:t>生产用水部分自然蒸发，部分保留在产品中；</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依托园区已建化粪池收集处理后，经市政管道排入恒口示范区污水处理厂进一步处理。</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低噪声设备、基础减振、厂房隔声、加强管理（例如定期养护、规范操作）等。</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33" w:type="dxa"/>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06" w:type="dxa"/>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生活垃圾集中收集后由环卫部门统一处置。</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val="en-US" w:eastAsia="zh-CN"/>
                    </w:rPr>
                    <w:t>分拣废物集中收集后暂存于一般固废暂存区，定期外售。③除尘器收集废物定期清理回用于生产。</w:t>
                  </w:r>
                  <w:r>
                    <w:rPr>
                      <w:rFonts w:hint="eastAsia" w:ascii="Times New Roman" w:hAnsi="Times New Roman" w:eastAsia="宋体" w:cs="Times New Roman"/>
                      <w:color w:val="auto"/>
                      <w:sz w:val="21"/>
                      <w:szCs w:val="21"/>
                      <w:highlight w:val="none"/>
                      <w:lang w:val="en-US" w:eastAsia="zh-CN"/>
                    </w:rPr>
                    <w:t>④废活性炭属于危险废物，暂存于危废暂存间，委托有资质单位处置。</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地下水保护措施</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分区防渗措施：①一般防渗区：</w:t>
                  </w:r>
                  <w:r>
                    <w:rPr>
                      <w:rFonts w:hint="default" w:ascii="Times New Roman" w:hAnsi="Times New Roman" w:eastAsia="宋体" w:cs="Times New Roman"/>
                      <w:color w:val="auto"/>
                      <w:sz w:val="21"/>
                      <w:szCs w:val="21"/>
                      <w:highlight w:val="none"/>
                      <w:lang w:val="en-US" w:eastAsia="zh-CN"/>
                    </w:rPr>
                    <w:t>加工区、堆料区、分拣区、成品区及过道</w:t>
                  </w:r>
                  <w:r>
                    <w:rPr>
                      <w:rFonts w:hint="default" w:ascii="Times New Roman" w:hAnsi="Times New Roman" w:eastAsia="宋体" w:cs="Times New Roman"/>
                      <w:color w:val="auto"/>
                      <w:sz w:val="21"/>
                      <w:szCs w:val="21"/>
                      <w:highlight w:val="none"/>
                    </w:rPr>
                    <w:t>采取C30防渗混凝土硬化处理。②除重点防渗和一般防渗以外的区域为简单防渗区：采取一般硬化处理。</w:t>
                  </w:r>
                </w:p>
                <w:p>
                  <w:pPr>
                    <w:pStyle w:val="82"/>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w:t>
                  </w:r>
                  <w:r>
                    <w:rPr>
                      <w:rFonts w:hint="eastAsia" w:ascii="Times New Roman" w:hAnsi="Times New Roman" w:eastAsia="宋体" w:cs="Times New Roman"/>
                      <w:color w:val="auto"/>
                      <w:sz w:val="21"/>
                      <w:szCs w:val="21"/>
                      <w:highlight w:val="none"/>
                      <w:lang w:val="en-US" w:eastAsia="zh-CN"/>
                    </w:rPr>
                    <w:t>重点防渗区：危废暂存间</w:t>
                  </w:r>
                  <w:r>
                    <w:rPr>
                      <w:rFonts w:hint="default" w:ascii="Times New Roman" w:hAnsi="Times New Roman" w:eastAsia="宋体" w:cs="Times New Roman"/>
                      <w:color w:val="auto"/>
                      <w:sz w:val="21"/>
                      <w:szCs w:val="21"/>
                      <w:highlight w:val="none"/>
                      <w:lang w:val="en-US" w:eastAsia="zh-CN"/>
                    </w:rPr>
                    <w:t>采用高密度聚乙烯+混凝土进行防渗，防渗性能应相当于渗透系数小于等于1×10-</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cm/s和等效粘土防渗层厚度大于等于6.0m</w:t>
                  </w:r>
                  <w:r>
                    <w:rPr>
                      <w:rFonts w:hint="eastAsia" w:ascii="Times New Roman" w:hAnsi="Times New Roman" w:eastAsia="宋体" w:cs="Times New Roman"/>
                      <w:color w:val="auto"/>
                      <w:sz w:val="21"/>
                      <w:szCs w:val="21"/>
                      <w:highlight w:val="none"/>
                      <w:lang w:val="en-US" w:eastAsia="zh-CN"/>
                    </w:rPr>
                    <w:t>。</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环境风险防范措施</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火灾风险事故：加强易燃和可燃物质的安全管理，配置消防器材并加强员工安全意识培训等。</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自行监测</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项目建成投入试运行时开展环境保护竣工验收工作，验收合格后定期开展</w:t>
                  </w:r>
                  <w:r>
                    <w:rPr>
                      <w:rFonts w:hint="default" w:ascii="Times New Roman" w:hAnsi="Times New Roman" w:eastAsia="宋体" w:cs="Times New Roman"/>
                      <w:color w:val="auto"/>
                      <w:sz w:val="21"/>
                      <w:szCs w:val="21"/>
                      <w:highlight w:val="none"/>
                      <w:lang w:val="en-US" w:eastAsia="zh-CN"/>
                    </w:rPr>
                    <w:t>废气和</w:t>
                  </w:r>
                  <w:r>
                    <w:rPr>
                      <w:rFonts w:hint="default" w:ascii="Times New Roman" w:hAnsi="Times New Roman" w:eastAsia="宋体" w:cs="Times New Roman"/>
                      <w:color w:val="auto"/>
                      <w:sz w:val="21"/>
                      <w:szCs w:val="21"/>
                      <w:highlight w:val="none"/>
                    </w:rPr>
                    <w:t>噪声自行监测工作。</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739" w:type="dxa"/>
                  <w:gridSpan w:val="2"/>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环境管理</w:t>
                  </w:r>
                </w:p>
              </w:tc>
              <w:tc>
                <w:tcPr>
                  <w:tcW w:w="5388" w:type="dxa"/>
                  <w:noWrap w:val="0"/>
                  <w:vAlign w:val="center"/>
                </w:tcPr>
                <w:p>
                  <w:pPr>
                    <w:pStyle w:val="82"/>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项目在启动生产设施或发生实际排污之前取得排污</w:t>
                  </w:r>
                  <w:r>
                    <w:rPr>
                      <w:rFonts w:hint="default" w:ascii="Times New Roman" w:hAnsi="Times New Roman" w:eastAsia="宋体" w:cs="Times New Roman"/>
                      <w:color w:val="auto"/>
                      <w:sz w:val="21"/>
                      <w:szCs w:val="21"/>
                      <w:highlight w:val="none"/>
                      <w:lang w:val="en-US" w:eastAsia="zh-CN"/>
                    </w:rPr>
                    <w:t>简化回</w:t>
                  </w:r>
                  <w:r>
                    <w:rPr>
                      <w:rFonts w:hint="default" w:ascii="Times New Roman" w:hAnsi="Times New Roman" w:eastAsia="宋体" w:cs="Times New Roman"/>
                      <w:color w:val="auto"/>
                      <w:sz w:val="21"/>
                      <w:szCs w:val="21"/>
                      <w:highlight w:val="none"/>
                    </w:rPr>
                    <w:t>执。②厂区各环境保护设施实现规范化管理，设置标识标牌。</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860"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7" w:type="dxa"/>
                  <w:gridSpan w:val="3"/>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052" w:type="dxa"/>
                  <w:noWrap w:val="0"/>
                  <w:vAlign w:val="center"/>
                </w:tcPr>
                <w:p>
                  <w:pPr>
                    <w:pStyle w:val="8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32.5</w:t>
                  </w:r>
                </w:p>
              </w:tc>
              <w:tc>
                <w:tcPr>
                  <w:tcW w:w="860" w:type="dxa"/>
                  <w:noWrap w:val="0"/>
                  <w:vAlign w:val="center"/>
                </w:tcPr>
                <w:p>
                  <w:pPr>
                    <w:pStyle w:val="82"/>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45"/>
              <w:ind w:left="0" w:leftChars="0" w:firstLine="0" w:firstLineChars="0"/>
              <w:rPr>
                <w:rFonts w:hint="default" w:ascii="Times New Roman" w:hAnsi="Times New Roman" w:cs="Times New Roman"/>
                <w:color w:val="auto"/>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hint="default" w:ascii="Times New Roman" w:hAnsi="Times New Roman" w:eastAsia="黑体" w:cs="Times New Roman"/>
          <w:b/>
          <w:bCs/>
          <w:color w:val="auto"/>
          <w:kern w:val="44"/>
          <w:sz w:val="32"/>
          <w:szCs w:val="32"/>
          <w:lang w:val="en-US" w:eastAsia="zh-CN" w:bidi="ar-SA"/>
        </w:rPr>
      </w:pPr>
      <w:bookmarkStart w:id="62" w:name="_Toc27060"/>
      <w:bookmarkStart w:id="63" w:name="_Toc4963"/>
      <w:r>
        <w:rPr>
          <w:rFonts w:hint="default" w:ascii="Times New Roman" w:hAnsi="Times New Roman" w:eastAsia="黑体" w:cs="Times New Roman"/>
          <w:b/>
          <w:bCs/>
          <w:color w:val="auto"/>
          <w:kern w:val="44"/>
          <w:sz w:val="32"/>
          <w:szCs w:val="32"/>
          <w:lang w:val="en-US" w:eastAsia="zh-CN" w:bidi="ar-SA"/>
        </w:rPr>
        <w:t>五、</w:t>
      </w:r>
      <w:bookmarkStart w:id="64" w:name="_Hlk54167917"/>
      <w:r>
        <w:rPr>
          <w:rFonts w:hint="default" w:ascii="Times New Roman" w:hAnsi="Times New Roman" w:eastAsia="黑体" w:cs="Times New Roman"/>
          <w:b/>
          <w:bCs/>
          <w:color w:val="auto"/>
          <w:kern w:val="44"/>
          <w:sz w:val="32"/>
          <w:szCs w:val="32"/>
          <w:lang w:val="en-US" w:eastAsia="zh-CN" w:bidi="ar-SA"/>
        </w:rPr>
        <w:t>环境保护措施监督检查清单</w:t>
      </w:r>
      <w:bookmarkEnd w:id="62"/>
      <w:bookmarkEnd w:id="63"/>
      <w:bookmarkEnd w:id="64"/>
    </w:p>
    <w:tbl>
      <w:tblPr>
        <w:tblStyle w:val="26"/>
        <w:tblW w:w="91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719"/>
        <w:gridCol w:w="877"/>
        <w:gridCol w:w="878"/>
        <w:gridCol w:w="1755"/>
        <w:gridCol w:w="2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rPr>
              <w:t>编号、</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rPr>
              <w:t>/污染源</w:t>
            </w:r>
          </w:p>
        </w:tc>
        <w:tc>
          <w:tcPr>
            <w:tcW w:w="17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大气环境</w:t>
            </w: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厂界废气</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r>
              <w:rPr>
                <w:rFonts w:hint="eastAsia" w:ascii="Times New Roman" w:hAnsi="Times New Roman" w:eastAsia="宋体" w:cs="Times New Roman"/>
                <w:color w:val="auto"/>
                <w:highlight w:val="none"/>
                <w:lang w:val="en-US" w:eastAsia="zh-CN"/>
              </w:rPr>
              <w:t>、非甲烷总烃</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20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有组织</w:t>
            </w:r>
            <w:r>
              <w:rPr>
                <w:rFonts w:hint="eastAsia" w:ascii="Times New Roman" w:hAnsi="Times New Roman" w:eastAsia="宋体" w:cs="Times New Roman"/>
                <w:color w:val="auto"/>
                <w:highlight w:val="none"/>
                <w:lang w:val="en-US" w:eastAsia="zh-CN"/>
              </w:rPr>
              <w:t>废气执行</w:t>
            </w:r>
            <w:r>
              <w:rPr>
                <w:rFonts w:hint="default" w:ascii="Times New Roman" w:hAnsi="Times New Roman" w:eastAsia="宋体" w:cs="Times New Roman"/>
                <w:color w:val="auto"/>
                <w:highlight w:val="none"/>
                <w:lang w:val="en-US" w:eastAsia="zh-CN"/>
              </w:rPr>
              <w:t>《合成树脂工业污染物排放标准》</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GB31572-2015</w:t>
            </w:r>
            <w:r>
              <w:rPr>
                <w:rFonts w:hint="eastAsia" w:ascii="Times New Roman" w:hAnsi="Times New Roman" w:eastAsia="宋体" w:cs="Times New Roman"/>
                <w:color w:val="auto"/>
                <w:highlight w:val="none"/>
                <w:lang w:val="en-US" w:eastAsia="zh-CN"/>
              </w:rPr>
              <w:t>）表4要求、</w:t>
            </w:r>
            <w:r>
              <w:rPr>
                <w:rFonts w:hint="default" w:ascii="Times New Roman" w:hAnsi="Times New Roman" w:eastAsia="宋体" w:cs="Times New Roman"/>
                <w:color w:val="auto"/>
                <w:highlight w:val="none"/>
                <w:lang w:val="en-US" w:eastAsia="zh-CN"/>
              </w:rPr>
              <w:t>无组织</w:t>
            </w:r>
            <w:r>
              <w:rPr>
                <w:rFonts w:hint="eastAsia" w:ascii="Times New Roman" w:hAnsi="Times New Roman" w:eastAsia="宋体" w:cs="Times New Roman"/>
                <w:color w:val="auto"/>
                <w:highlight w:val="none"/>
                <w:lang w:val="en-US" w:eastAsia="zh-CN"/>
              </w:rPr>
              <w:t>废气执行</w:t>
            </w:r>
            <w:r>
              <w:rPr>
                <w:rFonts w:hint="default" w:ascii="Times New Roman" w:hAnsi="Times New Roman" w:eastAsia="宋体" w:cs="Times New Roman"/>
                <w:color w:val="auto"/>
                <w:highlight w:val="none"/>
                <w:lang w:val="en-US" w:eastAsia="zh-CN"/>
              </w:rPr>
              <w:t>《合成树脂工业污染物排放标准》</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GB31572-2015</w:t>
            </w:r>
            <w:r>
              <w:rPr>
                <w:rFonts w:hint="eastAsia" w:ascii="Times New Roman" w:hAnsi="Times New Roman" w:eastAsia="宋体" w:cs="Times New Roman"/>
                <w:color w:val="auto"/>
                <w:highlight w:val="none"/>
                <w:lang w:val="en-US" w:eastAsia="zh-CN"/>
              </w:rPr>
              <w:t>）表9要求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团粒废气排放口</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有组织</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r>
              <w:rPr>
                <w:rFonts w:hint="eastAsia" w:ascii="Times New Roman" w:hAnsi="Times New Roman" w:eastAsia="宋体" w:cs="Times New Roman"/>
                <w:color w:val="auto"/>
                <w:highlight w:val="none"/>
                <w:lang w:val="en-US" w:eastAsia="zh-CN"/>
              </w:rPr>
              <w:t>、非甲烷总烃</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滤网除尘+水雾除尘</w:t>
            </w:r>
            <w:r>
              <w:rPr>
                <w:rFonts w:hint="eastAsia" w:ascii="Times New Roman" w:hAnsi="Times New Roman" w:eastAsia="宋体" w:cs="Times New Roman"/>
                <w:color w:val="auto"/>
                <w:highlight w:val="none"/>
                <w:lang w:val="en-US" w:eastAsia="zh-CN"/>
              </w:rPr>
              <w:t>+活性炭吸附</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一根</w:t>
            </w:r>
            <w:r>
              <w:rPr>
                <w:rFonts w:hint="default" w:ascii="Times New Roman" w:hAnsi="Times New Roman" w:eastAsia="宋体" w:cs="Times New Roman"/>
                <w:color w:val="auto"/>
                <w:highlight w:val="none"/>
                <w:lang w:val="en-US" w:eastAsia="zh-CN"/>
              </w:rPr>
              <w:t>15m</w:t>
            </w:r>
            <w:r>
              <w:rPr>
                <w:rFonts w:hint="eastAsia" w:ascii="Times New Roman" w:hAnsi="Times New Roman" w:eastAsia="宋体" w:cs="Times New Roman"/>
                <w:color w:val="auto"/>
                <w:highlight w:val="none"/>
                <w:lang w:val="en-US" w:eastAsia="zh-CN"/>
              </w:rPr>
              <w:t>高</w:t>
            </w:r>
            <w:r>
              <w:rPr>
                <w:rFonts w:hint="default" w:ascii="Times New Roman" w:hAnsi="Times New Roman" w:eastAsia="宋体" w:cs="Times New Roman"/>
                <w:color w:val="auto"/>
                <w:highlight w:val="none"/>
                <w:lang w:val="en-US" w:eastAsia="zh-CN"/>
              </w:rPr>
              <w:t>排气筒</w:t>
            </w:r>
          </w:p>
        </w:tc>
        <w:tc>
          <w:tcPr>
            <w:tcW w:w="20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地表水环境</w:t>
            </w: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生产废水</w:t>
            </w:r>
          </w:p>
        </w:tc>
        <w:tc>
          <w:tcPr>
            <w:tcW w:w="17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循环使用</w:t>
            </w:r>
          </w:p>
        </w:tc>
        <w:tc>
          <w:tcPr>
            <w:tcW w:w="20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生活污水</w:t>
            </w:r>
          </w:p>
        </w:tc>
        <w:tc>
          <w:tcPr>
            <w:tcW w:w="17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COD、BOD5、SS、氨氮</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生活污水依托园区已建化粪池，后排入恒口示范区污水处理厂进一步处理。</w:t>
            </w:r>
          </w:p>
        </w:tc>
        <w:tc>
          <w:tcPr>
            <w:tcW w:w="20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声环境</w:t>
            </w: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设备噪声</w:t>
            </w:r>
          </w:p>
        </w:tc>
        <w:tc>
          <w:tcPr>
            <w:tcW w:w="17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等效连续A声级</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低噪声设备、基础减振、厂房隔声、加强管理等</w:t>
            </w:r>
            <w:r>
              <w:rPr>
                <w:rFonts w:hint="eastAsia" w:ascii="Times New Roman" w:hAnsi="Times New Roman" w:eastAsia="宋体" w:cs="Times New Roman"/>
                <w:color w:val="auto"/>
                <w:highlight w:val="none"/>
                <w:lang w:val="en-US" w:eastAsia="zh-CN"/>
              </w:rPr>
              <w:t>。</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厂界执行《工业企业厂界环境噪声排放标准》（GB12348-2008）中3类标准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电磁辐射</w:t>
            </w: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7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固体废物</w:t>
            </w:r>
          </w:p>
        </w:tc>
        <w:tc>
          <w:tcPr>
            <w:tcW w:w="7299"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1 \* GB3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生活垃圾集中收集后由环卫部门统一处置。</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2 \* GB3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②</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分拣废物集中收集后暂存于一般固废暂存</w:t>
            </w:r>
            <w:r>
              <w:rPr>
                <w:rFonts w:hint="eastAsia" w:ascii="Times New Roman" w:hAnsi="Times New Roman" w:eastAsia="宋体" w:cs="Times New Roman"/>
                <w:color w:val="auto"/>
                <w:highlight w:val="none"/>
                <w:lang w:val="en-US" w:eastAsia="zh-CN"/>
              </w:rPr>
              <w:t>区</w:t>
            </w:r>
            <w:r>
              <w:rPr>
                <w:rFonts w:hint="default" w:ascii="Times New Roman" w:hAnsi="Times New Roman" w:eastAsia="宋体" w:cs="Times New Roman"/>
                <w:color w:val="auto"/>
                <w:highlight w:val="none"/>
                <w:lang w:val="en-US" w:eastAsia="zh-CN"/>
              </w:rPr>
              <w:t>，定期外售。③除尘器收集废物定期清理回用于生产。</w:t>
            </w:r>
            <w:r>
              <w:rPr>
                <w:rFonts w:hint="eastAsia" w:ascii="Times New Roman" w:hAnsi="Times New Roman" w:eastAsia="宋体" w:cs="Times New Roman"/>
                <w:color w:val="auto"/>
                <w:highlight w:val="none"/>
                <w:lang w:val="en-US" w:eastAsia="zh-CN"/>
              </w:rPr>
              <w:t>④危险废物暂存在危废暂存间，委托有资质单位处理。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土壤及地下水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污染防治措施</w:t>
            </w:r>
          </w:p>
        </w:tc>
        <w:tc>
          <w:tcPr>
            <w:tcW w:w="7299"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分区防渗。对生产区采取一般防渗；办公及其他区域采取简单防渗</w:t>
            </w:r>
            <w:r>
              <w:rPr>
                <w:rFonts w:hint="eastAsia"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危废暂存间采取重点防渗。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生态保护措施</w:t>
            </w:r>
          </w:p>
        </w:tc>
        <w:tc>
          <w:tcPr>
            <w:tcW w:w="7299"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防范措施</w:t>
            </w:r>
          </w:p>
        </w:tc>
        <w:tc>
          <w:tcPr>
            <w:tcW w:w="7299"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火灾风险事故：加强易燃和可燃物质的安全管理，配置消防器材并加强员工安全意识培训等。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管理要求</w:t>
            </w:r>
          </w:p>
        </w:tc>
        <w:tc>
          <w:tcPr>
            <w:tcW w:w="7299"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①要求企业做好废气运行设施管理台账、例行监测台账等环保档案。</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②要求企业在项目建成投产，实际排污前，应根据《固定污染源排污许可分类管理目录》（2019年版），取得排污许可证，实行简化管理。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③要求企业按照环评及排污许可证要求，落实厂区污染源例行监测计划。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④要求企业做好厂内环境卫生管理，做到厂区、车间整洁。</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b/>
          <w:bCs/>
          <w:color w:val="auto"/>
          <w:kern w:val="44"/>
          <w:sz w:val="32"/>
          <w:szCs w:val="32"/>
          <w:lang w:val="en-US" w:eastAsia="zh-CN" w:bidi="ar-SA"/>
        </w:rPr>
      </w:pPr>
      <w:r>
        <w:rPr>
          <w:rFonts w:hint="default" w:ascii="Times New Roman" w:hAnsi="Times New Roman" w:eastAsia="宋体" w:cs="Times New Roman"/>
          <w:color w:val="auto"/>
          <w:highlight w:val="none"/>
          <w:lang w:val="en-US" w:eastAsia="zh-CN"/>
        </w:rPr>
        <w:br w:type="page"/>
      </w:r>
      <w:bookmarkStart w:id="65" w:name="_Toc7064"/>
      <w:bookmarkStart w:id="66" w:name="_Toc11996"/>
      <w:r>
        <w:rPr>
          <w:rFonts w:hint="default" w:ascii="Times New Roman" w:hAnsi="Times New Roman" w:eastAsia="黑体" w:cs="Times New Roman"/>
          <w:b/>
          <w:bCs/>
          <w:color w:val="auto"/>
          <w:kern w:val="44"/>
          <w:sz w:val="32"/>
          <w:szCs w:val="32"/>
          <w:lang w:val="en-US" w:eastAsia="zh-CN" w:bidi="ar-SA"/>
        </w:rPr>
        <w:t>六、结论</w:t>
      </w:r>
      <w:bookmarkEnd w:id="65"/>
      <w:bookmarkEnd w:id="66"/>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ind w:firstLine="48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本项目符合国家和地方产业政策，</w:t>
            </w:r>
            <w:r>
              <w:rPr>
                <w:rFonts w:hint="eastAsia" w:ascii="Times New Roman" w:hAnsi="Times New Roman" w:eastAsia="宋体" w:cs="Times New Roman"/>
                <w:color w:val="auto"/>
                <w:highlight w:val="none"/>
                <w:lang w:val="en-US" w:eastAsia="zh-CN"/>
              </w:rPr>
              <w:t>选址</w:t>
            </w:r>
            <w:r>
              <w:rPr>
                <w:rFonts w:hint="default" w:ascii="Times New Roman" w:hAnsi="Times New Roman" w:eastAsia="宋体" w:cs="Times New Roman"/>
                <w:color w:val="auto"/>
                <w:highlight w:val="none"/>
                <w:lang w:val="en-US" w:eastAsia="zh-CN"/>
              </w:rPr>
              <w:t>符合</w:t>
            </w:r>
            <w:r>
              <w:rPr>
                <w:rFonts w:hint="default" w:ascii="Times New Roman" w:hAnsi="Times New Roman" w:eastAsia="宋体" w:cs="Times New Roman"/>
                <w:color w:val="auto"/>
                <w:highlight w:val="none"/>
                <w:lang w:val="zh-CN"/>
              </w:rPr>
              <w:t>《月河南岸片区总体设计》（2021</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2035）</w:t>
            </w:r>
            <w:r>
              <w:rPr>
                <w:rFonts w:hint="default" w:ascii="Times New Roman" w:hAnsi="Times New Roman" w:eastAsia="宋体" w:cs="Times New Roman"/>
                <w:color w:val="auto"/>
                <w:highlight w:val="none"/>
                <w:lang w:val="en-US" w:eastAsia="zh-CN"/>
              </w:rPr>
              <w:t>规划布局要求，</w:t>
            </w:r>
            <w:r>
              <w:rPr>
                <w:rFonts w:hint="eastAsia" w:ascii="Times New Roman" w:hAnsi="Times New Roman" w:eastAsia="宋体" w:cs="Times New Roman"/>
                <w:color w:val="auto"/>
                <w:highlight w:val="none"/>
                <w:lang w:val="en-US" w:eastAsia="zh-CN"/>
              </w:rPr>
              <w:t>建成后</w:t>
            </w:r>
            <w:r>
              <w:rPr>
                <w:rFonts w:hint="default" w:ascii="Times New Roman" w:hAnsi="Times New Roman" w:eastAsia="宋体" w:cs="Times New Roman"/>
                <w:color w:val="auto"/>
                <w:highlight w:val="none"/>
                <w:lang w:val="en-US" w:eastAsia="zh-CN"/>
              </w:rPr>
              <w:t>与周边环境功能区划相符</w:t>
            </w:r>
            <w:r>
              <w:rPr>
                <w:rFonts w:hint="default" w:ascii="Times New Roman" w:hAnsi="Times New Roman" w:eastAsia="宋体" w:cs="Times New Roman"/>
                <w:color w:val="auto"/>
                <w:highlight w:val="none"/>
                <w:lang w:val="zh-CN"/>
              </w:rPr>
              <w:t>。项目在全面落实环评提出的各项环保措施的情况下，各项污染物均能达标排放，固体废物均能够合理处置，不会</w:t>
            </w:r>
            <w:r>
              <w:rPr>
                <w:rFonts w:hint="default" w:ascii="Times New Roman" w:hAnsi="Times New Roman" w:eastAsia="宋体" w:cs="Times New Roman"/>
                <w:color w:val="auto"/>
                <w:highlight w:val="none"/>
                <w:lang w:val="en-US" w:eastAsia="zh-CN"/>
              </w:rPr>
              <w:t>对</w:t>
            </w:r>
            <w:r>
              <w:rPr>
                <w:rFonts w:hint="default" w:ascii="Times New Roman" w:hAnsi="Times New Roman" w:eastAsia="宋体" w:cs="Times New Roman"/>
                <w:color w:val="auto"/>
                <w:highlight w:val="none"/>
                <w:lang w:val="zh-CN"/>
              </w:rPr>
              <w:t>周围的居民</w:t>
            </w: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大气环境、地表水环境、声环境、土壤环境等</w:t>
            </w:r>
            <w:r>
              <w:rPr>
                <w:rFonts w:hint="default" w:ascii="Times New Roman" w:hAnsi="Times New Roman" w:eastAsia="宋体" w:cs="Times New Roman"/>
                <w:color w:val="auto"/>
                <w:highlight w:val="none"/>
                <w:lang w:val="zh-CN"/>
              </w:rPr>
              <w:t>产生明显不利影响。从环境影响角度分析</w:t>
            </w:r>
            <w:r>
              <w:rPr>
                <w:rFonts w:hint="eastAsia"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zh-CN"/>
              </w:rPr>
              <w:t>项目建设可行。</w:t>
            </w:r>
          </w:p>
          <w:p>
            <w:pPr>
              <w:ind w:firstLine="480"/>
              <w:rPr>
                <w:rFonts w:hint="default" w:ascii="Times New Roman" w:hAnsi="Times New Roman" w:cs="Times New Roman"/>
              </w:rPr>
            </w:pP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rPr>
          <w:rFonts w:hint="default" w:ascii="Times New Roman" w:hAnsi="Times New Roman" w:eastAsia="黑体" w:cs="Times New Roman"/>
          <w:color w:val="auto"/>
          <w:sz w:val="30"/>
          <w:szCs w:val="30"/>
        </w:rPr>
      </w:pPr>
      <w:bookmarkStart w:id="67" w:name="_Toc26552"/>
      <w:r>
        <w:rPr>
          <w:rFonts w:hint="default" w:ascii="Times New Roman" w:hAnsi="Times New Roman" w:eastAsia="黑体" w:cs="Times New Roman"/>
          <w:color w:val="auto"/>
          <w:sz w:val="30"/>
          <w:szCs w:val="30"/>
        </w:rPr>
        <w:t>附表</w:t>
      </w:r>
      <w:bookmarkEnd w:id="67"/>
    </w:p>
    <w:p>
      <w:pPr>
        <w:pStyle w:val="3"/>
        <w:bidi w:val="0"/>
        <w:rPr>
          <w:rFonts w:hint="default" w:ascii="Times New Roman" w:hAnsi="Times New Roman" w:cs="Times New Roman"/>
          <w:sz w:val="36"/>
          <w:szCs w:val="36"/>
        </w:rPr>
      </w:pPr>
      <w:bookmarkStart w:id="68" w:name="_Toc27035"/>
      <w:bookmarkStart w:id="69" w:name="_Toc17131"/>
      <w:r>
        <w:rPr>
          <w:rFonts w:hint="default" w:ascii="Times New Roman" w:hAnsi="Times New Roman" w:cs="Times New Roman"/>
          <w:sz w:val="36"/>
          <w:szCs w:val="36"/>
        </w:rPr>
        <w:t>建设项目污染物排放量汇总表</w:t>
      </w:r>
      <w:bookmarkEnd w:id="68"/>
      <w:bookmarkEnd w:id="69"/>
    </w:p>
    <w:p>
      <w:pPr>
        <w:spacing w:line="220" w:lineRule="auto"/>
        <w:ind w:left="8980" w:firstLine="1350" w:firstLineChars="900"/>
        <w:jc w:val="center"/>
        <w:rPr>
          <w:rStyle w:val="28"/>
          <w:rFonts w:hint="default" w:ascii="Times New Roman" w:hAnsi="Times New Roman" w:eastAsia="宋体" w:cs="Times New Roman"/>
          <w:lang w:val="en-US" w:eastAsia="zh-CN"/>
        </w:rPr>
      </w:pPr>
      <w:r>
        <w:rPr>
          <w:rFonts w:hint="default" w:ascii="Times New Roman" w:hAnsi="Times New Roman" w:eastAsia="宋体" w:cs="Times New Roman"/>
          <w:spacing w:val="-10"/>
          <w:sz w:val="17"/>
          <w:szCs w:val="17"/>
          <w:lang w:eastAsia="zh-CN"/>
        </w:rPr>
        <w:t>（</w:t>
      </w:r>
      <w:r>
        <w:rPr>
          <w:rFonts w:hint="default" w:ascii="Times New Roman" w:hAnsi="Times New Roman" w:eastAsia="宋体" w:cs="Times New Roman"/>
          <w:spacing w:val="-10"/>
          <w:sz w:val="17"/>
          <w:szCs w:val="17"/>
        </w:rPr>
        <w:t>单位：t/a</w:t>
      </w:r>
      <w:r>
        <w:rPr>
          <w:rFonts w:hint="default" w:ascii="Times New Roman" w:hAnsi="Times New Roman" w:eastAsia="宋体" w:cs="Times New Roman"/>
          <w:spacing w:val="-10"/>
          <w:sz w:val="17"/>
          <w:szCs w:val="17"/>
          <w:lang w:eastAsia="zh-CN"/>
        </w:rPr>
        <w:t>）</w:t>
      </w:r>
    </w:p>
    <w:tbl>
      <w:tblPr>
        <w:tblStyle w:val="27"/>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1533"/>
        <w:gridCol w:w="1533"/>
        <w:gridCol w:w="1529"/>
        <w:gridCol w:w="1534"/>
        <w:gridCol w:w="1552"/>
        <w:gridCol w:w="1533"/>
        <w:gridCol w:w="1552"/>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01"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 w:val="21"/>
                <w:szCs w:val="21"/>
                <w:lang w:val="en-US" w:eastAsia="zh-CN" w:bidi="ar-SA"/>
              </w:rPr>
            </w:pP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eastAsia="黑体" w:cs="Times New Roman"/>
                <w:snapToGrid w:val="0"/>
                <w:color w:val="auto"/>
                <w:spacing w:val="-6"/>
                <w:kern w:val="21"/>
                <w:sz w:val="21"/>
                <w:szCs w:val="21"/>
                <w:lang w:val="en-US" w:eastAsia="zh-CN" w:bidi="ar-SA"/>
              </w:rPr>
            </w:pP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left"/>
              <w:textAlignment w:val="auto"/>
              <mc:AlternateContent>
                <mc:Choice Requires="wpsCustomData">
                  <wpsCustomData:diagonalParaType/>
                </mc:Choice>
              </mc:AlternateContent>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分类</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right"/>
              <w:textAlignment w:val="auto"/>
              <w:rPr>
                <w:rFonts w:hint="default" w:ascii="Times New Roman" w:hAnsi="Times New Roman" w:cs="Times New Roman"/>
                <w:color w:val="auto"/>
                <w:lang w:val="en-US" w:eastAsia="zh-CN"/>
              </w:rPr>
            </w:pPr>
            <w:r>
              <w:rPr>
                <w:rFonts w:hint="default" w:ascii="Times New Roman" w:hAnsi="Times New Roman" w:eastAsia="黑体" w:cs="Times New Roman"/>
                <w:snapToGrid w:val="0"/>
                <w:color w:val="auto"/>
                <w:spacing w:val="-6"/>
                <w:kern w:val="21"/>
                <w:sz w:val="21"/>
                <w:szCs w:val="21"/>
                <w:lang w:val="en-US" w:eastAsia="zh-CN" w:bidi="ar-SA"/>
              </w:rPr>
              <w:t>项目</w:t>
            </w:r>
          </w:p>
        </w:tc>
        <w:tc>
          <w:tcPr>
            <w:tcW w:w="1533"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6"/>
                <w:kern w:val="21"/>
                <w:szCs w:val="21"/>
              </w:rPr>
              <w:t>污染物名称</w:t>
            </w:r>
          </w:p>
        </w:tc>
        <w:tc>
          <w:tcPr>
            <w:tcW w:w="1533"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529"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53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533"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55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70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方正小标宋_GBK" w:cs="Times New Roman"/>
                <w:snapToGrid w:val="0"/>
                <w:color w:val="auto"/>
                <w:sz w:val="38"/>
                <w:szCs w:val="38"/>
                <w:vertAlign w:val="baseline"/>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废气</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29"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0.16</w:t>
            </w:r>
            <w:r>
              <w:rPr>
                <w:rFonts w:hint="eastAsia" w:ascii="Times New Roman" w:hAnsi="Times New Roman" w:eastAsia="宋体" w:cs="Times New Roman"/>
                <w:color w:val="auto"/>
                <w:lang w:val="en-US" w:eastAsia="zh-CN"/>
              </w:rPr>
              <w:t>5</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0.16</w:t>
            </w:r>
            <w:r>
              <w:rPr>
                <w:rFonts w:hint="eastAsia" w:ascii="Times New Roman" w:hAnsi="Times New Roman" w:eastAsia="宋体" w:cs="Times New Roman"/>
                <w:color w:val="auto"/>
                <w:lang w:val="en-US" w:eastAsia="zh-CN"/>
              </w:rPr>
              <w:t>5</w:t>
            </w:r>
          </w:p>
        </w:tc>
        <w:tc>
          <w:tcPr>
            <w:tcW w:w="170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+0.16</w:t>
            </w:r>
            <w:r>
              <w:rPr>
                <w:rFonts w:hint="eastAsia" w:ascii="Times New Roman" w:hAnsi="Times New Roman" w:eastAsia="宋体" w:cs="Times New Roman"/>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29" w:type="dxa"/>
            <w:noWrap w:val="0"/>
            <w:vAlign w:val="center"/>
          </w:tcPr>
          <w:p>
            <w:pPr>
              <w:pStyle w:val="8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2" w:type="dxa"/>
            <w:noWrap w:val="0"/>
            <w:vAlign w:val="center"/>
          </w:tcPr>
          <w:p>
            <w:pPr>
              <w:pStyle w:val="8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0.482</w:t>
            </w:r>
          </w:p>
        </w:tc>
        <w:tc>
          <w:tcPr>
            <w:tcW w:w="1533" w:type="dxa"/>
            <w:noWrap w:val="0"/>
            <w:vAlign w:val="center"/>
          </w:tcPr>
          <w:p>
            <w:pPr>
              <w:pStyle w:val="8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2" w:type="dxa"/>
            <w:noWrap w:val="0"/>
            <w:vAlign w:val="center"/>
          </w:tcPr>
          <w:p>
            <w:pPr>
              <w:pStyle w:val="8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0.482</w:t>
            </w:r>
          </w:p>
        </w:tc>
        <w:tc>
          <w:tcPr>
            <w:tcW w:w="1704" w:type="dxa"/>
            <w:noWrap w:val="0"/>
            <w:vAlign w:val="center"/>
          </w:tcPr>
          <w:p>
            <w:pPr>
              <w:pStyle w:val="8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废水</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29"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70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职工生活</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生活垃圾</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29"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70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一般工业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固体废物</w:t>
            </w:r>
          </w:p>
        </w:tc>
        <w:tc>
          <w:tcPr>
            <w:tcW w:w="1533" w:type="dxa"/>
            <w:noWrap w:val="0"/>
            <w:vAlign w:val="center"/>
          </w:tcPr>
          <w:p>
            <w:pPr>
              <w:pStyle w:val="80"/>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除尘器收集废物</w:t>
            </w:r>
          </w:p>
        </w:tc>
        <w:tc>
          <w:tcPr>
            <w:tcW w:w="1533"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29"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w:t>
            </w:r>
            <w:r>
              <w:rPr>
                <w:rFonts w:hint="eastAsia" w:ascii="Times New Roman" w:hAnsi="Times New Roman" w:eastAsia="宋体" w:cs="Times New Roman"/>
                <w:color w:val="auto"/>
                <w:lang w:val="en-US" w:eastAsia="zh-CN"/>
              </w:rPr>
              <w:t>83</w:t>
            </w:r>
          </w:p>
        </w:tc>
        <w:tc>
          <w:tcPr>
            <w:tcW w:w="1533" w:type="dxa"/>
            <w:noWrap w:val="0"/>
            <w:vAlign w:val="center"/>
          </w:tcPr>
          <w:p>
            <w:pPr>
              <w:pStyle w:val="82"/>
              <w:bidi w:val="0"/>
              <w:rPr>
                <w:rFonts w:hint="default" w:ascii="Times New Roman" w:hAnsi="Times New Roman" w:eastAsia="宋体" w:cs="Times New Roman"/>
                <w:color w:val="auto"/>
                <w:lang w:val="en-US" w:eastAsia="zh-CN"/>
              </w:rPr>
            </w:pP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w:t>
            </w:r>
            <w:r>
              <w:rPr>
                <w:rFonts w:hint="eastAsia" w:ascii="Times New Roman" w:hAnsi="Times New Roman" w:eastAsia="宋体" w:cs="Times New Roman"/>
                <w:color w:val="auto"/>
                <w:lang w:val="en-US" w:eastAsia="zh-CN"/>
              </w:rPr>
              <w:t>83</w:t>
            </w:r>
          </w:p>
        </w:tc>
        <w:tc>
          <w:tcPr>
            <w:tcW w:w="170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w:t>
            </w:r>
            <w:r>
              <w:rPr>
                <w:rFonts w:hint="eastAsia" w:ascii="Times New Roman" w:hAnsi="Times New Roman" w:eastAsia="宋体" w:cs="Times New Roman"/>
                <w:color w:val="auto"/>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p>
        </w:tc>
        <w:tc>
          <w:tcPr>
            <w:tcW w:w="1533" w:type="dxa"/>
            <w:noWrap w:val="0"/>
            <w:vAlign w:val="center"/>
          </w:tcPr>
          <w:p>
            <w:pPr>
              <w:pStyle w:val="80"/>
              <w:bidi w:val="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分拣废物</w:t>
            </w:r>
          </w:p>
        </w:tc>
        <w:tc>
          <w:tcPr>
            <w:tcW w:w="1533"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29"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69.3</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69.3</w:t>
            </w:r>
          </w:p>
        </w:tc>
        <w:tc>
          <w:tcPr>
            <w:tcW w:w="170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危险废物</w:t>
            </w:r>
          </w:p>
        </w:tc>
        <w:tc>
          <w:tcPr>
            <w:tcW w:w="1533"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废活性炭</w:t>
            </w:r>
          </w:p>
        </w:tc>
        <w:tc>
          <w:tcPr>
            <w:tcW w:w="1533"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29" w:type="dxa"/>
            <w:noWrap w:val="0"/>
            <w:vAlign w:val="center"/>
          </w:tcPr>
          <w:p>
            <w:pPr>
              <w:pStyle w:val="82"/>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34"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eastAsia" w:cs="Times New Roman"/>
                <w:color w:val="auto"/>
                <w:lang w:val="en-US" w:eastAsia="zh-CN"/>
              </w:rPr>
              <w:t>2.014</w:t>
            </w:r>
          </w:p>
        </w:tc>
        <w:tc>
          <w:tcPr>
            <w:tcW w:w="1533" w:type="dxa"/>
            <w:noWrap w:val="0"/>
            <w:vAlign w:val="center"/>
          </w:tcPr>
          <w:p>
            <w:pPr>
              <w:pStyle w:val="8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552" w:type="dxa"/>
            <w:noWrap w:val="0"/>
            <w:vAlign w:val="center"/>
          </w:tcPr>
          <w:p>
            <w:pPr>
              <w:pStyle w:val="82"/>
              <w:bidi w:val="0"/>
              <w:rPr>
                <w:rFonts w:hint="default" w:ascii="Times New Roman" w:hAnsi="Times New Roman" w:eastAsia="宋体" w:cs="Times New Roman"/>
                <w:color w:val="auto"/>
                <w:lang w:val="en-US" w:eastAsia="zh-CN"/>
              </w:rPr>
            </w:pPr>
            <w:r>
              <w:rPr>
                <w:rFonts w:hint="eastAsia" w:cs="Times New Roman"/>
                <w:color w:val="auto"/>
                <w:lang w:val="en-US" w:eastAsia="zh-CN"/>
              </w:rPr>
              <w:t>2.014</w:t>
            </w:r>
          </w:p>
        </w:tc>
        <w:tc>
          <w:tcPr>
            <w:tcW w:w="1704" w:type="dxa"/>
            <w:noWrap w:val="0"/>
            <w:vAlign w:val="center"/>
          </w:tcPr>
          <w:p>
            <w:pPr>
              <w:pStyle w:val="8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2.014</w:t>
            </w:r>
          </w:p>
        </w:tc>
      </w:tr>
    </w:tbl>
    <w:p>
      <w:pPr>
        <w:pStyle w:val="56"/>
        <w:keepNext w:val="0"/>
        <w:keepLines w:val="0"/>
        <w:pageBreakBefore w:val="0"/>
        <w:widowControl w:val="0"/>
        <w:kinsoku/>
        <w:wordWrap/>
        <w:overflowPunct/>
        <w:topLinePunct w:val="0"/>
        <w:autoSpaceDE/>
        <w:autoSpaceDN/>
        <w:bidi w:val="0"/>
        <w:spacing w:beforeLines="0" w:afterLines="0" w:line="240" w:lineRule="auto"/>
        <w:ind w:leftChars="0"/>
        <w:jc w:val="left"/>
        <w:textAlignment w:val="auto"/>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keepNext w:val="0"/>
        <w:keepLines w:val="0"/>
        <w:pageBreakBefore w:val="0"/>
        <w:widowControl w:val="0"/>
        <w:kinsoku/>
        <w:wordWrap/>
        <w:overflowPunct/>
        <w:topLinePunct w:val="0"/>
        <w:autoSpaceDE/>
        <w:autoSpaceDN/>
        <w:bidi w:val="0"/>
        <w:spacing w:line="240" w:lineRule="auto"/>
        <w:ind w:leftChars="0"/>
        <w:textAlignment w:val="auto"/>
        <w:rPr>
          <w:rFonts w:hint="default" w:ascii="Times New Roman" w:hAnsi="Times New Roman" w:eastAsia="宋体" w:cs="Times New Roman"/>
          <w:color w:val="auto"/>
          <w:lang w:val="en-US" w:eastAsia="zh-CN"/>
        </w:rPr>
        <w:sectPr>
          <w:footerReference r:id="rId9"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5"/>
        <w:jc w:val="center"/>
        <w:rPr>
          <w:rFonts w:hint="default" w:ascii="Times New Roman" w:hAnsi="Times New Roman" w:eastAsia="宋体" w:cs="Times New Roman"/>
          <w:b/>
          <w:bCs/>
          <w:sz w:val="30"/>
          <w:szCs w:val="30"/>
          <w:lang w:val="en-US" w:eastAsia="zh-CN"/>
        </w:rPr>
      </w:pPr>
    </w:p>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435">
      <wne:acd wne:acdName="acd0"/>
    </wne:keymap>
    <wne:keymap wne:kcmPrimary="0437">
      <wne:acd wne:acdName="acd1"/>
    </wne:keymap>
    <wne:keymap wne:kcmPrimary="0431">
      <wne:acd wne:acdName="acd2"/>
    </wne:keymap>
    <wne:keymap wne:kcmPrimary="0432">
      <wne:acd wne:acdName="acd3"/>
    </wne:keymap>
    <wne:keymap wne:kcmPrimary="0433">
      <wne:acd wne:acdName="acd4"/>
    </wne:keymap>
    <wne:keymap wne:kcmPrimary="0434">
      <wne:acd wne:acdName="acd5"/>
    </wne:keymap>
    <wne:keymap wne:kcmPrimary="0438">
      <wne:acd wne:acdName="acd6"/>
    </wne:keymap>
    <wne:keymap wne:kcmPrimary="0436">
      <wne:acd wne:acdName="acd7"/>
    </wne:keymap>
  </wne:keymaps>
  <wne:acds>
    <wne:acd wne:argValue="AQAAAAAA" wne:acdName="acd0" wne:fciIndexBasedOn="0065"/>
    <wne:acd wne:argValue="AgBoiDxohVG5Ww=="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gD+VkdyB2iYmA==" wne:acdName="acd6" wne:fciIndexBasedOn="0065"/>
    <wne:acd wne:argValue="AgBoiDxoB2iYm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PMingLiU">
    <w:altName w:val="Microsoft JhengHei"/>
    <w:panose1 w:val="02020500000000000000"/>
    <w:charset w:val="88"/>
    <w:family w:val="auto"/>
    <w:pitch w:val="default"/>
    <w:sig w:usb0="00000000" w:usb1="00000000" w:usb2="00000016"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Hgqse3gAQAAwgMAAA4AAAAA&#10;AAAAAQAgAAAAHgEAAGRycy9lMm9Eb2MueG1sUEsFBgAAAAAGAAYAWQEAAHA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F4srXeIBAADCAwAADgAA&#10;AAAAAAABACAAAAAeAQAAZHJzL2Uyb0RvYy54bWxQSwUGAAAAAAYABgBZAQAAcgU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1H8EfgAQAAwgMAAA4AAAAA&#10;AAAAAQAgAAAAHgEAAGRycy9lMm9Eb2MueG1sUEsFBgAAAAAGAAYAWQEAAHA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9PbiDgAQAAwgMAAA4AAAAA&#10;AAAAAQAgAAAAHgEAAGRycy9lMm9Eb2MueG1sUEsFBgAAAAAGAAYAWQEAAHA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WDtTrgAQAAwgMAAA4AAAAA&#10;AAAAAQAgAAAAHgEAAGRycy9lMm9Eb2MueG1sUEsFBgAAAAAGAAYAWQEAAHA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1719A9"/>
    <w:multiLevelType w:val="singleLevel"/>
    <w:tmpl w:val="311719A9"/>
    <w:lvl w:ilvl="0" w:tentative="0">
      <w:start w:val="3"/>
      <w:numFmt w:val="decimal"/>
      <w:suff w:val="nothing"/>
      <w:lvlText w:val="（%1）"/>
      <w:lvlJc w:val="left"/>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52"/>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458FBDE3"/>
    <w:multiLevelType w:val="singleLevel"/>
    <w:tmpl w:val="458FBDE3"/>
    <w:lvl w:ilvl="0" w:tentative="0">
      <w:start w:val="1"/>
      <w:numFmt w:val="decimal"/>
      <w:suff w:val="nothing"/>
      <w:lvlText w:val="（%1）"/>
      <w:lvlJc w:val="left"/>
    </w:lvl>
  </w:abstractNum>
  <w:abstractNum w:abstractNumId="3">
    <w:nsid w:val="5AD56A49"/>
    <w:multiLevelType w:val="multilevel"/>
    <w:tmpl w:val="5AD56A49"/>
    <w:lvl w:ilvl="0" w:tentative="0">
      <w:start w:val="1"/>
      <w:numFmt w:val="decimal"/>
      <w:suff w:val="space"/>
      <w:lvlText w:val="%1"/>
      <w:lvlJc w:val="left"/>
      <w:pPr>
        <w:ind w:left="0" w:firstLine="0"/>
      </w:pPr>
      <w:rPr>
        <w:rFonts w:hint="eastAsia"/>
        <w:sz w:val="36"/>
      </w:rPr>
    </w:lvl>
    <w:lvl w:ilvl="1" w:tentative="0">
      <w:start w:val="1"/>
      <w:numFmt w:val="decimal"/>
      <w:suff w:val="space"/>
      <w:lvlText w:val="%1.%2"/>
      <w:lvlJc w:val="left"/>
      <w:pPr>
        <w:ind w:left="1985" w:firstLine="0"/>
      </w:pPr>
      <w:rPr>
        <w:rFonts w:hint="eastAsia"/>
        <w:b/>
      </w:rPr>
    </w:lvl>
    <w:lvl w:ilvl="2" w:tentative="0">
      <w:start w:val="1"/>
      <w:numFmt w:val="decimal"/>
      <w:suff w:val="space"/>
      <w:lvlText w:val="%1.%2.%3"/>
      <w:lvlJc w:val="left"/>
      <w:pPr>
        <w:ind w:left="3599" w:hanging="480"/>
      </w:pPr>
    </w:lvl>
    <w:lvl w:ilvl="3" w:tentative="0">
      <w:start w:val="1"/>
      <w:numFmt w:val="decimal"/>
      <w:pStyle w:val="6"/>
      <w:suff w:val="space"/>
      <w:lvlText w:val="%1.%2.%3.%4"/>
      <w:lvlJc w:val="left"/>
      <w:pPr>
        <w:ind w:left="1331" w:hanging="48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Text w:val="%1.%2.%3.%4.%5"/>
      <w:lvlJc w:val="left"/>
      <w:pPr>
        <w:tabs>
          <w:tab w:val="left" w:pos="1488"/>
        </w:tabs>
        <w:ind w:left="1488" w:hanging="1008"/>
      </w:pPr>
      <w:rPr>
        <w:rFonts w:hint="eastAsia"/>
      </w:rPr>
    </w:lvl>
    <w:lvl w:ilvl="5" w:tentative="0">
      <w:start w:val="1"/>
      <w:numFmt w:val="decimal"/>
      <w:lvlText w:val="%1.%2.%3.%4.%5.%6"/>
      <w:lvlJc w:val="left"/>
      <w:pPr>
        <w:tabs>
          <w:tab w:val="left" w:pos="1632"/>
        </w:tabs>
        <w:ind w:left="1632" w:hanging="1152"/>
      </w:pPr>
      <w:rPr>
        <w:rFonts w:hint="eastAsia"/>
      </w:rPr>
    </w:lvl>
    <w:lvl w:ilvl="6" w:tentative="0">
      <w:start w:val="1"/>
      <w:numFmt w:val="decimal"/>
      <w:lvlText w:val="%1.%2.%3.%4.%5.%6.%7"/>
      <w:lvlJc w:val="left"/>
      <w:pPr>
        <w:tabs>
          <w:tab w:val="left" w:pos="1776"/>
        </w:tabs>
        <w:ind w:left="1776" w:hanging="1296"/>
      </w:pPr>
      <w:rPr>
        <w:rFonts w:hint="eastAsia"/>
      </w:rPr>
    </w:lvl>
    <w:lvl w:ilvl="7" w:tentative="0">
      <w:start w:val="1"/>
      <w:numFmt w:val="decimal"/>
      <w:lvlText w:val="%1.%2.%3.%4.%5.%6.%7.%8"/>
      <w:lvlJc w:val="left"/>
      <w:pPr>
        <w:tabs>
          <w:tab w:val="left" w:pos="1920"/>
        </w:tabs>
        <w:ind w:left="1920" w:hanging="1440"/>
      </w:pPr>
      <w:rPr>
        <w:rFonts w:hint="eastAsia"/>
      </w:rPr>
    </w:lvl>
    <w:lvl w:ilvl="8" w:tentative="0">
      <w:start w:val="1"/>
      <w:numFmt w:val="decimal"/>
      <w:lvlText w:val="%1.%2.%3.%4.%5.%6.%7.%8.%9"/>
      <w:lvlJc w:val="left"/>
      <w:pPr>
        <w:tabs>
          <w:tab w:val="left" w:pos="2064"/>
        </w:tabs>
        <w:ind w:left="2064" w:hanging="1584"/>
      </w:pPr>
      <w:rPr>
        <w:rFonts w:hint="eastAsia"/>
      </w:rPr>
    </w:lvl>
  </w:abstractNum>
  <w:abstractNum w:abstractNumId="4">
    <w:nsid w:val="7B2941A2"/>
    <w:multiLevelType w:val="singleLevel"/>
    <w:tmpl w:val="7B2941A2"/>
    <w:lvl w:ilvl="0" w:tentative="0">
      <w:start w:val="2"/>
      <w:numFmt w:val="chineseCounting"/>
      <w:suff w:val="nothing"/>
      <w:lvlText w:val="%1、"/>
      <w:lvlJc w:val="left"/>
      <w:rPr>
        <w:rFonts w:hint="eastAsia"/>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4MmEwOTE5ZjlhN2Y4ZDdhZTNiOGRhMDBjOTJhYTkifQ=="/>
    <w:docVar w:name="KSO_WPS_MARK_KEY" w:val="067cb270-4d52-4641-9e2f-80ff61ed315c"/>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6923"/>
    <w:rsid w:val="002B7B00"/>
    <w:rsid w:val="002B7C44"/>
    <w:rsid w:val="002C2B17"/>
    <w:rsid w:val="002D3DD0"/>
    <w:rsid w:val="002E1F3A"/>
    <w:rsid w:val="002E298A"/>
    <w:rsid w:val="002E4883"/>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7A2"/>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C3336"/>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76CC3"/>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6470"/>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91"/>
    <w:rsid w:val="009E227D"/>
    <w:rsid w:val="009E5019"/>
    <w:rsid w:val="00A04F1B"/>
    <w:rsid w:val="00A0501B"/>
    <w:rsid w:val="00A14947"/>
    <w:rsid w:val="00A32A83"/>
    <w:rsid w:val="00A368DB"/>
    <w:rsid w:val="00A423AA"/>
    <w:rsid w:val="00A53EC6"/>
    <w:rsid w:val="00A55C0F"/>
    <w:rsid w:val="00A578F8"/>
    <w:rsid w:val="00A8713F"/>
    <w:rsid w:val="00A90BA1"/>
    <w:rsid w:val="00A97A9A"/>
    <w:rsid w:val="00AA0671"/>
    <w:rsid w:val="00AA2531"/>
    <w:rsid w:val="00AB1E09"/>
    <w:rsid w:val="00AB5330"/>
    <w:rsid w:val="00AB7747"/>
    <w:rsid w:val="00AC14CE"/>
    <w:rsid w:val="00AC2A56"/>
    <w:rsid w:val="00AD055E"/>
    <w:rsid w:val="00AD47A7"/>
    <w:rsid w:val="00AD52E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7865"/>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3AA4"/>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3C38"/>
    <w:rsid w:val="01072ECF"/>
    <w:rsid w:val="010D2E8F"/>
    <w:rsid w:val="012328BE"/>
    <w:rsid w:val="01290F7E"/>
    <w:rsid w:val="01366A2E"/>
    <w:rsid w:val="014F2A90"/>
    <w:rsid w:val="0159126E"/>
    <w:rsid w:val="015D1E09"/>
    <w:rsid w:val="01621A88"/>
    <w:rsid w:val="017C4E3A"/>
    <w:rsid w:val="0183157C"/>
    <w:rsid w:val="01852063"/>
    <w:rsid w:val="018C1470"/>
    <w:rsid w:val="018D0F17"/>
    <w:rsid w:val="018D782F"/>
    <w:rsid w:val="019E3125"/>
    <w:rsid w:val="01A71FD9"/>
    <w:rsid w:val="01AE307C"/>
    <w:rsid w:val="01C15E5A"/>
    <w:rsid w:val="01D012F1"/>
    <w:rsid w:val="01EE7C08"/>
    <w:rsid w:val="01F91E7E"/>
    <w:rsid w:val="01FF4701"/>
    <w:rsid w:val="023A4BFB"/>
    <w:rsid w:val="024871CF"/>
    <w:rsid w:val="024A390C"/>
    <w:rsid w:val="025554E5"/>
    <w:rsid w:val="025724B2"/>
    <w:rsid w:val="02633569"/>
    <w:rsid w:val="02697903"/>
    <w:rsid w:val="0270614F"/>
    <w:rsid w:val="029D518A"/>
    <w:rsid w:val="02B0379B"/>
    <w:rsid w:val="02CE2947"/>
    <w:rsid w:val="02E1227F"/>
    <w:rsid w:val="02EF0CFB"/>
    <w:rsid w:val="02F834FC"/>
    <w:rsid w:val="02F96569"/>
    <w:rsid w:val="02FE6A20"/>
    <w:rsid w:val="030D4835"/>
    <w:rsid w:val="031E276F"/>
    <w:rsid w:val="03307BCF"/>
    <w:rsid w:val="033F4577"/>
    <w:rsid w:val="033F743D"/>
    <w:rsid w:val="035C2AA9"/>
    <w:rsid w:val="035C4B69"/>
    <w:rsid w:val="03722553"/>
    <w:rsid w:val="0394180E"/>
    <w:rsid w:val="0394658D"/>
    <w:rsid w:val="03D251BA"/>
    <w:rsid w:val="03E23755"/>
    <w:rsid w:val="03EA7B21"/>
    <w:rsid w:val="04100401"/>
    <w:rsid w:val="04267190"/>
    <w:rsid w:val="04277401"/>
    <w:rsid w:val="0441390A"/>
    <w:rsid w:val="044E751E"/>
    <w:rsid w:val="045973AC"/>
    <w:rsid w:val="046E5030"/>
    <w:rsid w:val="048C64CE"/>
    <w:rsid w:val="04913F30"/>
    <w:rsid w:val="04933E65"/>
    <w:rsid w:val="049820AD"/>
    <w:rsid w:val="04A220A0"/>
    <w:rsid w:val="04A80BB2"/>
    <w:rsid w:val="04BA2042"/>
    <w:rsid w:val="04BB1570"/>
    <w:rsid w:val="04F70CD7"/>
    <w:rsid w:val="05015EDC"/>
    <w:rsid w:val="052E47BF"/>
    <w:rsid w:val="05423CA0"/>
    <w:rsid w:val="05483AD3"/>
    <w:rsid w:val="05676EDD"/>
    <w:rsid w:val="05BE7F09"/>
    <w:rsid w:val="05D669C2"/>
    <w:rsid w:val="05F83EAE"/>
    <w:rsid w:val="060D44F6"/>
    <w:rsid w:val="062B48CF"/>
    <w:rsid w:val="063E7D85"/>
    <w:rsid w:val="06431CCA"/>
    <w:rsid w:val="06514084"/>
    <w:rsid w:val="066C2B3E"/>
    <w:rsid w:val="06A80DF0"/>
    <w:rsid w:val="06C510C8"/>
    <w:rsid w:val="06F70059"/>
    <w:rsid w:val="06F76784"/>
    <w:rsid w:val="07126147"/>
    <w:rsid w:val="07177C01"/>
    <w:rsid w:val="07277341"/>
    <w:rsid w:val="07293586"/>
    <w:rsid w:val="07295285"/>
    <w:rsid w:val="072B3B7A"/>
    <w:rsid w:val="072D3069"/>
    <w:rsid w:val="07444D9A"/>
    <w:rsid w:val="074672DA"/>
    <w:rsid w:val="074C3F94"/>
    <w:rsid w:val="074F5A44"/>
    <w:rsid w:val="07636392"/>
    <w:rsid w:val="076E3F95"/>
    <w:rsid w:val="07770C56"/>
    <w:rsid w:val="07B27674"/>
    <w:rsid w:val="07BE7A31"/>
    <w:rsid w:val="07E65C42"/>
    <w:rsid w:val="08075383"/>
    <w:rsid w:val="08163393"/>
    <w:rsid w:val="082539F8"/>
    <w:rsid w:val="0839540F"/>
    <w:rsid w:val="084F5179"/>
    <w:rsid w:val="08644FF5"/>
    <w:rsid w:val="086F32C4"/>
    <w:rsid w:val="08952FFF"/>
    <w:rsid w:val="08B22F96"/>
    <w:rsid w:val="08BB3426"/>
    <w:rsid w:val="08BD0A08"/>
    <w:rsid w:val="08C02FD5"/>
    <w:rsid w:val="092217DD"/>
    <w:rsid w:val="09380B20"/>
    <w:rsid w:val="093A7294"/>
    <w:rsid w:val="09486288"/>
    <w:rsid w:val="094A1431"/>
    <w:rsid w:val="095F763D"/>
    <w:rsid w:val="0965569E"/>
    <w:rsid w:val="09703DBA"/>
    <w:rsid w:val="098152C7"/>
    <w:rsid w:val="098A39AD"/>
    <w:rsid w:val="099B28FC"/>
    <w:rsid w:val="09A633A0"/>
    <w:rsid w:val="09CB6A81"/>
    <w:rsid w:val="0A263993"/>
    <w:rsid w:val="0A2D3AC2"/>
    <w:rsid w:val="0A381A3F"/>
    <w:rsid w:val="0A422713"/>
    <w:rsid w:val="0A560A40"/>
    <w:rsid w:val="0A56459C"/>
    <w:rsid w:val="0A7E07AB"/>
    <w:rsid w:val="0A992D18"/>
    <w:rsid w:val="0AA62036"/>
    <w:rsid w:val="0AA755DF"/>
    <w:rsid w:val="0AAA0A48"/>
    <w:rsid w:val="0ABF4D0B"/>
    <w:rsid w:val="0AE92EB9"/>
    <w:rsid w:val="0AF273D4"/>
    <w:rsid w:val="0AF3623C"/>
    <w:rsid w:val="0B0C6999"/>
    <w:rsid w:val="0B120D44"/>
    <w:rsid w:val="0B204BAA"/>
    <w:rsid w:val="0B24490D"/>
    <w:rsid w:val="0B3D750A"/>
    <w:rsid w:val="0B4C2609"/>
    <w:rsid w:val="0B5D5E31"/>
    <w:rsid w:val="0B6B40B0"/>
    <w:rsid w:val="0B6E1EE8"/>
    <w:rsid w:val="0B957041"/>
    <w:rsid w:val="0B9C3A01"/>
    <w:rsid w:val="0BBC5AE4"/>
    <w:rsid w:val="0BCE59EC"/>
    <w:rsid w:val="0BD27BF6"/>
    <w:rsid w:val="0BD32EB8"/>
    <w:rsid w:val="0BF0554D"/>
    <w:rsid w:val="0C08767E"/>
    <w:rsid w:val="0C192340"/>
    <w:rsid w:val="0C197F77"/>
    <w:rsid w:val="0C256A6B"/>
    <w:rsid w:val="0C3B3C7D"/>
    <w:rsid w:val="0C4A4FE4"/>
    <w:rsid w:val="0C54462F"/>
    <w:rsid w:val="0C5B233E"/>
    <w:rsid w:val="0C80165F"/>
    <w:rsid w:val="0C82125C"/>
    <w:rsid w:val="0C8B63D6"/>
    <w:rsid w:val="0CA6180D"/>
    <w:rsid w:val="0CAA5073"/>
    <w:rsid w:val="0CAB2EAE"/>
    <w:rsid w:val="0CB832EC"/>
    <w:rsid w:val="0CC24833"/>
    <w:rsid w:val="0CC25F19"/>
    <w:rsid w:val="0CCA1507"/>
    <w:rsid w:val="0CD23A8C"/>
    <w:rsid w:val="0CD46CA9"/>
    <w:rsid w:val="0CD8398F"/>
    <w:rsid w:val="0CDC60F2"/>
    <w:rsid w:val="0CE41886"/>
    <w:rsid w:val="0D054058"/>
    <w:rsid w:val="0D347429"/>
    <w:rsid w:val="0D3E2B46"/>
    <w:rsid w:val="0D5D72E9"/>
    <w:rsid w:val="0D621C7D"/>
    <w:rsid w:val="0DAD4426"/>
    <w:rsid w:val="0DBF0641"/>
    <w:rsid w:val="0DCE0D4E"/>
    <w:rsid w:val="0DDC057E"/>
    <w:rsid w:val="0DDE3F8C"/>
    <w:rsid w:val="0DE87C01"/>
    <w:rsid w:val="0DF465A6"/>
    <w:rsid w:val="0DFD568F"/>
    <w:rsid w:val="0E0665DE"/>
    <w:rsid w:val="0E290A20"/>
    <w:rsid w:val="0E39220B"/>
    <w:rsid w:val="0E4D215A"/>
    <w:rsid w:val="0E562348"/>
    <w:rsid w:val="0E6B164E"/>
    <w:rsid w:val="0E73034D"/>
    <w:rsid w:val="0E8C446E"/>
    <w:rsid w:val="0E9C09EC"/>
    <w:rsid w:val="0EA572B6"/>
    <w:rsid w:val="0EB57654"/>
    <w:rsid w:val="0EBD060C"/>
    <w:rsid w:val="0EC00B7E"/>
    <w:rsid w:val="0ECC307F"/>
    <w:rsid w:val="0ECF4EF9"/>
    <w:rsid w:val="0EE92D03"/>
    <w:rsid w:val="0F13775A"/>
    <w:rsid w:val="0F1B2C77"/>
    <w:rsid w:val="0F3B2DFB"/>
    <w:rsid w:val="0F566DED"/>
    <w:rsid w:val="0F5F45FE"/>
    <w:rsid w:val="0F76748F"/>
    <w:rsid w:val="0F7F00F1"/>
    <w:rsid w:val="0F921D2B"/>
    <w:rsid w:val="0F9A112B"/>
    <w:rsid w:val="0F9A4E3C"/>
    <w:rsid w:val="0FD832FA"/>
    <w:rsid w:val="0FEB27A9"/>
    <w:rsid w:val="10057395"/>
    <w:rsid w:val="102E2DC8"/>
    <w:rsid w:val="103C4234"/>
    <w:rsid w:val="10443B37"/>
    <w:rsid w:val="10523A58"/>
    <w:rsid w:val="10605B9B"/>
    <w:rsid w:val="106D2F64"/>
    <w:rsid w:val="108D7FF4"/>
    <w:rsid w:val="109C72E6"/>
    <w:rsid w:val="10B1077E"/>
    <w:rsid w:val="10B63710"/>
    <w:rsid w:val="10CC684A"/>
    <w:rsid w:val="10D3061C"/>
    <w:rsid w:val="10D66C2D"/>
    <w:rsid w:val="10DF7C4E"/>
    <w:rsid w:val="10F10820"/>
    <w:rsid w:val="1116143E"/>
    <w:rsid w:val="111C2F7A"/>
    <w:rsid w:val="11401C3A"/>
    <w:rsid w:val="1142587A"/>
    <w:rsid w:val="114A0BD3"/>
    <w:rsid w:val="114F1075"/>
    <w:rsid w:val="11665CA1"/>
    <w:rsid w:val="11706C95"/>
    <w:rsid w:val="117F087D"/>
    <w:rsid w:val="1190200B"/>
    <w:rsid w:val="119D51A7"/>
    <w:rsid w:val="11C37E00"/>
    <w:rsid w:val="12137217"/>
    <w:rsid w:val="12331667"/>
    <w:rsid w:val="12346042"/>
    <w:rsid w:val="123F33FB"/>
    <w:rsid w:val="123F3E42"/>
    <w:rsid w:val="126E5B4B"/>
    <w:rsid w:val="128E1487"/>
    <w:rsid w:val="12940358"/>
    <w:rsid w:val="12C90F86"/>
    <w:rsid w:val="1300364A"/>
    <w:rsid w:val="1308406A"/>
    <w:rsid w:val="130F6E68"/>
    <w:rsid w:val="132D3624"/>
    <w:rsid w:val="13386A96"/>
    <w:rsid w:val="135E2714"/>
    <w:rsid w:val="137D74C3"/>
    <w:rsid w:val="13951726"/>
    <w:rsid w:val="13954387"/>
    <w:rsid w:val="139B5716"/>
    <w:rsid w:val="13B3064B"/>
    <w:rsid w:val="13D02E2E"/>
    <w:rsid w:val="13FB2F19"/>
    <w:rsid w:val="140B4552"/>
    <w:rsid w:val="14186C97"/>
    <w:rsid w:val="14396509"/>
    <w:rsid w:val="143F024C"/>
    <w:rsid w:val="144B713C"/>
    <w:rsid w:val="147B4731"/>
    <w:rsid w:val="149929BC"/>
    <w:rsid w:val="14B06F9F"/>
    <w:rsid w:val="14B22D17"/>
    <w:rsid w:val="14DC4E99"/>
    <w:rsid w:val="14DD2C3C"/>
    <w:rsid w:val="150A2B53"/>
    <w:rsid w:val="15175270"/>
    <w:rsid w:val="15483D18"/>
    <w:rsid w:val="155E4F14"/>
    <w:rsid w:val="1562473D"/>
    <w:rsid w:val="156A1312"/>
    <w:rsid w:val="15724A80"/>
    <w:rsid w:val="15741932"/>
    <w:rsid w:val="15763D45"/>
    <w:rsid w:val="15796327"/>
    <w:rsid w:val="157F56F9"/>
    <w:rsid w:val="158326AB"/>
    <w:rsid w:val="15881755"/>
    <w:rsid w:val="15B825AF"/>
    <w:rsid w:val="15BF43CF"/>
    <w:rsid w:val="16087E1D"/>
    <w:rsid w:val="16225C7A"/>
    <w:rsid w:val="16247E31"/>
    <w:rsid w:val="16290DB7"/>
    <w:rsid w:val="163663DF"/>
    <w:rsid w:val="164E288B"/>
    <w:rsid w:val="16532951"/>
    <w:rsid w:val="16585E87"/>
    <w:rsid w:val="165D3433"/>
    <w:rsid w:val="169C021C"/>
    <w:rsid w:val="16AC4F61"/>
    <w:rsid w:val="16B11307"/>
    <w:rsid w:val="16D03928"/>
    <w:rsid w:val="172377DF"/>
    <w:rsid w:val="17243245"/>
    <w:rsid w:val="172E4ECC"/>
    <w:rsid w:val="17336D74"/>
    <w:rsid w:val="1745552F"/>
    <w:rsid w:val="17591B70"/>
    <w:rsid w:val="175D49FE"/>
    <w:rsid w:val="17701D14"/>
    <w:rsid w:val="17735226"/>
    <w:rsid w:val="1789105F"/>
    <w:rsid w:val="17C03415"/>
    <w:rsid w:val="17F6199C"/>
    <w:rsid w:val="17FC3582"/>
    <w:rsid w:val="18011D31"/>
    <w:rsid w:val="18037057"/>
    <w:rsid w:val="180C0990"/>
    <w:rsid w:val="18263B06"/>
    <w:rsid w:val="182757CA"/>
    <w:rsid w:val="18464E68"/>
    <w:rsid w:val="189F624C"/>
    <w:rsid w:val="18C42C04"/>
    <w:rsid w:val="18CD0677"/>
    <w:rsid w:val="18CF62D0"/>
    <w:rsid w:val="18D6068D"/>
    <w:rsid w:val="18E070E3"/>
    <w:rsid w:val="1910661F"/>
    <w:rsid w:val="193D0B06"/>
    <w:rsid w:val="19633AD3"/>
    <w:rsid w:val="197020C9"/>
    <w:rsid w:val="199078C4"/>
    <w:rsid w:val="19BE3F0C"/>
    <w:rsid w:val="19BE5188"/>
    <w:rsid w:val="19FC44FB"/>
    <w:rsid w:val="1A0A53A3"/>
    <w:rsid w:val="1A1903A2"/>
    <w:rsid w:val="1A1C66C0"/>
    <w:rsid w:val="1A277D03"/>
    <w:rsid w:val="1A302BC9"/>
    <w:rsid w:val="1A42393B"/>
    <w:rsid w:val="1A42429A"/>
    <w:rsid w:val="1A772458"/>
    <w:rsid w:val="1A96046A"/>
    <w:rsid w:val="1AAD45DE"/>
    <w:rsid w:val="1AD556B8"/>
    <w:rsid w:val="1AE10735"/>
    <w:rsid w:val="1AE1489F"/>
    <w:rsid w:val="1AF948BF"/>
    <w:rsid w:val="1B046F80"/>
    <w:rsid w:val="1B097409"/>
    <w:rsid w:val="1B3267B5"/>
    <w:rsid w:val="1B3A75C2"/>
    <w:rsid w:val="1B40161D"/>
    <w:rsid w:val="1B431515"/>
    <w:rsid w:val="1B441859"/>
    <w:rsid w:val="1B4931A0"/>
    <w:rsid w:val="1B5A6653"/>
    <w:rsid w:val="1B6606B1"/>
    <w:rsid w:val="1B68395E"/>
    <w:rsid w:val="1B805340"/>
    <w:rsid w:val="1B8454BF"/>
    <w:rsid w:val="1B9A701C"/>
    <w:rsid w:val="1B9C0326"/>
    <w:rsid w:val="1BAF6202"/>
    <w:rsid w:val="1BAF75F5"/>
    <w:rsid w:val="1BB61476"/>
    <w:rsid w:val="1BD04127"/>
    <w:rsid w:val="1C024264"/>
    <w:rsid w:val="1C054074"/>
    <w:rsid w:val="1C077FF0"/>
    <w:rsid w:val="1C167AAF"/>
    <w:rsid w:val="1C172105"/>
    <w:rsid w:val="1C3E421B"/>
    <w:rsid w:val="1C596652"/>
    <w:rsid w:val="1C5E57D4"/>
    <w:rsid w:val="1C5E7925"/>
    <w:rsid w:val="1C8C6F0D"/>
    <w:rsid w:val="1CB258E3"/>
    <w:rsid w:val="1CC563F0"/>
    <w:rsid w:val="1CC77D9A"/>
    <w:rsid w:val="1CCF50E5"/>
    <w:rsid w:val="1CE44143"/>
    <w:rsid w:val="1CFD070F"/>
    <w:rsid w:val="1D221D5A"/>
    <w:rsid w:val="1D5F6196"/>
    <w:rsid w:val="1D6132A5"/>
    <w:rsid w:val="1D6423B4"/>
    <w:rsid w:val="1D6819B9"/>
    <w:rsid w:val="1D762CF1"/>
    <w:rsid w:val="1D8E56D5"/>
    <w:rsid w:val="1D95543A"/>
    <w:rsid w:val="1D9B4C90"/>
    <w:rsid w:val="1DA11853"/>
    <w:rsid w:val="1DB45D52"/>
    <w:rsid w:val="1DB4635D"/>
    <w:rsid w:val="1DCE3577"/>
    <w:rsid w:val="1DD2060D"/>
    <w:rsid w:val="1DE44892"/>
    <w:rsid w:val="1E11700C"/>
    <w:rsid w:val="1E13619C"/>
    <w:rsid w:val="1E4A00BB"/>
    <w:rsid w:val="1E4E1501"/>
    <w:rsid w:val="1E57483D"/>
    <w:rsid w:val="1E6650B2"/>
    <w:rsid w:val="1E7A43DA"/>
    <w:rsid w:val="1E7D7EA8"/>
    <w:rsid w:val="1EB063DC"/>
    <w:rsid w:val="1EB109E6"/>
    <w:rsid w:val="1EB4616A"/>
    <w:rsid w:val="1EBF74B2"/>
    <w:rsid w:val="1EC71AB5"/>
    <w:rsid w:val="1ECF02F5"/>
    <w:rsid w:val="1ED56888"/>
    <w:rsid w:val="1ED85F9C"/>
    <w:rsid w:val="1EDC60EE"/>
    <w:rsid w:val="1EDD501A"/>
    <w:rsid w:val="1EF328AA"/>
    <w:rsid w:val="1EF9468F"/>
    <w:rsid w:val="1EFF4264"/>
    <w:rsid w:val="1F117716"/>
    <w:rsid w:val="1F290373"/>
    <w:rsid w:val="1F3D3547"/>
    <w:rsid w:val="1F5144D6"/>
    <w:rsid w:val="1F5C044F"/>
    <w:rsid w:val="1F616FFA"/>
    <w:rsid w:val="1F633F66"/>
    <w:rsid w:val="1F81104A"/>
    <w:rsid w:val="1F9E1743"/>
    <w:rsid w:val="1FB81D6B"/>
    <w:rsid w:val="1FDA76FF"/>
    <w:rsid w:val="1FE63988"/>
    <w:rsid w:val="1FE7539E"/>
    <w:rsid w:val="1FFE1506"/>
    <w:rsid w:val="1FFF695C"/>
    <w:rsid w:val="202A22FB"/>
    <w:rsid w:val="202A4611"/>
    <w:rsid w:val="20474C5B"/>
    <w:rsid w:val="20671BE0"/>
    <w:rsid w:val="20766648"/>
    <w:rsid w:val="20821C90"/>
    <w:rsid w:val="20963CB8"/>
    <w:rsid w:val="20965950"/>
    <w:rsid w:val="20A81A1B"/>
    <w:rsid w:val="20A97641"/>
    <w:rsid w:val="20B07FB6"/>
    <w:rsid w:val="20B646FB"/>
    <w:rsid w:val="20B87907"/>
    <w:rsid w:val="20BE0AC7"/>
    <w:rsid w:val="20EE356F"/>
    <w:rsid w:val="20FB2805"/>
    <w:rsid w:val="21056592"/>
    <w:rsid w:val="2114797F"/>
    <w:rsid w:val="211B0890"/>
    <w:rsid w:val="212E28C3"/>
    <w:rsid w:val="213B74B1"/>
    <w:rsid w:val="215A2310"/>
    <w:rsid w:val="216F166C"/>
    <w:rsid w:val="216F4064"/>
    <w:rsid w:val="216F7708"/>
    <w:rsid w:val="217A0641"/>
    <w:rsid w:val="21966D78"/>
    <w:rsid w:val="219D08AB"/>
    <w:rsid w:val="21A9681A"/>
    <w:rsid w:val="21B40858"/>
    <w:rsid w:val="21BB6D03"/>
    <w:rsid w:val="21BD11EA"/>
    <w:rsid w:val="21C2643E"/>
    <w:rsid w:val="21DE318A"/>
    <w:rsid w:val="21EC0C19"/>
    <w:rsid w:val="21EF5B80"/>
    <w:rsid w:val="220A23B6"/>
    <w:rsid w:val="221D6DEE"/>
    <w:rsid w:val="222F4291"/>
    <w:rsid w:val="2230259D"/>
    <w:rsid w:val="224F723D"/>
    <w:rsid w:val="22576990"/>
    <w:rsid w:val="226338A3"/>
    <w:rsid w:val="226576B3"/>
    <w:rsid w:val="2267494E"/>
    <w:rsid w:val="226F7094"/>
    <w:rsid w:val="227B52F5"/>
    <w:rsid w:val="22E34336"/>
    <w:rsid w:val="22E43C09"/>
    <w:rsid w:val="22EB6832"/>
    <w:rsid w:val="22F47480"/>
    <w:rsid w:val="22FC09F2"/>
    <w:rsid w:val="23113332"/>
    <w:rsid w:val="23141B3E"/>
    <w:rsid w:val="232C7F1D"/>
    <w:rsid w:val="232D4F01"/>
    <w:rsid w:val="235805FF"/>
    <w:rsid w:val="23585B01"/>
    <w:rsid w:val="236146B0"/>
    <w:rsid w:val="23735872"/>
    <w:rsid w:val="237C5BAD"/>
    <w:rsid w:val="23863CED"/>
    <w:rsid w:val="239F4424"/>
    <w:rsid w:val="23A24DDB"/>
    <w:rsid w:val="23D815FA"/>
    <w:rsid w:val="23DD3A31"/>
    <w:rsid w:val="23DE1C48"/>
    <w:rsid w:val="23E629DD"/>
    <w:rsid w:val="23FA5A56"/>
    <w:rsid w:val="240210CD"/>
    <w:rsid w:val="2423153B"/>
    <w:rsid w:val="242500FD"/>
    <w:rsid w:val="243A0D7D"/>
    <w:rsid w:val="24496D1C"/>
    <w:rsid w:val="246B583D"/>
    <w:rsid w:val="248C70E1"/>
    <w:rsid w:val="248F7F74"/>
    <w:rsid w:val="24B94BD6"/>
    <w:rsid w:val="24BF09F7"/>
    <w:rsid w:val="24C20820"/>
    <w:rsid w:val="24C541D7"/>
    <w:rsid w:val="24C841E5"/>
    <w:rsid w:val="251E5675"/>
    <w:rsid w:val="252D53FE"/>
    <w:rsid w:val="25334B07"/>
    <w:rsid w:val="25510391"/>
    <w:rsid w:val="25534FFB"/>
    <w:rsid w:val="25575B08"/>
    <w:rsid w:val="25580B74"/>
    <w:rsid w:val="255F5CA2"/>
    <w:rsid w:val="25733D33"/>
    <w:rsid w:val="257F5FA5"/>
    <w:rsid w:val="259F0920"/>
    <w:rsid w:val="25A0096A"/>
    <w:rsid w:val="25A03A02"/>
    <w:rsid w:val="25A70474"/>
    <w:rsid w:val="25B82157"/>
    <w:rsid w:val="25E22D30"/>
    <w:rsid w:val="25EC2D81"/>
    <w:rsid w:val="26146D7D"/>
    <w:rsid w:val="262F52ED"/>
    <w:rsid w:val="2680328A"/>
    <w:rsid w:val="26865DB2"/>
    <w:rsid w:val="268F4B4E"/>
    <w:rsid w:val="269D2EE0"/>
    <w:rsid w:val="26A94E85"/>
    <w:rsid w:val="26AB3691"/>
    <w:rsid w:val="26AE191A"/>
    <w:rsid w:val="26E14896"/>
    <w:rsid w:val="26E5614D"/>
    <w:rsid w:val="26F77E70"/>
    <w:rsid w:val="2708217A"/>
    <w:rsid w:val="271F5409"/>
    <w:rsid w:val="27204124"/>
    <w:rsid w:val="27231C50"/>
    <w:rsid w:val="272932AA"/>
    <w:rsid w:val="272F6449"/>
    <w:rsid w:val="273B6A6C"/>
    <w:rsid w:val="27437B6A"/>
    <w:rsid w:val="2749593C"/>
    <w:rsid w:val="2770350C"/>
    <w:rsid w:val="277057A2"/>
    <w:rsid w:val="27716A62"/>
    <w:rsid w:val="27792C45"/>
    <w:rsid w:val="277F018F"/>
    <w:rsid w:val="27A06B99"/>
    <w:rsid w:val="27A877A0"/>
    <w:rsid w:val="27B65BE3"/>
    <w:rsid w:val="27B96CF9"/>
    <w:rsid w:val="27BE0420"/>
    <w:rsid w:val="27C27F3D"/>
    <w:rsid w:val="27D74B17"/>
    <w:rsid w:val="27DD16E5"/>
    <w:rsid w:val="27FA10A7"/>
    <w:rsid w:val="28153ABC"/>
    <w:rsid w:val="281F4D38"/>
    <w:rsid w:val="28414686"/>
    <w:rsid w:val="28846B32"/>
    <w:rsid w:val="288E786D"/>
    <w:rsid w:val="28A75D1E"/>
    <w:rsid w:val="28B65563"/>
    <w:rsid w:val="28D01690"/>
    <w:rsid w:val="28DD4562"/>
    <w:rsid w:val="28E026ED"/>
    <w:rsid w:val="29206EB8"/>
    <w:rsid w:val="29290B96"/>
    <w:rsid w:val="29391458"/>
    <w:rsid w:val="2940493E"/>
    <w:rsid w:val="294C1FA2"/>
    <w:rsid w:val="294D3355"/>
    <w:rsid w:val="29595666"/>
    <w:rsid w:val="29600A3A"/>
    <w:rsid w:val="296F5223"/>
    <w:rsid w:val="29874881"/>
    <w:rsid w:val="299073D4"/>
    <w:rsid w:val="29AB18AC"/>
    <w:rsid w:val="29B226E0"/>
    <w:rsid w:val="29C9190B"/>
    <w:rsid w:val="29DD32BB"/>
    <w:rsid w:val="29E325E0"/>
    <w:rsid w:val="29EC24C6"/>
    <w:rsid w:val="29F2313B"/>
    <w:rsid w:val="29F342D4"/>
    <w:rsid w:val="2A04596B"/>
    <w:rsid w:val="2A11379E"/>
    <w:rsid w:val="2A256724"/>
    <w:rsid w:val="2A257690"/>
    <w:rsid w:val="2A452503"/>
    <w:rsid w:val="2A585A67"/>
    <w:rsid w:val="2A5957DE"/>
    <w:rsid w:val="2A7725E1"/>
    <w:rsid w:val="2A7B200B"/>
    <w:rsid w:val="2AA8153C"/>
    <w:rsid w:val="2ACA7090"/>
    <w:rsid w:val="2AD553DA"/>
    <w:rsid w:val="2AEC1AFB"/>
    <w:rsid w:val="2AF0196B"/>
    <w:rsid w:val="2AFB4BDF"/>
    <w:rsid w:val="2B0129B8"/>
    <w:rsid w:val="2B091034"/>
    <w:rsid w:val="2B1D5BBE"/>
    <w:rsid w:val="2B2E2CA4"/>
    <w:rsid w:val="2B46309E"/>
    <w:rsid w:val="2B683CD8"/>
    <w:rsid w:val="2B782B4F"/>
    <w:rsid w:val="2B8464E9"/>
    <w:rsid w:val="2B853E24"/>
    <w:rsid w:val="2B982962"/>
    <w:rsid w:val="2BA936A8"/>
    <w:rsid w:val="2BB173D5"/>
    <w:rsid w:val="2BE8746F"/>
    <w:rsid w:val="2BFC0486"/>
    <w:rsid w:val="2C136339"/>
    <w:rsid w:val="2C163734"/>
    <w:rsid w:val="2C315A5A"/>
    <w:rsid w:val="2C441574"/>
    <w:rsid w:val="2C4B1C25"/>
    <w:rsid w:val="2C59225E"/>
    <w:rsid w:val="2C5B55EB"/>
    <w:rsid w:val="2C666773"/>
    <w:rsid w:val="2C803D54"/>
    <w:rsid w:val="2C924AB8"/>
    <w:rsid w:val="2C956D4E"/>
    <w:rsid w:val="2C960461"/>
    <w:rsid w:val="2C9703F6"/>
    <w:rsid w:val="2CA34020"/>
    <w:rsid w:val="2CF83863"/>
    <w:rsid w:val="2CFE71E0"/>
    <w:rsid w:val="2D2A2DEF"/>
    <w:rsid w:val="2D442249"/>
    <w:rsid w:val="2D872B3B"/>
    <w:rsid w:val="2D9E56F5"/>
    <w:rsid w:val="2DA2165A"/>
    <w:rsid w:val="2DAB7F91"/>
    <w:rsid w:val="2DB35ED0"/>
    <w:rsid w:val="2DCF4E03"/>
    <w:rsid w:val="2DD55A3F"/>
    <w:rsid w:val="2DDE7064"/>
    <w:rsid w:val="2DEC07CC"/>
    <w:rsid w:val="2E187C37"/>
    <w:rsid w:val="2E2A1718"/>
    <w:rsid w:val="2E2A7A62"/>
    <w:rsid w:val="2E3031D3"/>
    <w:rsid w:val="2E373A02"/>
    <w:rsid w:val="2E482663"/>
    <w:rsid w:val="2E4B563C"/>
    <w:rsid w:val="2E50117F"/>
    <w:rsid w:val="2E667F96"/>
    <w:rsid w:val="2E6F67FD"/>
    <w:rsid w:val="2E7023A8"/>
    <w:rsid w:val="2E8226AB"/>
    <w:rsid w:val="2E9279E9"/>
    <w:rsid w:val="2E96292F"/>
    <w:rsid w:val="2EA10934"/>
    <w:rsid w:val="2EB04B51"/>
    <w:rsid w:val="2EB931C8"/>
    <w:rsid w:val="2EDC6EB7"/>
    <w:rsid w:val="2EEA416A"/>
    <w:rsid w:val="2EED3AB1"/>
    <w:rsid w:val="2EF22E34"/>
    <w:rsid w:val="2EF32ACF"/>
    <w:rsid w:val="2F05774F"/>
    <w:rsid w:val="2F066963"/>
    <w:rsid w:val="2F0A5469"/>
    <w:rsid w:val="2F0C2DCA"/>
    <w:rsid w:val="2F1B5932"/>
    <w:rsid w:val="2F1E4F88"/>
    <w:rsid w:val="2F2D47E1"/>
    <w:rsid w:val="2F2E62F8"/>
    <w:rsid w:val="2F38663A"/>
    <w:rsid w:val="2F3B7E2B"/>
    <w:rsid w:val="2F4405B8"/>
    <w:rsid w:val="2F4D1C7B"/>
    <w:rsid w:val="2F6B3D97"/>
    <w:rsid w:val="2F7449B1"/>
    <w:rsid w:val="2F776D0B"/>
    <w:rsid w:val="2F8902C0"/>
    <w:rsid w:val="2FCA4F61"/>
    <w:rsid w:val="2FD065E6"/>
    <w:rsid w:val="2FD96870"/>
    <w:rsid w:val="2FEC6CE1"/>
    <w:rsid w:val="2FF62BC2"/>
    <w:rsid w:val="2FFA3A98"/>
    <w:rsid w:val="304C5976"/>
    <w:rsid w:val="304F23A3"/>
    <w:rsid w:val="30580BC9"/>
    <w:rsid w:val="306F3241"/>
    <w:rsid w:val="30731A9A"/>
    <w:rsid w:val="3091782D"/>
    <w:rsid w:val="309537C1"/>
    <w:rsid w:val="30A2776E"/>
    <w:rsid w:val="30B30CDB"/>
    <w:rsid w:val="30B738C5"/>
    <w:rsid w:val="30BF756B"/>
    <w:rsid w:val="30E77262"/>
    <w:rsid w:val="30E91417"/>
    <w:rsid w:val="30F67066"/>
    <w:rsid w:val="311436B1"/>
    <w:rsid w:val="311E2ED7"/>
    <w:rsid w:val="3124707A"/>
    <w:rsid w:val="312D483B"/>
    <w:rsid w:val="3130505B"/>
    <w:rsid w:val="315619EE"/>
    <w:rsid w:val="315A2315"/>
    <w:rsid w:val="315C449C"/>
    <w:rsid w:val="31684A32"/>
    <w:rsid w:val="31693246"/>
    <w:rsid w:val="317C228B"/>
    <w:rsid w:val="318D2ED0"/>
    <w:rsid w:val="31B82709"/>
    <w:rsid w:val="31D05482"/>
    <w:rsid w:val="31E97C7A"/>
    <w:rsid w:val="31F12E97"/>
    <w:rsid w:val="31FF525A"/>
    <w:rsid w:val="32400B34"/>
    <w:rsid w:val="326630DC"/>
    <w:rsid w:val="326C2ECA"/>
    <w:rsid w:val="326D71AF"/>
    <w:rsid w:val="327214BB"/>
    <w:rsid w:val="327D62BB"/>
    <w:rsid w:val="329D2F15"/>
    <w:rsid w:val="329E6876"/>
    <w:rsid w:val="32A0644D"/>
    <w:rsid w:val="32A1377B"/>
    <w:rsid w:val="32B30CA6"/>
    <w:rsid w:val="32C139B1"/>
    <w:rsid w:val="32C51F76"/>
    <w:rsid w:val="32D73669"/>
    <w:rsid w:val="32F02B24"/>
    <w:rsid w:val="32F063C7"/>
    <w:rsid w:val="331C5AD4"/>
    <w:rsid w:val="333015F2"/>
    <w:rsid w:val="333640E9"/>
    <w:rsid w:val="334B6320"/>
    <w:rsid w:val="33543C90"/>
    <w:rsid w:val="337456B4"/>
    <w:rsid w:val="337A170A"/>
    <w:rsid w:val="337D214D"/>
    <w:rsid w:val="339E023F"/>
    <w:rsid w:val="33AA2C3B"/>
    <w:rsid w:val="33C92117"/>
    <w:rsid w:val="33CF6FEA"/>
    <w:rsid w:val="33D77C4D"/>
    <w:rsid w:val="33D934D4"/>
    <w:rsid w:val="33DF613C"/>
    <w:rsid w:val="33FE2F6A"/>
    <w:rsid w:val="340216AB"/>
    <w:rsid w:val="34060480"/>
    <w:rsid w:val="340E07E5"/>
    <w:rsid w:val="34235BF7"/>
    <w:rsid w:val="342923B6"/>
    <w:rsid w:val="34295B23"/>
    <w:rsid w:val="34350021"/>
    <w:rsid w:val="3437693D"/>
    <w:rsid w:val="34605E94"/>
    <w:rsid w:val="34661DFE"/>
    <w:rsid w:val="347B0F20"/>
    <w:rsid w:val="348203CC"/>
    <w:rsid w:val="34941A99"/>
    <w:rsid w:val="349C5E4E"/>
    <w:rsid w:val="349F3DFE"/>
    <w:rsid w:val="34A301BF"/>
    <w:rsid w:val="34A521EA"/>
    <w:rsid w:val="34DF0C68"/>
    <w:rsid w:val="34F16887"/>
    <w:rsid w:val="35025E98"/>
    <w:rsid w:val="353217FC"/>
    <w:rsid w:val="35370DDB"/>
    <w:rsid w:val="35466215"/>
    <w:rsid w:val="354A3B3D"/>
    <w:rsid w:val="354E1C2A"/>
    <w:rsid w:val="355A6BF1"/>
    <w:rsid w:val="35753CD1"/>
    <w:rsid w:val="35856A5D"/>
    <w:rsid w:val="358C5FA8"/>
    <w:rsid w:val="35922A4E"/>
    <w:rsid w:val="35B60C78"/>
    <w:rsid w:val="35BB12AF"/>
    <w:rsid w:val="35C020D4"/>
    <w:rsid w:val="35C15DF1"/>
    <w:rsid w:val="35EA25AC"/>
    <w:rsid w:val="36074A7F"/>
    <w:rsid w:val="362B769C"/>
    <w:rsid w:val="36445C82"/>
    <w:rsid w:val="365A0A03"/>
    <w:rsid w:val="365C741D"/>
    <w:rsid w:val="366A3731"/>
    <w:rsid w:val="3688061E"/>
    <w:rsid w:val="36923549"/>
    <w:rsid w:val="36981915"/>
    <w:rsid w:val="369A7220"/>
    <w:rsid w:val="369E3223"/>
    <w:rsid w:val="36A4691F"/>
    <w:rsid w:val="36A54032"/>
    <w:rsid w:val="36AA0DA9"/>
    <w:rsid w:val="36AA44B1"/>
    <w:rsid w:val="36AA73BE"/>
    <w:rsid w:val="36B75FBF"/>
    <w:rsid w:val="36BD0C45"/>
    <w:rsid w:val="36BD39AA"/>
    <w:rsid w:val="36CE6F48"/>
    <w:rsid w:val="36D30227"/>
    <w:rsid w:val="36DB4DD0"/>
    <w:rsid w:val="36FA72AD"/>
    <w:rsid w:val="36FD6C55"/>
    <w:rsid w:val="36FF7BE6"/>
    <w:rsid w:val="37050875"/>
    <w:rsid w:val="37060F75"/>
    <w:rsid w:val="37384253"/>
    <w:rsid w:val="377E7348"/>
    <w:rsid w:val="37887C0B"/>
    <w:rsid w:val="378B225F"/>
    <w:rsid w:val="379B56E5"/>
    <w:rsid w:val="37B8030D"/>
    <w:rsid w:val="37D42E21"/>
    <w:rsid w:val="37E00298"/>
    <w:rsid w:val="37F233EF"/>
    <w:rsid w:val="38033706"/>
    <w:rsid w:val="380B7600"/>
    <w:rsid w:val="381274A5"/>
    <w:rsid w:val="381C20D2"/>
    <w:rsid w:val="3841209E"/>
    <w:rsid w:val="38416BA3"/>
    <w:rsid w:val="384C3BE4"/>
    <w:rsid w:val="38717A1C"/>
    <w:rsid w:val="38876278"/>
    <w:rsid w:val="3894206C"/>
    <w:rsid w:val="38954EC6"/>
    <w:rsid w:val="38B302F9"/>
    <w:rsid w:val="38E075A3"/>
    <w:rsid w:val="38F12CD3"/>
    <w:rsid w:val="38F94775"/>
    <w:rsid w:val="392971ED"/>
    <w:rsid w:val="39325651"/>
    <w:rsid w:val="39442BD2"/>
    <w:rsid w:val="3951565B"/>
    <w:rsid w:val="395A20AC"/>
    <w:rsid w:val="39661496"/>
    <w:rsid w:val="39BD625F"/>
    <w:rsid w:val="39C4792F"/>
    <w:rsid w:val="39C76E1B"/>
    <w:rsid w:val="39E314DA"/>
    <w:rsid w:val="39E845E8"/>
    <w:rsid w:val="39F33792"/>
    <w:rsid w:val="39F41558"/>
    <w:rsid w:val="39F97E9E"/>
    <w:rsid w:val="3A036F39"/>
    <w:rsid w:val="3A06303A"/>
    <w:rsid w:val="3A0E4C4C"/>
    <w:rsid w:val="3A872856"/>
    <w:rsid w:val="3A9931F9"/>
    <w:rsid w:val="3AA1782D"/>
    <w:rsid w:val="3AC1607D"/>
    <w:rsid w:val="3AC5774B"/>
    <w:rsid w:val="3AD82B48"/>
    <w:rsid w:val="3ADC7D0A"/>
    <w:rsid w:val="3AEE1C00"/>
    <w:rsid w:val="3AF72FD1"/>
    <w:rsid w:val="3AF85078"/>
    <w:rsid w:val="3AF9316B"/>
    <w:rsid w:val="3B070E17"/>
    <w:rsid w:val="3B1F4DB5"/>
    <w:rsid w:val="3B3763D1"/>
    <w:rsid w:val="3B466287"/>
    <w:rsid w:val="3B4F27BE"/>
    <w:rsid w:val="3B666E80"/>
    <w:rsid w:val="3B691CD9"/>
    <w:rsid w:val="3B6B1AA6"/>
    <w:rsid w:val="3B704858"/>
    <w:rsid w:val="3B7A7EE6"/>
    <w:rsid w:val="3B7C5278"/>
    <w:rsid w:val="3B8406BA"/>
    <w:rsid w:val="3B844B5E"/>
    <w:rsid w:val="3BBD205B"/>
    <w:rsid w:val="3BDB4B55"/>
    <w:rsid w:val="3BFF5557"/>
    <w:rsid w:val="3C044A49"/>
    <w:rsid w:val="3C074E88"/>
    <w:rsid w:val="3C2F6E1E"/>
    <w:rsid w:val="3C4A780A"/>
    <w:rsid w:val="3C4F64BA"/>
    <w:rsid w:val="3C724E04"/>
    <w:rsid w:val="3C7426FC"/>
    <w:rsid w:val="3C791469"/>
    <w:rsid w:val="3C82186F"/>
    <w:rsid w:val="3CA97CBE"/>
    <w:rsid w:val="3CAA64E6"/>
    <w:rsid w:val="3CC46FE2"/>
    <w:rsid w:val="3CDA245A"/>
    <w:rsid w:val="3CE547E0"/>
    <w:rsid w:val="3CED1CA0"/>
    <w:rsid w:val="3CF47AC1"/>
    <w:rsid w:val="3D1E06B7"/>
    <w:rsid w:val="3D1F34ED"/>
    <w:rsid w:val="3D3C244E"/>
    <w:rsid w:val="3D400079"/>
    <w:rsid w:val="3D956E55"/>
    <w:rsid w:val="3DB64500"/>
    <w:rsid w:val="3DBE09D0"/>
    <w:rsid w:val="3DC15BF5"/>
    <w:rsid w:val="3DC356A5"/>
    <w:rsid w:val="3DC9379A"/>
    <w:rsid w:val="3DF17B5D"/>
    <w:rsid w:val="3DF27D0D"/>
    <w:rsid w:val="3DF83EDF"/>
    <w:rsid w:val="3DFD7A3B"/>
    <w:rsid w:val="3E067BF9"/>
    <w:rsid w:val="3E30750E"/>
    <w:rsid w:val="3E3A3370"/>
    <w:rsid w:val="3E741CA3"/>
    <w:rsid w:val="3E8135D7"/>
    <w:rsid w:val="3E86568C"/>
    <w:rsid w:val="3EC724C7"/>
    <w:rsid w:val="3EDA0523"/>
    <w:rsid w:val="3EDA58D6"/>
    <w:rsid w:val="3EF142B8"/>
    <w:rsid w:val="3EFC7FA0"/>
    <w:rsid w:val="3EFF0DE7"/>
    <w:rsid w:val="3F124C15"/>
    <w:rsid w:val="3F2D72BA"/>
    <w:rsid w:val="3F3B77A6"/>
    <w:rsid w:val="3F44372E"/>
    <w:rsid w:val="3F4C2B1B"/>
    <w:rsid w:val="3F626FE3"/>
    <w:rsid w:val="3F68252D"/>
    <w:rsid w:val="3F84431C"/>
    <w:rsid w:val="3F947C6A"/>
    <w:rsid w:val="3FAB5528"/>
    <w:rsid w:val="3FB672B0"/>
    <w:rsid w:val="3FCD6CF3"/>
    <w:rsid w:val="3FD86B02"/>
    <w:rsid w:val="3FD86F52"/>
    <w:rsid w:val="3FDD3F12"/>
    <w:rsid w:val="3FF71B9E"/>
    <w:rsid w:val="3FFC192C"/>
    <w:rsid w:val="400349D9"/>
    <w:rsid w:val="400D3A17"/>
    <w:rsid w:val="402027BB"/>
    <w:rsid w:val="402F79E1"/>
    <w:rsid w:val="403C5A07"/>
    <w:rsid w:val="4068522F"/>
    <w:rsid w:val="406D22D9"/>
    <w:rsid w:val="407A6407"/>
    <w:rsid w:val="40842230"/>
    <w:rsid w:val="408E2E4C"/>
    <w:rsid w:val="4095553B"/>
    <w:rsid w:val="40B03CFF"/>
    <w:rsid w:val="40BF2194"/>
    <w:rsid w:val="40CA6929"/>
    <w:rsid w:val="40D7128C"/>
    <w:rsid w:val="40E07F22"/>
    <w:rsid w:val="41007633"/>
    <w:rsid w:val="41076015"/>
    <w:rsid w:val="41242C83"/>
    <w:rsid w:val="412B7F0F"/>
    <w:rsid w:val="414032D5"/>
    <w:rsid w:val="414345C7"/>
    <w:rsid w:val="4165453A"/>
    <w:rsid w:val="416C7098"/>
    <w:rsid w:val="417319A2"/>
    <w:rsid w:val="418357E9"/>
    <w:rsid w:val="41C45CB4"/>
    <w:rsid w:val="41D2003F"/>
    <w:rsid w:val="41D92A60"/>
    <w:rsid w:val="41E73615"/>
    <w:rsid w:val="41F1159F"/>
    <w:rsid w:val="41F271FE"/>
    <w:rsid w:val="41FF3239"/>
    <w:rsid w:val="4200449D"/>
    <w:rsid w:val="4219292C"/>
    <w:rsid w:val="422F08A0"/>
    <w:rsid w:val="423A3BCC"/>
    <w:rsid w:val="424E57D2"/>
    <w:rsid w:val="424F1D8C"/>
    <w:rsid w:val="42601417"/>
    <w:rsid w:val="427403EE"/>
    <w:rsid w:val="427936E5"/>
    <w:rsid w:val="428C63DD"/>
    <w:rsid w:val="4299076E"/>
    <w:rsid w:val="429953EB"/>
    <w:rsid w:val="429A76AC"/>
    <w:rsid w:val="42A653BA"/>
    <w:rsid w:val="42AA13A4"/>
    <w:rsid w:val="42B26C49"/>
    <w:rsid w:val="42B96FF7"/>
    <w:rsid w:val="42D8059A"/>
    <w:rsid w:val="42E87780"/>
    <w:rsid w:val="42F02924"/>
    <w:rsid w:val="430A3EE5"/>
    <w:rsid w:val="430A5480"/>
    <w:rsid w:val="43107404"/>
    <w:rsid w:val="432143C8"/>
    <w:rsid w:val="43244531"/>
    <w:rsid w:val="432E602F"/>
    <w:rsid w:val="43316DD8"/>
    <w:rsid w:val="43340C18"/>
    <w:rsid w:val="433A6FE6"/>
    <w:rsid w:val="43417150"/>
    <w:rsid w:val="43480868"/>
    <w:rsid w:val="4350713C"/>
    <w:rsid w:val="43611D8C"/>
    <w:rsid w:val="43622872"/>
    <w:rsid w:val="436653E0"/>
    <w:rsid w:val="43865F28"/>
    <w:rsid w:val="43A0005B"/>
    <w:rsid w:val="43B2156B"/>
    <w:rsid w:val="43C4431A"/>
    <w:rsid w:val="443C04BB"/>
    <w:rsid w:val="446C48DB"/>
    <w:rsid w:val="447F5EC2"/>
    <w:rsid w:val="44820BD4"/>
    <w:rsid w:val="44917DF6"/>
    <w:rsid w:val="44A1052F"/>
    <w:rsid w:val="44B84FAE"/>
    <w:rsid w:val="44B951CC"/>
    <w:rsid w:val="44B964EC"/>
    <w:rsid w:val="44C62B4D"/>
    <w:rsid w:val="44CD14E0"/>
    <w:rsid w:val="44CD4E80"/>
    <w:rsid w:val="44DC4EAC"/>
    <w:rsid w:val="44E3662F"/>
    <w:rsid w:val="44E4632B"/>
    <w:rsid w:val="44E8259C"/>
    <w:rsid w:val="44ED336A"/>
    <w:rsid w:val="44EE129A"/>
    <w:rsid w:val="44F20B0B"/>
    <w:rsid w:val="45077AE3"/>
    <w:rsid w:val="45096AE5"/>
    <w:rsid w:val="450D332F"/>
    <w:rsid w:val="45102868"/>
    <w:rsid w:val="452E2BA5"/>
    <w:rsid w:val="452E5F4C"/>
    <w:rsid w:val="45322AF0"/>
    <w:rsid w:val="455A43CB"/>
    <w:rsid w:val="45612018"/>
    <w:rsid w:val="456F6138"/>
    <w:rsid w:val="458946E9"/>
    <w:rsid w:val="45A47C0E"/>
    <w:rsid w:val="45B30C92"/>
    <w:rsid w:val="45D93C4F"/>
    <w:rsid w:val="45E157E3"/>
    <w:rsid w:val="45EB50B3"/>
    <w:rsid w:val="45FF375F"/>
    <w:rsid w:val="46003033"/>
    <w:rsid w:val="46060BE6"/>
    <w:rsid w:val="460F1F22"/>
    <w:rsid w:val="462762E7"/>
    <w:rsid w:val="462813AD"/>
    <w:rsid w:val="463D4FAA"/>
    <w:rsid w:val="46577FD6"/>
    <w:rsid w:val="4678013D"/>
    <w:rsid w:val="467C619D"/>
    <w:rsid w:val="46BE4BA5"/>
    <w:rsid w:val="46D955A7"/>
    <w:rsid w:val="46DE7651"/>
    <w:rsid w:val="46E8586B"/>
    <w:rsid w:val="47133957"/>
    <w:rsid w:val="475A6D0F"/>
    <w:rsid w:val="47696BF9"/>
    <w:rsid w:val="476B7654"/>
    <w:rsid w:val="476F0BC1"/>
    <w:rsid w:val="4799729B"/>
    <w:rsid w:val="47A07E0C"/>
    <w:rsid w:val="47BC05C8"/>
    <w:rsid w:val="47C76C5A"/>
    <w:rsid w:val="47C85858"/>
    <w:rsid w:val="47D40048"/>
    <w:rsid w:val="47D45781"/>
    <w:rsid w:val="47D61232"/>
    <w:rsid w:val="48067EA4"/>
    <w:rsid w:val="480A76F2"/>
    <w:rsid w:val="483F6AC4"/>
    <w:rsid w:val="485F5EDD"/>
    <w:rsid w:val="4870272E"/>
    <w:rsid w:val="48723AE3"/>
    <w:rsid w:val="487F2935"/>
    <w:rsid w:val="489A776F"/>
    <w:rsid w:val="48A96B63"/>
    <w:rsid w:val="48D03190"/>
    <w:rsid w:val="48D12A65"/>
    <w:rsid w:val="48D84B59"/>
    <w:rsid w:val="48FC29F8"/>
    <w:rsid w:val="492C3D92"/>
    <w:rsid w:val="4944592C"/>
    <w:rsid w:val="494B7DBA"/>
    <w:rsid w:val="49746212"/>
    <w:rsid w:val="49846E82"/>
    <w:rsid w:val="499654A3"/>
    <w:rsid w:val="49995C78"/>
    <w:rsid w:val="49AB28D0"/>
    <w:rsid w:val="49C2511E"/>
    <w:rsid w:val="49DC7715"/>
    <w:rsid w:val="49E5513D"/>
    <w:rsid w:val="4A023139"/>
    <w:rsid w:val="4A1D241F"/>
    <w:rsid w:val="4A1E617D"/>
    <w:rsid w:val="4A384131"/>
    <w:rsid w:val="4A677B24"/>
    <w:rsid w:val="4A7B576F"/>
    <w:rsid w:val="4A830A4A"/>
    <w:rsid w:val="4A922C18"/>
    <w:rsid w:val="4A9E3C4D"/>
    <w:rsid w:val="4AB2329C"/>
    <w:rsid w:val="4ACA1E61"/>
    <w:rsid w:val="4AD52506"/>
    <w:rsid w:val="4AEE3CA1"/>
    <w:rsid w:val="4AF561A9"/>
    <w:rsid w:val="4AFB0DB2"/>
    <w:rsid w:val="4B0F6C70"/>
    <w:rsid w:val="4B1159FC"/>
    <w:rsid w:val="4B143107"/>
    <w:rsid w:val="4B177A15"/>
    <w:rsid w:val="4B2F0540"/>
    <w:rsid w:val="4B5C1514"/>
    <w:rsid w:val="4B63653E"/>
    <w:rsid w:val="4B6752AA"/>
    <w:rsid w:val="4B700C5B"/>
    <w:rsid w:val="4B910F90"/>
    <w:rsid w:val="4BAA2B41"/>
    <w:rsid w:val="4BAF3313"/>
    <w:rsid w:val="4BBA626D"/>
    <w:rsid w:val="4BC76053"/>
    <w:rsid w:val="4BCA036B"/>
    <w:rsid w:val="4BD865FD"/>
    <w:rsid w:val="4BDE7972"/>
    <w:rsid w:val="4C266675"/>
    <w:rsid w:val="4C2F5118"/>
    <w:rsid w:val="4C3B4FFF"/>
    <w:rsid w:val="4C4529AA"/>
    <w:rsid w:val="4C4A0649"/>
    <w:rsid w:val="4C5C19DC"/>
    <w:rsid w:val="4C607606"/>
    <w:rsid w:val="4C6D5CD6"/>
    <w:rsid w:val="4C7E5ECA"/>
    <w:rsid w:val="4C876AA5"/>
    <w:rsid w:val="4C982E64"/>
    <w:rsid w:val="4C9D2FAE"/>
    <w:rsid w:val="4CC520BD"/>
    <w:rsid w:val="4CF6702F"/>
    <w:rsid w:val="4D0E00FB"/>
    <w:rsid w:val="4D176606"/>
    <w:rsid w:val="4D2459F0"/>
    <w:rsid w:val="4D9724CF"/>
    <w:rsid w:val="4D9F13E1"/>
    <w:rsid w:val="4DA370C6"/>
    <w:rsid w:val="4DA669D1"/>
    <w:rsid w:val="4DB116B7"/>
    <w:rsid w:val="4DC06D0D"/>
    <w:rsid w:val="4DC512E0"/>
    <w:rsid w:val="4DD969CF"/>
    <w:rsid w:val="4DEC4FB0"/>
    <w:rsid w:val="4E075D8A"/>
    <w:rsid w:val="4E0F4AAB"/>
    <w:rsid w:val="4E1E3790"/>
    <w:rsid w:val="4E2E44B5"/>
    <w:rsid w:val="4E4660B1"/>
    <w:rsid w:val="4E536867"/>
    <w:rsid w:val="4E5747D6"/>
    <w:rsid w:val="4E65539D"/>
    <w:rsid w:val="4E831751"/>
    <w:rsid w:val="4E8475AB"/>
    <w:rsid w:val="4EAD2607"/>
    <w:rsid w:val="4EC00FAD"/>
    <w:rsid w:val="4EDA265F"/>
    <w:rsid w:val="4EE90239"/>
    <w:rsid w:val="4EEC4CD0"/>
    <w:rsid w:val="4F2E20F7"/>
    <w:rsid w:val="4F585C8E"/>
    <w:rsid w:val="4F5C4726"/>
    <w:rsid w:val="4F781A35"/>
    <w:rsid w:val="4F895464"/>
    <w:rsid w:val="4F9843DC"/>
    <w:rsid w:val="4FAB3F31"/>
    <w:rsid w:val="4FAF7AA9"/>
    <w:rsid w:val="4FC62A8C"/>
    <w:rsid w:val="4FC66DD0"/>
    <w:rsid w:val="4FD32436"/>
    <w:rsid w:val="4FD6136C"/>
    <w:rsid w:val="4FE20F0D"/>
    <w:rsid w:val="4FE44C13"/>
    <w:rsid w:val="4FE51552"/>
    <w:rsid w:val="50226BE4"/>
    <w:rsid w:val="50255BE2"/>
    <w:rsid w:val="50331F89"/>
    <w:rsid w:val="50333DEC"/>
    <w:rsid w:val="50372F04"/>
    <w:rsid w:val="503D056A"/>
    <w:rsid w:val="503E4E84"/>
    <w:rsid w:val="50504C4B"/>
    <w:rsid w:val="506D4124"/>
    <w:rsid w:val="50817088"/>
    <w:rsid w:val="508C0886"/>
    <w:rsid w:val="509C6E7C"/>
    <w:rsid w:val="50B0429D"/>
    <w:rsid w:val="50CC21E5"/>
    <w:rsid w:val="50D96F51"/>
    <w:rsid w:val="50ED5BE0"/>
    <w:rsid w:val="50EF7B97"/>
    <w:rsid w:val="51122FDC"/>
    <w:rsid w:val="51136310"/>
    <w:rsid w:val="5119144D"/>
    <w:rsid w:val="511D6E11"/>
    <w:rsid w:val="51303C06"/>
    <w:rsid w:val="51457DEE"/>
    <w:rsid w:val="514E67FA"/>
    <w:rsid w:val="515D3A2F"/>
    <w:rsid w:val="515E2B63"/>
    <w:rsid w:val="5162104E"/>
    <w:rsid w:val="517B0E49"/>
    <w:rsid w:val="517F2773"/>
    <w:rsid w:val="518C2FCC"/>
    <w:rsid w:val="518C5B66"/>
    <w:rsid w:val="51A21131"/>
    <w:rsid w:val="51A97D0F"/>
    <w:rsid w:val="51AC3A8A"/>
    <w:rsid w:val="51BE5C1C"/>
    <w:rsid w:val="51C56916"/>
    <w:rsid w:val="51CF5369"/>
    <w:rsid w:val="51E11FEB"/>
    <w:rsid w:val="51E36BCA"/>
    <w:rsid w:val="52017803"/>
    <w:rsid w:val="521D2EF7"/>
    <w:rsid w:val="522233DA"/>
    <w:rsid w:val="522602C5"/>
    <w:rsid w:val="52330933"/>
    <w:rsid w:val="523310B4"/>
    <w:rsid w:val="523C04E3"/>
    <w:rsid w:val="525B31EF"/>
    <w:rsid w:val="526D4CD2"/>
    <w:rsid w:val="528A0854"/>
    <w:rsid w:val="528E4FF6"/>
    <w:rsid w:val="52A942DC"/>
    <w:rsid w:val="52D4387D"/>
    <w:rsid w:val="53373CD2"/>
    <w:rsid w:val="535F7DFE"/>
    <w:rsid w:val="536056F3"/>
    <w:rsid w:val="536C7F5A"/>
    <w:rsid w:val="537F0AF0"/>
    <w:rsid w:val="5396792E"/>
    <w:rsid w:val="53A039CC"/>
    <w:rsid w:val="53A1505A"/>
    <w:rsid w:val="53C1183E"/>
    <w:rsid w:val="53ED049E"/>
    <w:rsid w:val="53F643C7"/>
    <w:rsid w:val="54063E08"/>
    <w:rsid w:val="541448B2"/>
    <w:rsid w:val="54202E6F"/>
    <w:rsid w:val="5429048E"/>
    <w:rsid w:val="543437E8"/>
    <w:rsid w:val="543642A3"/>
    <w:rsid w:val="543B0E69"/>
    <w:rsid w:val="54414745"/>
    <w:rsid w:val="547B5A5B"/>
    <w:rsid w:val="5490264A"/>
    <w:rsid w:val="54F040E9"/>
    <w:rsid w:val="54F627E5"/>
    <w:rsid w:val="54F73313"/>
    <w:rsid w:val="54F80955"/>
    <w:rsid w:val="553E251A"/>
    <w:rsid w:val="555170A7"/>
    <w:rsid w:val="556B5F84"/>
    <w:rsid w:val="557D4671"/>
    <w:rsid w:val="557E5C5B"/>
    <w:rsid w:val="5587536D"/>
    <w:rsid w:val="558D0993"/>
    <w:rsid w:val="559B174B"/>
    <w:rsid w:val="559F3BFE"/>
    <w:rsid w:val="55B17EA6"/>
    <w:rsid w:val="55B772C4"/>
    <w:rsid w:val="55CE0CF4"/>
    <w:rsid w:val="55D43B94"/>
    <w:rsid w:val="55DE5100"/>
    <w:rsid w:val="56273EA0"/>
    <w:rsid w:val="563A03C4"/>
    <w:rsid w:val="563A60ED"/>
    <w:rsid w:val="56452445"/>
    <w:rsid w:val="56515C34"/>
    <w:rsid w:val="56703DB5"/>
    <w:rsid w:val="56826DF8"/>
    <w:rsid w:val="568C02DA"/>
    <w:rsid w:val="569021B1"/>
    <w:rsid w:val="56B22A9C"/>
    <w:rsid w:val="56DC53D4"/>
    <w:rsid w:val="56F17631"/>
    <w:rsid w:val="56F847DA"/>
    <w:rsid w:val="571D4121"/>
    <w:rsid w:val="57324157"/>
    <w:rsid w:val="5742757D"/>
    <w:rsid w:val="574625F1"/>
    <w:rsid w:val="57482A8C"/>
    <w:rsid w:val="57623B4D"/>
    <w:rsid w:val="57626292"/>
    <w:rsid w:val="57631674"/>
    <w:rsid w:val="576637DC"/>
    <w:rsid w:val="578266DD"/>
    <w:rsid w:val="578C2978"/>
    <w:rsid w:val="57B72A76"/>
    <w:rsid w:val="57C14DB1"/>
    <w:rsid w:val="57C3426C"/>
    <w:rsid w:val="57C97DA5"/>
    <w:rsid w:val="57CD4C48"/>
    <w:rsid w:val="57CE1F93"/>
    <w:rsid w:val="57E116FF"/>
    <w:rsid w:val="57E36310"/>
    <w:rsid w:val="58076FC0"/>
    <w:rsid w:val="580B5808"/>
    <w:rsid w:val="586003CF"/>
    <w:rsid w:val="58854C25"/>
    <w:rsid w:val="588743D1"/>
    <w:rsid w:val="5887701A"/>
    <w:rsid w:val="58980A35"/>
    <w:rsid w:val="58AB4AD0"/>
    <w:rsid w:val="58B91324"/>
    <w:rsid w:val="58B95A84"/>
    <w:rsid w:val="58DC6A05"/>
    <w:rsid w:val="58EE31BF"/>
    <w:rsid w:val="58FB271F"/>
    <w:rsid w:val="590745E3"/>
    <w:rsid w:val="59144144"/>
    <w:rsid w:val="594003D1"/>
    <w:rsid w:val="594B76D4"/>
    <w:rsid w:val="59641B83"/>
    <w:rsid w:val="59857E55"/>
    <w:rsid w:val="59C0439F"/>
    <w:rsid w:val="59D914FF"/>
    <w:rsid w:val="59F367F2"/>
    <w:rsid w:val="5A1E7CD0"/>
    <w:rsid w:val="5A1F4AF1"/>
    <w:rsid w:val="5A2F19D7"/>
    <w:rsid w:val="5A6E1F06"/>
    <w:rsid w:val="5A75209C"/>
    <w:rsid w:val="5A7E4B89"/>
    <w:rsid w:val="5A7F6F9F"/>
    <w:rsid w:val="5A854BE5"/>
    <w:rsid w:val="5A8C2C59"/>
    <w:rsid w:val="5A92071B"/>
    <w:rsid w:val="5A9A425B"/>
    <w:rsid w:val="5A9E4897"/>
    <w:rsid w:val="5AAF5D14"/>
    <w:rsid w:val="5ABE2233"/>
    <w:rsid w:val="5AE57B6B"/>
    <w:rsid w:val="5AF35329"/>
    <w:rsid w:val="5AFE1DDF"/>
    <w:rsid w:val="5B3752F1"/>
    <w:rsid w:val="5B4D4167"/>
    <w:rsid w:val="5B572E88"/>
    <w:rsid w:val="5B5A507C"/>
    <w:rsid w:val="5B5F2152"/>
    <w:rsid w:val="5B667984"/>
    <w:rsid w:val="5B783826"/>
    <w:rsid w:val="5B8450C9"/>
    <w:rsid w:val="5B940305"/>
    <w:rsid w:val="5B9949C9"/>
    <w:rsid w:val="5BDF5D95"/>
    <w:rsid w:val="5BE01FE7"/>
    <w:rsid w:val="5BE2502A"/>
    <w:rsid w:val="5BFE7528"/>
    <w:rsid w:val="5C024D80"/>
    <w:rsid w:val="5C163158"/>
    <w:rsid w:val="5C244DC6"/>
    <w:rsid w:val="5C2A6C04"/>
    <w:rsid w:val="5C3847A9"/>
    <w:rsid w:val="5C496AD3"/>
    <w:rsid w:val="5C62321E"/>
    <w:rsid w:val="5C9051E0"/>
    <w:rsid w:val="5CD222BD"/>
    <w:rsid w:val="5D2B6790"/>
    <w:rsid w:val="5D335675"/>
    <w:rsid w:val="5D3406E8"/>
    <w:rsid w:val="5D5071A3"/>
    <w:rsid w:val="5D5F721C"/>
    <w:rsid w:val="5D867E6A"/>
    <w:rsid w:val="5DED3DA4"/>
    <w:rsid w:val="5DF272AD"/>
    <w:rsid w:val="5E0A2153"/>
    <w:rsid w:val="5E0A2849"/>
    <w:rsid w:val="5E2045F7"/>
    <w:rsid w:val="5E2467F1"/>
    <w:rsid w:val="5E265463"/>
    <w:rsid w:val="5E3D5ABB"/>
    <w:rsid w:val="5E410D3D"/>
    <w:rsid w:val="5E432F68"/>
    <w:rsid w:val="5E8F7FC3"/>
    <w:rsid w:val="5E967014"/>
    <w:rsid w:val="5EA66AD7"/>
    <w:rsid w:val="5EB445D7"/>
    <w:rsid w:val="5EB50A07"/>
    <w:rsid w:val="5ECD4B97"/>
    <w:rsid w:val="5ED72097"/>
    <w:rsid w:val="5EDE0707"/>
    <w:rsid w:val="5EE42C0F"/>
    <w:rsid w:val="5EEC3E7E"/>
    <w:rsid w:val="5F0B46CA"/>
    <w:rsid w:val="5F0F2137"/>
    <w:rsid w:val="5F125E59"/>
    <w:rsid w:val="5F1A2B43"/>
    <w:rsid w:val="5F2E4ADE"/>
    <w:rsid w:val="5F3F5EF4"/>
    <w:rsid w:val="5F5C5FB8"/>
    <w:rsid w:val="5F620F08"/>
    <w:rsid w:val="5F6669A0"/>
    <w:rsid w:val="5F6917F1"/>
    <w:rsid w:val="5F7F1015"/>
    <w:rsid w:val="5FA23F05"/>
    <w:rsid w:val="5FB837BB"/>
    <w:rsid w:val="5FD309D6"/>
    <w:rsid w:val="5FDC0215"/>
    <w:rsid w:val="5FE40A36"/>
    <w:rsid w:val="600164AE"/>
    <w:rsid w:val="60183ED5"/>
    <w:rsid w:val="602C4BD7"/>
    <w:rsid w:val="605A6D9F"/>
    <w:rsid w:val="605E0C2A"/>
    <w:rsid w:val="606336E1"/>
    <w:rsid w:val="606B067F"/>
    <w:rsid w:val="60710D00"/>
    <w:rsid w:val="60B41BD6"/>
    <w:rsid w:val="60B70E3B"/>
    <w:rsid w:val="60B82FE3"/>
    <w:rsid w:val="60BA67A8"/>
    <w:rsid w:val="60C010B7"/>
    <w:rsid w:val="60CC1E8C"/>
    <w:rsid w:val="60CC405A"/>
    <w:rsid w:val="60CD7C9A"/>
    <w:rsid w:val="60E24BD5"/>
    <w:rsid w:val="60ED2AF8"/>
    <w:rsid w:val="60F55411"/>
    <w:rsid w:val="611567E0"/>
    <w:rsid w:val="6125061D"/>
    <w:rsid w:val="61366E4D"/>
    <w:rsid w:val="614735CE"/>
    <w:rsid w:val="618648DC"/>
    <w:rsid w:val="61872B6D"/>
    <w:rsid w:val="61BC20AC"/>
    <w:rsid w:val="61BD7FAE"/>
    <w:rsid w:val="61D41430"/>
    <w:rsid w:val="61E215D8"/>
    <w:rsid w:val="61EA269E"/>
    <w:rsid w:val="621A5025"/>
    <w:rsid w:val="621B3775"/>
    <w:rsid w:val="622007FB"/>
    <w:rsid w:val="62364782"/>
    <w:rsid w:val="623C0DD7"/>
    <w:rsid w:val="62432CDC"/>
    <w:rsid w:val="624843B8"/>
    <w:rsid w:val="624B2AC2"/>
    <w:rsid w:val="625978FB"/>
    <w:rsid w:val="6264769C"/>
    <w:rsid w:val="626751B4"/>
    <w:rsid w:val="62A57D4F"/>
    <w:rsid w:val="62AE5D58"/>
    <w:rsid w:val="62DE33F6"/>
    <w:rsid w:val="62DF2D7C"/>
    <w:rsid w:val="62F406B1"/>
    <w:rsid w:val="632E698A"/>
    <w:rsid w:val="633710D8"/>
    <w:rsid w:val="63526CAF"/>
    <w:rsid w:val="63702054"/>
    <w:rsid w:val="6388334F"/>
    <w:rsid w:val="6394356A"/>
    <w:rsid w:val="63BC0B63"/>
    <w:rsid w:val="63C61B2C"/>
    <w:rsid w:val="63CA421B"/>
    <w:rsid w:val="63D40BE9"/>
    <w:rsid w:val="63DF2082"/>
    <w:rsid w:val="63E241D4"/>
    <w:rsid w:val="63E61A82"/>
    <w:rsid w:val="63F26259"/>
    <w:rsid w:val="63F329CC"/>
    <w:rsid w:val="63FD69F1"/>
    <w:rsid w:val="63FF0065"/>
    <w:rsid w:val="64052C4E"/>
    <w:rsid w:val="64102431"/>
    <w:rsid w:val="641233B8"/>
    <w:rsid w:val="64223BEF"/>
    <w:rsid w:val="642D54E3"/>
    <w:rsid w:val="64300B2F"/>
    <w:rsid w:val="64486CCB"/>
    <w:rsid w:val="64690452"/>
    <w:rsid w:val="64740A1C"/>
    <w:rsid w:val="64997931"/>
    <w:rsid w:val="64A5243A"/>
    <w:rsid w:val="64BD537D"/>
    <w:rsid w:val="64DA55DD"/>
    <w:rsid w:val="64DE6930"/>
    <w:rsid w:val="64E1129F"/>
    <w:rsid w:val="64E41709"/>
    <w:rsid w:val="64F531DE"/>
    <w:rsid w:val="65116D2D"/>
    <w:rsid w:val="651E51F6"/>
    <w:rsid w:val="651F5701"/>
    <w:rsid w:val="65373578"/>
    <w:rsid w:val="654271BF"/>
    <w:rsid w:val="65471F13"/>
    <w:rsid w:val="6549531D"/>
    <w:rsid w:val="65583F21"/>
    <w:rsid w:val="6569254B"/>
    <w:rsid w:val="657C58B7"/>
    <w:rsid w:val="65A73026"/>
    <w:rsid w:val="65B04F76"/>
    <w:rsid w:val="65B51314"/>
    <w:rsid w:val="65F15DBF"/>
    <w:rsid w:val="660154ED"/>
    <w:rsid w:val="661E0743"/>
    <w:rsid w:val="66835660"/>
    <w:rsid w:val="66BC0B99"/>
    <w:rsid w:val="671F124A"/>
    <w:rsid w:val="6739432B"/>
    <w:rsid w:val="673F740E"/>
    <w:rsid w:val="67544B35"/>
    <w:rsid w:val="67694667"/>
    <w:rsid w:val="677A33C6"/>
    <w:rsid w:val="678A2757"/>
    <w:rsid w:val="678C6A85"/>
    <w:rsid w:val="679928AE"/>
    <w:rsid w:val="67B657F0"/>
    <w:rsid w:val="67B6759E"/>
    <w:rsid w:val="67BC554A"/>
    <w:rsid w:val="67C63C85"/>
    <w:rsid w:val="67F11F02"/>
    <w:rsid w:val="68047A08"/>
    <w:rsid w:val="681E0827"/>
    <w:rsid w:val="681F6961"/>
    <w:rsid w:val="682409AB"/>
    <w:rsid w:val="682457D6"/>
    <w:rsid w:val="685A74CC"/>
    <w:rsid w:val="68610A2F"/>
    <w:rsid w:val="68610AB9"/>
    <w:rsid w:val="6869276B"/>
    <w:rsid w:val="68805514"/>
    <w:rsid w:val="688C389A"/>
    <w:rsid w:val="6891032A"/>
    <w:rsid w:val="68C331B9"/>
    <w:rsid w:val="68CB7079"/>
    <w:rsid w:val="68E20E6E"/>
    <w:rsid w:val="68E5013A"/>
    <w:rsid w:val="69003243"/>
    <w:rsid w:val="691C5825"/>
    <w:rsid w:val="69202442"/>
    <w:rsid w:val="69316E2F"/>
    <w:rsid w:val="69320D92"/>
    <w:rsid w:val="694232BE"/>
    <w:rsid w:val="6942561B"/>
    <w:rsid w:val="694D1AF9"/>
    <w:rsid w:val="694E2071"/>
    <w:rsid w:val="6953378C"/>
    <w:rsid w:val="69766163"/>
    <w:rsid w:val="697A3B33"/>
    <w:rsid w:val="697A6AE1"/>
    <w:rsid w:val="69881A1D"/>
    <w:rsid w:val="69BC6580"/>
    <w:rsid w:val="69D3456E"/>
    <w:rsid w:val="69D44760"/>
    <w:rsid w:val="69F525FF"/>
    <w:rsid w:val="69FD0ADF"/>
    <w:rsid w:val="6A0E500E"/>
    <w:rsid w:val="6A2720C1"/>
    <w:rsid w:val="6A2C5E53"/>
    <w:rsid w:val="6A334ED5"/>
    <w:rsid w:val="6A3750A0"/>
    <w:rsid w:val="6A3D3329"/>
    <w:rsid w:val="6A3E1BFB"/>
    <w:rsid w:val="6A520EC7"/>
    <w:rsid w:val="6A5E3B5C"/>
    <w:rsid w:val="6A614E2C"/>
    <w:rsid w:val="6A7169D5"/>
    <w:rsid w:val="6ABA0EDC"/>
    <w:rsid w:val="6AC471FC"/>
    <w:rsid w:val="6AD0567B"/>
    <w:rsid w:val="6AEB7A2F"/>
    <w:rsid w:val="6AF34365"/>
    <w:rsid w:val="6AF87E20"/>
    <w:rsid w:val="6AFF0A3C"/>
    <w:rsid w:val="6B040620"/>
    <w:rsid w:val="6B0531C9"/>
    <w:rsid w:val="6B114CFB"/>
    <w:rsid w:val="6B1674B2"/>
    <w:rsid w:val="6B28319B"/>
    <w:rsid w:val="6B322639"/>
    <w:rsid w:val="6B4651F1"/>
    <w:rsid w:val="6B4C0B4D"/>
    <w:rsid w:val="6B55557B"/>
    <w:rsid w:val="6B5C220A"/>
    <w:rsid w:val="6B6653AE"/>
    <w:rsid w:val="6B753FCD"/>
    <w:rsid w:val="6BA0659B"/>
    <w:rsid w:val="6BA61461"/>
    <w:rsid w:val="6BA94FFC"/>
    <w:rsid w:val="6BCB7ABB"/>
    <w:rsid w:val="6BE153A2"/>
    <w:rsid w:val="6BEF3D6B"/>
    <w:rsid w:val="6C0C16EF"/>
    <w:rsid w:val="6C0F0299"/>
    <w:rsid w:val="6C196A8C"/>
    <w:rsid w:val="6C462D39"/>
    <w:rsid w:val="6C470BC6"/>
    <w:rsid w:val="6C636C38"/>
    <w:rsid w:val="6C894FEB"/>
    <w:rsid w:val="6CA67DBF"/>
    <w:rsid w:val="6CB674BA"/>
    <w:rsid w:val="6CBF655D"/>
    <w:rsid w:val="6CDA1225"/>
    <w:rsid w:val="6D364707"/>
    <w:rsid w:val="6D8407F8"/>
    <w:rsid w:val="6D91436C"/>
    <w:rsid w:val="6D9C2C61"/>
    <w:rsid w:val="6DA7378C"/>
    <w:rsid w:val="6DB34098"/>
    <w:rsid w:val="6DB545B6"/>
    <w:rsid w:val="6DB549E6"/>
    <w:rsid w:val="6DB9657F"/>
    <w:rsid w:val="6DDB3069"/>
    <w:rsid w:val="6DE02FB4"/>
    <w:rsid w:val="6E006115"/>
    <w:rsid w:val="6E1E2D80"/>
    <w:rsid w:val="6E214366"/>
    <w:rsid w:val="6E4771A1"/>
    <w:rsid w:val="6E514CED"/>
    <w:rsid w:val="6E5D1879"/>
    <w:rsid w:val="6E696063"/>
    <w:rsid w:val="6E732616"/>
    <w:rsid w:val="6E775CD9"/>
    <w:rsid w:val="6E7D0E15"/>
    <w:rsid w:val="6E8D183C"/>
    <w:rsid w:val="6EB10ABB"/>
    <w:rsid w:val="6EB563D5"/>
    <w:rsid w:val="6EBC53C3"/>
    <w:rsid w:val="6EC111D9"/>
    <w:rsid w:val="6ED03C77"/>
    <w:rsid w:val="6ED553B2"/>
    <w:rsid w:val="6ED92677"/>
    <w:rsid w:val="6EE95423"/>
    <w:rsid w:val="6EE9790F"/>
    <w:rsid w:val="6EF722CA"/>
    <w:rsid w:val="6EFF182A"/>
    <w:rsid w:val="6F0230C8"/>
    <w:rsid w:val="6F21311C"/>
    <w:rsid w:val="6F225983"/>
    <w:rsid w:val="6F3C3CB0"/>
    <w:rsid w:val="6F3C56DF"/>
    <w:rsid w:val="6F4002D6"/>
    <w:rsid w:val="6F411045"/>
    <w:rsid w:val="6F61452A"/>
    <w:rsid w:val="6F6175F1"/>
    <w:rsid w:val="6F6454C9"/>
    <w:rsid w:val="6F921AE1"/>
    <w:rsid w:val="6F975436"/>
    <w:rsid w:val="6F9F280A"/>
    <w:rsid w:val="6FC47F71"/>
    <w:rsid w:val="6FF5447B"/>
    <w:rsid w:val="6FFC5590"/>
    <w:rsid w:val="70041213"/>
    <w:rsid w:val="70383246"/>
    <w:rsid w:val="704F233D"/>
    <w:rsid w:val="706D1DD0"/>
    <w:rsid w:val="70856B87"/>
    <w:rsid w:val="70981F36"/>
    <w:rsid w:val="70D36FE2"/>
    <w:rsid w:val="70D527EE"/>
    <w:rsid w:val="70F42EDE"/>
    <w:rsid w:val="70F52EE5"/>
    <w:rsid w:val="711915BC"/>
    <w:rsid w:val="711927C5"/>
    <w:rsid w:val="7128150C"/>
    <w:rsid w:val="71402FD8"/>
    <w:rsid w:val="71543FE2"/>
    <w:rsid w:val="71595607"/>
    <w:rsid w:val="715B5300"/>
    <w:rsid w:val="715C5957"/>
    <w:rsid w:val="71900FDF"/>
    <w:rsid w:val="719331C8"/>
    <w:rsid w:val="71994862"/>
    <w:rsid w:val="71C11019"/>
    <w:rsid w:val="71D16F8A"/>
    <w:rsid w:val="71D27F8A"/>
    <w:rsid w:val="71F14F7E"/>
    <w:rsid w:val="71F323BC"/>
    <w:rsid w:val="72135515"/>
    <w:rsid w:val="7227188E"/>
    <w:rsid w:val="72293879"/>
    <w:rsid w:val="724F3232"/>
    <w:rsid w:val="72553024"/>
    <w:rsid w:val="72784469"/>
    <w:rsid w:val="72870682"/>
    <w:rsid w:val="72A20473"/>
    <w:rsid w:val="72C749C9"/>
    <w:rsid w:val="72CB03A1"/>
    <w:rsid w:val="72F456E2"/>
    <w:rsid w:val="72F74C81"/>
    <w:rsid w:val="73122968"/>
    <w:rsid w:val="731F5D5E"/>
    <w:rsid w:val="732342F6"/>
    <w:rsid w:val="73567E95"/>
    <w:rsid w:val="7394780C"/>
    <w:rsid w:val="73963CB4"/>
    <w:rsid w:val="73A6428B"/>
    <w:rsid w:val="73A66B2A"/>
    <w:rsid w:val="73B1265C"/>
    <w:rsid w:val="73BF3A31"/>
    <w:rsid w:val="73C51AD5"/>
    <w:rsid w:val="73C92407"/>
    <w:rsid w:val="73D82A9B"/>
    <w:rsid w:val="73D94D40"/>
    <w:rsid w:val="73E159A2"/>
    <w:rsid w:val="741E793C"/>
    <w:rsid w:val="745D43B8"/>
    <w:rsid w:val="745E3944"/>
    <w:rsid w:val="746A3BEA"/>
    <w:rsid w:val="746E36DA"/>
    <w:rsid w:val="74710FEF"/>
    <w:rsid w:val="747603D5"/>
    <w:rsid w:val="7479207F"/>
    <w:rsid w:val="747E4FD9"/>
    <w:rsid w:val="74803A99"/>
    <w:rsid w:val="74884070"/>
    <w:rsid w:val="748E78D8"/>
    <w:rsid w:val="749A67CC"/>
    <w:rsid w:val="749E52B8"/>
    <w:rsid w:val="74B60BDD"/>
    <w:rsid w:val="74C16CD4"/>
    <w:rsid w:val="74F87447"/>
    <w:rsid w:val="750C6A4F"/>
    <w:rsid w:val="751E41B8"/>
    <w:rsid w:val="753C6CFA"/>
    <w:rsid w:val="7564688B"/>
    <w:rsid w:val="75695C4F"/>
    <w:rsid w:val="75C438F9"/>
    <w:rsid w:val="75C67853"/>
    <w:rsid w:val="75CE4D77"/>
    <w:rsid w:val="75D64BB7"/>
    <w:rsid w:val="75D85B22"/>
    <w:rsid w:val="75E468FA"/>
    <w:rsid w:val="75EF3682"/>
    <w:rsid w:val="75F515C3"/>
    <w:rsid w:val="760065B4"/>
    <w:rsid w:val="760360A4"/>
    <w:rsid w:val="7605090C"/>
    <w:rsid w:val="760807B1"/>
    <w:rsid w:val="761B5537"/>
    <w:rsid w:val="76307B82"/>
    <w:rsid w:val="763141F9"/>
    <w:rsid w:val="7635099D"/>
    <w:rsid w:val="7651026B"/>
    <w:rsid w:val="765D0B4C"/>
    <w:rsid w:val="76631161"/>
    <w:rsid w:val="76956082"/>
    <w:rsid w:val="76B1547C"/>
    <w:rsid w:val="76C20A65"/>
    <w:rsid w:val="76C60806"/>
    <w:rsid w:val="76CE249E"/>
    <w:rsid w:val="76CF20EA"/>
    <w:rsid w:val="76D15F71"/>
    <w:rsid w:val="76E80284"/>
    <w:rsid w:val="76F358DE"/>
    <w:rsid w:val="77040325"/>
    <w:rsid w:val="77123DD3"/>
    <w:rsid w:val="77173EC8"/>
    <w:rsid w:val="772D5521"/>
    <w:rsid w:val="77361E52"/>
    <w:rsid w:val="77415633"/>
    <w:rsid w:val="774D4C46"/>
    <w:rsid w:val="775A6197"/>
    <w:rsid w:val="775E2302"/>
    <w:rsid w:val="776668EA"/>
    <w:rsid w:val="77667C7B"/>
    <w:rsid w:val="77700555"/>
    <w:rsid w:val="777408C6"/>
    <w:rsid w:val="77762421"/>
    <w:rsid w:val="77811976"/>
    <w:rsid w:val="77B04009"/>
    <w:rsid w:val="77B56B1F"/>
    <w:rsid w:val="77B70EF4"/>
    <w:rsid w:val="77BC475C"/>
    <w:rsid w:val="77C1693E"/>
    <w:rsid w:val="77C56F42"/>
    <w:rsid w:val="780F09F4"/>
    <w:rsid w:val="780F0D30"/>
    <w:rsid w:val="783D54A6"/>
    <w:rsid w:val="78996A00"/>
    <w:rsid w:val="789D2419"/>
    <w:rsid w:val="78A90480"/>
    <w:rsid w:val="78AF34DD"/>
    <w:rsid w:val="78B227CF"/>
    <w:rsid w:val="78CC7E27"/>
    <w:rsid w:val="78D45AF8"/>
    <w:rsid w:val="78D80E2A"/>
    <w:rsid w:val="79074B81"/>
    <w:rsid w:val="790F2913"/>
    <w:rsid w:val="79245142"/>
    <w:rsid w:val="793D367B"/>
    <w:rsid w:val="79404F19"/>
    <w:rsid w:val="79426EE3"/>
    <w:rsid w:val="794C1B10"/>
    <w:rsid w:val="79526D7F"/>
    <w:rsid w:val="797B074A"/>
    <w:rsid w:val="797C0647"/>
    <w:rsid w:val="797F3C93"/>
    <w:rsid w:val="79951709"/>
    <w:rsid w:val="799932A5"/>
    <w:rsid w:val="79B25E17"/>
    <w:rsid w:val="79C41B77"/>
    <w:rsid w:val="7A087457"/>
    <w:rsid w:val="7A2B3E1B"/>
    <w:rsid w:val="7A2D1E5A"/>
    <w:rsid w:val="7A305A3A"/>
    <w:rsid w:val="7A307D18"/>
    <w:rsid w:val="7A364017"/>
    <w:rsid w:val="7A39438A"/>
    <w:rsid w:val="7A3C1B84"/>
    <w:rsid w:val="7A5B629E"/>
    <w:rsid w:val="7A65414E"/>
    <w:rsid w:val="7A7E7243"/>
    <w:rsid w:val="7A8265E1"/>
    <w:rsid w:val="7A8C1237"/>
    <w:rsid w:val="7AAA44E6"/>
    <w:rsid w:val="7AB4796D"/>
    <w:rsid w:val="7AC57727"/>
    <w:rsid w:val="7ACE36D0"/>
    <w:rsid w:val="7AD13F2B"/>
    <w:rsid w:val="7ADA3086"/>
    <w:rsid w:val="7B0136D8"/>
    <w:rsid w:val="7B1472DC"/>
    <w:rsid w:val="7B191CA2"/>
    <w:rsid w:val="7B1F089C"/>
    <w:rsid w:val="7B224600"/>
    <w:rsid w:val="7B266A30"/>
    <w:rsid w:val="7B354F51"/>
    <w:rsid w:val="7B4A4260"/>
    <w:rsid w:val="7B592205"/>
    <w:rsid w:val="7B686D42"/>
    <w:rsid w:val="7B6926E6"/>
    <w:rsid w:val="7B841746"/>
    <w:rsid w:val="7B8940DC"/>
    <w:rsid w:val="7BA13EEE"/>
    <w:rsid w:val="7BA4768F"/>
    <w:rsid w:val="7BA60EE4"/>
    <w:rsid w:val="7BCB6AB1"/>
    <w:rsid w:val="7BD43042"/>
    <w:rsid w:val="7BD83A2F"/>
    <w:rsid w:val="7BEB688E"/>
    <w:rsid w:val="7BFA03E0"/>
    <w:rsid w:val="7C0D1674"/>
    <w:rsid w:val="7C1E567E"/>
    <w:rsid w:val="7C356EF9"/>
    <w:rsid w:val="7C52521F"/>
    <w:rsid w:val="7C66738C"/>
    <w:rsid w:val="7C6C5AC7"/>
    <w:rsid w:val="7C964C41"/>
    <w:rsid w:val="7C9C63D4"/>
    <w:rsid w:val="7CB0746E"/>
    <w:rsid w:val="7CC6544B"/>
    <w:rsid w:val="7CD96324"/>
    <w:rsid w:val="7CE14335"/>
    <w:rsid w:val="7CE345E4"/>
    <w:rsid w:val="7D0239FF"/>
    <w:rsid w:val="7D361DA4"/>
    <w:rsid w:val="7D4B3473"/>
    <w:rsid w:val="7D4C0971"/>
    <w:rsid w:val="7D5B67C5"/>
    <w:rsid w:val="7D5E40CD"/>
    <w:rsid w:val="7DA80232"/>
    <w:rsid w:val="7DA8672F"/>
    <w:rsid w:val="7DB00157"/>
    <w:rsid w:val="7DBC4E27"/>
    <w:rsid w:val="7DC84393"/>
    <w:rsid w:val="7DCD56F2"/>
    <w:rsid w:val="7DEB44EC"/>
    <w:rsid w:val="7DFE63B9"/>
    <w:rsid w:val="7E0E3D46"/>
    <w:rsid w:val="7E12128D"/>
    <w:rsid w:val="7E34366E"/>
    <w:rsid w:val="7E413649"/>
    <w:rsid w:val="7E417769"/>
    <w:rsid w:val="7E593E14"/>
    <w:rsid w:val="7E605BA2"/>
    <w:rsid w:val="7E752216"/>
    <w:rsid w:val="7E8603E1"/>
    <w:rsid w:val="7E9A115B"/>
    <w:rsid w:val="7E9C4490"/>
    <w:rsid w:val="7E9F26E2"/>
    <w:rsid w:val="7EB268B9"/>
    <w:rsid w:val="7EF23159"/>
    <w:rsid w:val="7F001CE7"/>
    <w:rsid w:val="7F1A5C65"/>
    <w:rsid w:val="7F1D5900"/>
    <w:rsid w:val="7F42110C"/>
    <w:rsid w:val="7F43005A"/>
    <w:rsid w:val="7F480FCB"/>
    <w:rsid w:val="7F4A320D"/>
    <w:rsid w:val="7F5D1B03"/>
    <w:rsid w:val="7F7C6BEF"/>
    <w:rsid w:val="7F865318"/>
    <w:rsid w:val="7FA4048C"/>
    <w:rsid w:val="7FAD6BD9"/>
    <w:rsid w:val="7FCF06CA"/>
    <w:rsid w:val="7FCF2AB3"/>
    <w:rsid w:val="7FE47E50"/>
    <w:rsid w:val="7FFF10E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4"/>
    <w:autoRedefine/>
    <w:qFormat/>
    <w:locked/>
    <w:uiPriority w:val="99"/>
    <w:pPr>
      <w:keepNext/>
      <w:overflowPunct w:val="0"/>
      <w:snapToGrid w:val="0"/>
      <w:spacing w:before="100" w:beforeLines="100" w:after="100" w:afterLines="100" w:line="240" w:lineRule="auto"/>
      <w:ind w:left="0" w:firstLine="0" w:firstLineChars="0"/>
      <w:jc w:val="center"/>
      <w:outlineLvl w:val="0"/>
    </w:pPr>
    <w:rPr>
      <w:rFonts w:eastAsia="黑体"/>
      <w:b/>
      <w:bCs/>
      <w:color w:val="000000"/>
      <w:kern w:val="44"/>
      <w:sz w:val="32"/>
      <w:szCs w:val="32"/>
    </w:rPr>
  </w:style>
  <w:style w:type="paragraph" w:styleId="4">
    <w:name w:val="heading 2"/>
    <w:basedOn w:val="1"/>
    <w:next w:val="1"/>
    <w:link w:val="35"/>
    <w:autoRedefine/>
    <w:qFormat/>
    <w:locked/>
    <w:uiPriority w:val="0"/>
    <w:pPr>
      <w:keepNext/>
      <w:keepLines/>
      <w:spacing w:before="50" w:beforeLines="50" w:after="50" w:afterLines="50" w:line="240" w:lineRule="auto"/>
      <w:ind w:firstLine="360" w:firstLineChars="100"/>
      <w:outlineLvl w:val="1"/>
    </w:pPr>
    <w:rPr>
      <w:rFonts w:ascii="Arial" w:hAnsi="Arial" w:eastAsia="黑体"/>
      <w:b/>
      <w:bCs/>
      <w:sz w:val="30"/>
      <w:szCs w:val="32"/>
    </w:rPr>
  </w:style>
  <w:style w:type="paragraph" w:styleId="5">
    <w:name w:val="heading 3"/>
    <w:basedOn w:val="1"/>
    <w:next w:val="1"/>
    <w:autoRedefine/>
    <w:qFormat/>
    <w:locked/>
    <w:uiPriority w:val="0"/>
    <w:pPr>
      <w:keepNext/>
      <w:keepLines/>
      <w:spacing w:before="30" w:beforeLines="30" w:after="30" w:afterLines="30" w:line="360" w:lineRule="auto"/>
      <w:outlineLvl w:val="2"/>
    </w:pPr>
    <w:rPr>
      <w:b/>
      <w:bCs/>
      <w:sz w:val="28"/>
      <w:szCs w:val="28"/>
    </w:rPr>
  </w:style>
  <w:style w:type="paragraph" w:styleId="6">
    <w:name w:val="heading 4"/>
    <w:basedOn w:val="1"/>
    <w:next w:val="7"/>
    <w:autoRedefine/>
    <w:qFormat/>
    <w:locked/>
    <w:uiPriority w:val="0"/>
    <w:pPr>
      <w:keepNext/>
      <w:keepLines/>
      <w:numPr>
        <w:ilvl w:val="3"/>
        <w:numId w:val="1"/>
      </w:numPr>
      <w:spacing w:line="360" w:lineRule="auto"/>
      <w:ind w:left="0" w:firstLine="720" w:firstLineChars="200"/>
      <w:jc w:val="left"/>
      <w:outlineLvl w:val="3"/>
    </w:pPr>
    <w:rPr>
      <w:b/>
      <w:bCs/>
      <w:szCs w:val="24"/>
    </w:rPr>
  </w:style>
  <w:style w:type="character" w:default="1" w:styleId="28">
    <w:name w:val="Default Paragraph Font"/>
    <w:autoRedefine/>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2">
    <w:name w:val="table of figures"/>
    <w:basedOn w:val="1"/>
    <w:next w:val="1"/>
    <w:autoRedefine/>
    <w:qFormat/>
    <w:locked/>
    <w:uiPriority w:val="0"/>
    <w:pPr>
      <w:widowControl w:val="0"/>
      <w:ind w:leftChars="200" w:hanging="200" w:hangingChars="200"/>
      <w:jc w:val="both"/>
    </w:pPr>
    <w:rPr>
      <w:rFonts w:ascii="Calibri" w:hAnsi="Calibri" w:cs="Times New Roman"/>
      <w:kern w:val="2"/>
      <w:sz w:val="21"/>
      <w:szCs w:val="22"/>
    </w:rPr>
  </w:style>
  <w:style w:type="paragraph" w:styleId="7">
    <w:name w:val="Normal Indent"/>
    <w:basedOn w:val="1"/>
    <w:autoRedefine/>
    <w:qFormat/>
    <w:locked/>
    <w:uiPriority w:val="0"/>
    <w:pPr>
      <w:ind w:firstLine="420" w:firstLineChars="200"/>
    </w:pPr>
    <w:rPr>
      <w:kern w:val="0"/>
      <w:sz w:val="20"/>
    </w:rPr>
  </w:style>
  <w:style w:type="paragraph" w:styleId="8">
    <w:name w:val="caption"/>
    <w:basedOn w:val="1"/>
    <w:next w:val="1"/>
    <w:autoRedefine/>
    <w:qFormat/>
    <w:locked/>
    <w:uiPriority w:val="0"/>
    <w:pPr>
      <w:jc w:val="center"/>
    </w:pPr>
    <w:rPr>
      <w:rFonts w:ascii="Cambria" w:hAnsi="Cambria"/>
      <w:b/>
      <w:sz w:val="24"/>
      <w:szCs w:val="20"/>
    </w:rPr>
  </w:style>
  <w:style w:type="paragraph" w:styleId="9">
    <w:name w:val="annotation text"/>
    <w:basedOn w:val="1"/>
    <w:link w:val="36"/>
    <w:autoRedefine/>
    <w:semiHidden/>
    <w:qFormat/>
    <w:uiPriority w:val="0"/>
    <w:pPr>
      <w:jc w:val="left"/>
    </w:pPr>
    <w:rPr>
      <w:kern w:val="0"/>
      <w:sz w:val="24"/>
      <w:szCs w:val="20"/>
    </w:rPr>
  </w:style>
  <w:style w:type="paragraph" w:styleId="10">
    <w:name w:val="Salutation"/>
    <w:basedOn w:val="1"/>
    <w:next w:val="1"/>
    <w:autoRedefine/>
    <w:qFormat/>
    <w:locked/>
    <w:uiPriority w:val="0"/>
    <w:rPr>
      <w:rFonts w:ascii="宋体" w:hAnsi="华文宋体"/>
      <w:sz w:val="28"/>
    </w:rPr>
  </w:style>
  <w:style w:type="paragraph" w:styleId="11">
    <w:name w:val="Body Text"/>
    <w:basedOn w:val="1"/>
    <w:next w:val="1"/>
    <w:link w:val="37"/>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38"/>
    <w:autoRedefine/>
    <w:qFormat/>
    <w:uiPriority w:val="0"/>
    <w:pPr>
      <w:spacing w:after="120"/>
      <w:ind w:left="420" w:leftChars="200"/>
    </w:pPr>
    <w:rPr>
      <w:kern w:val="0"/>
      <w:sz w:val="24"/>
      <w:szCs w:val="20"/>
    </w:rPr>
  </w:style>
  <w:style w:type="paragraph" w:styleId="13">
    <w:name w:val="toc 3"/>
    <w:basedOn w:val="1"/>
    <w:next w:val="1"/>
    <w:autoRedefine/>
    <w:qFormat/>
    <w:locked/>
    <w:uiPriority w:val="0"/>
    <w:pPr>
      <w:ind w:left="420"/>
      <w:jc w:val="left"/>
    </w:pPr>
    <w:rPr>
      <w:rFonts w:ascii="Calibri" w:hAnsi="Calibri"/>
      <w:i/>
      <w:iCs/>
      <w:sz w:val="20"/>
      <w:szCs w:val="20"/>
    </w:rPr>
  </w:style>
  <w:style w:type="paragraph" w:styleId="14">
    <w:name w:val="Block Text"/>
    <w:basedOn w:val="1"/>
    <w:next w:val="1"/>
    <w:autoRedefine/>
    <w:qFormat/>
    <w:locked/>
    <w:uiPriority w:val="0"/>
    <w:pPr>
      <w:spacing w:line="360" w:lineRule="exact"/>
      <w:ind w:left="113" w:right="113"/>
      <w:jc w:val="center"/>
    </w:pPr>
    <w:rPr>
      <w:rFonts w:ascii="宋体" w:hAnsi="宋体"/>
      <w:color w:val="000000"/>
    </w:rPr>
  </w:style>
  <w:style w:type="paragraph" w:styleId="15">
    <w:name w:val="Plain Text"/>
    <w:basedOn w:val="1"/>
    <w:next w:val="1"/>
    <w:autoRedefine/>
    <w:qFormat/>
    <w:locked/>
    <w:uiPriority w:val="0"/>
    <w:pPr>
      <w:adjustRightInd w:val="0"/>
      <w:spacing w:before="120" w:line="400" w:lineRule="exact"/>
      <w:textAlignment w:val="baseline"/>
    </w:pPr>
    <w:rPr>
      <w:rFonts w:ascii="宋体" w:hAnsi="Courier New"/>
      <w:spacing w:val="-2"/>
      <w:kern w:val="28"/>
      <w:sz w:val="20"/>
      <w:szCs w:val="20"/>
    </w:rPr>
  </w:style>
  <w:style w:type="paragraph" w:styleId="16">
    <w:name w:val="Date"/>
    <w:basedOn w:val="1"/>
    <w:next w:val="1"/>
    <w:link w:val="39"/>
    <w:autoRedefine/>
    <w:qFormat/>
    <w:uiPriority w:val="0"/>
    <w:pPr>
      <w:ind w:left="100" w:leftChars="2500"/>
    </w:pPr>
    <w:rPr>
      <w:kern w:val="0"/>
      <w:sz w:val="24"/>
      <w:szCs w:val="20"/>
    </w:rPr>
  </w:style>
  <w:style w:type="paragraph" w:styleId="17">
    <w:name w:val="Body Text Indent 2"/>
    <w:basedOn w:val="1"/>
    <w:next w:val="18"/>
    <w:autoRedefine/>
    <w:unhideWhenUsed/>
    <w:qFormat/>
    <w:locked/>
    <w:uiPriority w:val="99"/>
    <w:pPr>
      <w:spacing w:line="620" w:lineRule="exact"/>
      <w:ind w:firstLine="570"/>
    </w:pPr>
  </w:style>
  <w:style w:type="paragraph" w:styleId="18">
    <w:name w:val="Body Text First Indent 2"/>
    <w:basedOn w:val="12"/>
    <w:next w:val="1"/>
    <w:autoRedefine/>
    <w:unhideWhenUsed/>
    <w:qFormat/>
    <w:locked/>
    <w:uiPriority w:val="0"/>
    <w:pPr>
      <w:spacing w:after="120"/>
      <w:ind w:left="420" w:leftChars="200" w:firstLine="420"/>
    </w:pPr>
    <w:rPr>
      <w:sz w:val="24"/>
      <w:szCs w:val="24"/>
    </w:rPr>
  </w:style>
  <w:style w:type="paragraph" w:styleId="19">
    <w:name w:val="Balloon Text"/>
    <w:basedOn w:val="1"/>
    <w:link w:val="40"/>
    <w:autoRedefine/>
    <w:semiHidden/>
    <w:qFormat/>
    <w:uiPriority w:val="0"/>
    <w:rPr>
      <w:kern w:val="0"/>
      <w:sz w:val="18"/>
      <w:szCs w:val="20"/>
    </w:rPr>
  </w:style>
  <w:style w:type="paragraph" w:styleId="20">
    <w:name w:val="footer"/>
    <w:basedOn w:val="1"/>
    <w:link w:val="41"/>
    <w:autoRedefine/>
    <w:qFormat/>
    <w:uiPriority w:val="99"/>
    <w:pPr>
      <w:tabs>
        <w:tab w:val="center" w:pos="4153"/>
        <w:tab w:val="right" w:pos="8306"/>
      </w:tabs>
      <w:snapToGrid w:val="0"/>
      <w:jc w:val="left"/>
    </w:pPr>
    <w:rPr>
      <w:kern w:val="0"/>
      <w:sz w:val="18"/>
      <w:szCs w:val="20"/>
    </w:rPr>
  </w:style>
  <w:style w:type="paragraph" w:styleId="21">
    <w:name w:val="header"/>
    <w:basedOn w:val="1"/>
    <w:link w:val="4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autoRedefine/>
    <w:qFormat/>
    <w:locked/>
    <w:uiPriority w:val="0"/>
  </w:style>
  <w:style w:type="paragraph" w:styleId="23">
    <w:name w:val="toc 2"/>
    <w:basedOn w:val="1"/>
    <w:next w:val="1"/>
    <w:autoRedefine/>
    <w:unhideWhenUsed/>
    <w:qFormat/>
    <w:locked/>
    <w:uiPriority w:val="39"/>
    <w:pPr>
      <w:ind w:left="240"/>
      <w:jc w:val="left"/>
    </w:pPr>
    <w:rPr>
      <w:rFonts w:ascii="Calibri" w:hAnsi="Calibri" w:cs="Calibri"/>
      <w:smallCaps/>
      <w:sz w:val="20"/>
      <w:szCs w:val="20"/>
    </w:rPr>
  </w:style>
  <w:style w:type="paragraph" w:styleId="24">
    <w:name w:val="Normal (Web)"/>
    <w:basedOn w:val="1"/>
    <w:link w:val="43"/>
    <w:autoRedefine/>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9"/>
    <w:next w:val="9"/>
    <w:link w:val="44"/>
    <w:autoRedefine/>
    <w:semiHidden/>
    <w:qFormat/>
    <w:uiPriority w:val="0"/>
    <w:rPr>
      <w:b/>
      <w:sz w:val="24"/>
      <w:szCs w:val="20"/>
    </w:rPr>
  </w:style>
  <w:style w:type="table" w:styleId="27">
    <w:name w:val="Table Grid"/>
    <w:basedOn w:val="26"/>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locked/>
    <w:uiPriority w:val="0"/>
    <w:rPr>
      <w:b/>
    </w:rPr>
  </w:style>
  <w:style w:type="character" w:styleId="30">
    <w:name w:val="page number"/>
    <w:basedOn w:val="28"/>
    <w:autoRedefine/>
    <w:qFormat/>
    <w:locked/>
    <w:uiPriority w:val="0"/>
  </w:style>
  <w:style w:type="character" w:styleId="31">
    <w:name w:val="Emphasis"/>
    <w:autoRedefine/>
    <w:qFormat/>
    <w:locked/>
    <w:uiPriority w:val="20"/>
    <w:rPr>
      <w:b/>
      <w:iCs/>
      <w:u w:val="single"/>
    </w:rPr>
  </w:style>
  <w:style w:type="character" w:styleId="32">
    <w:name w:val="Hyperlink"/>
    <w:basedOn w:val="28"/>
    <w:autoRedefine/>
    <w:qFormat/>
    <w:locked/>
    <w:uiPriority w:val="0"/>
    <w:rPr>
      <w:color w:val="0000FF"/>
      <w:u w:val="single"/>
    </w:rPr>
  </w:style>
  <w:style w:type="character" w:styleId="33">
    <w:name w:val="annotation reference"/>
    <w:autoRedefine/>
    <w:semiHidden/>
    <w:qFormat/>
    <w:uiPriority w:val="0"/>
    <w:rPr>
      <w:sz w:val="21"/>
    </w:rPr>
  </w:style>
  <w:style w:type="character" w:customStyle="1" w:styleId="34">
    <w:name w:val="标题 1 Char"/>
    <w:link w:val="3"/>
    <w:autoRedefine/>
    <w:qFormat/>
    <w:uiPriority w:val="99"/>
    <w:rPr>
      <w:rFonts w:eastAsia="黑体"/>
      <w:b/>
      <w:bCs/>
      <w:color w:val="000000"/>
      <w:kern w:val="44"/>
      <w:sz w:val="32"/>
      <w:szCs w:val="32"/>
    </w:rPr>
  </w:style>
  <w:style w:type="character" w:customStyle="1" w:styleId="35">
    <w:name w:val="标题 2 Char"/>
    <w:link w:val="4"/>
    <w:autoRedefine/>
    <w:qFormat/>
    <w:uiPriority w:val="0"/>
    <w:rPr>
      <w:rFonts w:ascii="Arial" w:hAnsi="Arial" w:eastAsia="黑体"/>
      <w:b/>
      <w:bCs/>
      <w:sz w:val="30"/>
      <w:szCs w:val="32"/>
    </w:rPr>
  </w:style>
  <w:style w:type="character" w:customStyle="1" w:styleId="36">
    <w:name w:val="批注文字 Char"/>
    <w:link w:val="9"/>
    <w:autoRedefine/>
    <w:qFormat/>
    <w:locked/>
    <w:uiPriority w:val="0"/>
    <w:rPr>
      <w:rFonts w:ascii="Times New Roman" w:hAnsi="Times New Roman" w:eastAsia="宋体"/>
      <w:sz w:val="24"/>
    </w:rPr>
  </w:style>
  <w:style w:type="character" w:customStyle="1" w:styleId="37">
    <w:name w:val="正文文本 Char"/>
    <w:link w:val="11"/>
    <w:autoRedefine/>
    <w:qFormat/>
    <w:locked/>
    <w:uiPriority w:val="0"/>
    <w:rPr>
      <w:sz w:val="18"/>
    </w:rPr>
  </w:style>
  <w:style w:type="character" w:customStyle="1" w:styleId="38">
    <w:name w:val="正文文本缩进 Char"/>
    <w:link w:val="12"/>
    <w:autoRedefine/>
    <w:semiHidden/>
    <w:qFormat/>
    <w:locked/>
    <w:uiPriority w:val="0"/>
    <w:rPr>
      <w:rFonts w:ascii="Times New Roman" w:hAnsi="Times New Roman" w:eastAsia="宋体"/>
      <w:sz w:val="24"/>
    </w:rPr>
  </w:style>
  <w:style w:type="character" w:customStyle="1" w:styleId="39">
    <w:name w:val="日期 Char"/>
    <w:link w:val="16"/>
    <w:autoRedefine/>
    <w:qFormat/>
    <w:locked/>
    <w:uiPriority w:val="0"/>
    <w:rPr>
      <w:rFonts w:ascii="Times New Roman" w:hAnsi="Times New Roman" w:eastAsia="宋体"/>
      <w:sz w:val="24"/>
    </w:rPr>
  </w:style>
  <w:style w:type="character" w:customStyle="1" w:styleId="40">
    <w:name w:val="批注框文本 Char"/>
    <w:link w:val="19"/>
    <w:autoRedefine/>
    <w:semiHidden/>
    <w:qFormat/>
    <w:locked/>
    <w:uiPriority w:val="0"/>
    <w:rPr>
      <w:rFonts w:ascii="Times New Roman" w:hAnsi="Times New Roman" w:eastAsia="宋体"/>
      <w:sz w:val="18"/>
    </w:rPr>
  </w:style>
  <w:style w:type="character" w:customStyle="1" w:styleId="41">
    <w:name w:val="页脚 Char"/>
    <w:link w:val="20"/>
    <w:autoRedefine/>
    <w:qFormat/>
    <w:locked/>
    <w:uiPriority w:val="99"/>
    <w:rPr>
      <w:sz w:val="18"/>
    </w:rPr>
  </w:style>
  <w:style w:type="character" w:customStyle="1" w:styleId="42">
    <w:name w:val="页眉 Char"/>
    <w:link w:val="21"/>
    <w:autoRedefine/>
    <w:qFormat/>
    <w:locked/>
    <w:uiPriority w:val="0"/>
    <w:rPr>
      <w:sz w:val="18"/>
    </w:rPr>
  </w:style>
  <w:style w:type="character" w:customStyle="1" w:styleId="43">
    <w:name w:val="普通(网站) Char"/>
    <w:link w:val="24"/>
    <w:autoRedefine/>
    <w:qFormat/>
    <w:locked/>
    <w:uiPriority w:val="0"/>
    <w:rPr>
      <w:rFonts w:ascii="宋体" w:hAnsi="宋体" w:eastAsia="宋体"/>
      <w:sz w:val="24"/>
    </w:rPr>
  </w:style>
  <w:style w:type="character" w:customStyle="1" w:styleId="44">
    <w:name w:val="批注主题 Char"/>
    <w:link w:val="25"/>
    <w:autoRedefine/>
    <w:semiHidden/>
    <w:qFormat/>
    <w:locked/>
    <w:uiPriority w:val="0"/>
    <w:rPr>
      <w:rFonts w:ascii="Times New Roman" w:hAnsi="Times New Roman" w:eastAsia="宋体"/>
      <w:b/>
      <w:kern w:val="2"/>
      <w:sz w:val="24"/>
    </w:rPr>
  </w:style>
  <w:style w:type="paragraph" w:customStyle="1" w:styleId="45">
    <w:name w:val="样式 仿宋_GB2312 四号 行距: 1.5 倍行距"/>
    <w:basedOn w:val="1"/>
    <w:autoRedefine/>
    <w:qFormat/>
    <w:uiPriority w:val="0"/>
    <w:pPr>
      <w:spacing w:line="360" w:lineRule="auto"/>
      <w:ind w:firstLine="560" w:firstLineChars="200"/>
    </w:pPr>
    <w:rPr>
      <w:rFonts w:ascii="仿宋_GB2312" w:hAnsi="Calibri" w:eastAsia="仿宋_GB2312" w:cs="宋体"/>
      <w:kern w:val="2"/>
      <w:sz w:val="28"/>
    </w:rPr>
  </w:style>
  <w:style w:type="paragraph" w:customStyle="1" w:styleId="46">
    <w:name w:val="xl27"/>
    <w:basedOn w:val="1"/>
    <w:next w:val="1"/>
    <w:autoRedefine/>
    <w:qFormat/>
    <w:uiPriority w:val="0"/>
    <w:pPr>
      <w:widowControl/>
      <w:pBdr>
        <w:bottom w:val="single" w:color="auto" w:sz="12" w:space="0"/>
      </w:pBdr>
      <w:spacing w:before="100" w:beforeLines="0" w:after="100" w:afterLines="0"/>
      <w:jc w:val="center"/>
    </w:pPr>
    <w:rPr>
      <w:rFonts w:ascii="宋体" w:hAnsi="宋体"/>
      <w:kern w:val="0"/>
      <w:szCs w:val="20"/>
    </w:rPr>
  </w:style>
  <w:style w:type="paragraph" w:customStyle="1" w:styleId="47">
    <w:name w:val="Default"/>
    <w:basedOn w:val="48"/>
    <w:next w:val="49"/>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48">
    <w:name w:val="纯文本1"/>
    <w:basedOn w:val="1"/>
    <w:next w:val="15"/>
    <w:autoRedefine/>
    <w:qFormat/>
    <w:uiPriority w:val="99"/>
    <w:pPr>
      <w:autoSpaceDE w:val="0"/>
      <w:autoSpaceDN w:val="0"/>
      <w:adjustRightInd w:val="0"/>
      <w:textAlignment w:val="baseline"/>
    </w:pPr>
    <w:rPr>
      <w:rFonts w:ascii="宋体"/>
      <w:szCs w:val="20"/>
    </w:rPr>
  </w:style>
  <w:style w:type="paragraph" w:customStyle="1" w:styleId="49">
    <w:name w:val="样式35"/>
    <w:basedOn w:val="50"/>
    <w:next w:val="51"/>
    <w:autoRedefine/>
    <w:qFormat/>
    <w:uiPriority w:val="0"/>
    <w:pPr>
      <w:widowControl w:val="0"/>
      <w:adjustRightInd w:val="0"/>
      <w:spacing w:line="312" w:lineRule="auto"/>
      <w:ind w:firstLine="567"/>
      <w:jc w:val="both"/>
    </w:pPr>
    <w:rPr>
      <w:rFonts w:ascii="宋体" w:hAnsi="Times New Roman" w:eastAsia="宋体" w:cs="Times New Roman"/>
      <w:kern w:val="0"/>
      <w:sz w:val="28"/>
      <w:lang w:val="en-US" w:eastAsia="zh-CN" w:bidi="ar-SA"/>
    </w:rPr>
  </w:style>
  <w:style w:type="paragraph" w:customStyle="1" w:styleId="50">
    <w:name w:val="表 内容"/>
    <w:basedOn w:val="1"/>
    <w:autoRedefine/>
    <w:qFormat/>
    <w:uiPriority w:val="0"/>
    <w:pPr>
      <w:adjustRightInd w:val="0"/>
      <w:snapToGrid w:val="0"/>
      <w:spacing w:beforeLines="15"/>
      <w:jc w:val="center"/>
    </w:pPr>
    <w:rPr>
      <w:kern w:val="0"/>
      <w:sz w:val="20"/>
      <w:szCs w:val="21"/>
    </w:rPr>
  </w:style>
  <w:style w:type="paragraph" w:customStyle="1" w:styleId="51">
    <w:name w:val="font6"/>
    <w:basedOn w:val="1"/>
    <w:next w:val="23"/>
    <w:autoRedefine/>
    <w:qFormat/>
    <w:uiPriority w:val="0"/>
    <w:pPr>
      <w:widowControl/>
      <w:spacing w:before="280" w:after="280"/>
    </w:pPr>
    <w:rPr>
      <w:rFonts w:ascii="宋体" w:hAnsi="宋体" w:cs="宋体"/>
      <w:szCs w:val="21"/>
    </w:rPr>
  </w:style>
  <w:style w:type="paragraph" w:customStyle="1" w:styleId="52">
    <w:name w:val="标题2"/>
    <w:basedOn w:val="7"/>
    <w:next w:val="1"/>
    <w:autoRedefine/>
    <w:qFormat/>
    <w:uiPriority w:val="0"/>
    <w:pPr>
      <w:numPr>
        <w:ilvl w:val="1"/>
        <w:numId w:val="2"/>
      </w:numPr>
      <w:spacing w:before="0" w:after="0" w:line="440" w:lineRule="exact"/>
    </w:pPr>
    <w:rPr>
      <w:kern w:val="0"/>
      <w:sz w:val="28"/>
    </w:rPr>
  </w:style>
  <w:style w:type="character" w:customStyle="1" w:styleId="53">
    <w:name w:val="页脚 字符"/>
    <w:basedOn w:val="28"/>
    <w:autoRedefine/>
    <w:qFormat/>
    <w:uiPriority w:val="99"/>
  </w:style>
  <w:style w:type="character" w:customStyle="1" w:styleId="54">
    <w:name w:val="正文文本 字符1"/>
    <w:autoRedefine/>
    <w:semiHidden/>
    <w:qFormat/>
    <w:uiPriority w:val="0"/>
    <w:rPr>
      <w:rFonts w:ascii="Times New Roman" w:hAnsi="Times New Roman" w:eastAsia="宋体"/>
      <w:sz w:val="24"/>
    </w:rPr>
  </w:style>
  <w:style w:type="character" w:customStyle="1" w:styleId="55">
    <w:name w:val="表格 Char"/>
    <w:link w:val="56"/>
    <w:autoRedefine/>
    <w:qFormat/>
    <w:locked/>
    <w:uiPriority w:val="0"/>
    <w:rPr>
      <w:rFonts w:ascii="宋体"/>
      <w:sz w:val="21"/>
    </w:rPr>
  </w:style>
  <w:style w:type="paragraph" w:customStyle="1" w:styleId="56">
    <w:name w:val="表格"/>
    <w:basedOn w:val="2"/>
    <w:next w:val="1"/>
    <w:link w:val="55"/>
    <w:autoRedefine/>
    <w:qFormat/>
    <w:uiPriority w:val="0"/>
    <w:pPr>
      <w:adjustRightInd w:val="0"/>
      <w:snapToGrid w:val="0"/>
      <w:spacing w:beforeLines="10" w:afterLines="10" w:line="259" w:lineRule="auto"/>
      <w:jc w:val="center"/>
    </w:pPr>
    <w:rPr>
      <w:rFonts w:ascii="宋体"/>
      <w:kern w:val="0"/>
      <w:szCs w:val="20"/>
    </w:rPr>
  </w:style>
  <w:style w:type="character" w:customStyle="1" w:styleId="57">
    <w:name w:val="日期 字符"/>
    <w:autoRedefine/>
    <w:semiHidden/>
    <w:qFormat/>
    <w:uiPriority w:val="0"/>
    <w:rPr>
      <w:rFonts w:ascii="Times New Roman" w:hAnsi="Times New Roman" w:eastAsia="宋体"/>
      <w:sz w:val="24"/>
    </w:rPr>
  </w:style>
  <w:style w:type="character" w:customStyle="1" w:styleId="58">
    <w:name w:val="批注文字 字符1"/>
    <w:autoRedefine/>
    <w:semiHidden/>
    <w:qFormat/>
    <w:uiPriority w:val="0"/>
    <w:rPr>
      <w:rFonts w:ascii="Times New Roman" w:hAnsi="Times New Roman" w:eastAsia="宋体"/>
      <w:sz w:val="24"/>
    </w:rPr>
  </w:style>
  <w:style w:type="paragraph" w:customStyle="1" w:styleId="5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1">
    <w:name w:val="A-正文"/>
    <w:basedOn w:val="1"/>
    <w:autoRedefine/>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62">
    <w:name w:val="A标准格式"/>
    <w:basedOn w:val="1"/>
    <w:autoRedefine/>
    <w:qFormat/>
    <w:uiPriority w:val="0"/>
    <w:pPr>
      <w:spacing w:line="440" w:lineRule="exact"/>
      <w:ind w:firstLine="480" w:firstLineChars="200"/>
    </w:pPr>
    <w:rPr>
      <w:sz w:val="24"/>
    </w:rPr>
  </w:style>
  <w:style w:type="paragraph" w:customStyle="1" w:styleId="63">
    <w:name w:val="Table Paragraph"/>
    <w:basedOn w:val="1"/>
    <w:autoRedefine/>
    <w:qFormat/>
    <w:uiPriority w:val="1"/>
    <w:rPr>
      <w:rFonts w:ascii="宋体" w:hAnsi="宋体" w:eastAsia="宋体" w:cs="宋体"/>
      <w:lang w:val="zh-CN" w:eastAsia="zh-CN" w:bidi="zh-CN"/>
    </w:rPr>
  </w:style>
  <w:style w:type="paragraph" w:customStyle="1" w:styleId="64">
    <w:name w:val="a"/>
    <w:basedOn w:val="1"/>
    <w:autoRedefine/>
    <w:qFormat/>
    <w:uiPriority w:val="0"/>
    <w:pPr>
      <w:widowControl/>
      <w:jc w:val="center"/>
    </w:pPr>
    <w:rPr>
      <w:kern w:val="0"/>
      <w:sz w:val="24"/>
    </w:rPr>
  </w:style>
  <w:style w:type="paragraph" w:styleId="65">
    <w:name w:val="List Paragraph"/>
    <w:basedOn w:val="1"/>
    <w:autoRedefine/>
    <w:qFormat/>
    <w:uiPriority w:val="34"/>
    <w:pPr>
      <w:ind w:firstLine="420" w:firstLineChars="200"/>
    </w:pPr>
    <w:rPr>
      <w:rFonts w:ascii="Calibri" w:hAnsi="Calibri"/>
      <w:szCs w:val="22"/>
    </w:rPr>
  </w:style>
  <w:style w:type="paragraph" w:customStyle="1" w:styleId="66">
    <w:name w:val="表格文字"/>
    <w:basedOn w:val="1"/>
    <w:autoRedefine/>
    <w:qFormat/>
    <w:uiPriority w:val="0"/>
    <w:pPr>
      <w:autoSpaceDE w:val="0"/>
      <w:autoSpaceDN w:val="0"/>
      <w:adjustRightInd w:val="0"/>
      <w:spacing w:before="60" w:after="60"/>
      <w:jc w:val="center"/>
      <w:textAlignment w:val="bottom"/>
    </w:pPr>
    <w:rPr>
      <w:rFonts w:eastAsia="仿宋_GB2312"/>
      <w:kern w:val="0"/>
      <w:sz w:val="24"/>
      <w:szCs w:val="20"/>
    </w:rPr>
  </w:style>
  <w:style w:type="paragraph" w:customStyle="1" w:styleId="67">
    <w:name w:val="表格－正文"/>
    <w:basedOn w:val="1"/>
    <w:autoRedefine/>
    <w:qFormat/>
    <w:uiPriority w:val="0"/>
    <w:pPr>
      <w:spacing w:line="300" w:lineRule="exact"/>
      <w:jc w:val="center"/>
    </w:pPr>
    <w:rPr>
      <w:kern w:val="0"/>
      <w:sz w:val="20"/>
      <w:szCs w:val="20"/>
    </w:rPr>
  </w:style>
  <w:style w:type="paragraph" w:customStyle="1" w:styleId="68">
    <w:name w:val="！正文"/>
    <w:basedOn w:val="1"/>
    <w:autoRedefine/>
    <w:qFormat/>
    <w:uiPriority w:val="0"/>
    <w:pPr>
      <w:adjustRightInd w:val="0"/>
      <w:snapToGrid w:val="0"/>
      <w:ind w:firstLine="480"/>
    </w:pPr>
    <w:rPr>
      <w:rFonts w:ascii="Times New Roman" w:hAnsi="Times New Roman" w:cs="宋体"/>
      <w:szCs w:val="20"/>
    </w:rPr>
  </w:style>
  <w:style w:type="paragraph" w:customStyle="1" w:styleId="69">
    <w:name w:val="表格正文"/>
    <w:basedOn w:val="1"/>
    <w:autoRedefine/>
    <w:qFormat/>
    <w:uiPriority w:val="0"/>
    <w:pPr>
      <w:jc w:val="center"/>
    </w:pPr>
    <w:rPr>
      <w:rFonts w:ascii="仿宋_GB2312" w:eastAsia="仿宋_GB2312"/>
      <w:sz w:val="21"/>
    </w:rPr>
  </w:style>
  <w:style w:type="paragraph" w:customStyle="1" w:styleId="70">
    <w:name w:val="首行缩进正文"/>
    <w:basedOn w:val="1"/>
    <w:autoRedefine/>
    <w:qFormat/>
    <w:uiPriority w:val="0"/>
    <w:pPr>
      <w:spacing w:line="360" w:lineRule="auto"/>
      <w:ind w:firstLine="560" w:firstLineChars="200"/>
    </w:pPr>
    <w:rPr>
      <w:sz w:val="24"/>
      <w:szCs w:val="21"/>
    </w:rPr>
  </w:style>
  <w:style w:type="paragraph" w:customStyle="1" w:styleId="71">
    <w:name w:val="小标题1.0"/>
    <w:autoRedefine/>
    <w:qFormat/>
    <w:uiPriority w:val="99"/>
    <w:pPr>
      <w:adjustRightInd w:val="0"/>
      <w:snapToGrid w:val="0"/>
      <w:spacing w:line="360" w:lineRule="auto"/>
      <w:ind w:firstLine="200" w:firstLineChars="200"/>
    </w:pPr>
    <w:rPr>
      <w:rFonts w:ascii="Times New Roman" w:hAnsi="Times New Roman" w:eastAsia="宋体" w:cs="Times New Roman"/>
      <w:b/>
      <w:bCs/>
      <w:color w:val="000000"/>
      <w:kern w:val="2"/>
      <w:sz w:val="24"/>
      <w:szCs w:val="24"/>
      <w:lang w:val="en-US" w:eastAsia="zh-CN" w:bidi="ar-SA"/>
    </w:rPr>
  </w:style>
  <w:style w:type="paragraph" w:customStyle="1" w:styleId="72">
    <w:name w:val="图片标题"/>
    <w:basedOn w:val="1"/>
    <w:autoRedefine/>
    <w:qFormat/>
    <w:uiPriority w:val="0"/>
    <w:pPr>
      <w:ind w:firstLine="0" w:firstLineChars="0"/>
      <w:jc w:val="center"/>
    </w:pPr>
    <w:rPr>
      <w:rFonts w:ascii="仿宋_GB2312" w:hAnsi="仿宋_GB2312" w:eastAsia="黑体"/>
      <w:sz w:val="21"/>
      <w:szCs w:val="21"/>
    </w:rPr>
  </w:style>
  <w:style w:type="table" w:customStyle="1" w:styleId="73">
    <w:name w:val="Table Normal"/>
    <w:basedOn w:val="26"/>
    <w:autoRedefine/>
    <w:unhideWhenUsed/>
    <w:qFormat/>
    <w:uiPriority w:val="0"/>
    <w:tblPr>
      <w:tblCellMar>
        <w:top w:w="0" w:type="dxa"/>
        <w:left w:w="0" w:type="dxa"/>
        <w:bottom w:w="0" w:type="dxa"/>
        <w:right w:w="0" w:type="dxa"/>
      </w:tblCellMar>
    </w:tblPr>
  </w:style>
  <w:style w:type="paragraph" w:customStyle="1" w:styleId="74">
    <w:name w:val="正文4号"/>
    <w:autoRedefine/>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5">
    <w:name w:val="Body text|2"/>
    <w:basedOn w:val="1"/>
    <w:autoRedefine/>
    <w:qFormat/>
    <w:uiPriority w:val="0"/>
    <w:pPr>
      <w:shd w:val="clear" w:color="auto" w:fill="FFFFFF"/>
      <w:wordWrap/>
      <w:autoSpaceDE/>
      <w:autoSpaceDN/>
      <w:spacing w:after="240" w:line="220" w:lineRule="exact"/>
    </w:pPr>
    <w:rPr>
      <w:rFonts w:ascii="PMingLiU" w:hAnsi="PMingLiU" w:eastAsia="PMingLiU" w:cs="PMingLiU"/>
      <w:sz w:val="22"/>
    </w:rPr>
  </w:style>
  <w:style w:type="character" w:customStyle="1" w:styleId="76">
    <w:name w:val="font81"/>
    <w:basedOn w:val="28"/>
    <w:autoRedefine/>
    <w:qFormat/>
    <w:uiPriority w:val="0"/>
    <w:rPr>
      <w:rFonts w:hint="eastAsia" w:ascii="宋体" w:hAnsi="宋体" w:eastAsia="宋体" w:cs="宋体"/>
      <w:color w:val="000000"/>
      <w:sz w:val="24"/>
      <w:szCs w:val="24"/>
      <w:u w:val="none"/>
    </w:rPr>
  </w:style>
  <w:style w:type="paragraph" w:customStyle="1" w:styleId="77">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78">
    <w:name w:val="报告正文"/>
    <w:basedOn w:val="1"/>
    <w:link w:val="79"/>
    <w:autoRedefine/>
    <w:qFormat/>
    <w:uiPriority w:val="0"/>
    <w:pPr>
      <w:adjustRightInd w:val="0"/>
      <w:snapToGrid w:val="0"/>
      <w:spacing w:line="360" w:lineRule="auto"/>
      <w:ind w:firstLine="200"/>
    </w:pPr>
    <w:rPr>
      <w:szCs w:val="20"/>
    </w:rPr>
  </w:style>
  <w:style w:type="character" w:customStyle="1" w:styleId="79">
    <w:name w:val="报告正文 Char"/>
    <w:basedOn w:val="28"/>
    <w:link w:val="78"/>
    <w:autoRedefine/>
    <w:qFormat/>
    <w:uiPriority w:val="0"/>
    <w:rPr>
      <w:szCs w:val="20"/>
    </w:rPr>
  </w:style>
  <w:style w:type="paragraph" w:customStyle="1" w:styleId="80">
    <w:name w:val="表格标题"/>
    <w:basedOn w:val="1"/>
    <w:link w:val="81"/>
    <w:autoRedefine/>
    <w:qFormat/>
    <w:uiPriority w:val="0"/>
    <w:pPr>
      <w:spacing w:line="240" w:lineRule="auto"/>
      <w:ind w:firstLine="0" w:firstLineChars="0"/>
      <w:jc w:val="center"/>
    </w:pPr>
    <w:rPr>
      <w:rFonts w:eastAsia="黑体"/>
      <w:sz w:val="21"/>
      <w:szCs w:val="21"/>
    </w:rPr>
  </w:style>
  <w:style w:type="character" w:customStyle="1" w:styleId="81">
    <w:name w:val="表格标题 Char"/>
    <w:link w:val="80"/>
    <w:autoRedefine/>
    <w:qFormat/>
    <w:uiPriority w:val="0"/>
    <w:rPr>
      <w:rFonts w:eastAsia="黑体"/>
      <w:sz w:val="21"/>
      <w:szCs w:val="21"/>
    </w:rPr>
  </w:style>
  <w:style w:type="paragraph" w:customStyle="1" w:styleId="82">
    <w:name w:val="表格内容"/>
    <w:basedOn w:val="1"/>
    <w:next w:val="1"/>
    <w:autoRedefine/>
    <w:qFormat/>
    <w:uiPriority w:val="0"/>
    <w:pPr>
      <w:spacing w:line="240" w:lineRule="auto"/>
      <w:ind w:firstLine="0" w:firstLineChars="0"/>
      <w:jc w:val="center"/>
    </w:pPr>
    <w:rPr>
      <w:sz w:val="21"/>
      <w:szCs w:val="21"/>
    </w:rPr>
  </w:style>
  <w:style w:type="paragraph" w:customStyle="1" w:styleId="83">
    <w:name w:val="图表标题"/>
    <w:basedOn w:val="1"/>
    <w:autoRedefine/>
    <w:qFormat/>
    <w:uiPriority w:val="0"/>
    <w:pPr>
      <w:spacing w:line="240" w:lineRule="auto"/>
      <w:ind w:firstLine="0" w:firstLineChars="0"/>
      <w:jc w:val="center"/>
    </w:pPr>
    <w:rPr>
      <w:rFonts w:eastAsia="黑体"/>
      <w:sz w:val="21"/>
      <w:szCs w:val="22"/>
    </w:rPr>
  </w:style>
  <w:style w:type="paragraph" w:customStyle="1" w:styleId="84">
    <w:name w:val="报告书正文"/>
    <w:basedOn w:val="1"/>
    <w:autoRedefine/>
    <w:qFormat/>
    <w:uiPriority w:val="0"/>
    <w:pPr>
      <w:spacing w:line="300" w:lineRule="auto"/>
      <w:ind w:firstLine="200" w:firstLineChars="200"/>
    </w:pPr>
    <w:rPr>
      <w:sz w:val="24"/>
      <w:szCs w:val="20"/>
    </w:rPr>
  </w:style>
  <w:style w:type="paragraph" w:customStyle="1" w:styleId="85">
    <w:name w:val="图片名称"/>
    <w:basedOn w:val="1"/>
    <w:next w:val="1"/>
    <w:autoRedefine/>
    <w:qFormat/>
    <w:uiPriority w:val="0"/>
    <w:pPr>
      <w:ind w:firstLine="0" w:firstLineChars="0"/>
      <w:jc w:val="center"/>
    </w:pPr>
    <w:rPr>
      <w:rFonts w:eastAsia="黑体"/>
      <w:sz w:val="21"/>
    </w:rPr>
  </w:style>
  <w:style w:type="paragraph" w:customStyle="1" w:styleId="86">
    <w:name w:val="正文 03"/>
    <w:basedOn w:val="1"/>
    <w:autoRedefine/>
    <w:unhideWhenUsed/>
    <w:qFormat/>
    <w:uiPriority w:val="0"/>
    <w:pPr>
      <w:autoSpaceDE w:val="0"/>
      <w:autoSpaceDN w:val="0"/>
      <w:adjustRightInd w:val="0"/>
      <w:textAlignment w:val="baseline"/>
    </w:pPr>
    <w:rPr>
      <w:rFonts w:hint="eastAsia" w:ascii="Times New Roman" w:hAnsi="Times New Roman" w:eastAsia="Times New Roman"/>
      <w:kern w:val="0"/>
      <w:sz w:val="24"/>
    </w:rPr>
  </w:style>
  <w:style w:type="paragraph" w:styleId="87">
    <w:name w:val="No Spacing"/>
    <w:basedOn w:val="1"/>
    <w:next w:val="1"/>
    <w:autoRedefine/>
    <w:qFormat/>
    <w:uiPriority w:val="0"/>
    <w:pPr>
      <w:spacing w:line="240" w:lineRule="auto"/>
      <w:ind w:firstLine="0" w:firstLineChars="0"/>
      <w:jc w:val="center"/>
    </w:pPr>
    <w:rPr>
      <w:rFonts w:eastAsia="黑体"/>
      <w:sz w:val="21"/>
    </w:rPr>
  </w:style>
  <w:style w:type="character" w:customStyle="1" w:styleId="88">
    <w:name w:val="表格内容 Char Char Char Char Char"/>
    <w:autoRedefine/>
    <w:qFormat/>
    <w:uiPriority w:val="0"/>
    <w:rPr>
      <w:rFonts w:hAnsi="宋体" w:cs="Times New Roman"/>
      <w:sz w:val="21"/>
    </w:rPr>
  </w:style>
  <w:style w:type="paragraph" w:customStyle="1" w:styleId="89">
    <w:name w:val="正文内容"/>
    <w:basedOn w:val="1"/>
    <w:autoRedefine/>
    <w:qFormat/>
    <w:uiPriority w:val="0"/>
    <w:pPr>
      <w:ind w:firstLine="200" w:firstLineChars="200"/>
    </w:pPr>
    <w:rPr>
      <w:kern w:val="0"/>
      <w:sz w:val="24"/>
      <w:szCs w:val="24"/>
    </w:rPr>
  </w:style>
  <w:style w:type="paragraph" w:customStyle="1" w:styleId="90">
    <w:name w:val="Table Text"/>
    <w:basedOn w:val="1"/>
    <w:autoRedefine/>
    <w:semiHidden/>
    <w:qFormat/>
    <w:uiPriority w:val="0"/>
    <w:rPr>
      <w:rFonts w:ascii="宋体" w:hAnsi="宋体" w:eastAsia="宋体" w:cs="宋体"/>
      <w:sz w:val="23"/>
      <w:szCs w:val="23"/>
      <w:lang w:val="en-US" w:eastAsia="en-US" w:bidi="ar-SA"/>
    </w:rPr>
  </w:style>
  <w:style w:type="paragraph" w:customStyle="1" w:styleId="91">
    <w:name w:val="表头"/>
    <w:basedOn w:val="11"/>
    <w:next w:val="1"/>
    <w:autoRedefine/>
    <w:qFormat/>
    <w:uiPriority w:val="99"/>
    <w:pPr>
      <w:widowControl/>
      <w:tabs>
        <w:tab w:val="left" w:pos="6840"/>
      </w:tabs>
      <w:topLinePunct/>
      <w:adjustRightInd w:val="0"/>
      <w:snapToGrid w:val="0"/>
      <w:spacing w:line="529" w:lineRule="exact"/>
      <w:jc w:val="center"/>
    </w:pPr>
    <w:rPr>
      <w:rFonts w:ascii="宋体"/>
      <w:b/>
      <w:bCs/>
      <w:kern w:val="24"/>
      <w:sz w:val="28"/>
      <w:szCs w:val="28"/>
    </w:rPr>
  </w:style>
  <w:style w:type="paragraph" w:customStyle="1" w:styleId="92">
    <w:name w:val="项目正文，无格式"/>
    <w:basedOn w:val="1"/>
    <w:autoRedefine/>
    <w:qFormat/>
    <w:uiPriority w:val="99"/>
    <w:pPr>
      <w:jc w:val="center"/>
    </w:pPr>
    <w:rPr>
      <w:sz w:val="18"/>
      <w:szCs w:val="18"/>
    </w:rPr>
  </w:style>
  <w:style w:type="paragraph" w:customStyle="1" w:styleId="93">
    <w:name w:val="环评正文"/>
    <w:basedOn w:val="1"/>
    <w:autoRedefine/>
    <w:qFormat/>
    <w:uiPriority w:val="0"/>
    <w:pPr>
      <w:spacing w:line="360" w:lineRule="auto"/>
      <w:ind w:firstLine="200" w:firstLineChars="200"/>
    </w:pPr>
    <w:rPr>
      <w:rFonts w:ascii="Times New Roman" w:hAnsi="Times New Roman" w:eastAsia="宋体"/>
      <w:sz w:val="24"/>
    </w:rPr>
  </w:style>
  <w:style w:type="paragraph" w:customStyle="1" w:styleId="94">
    <w:name w:val="22222"/>
    <w:basedOn w:val="1"/>
    <w:autoRedefine/>
    <w:qFormat/>
    <w:uiPriority w:val="0"/>
    <w:pPr>
      <w:spacing w:line="480" w:lineRule="exact"/>
      <w:ind w:firstLine="480" w:firstLineChars="200"/>
    </w:pPr>
    <w:rPr>
      <w:rFonts w:hAnsi="宋体"/>
      <w:sz w:val="24"/>
    </w:rPr>
  </w:style>
  <w:style w:type="paragraph" w:customStyle="1" w:styleId="95">
    <w:name w:val="小表格"/>
    <w:basedOn w:val="5"/>
    <w:next w:val="1"/>
    <w:autoRedefine/>
    <w:qFormat/>
    <w:uiPriority w:val="0"/>
    <w:pPr>
      <w:spacing w:before="0" w:after="0" w:line="240" w:lineRule="auto"/>
      <w:jc w:val="center"/>
      <w:outlineLvl w:val="9"/>
    </w:pPr>
    <w:rPr>
      <w:b w:val="0"/>
      <w:bCs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microsoft.com/office/2006/relationships/keyMapCustomizations" Target="customizations.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c2NzU2OTE5NDUwIiwKCSJHcm91cElkIiA6ICI1MTIwNDMzMTYiLAoJIkltYWdlIiA6ICJpVkJPUncwS0dnb0FBQUFOU1VoRVVnQUFBeWNBQUFJeENBWUFBQUJYVWNlYkFBQUFBWE5TUjBJQXJzNGM2UUFBSUFCSlJFRlVlSnpzM1hsOFZOWFpCL0RmYzJleXNnWkJGQUpFREJKaWxya1RFY1VORlMxU2E2dEZSSXVDV3EyVjFvTFdZbFZVWHZlNnRyVXY3bHJGM2JwVXE1UVdLWXVvWU9aT0ZpTkxsRlFXMlFra2hKRE0zT2Y5SXpONUo4bE1NZ2tKbVlUZjkvUGhNelBubkh2dXVZRWI3ak5uQT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2M0ovd2RUS0krWXliS21jd0FBQUFCSlJVNUVya0pnZ2c9PSIsCgkiVGhlbWUiIDogIiIsCgkiVHlwZSIgOiAiZmxvdyIsCgkiVmVyc2lvbiIgOiAiNzkiCn0K"/>
    </extobj>
    <extobj name="ECB019B1-382A-4266-B25C-5B523AA43C14-2">
      <extobjdata type="ECB019B1-382A-4266-B25C-5B523AA43C14" data="ewoJIkZpbGVJZCIgOiAiMjc2NzU2OTE5NDUwIiwKCSJHcm91cElkIiA6ICI1MTIwNDMzMTYiLAoJIkltYWdlIiA6ICJpVkJPUncwS0dnb0FBQUFOU1VoRVVnQUFBeWNBQUFJeENBWUFBQUJYVWNlYkFBQUFBWE5TUjBJQXJzNGM2UUFBSUFCSlJFRlVlSnpzM1hsOFZOWFpCL0RmYzJleXNnWkJGQUpFREJKaWxya1RFY1VORlMxU2E2dEZSSXVDV3EyVjFvTFdZbFZVWHZlNnRyVXY3bHJGM2JwVXE1UVdLWXVvWU9aT0ZpTkxsRlFXMlFra2hKRE0zT2Y5SXpONUo4bE1NZ2tKbVlUZjkvUGhNelBubkh2dXVZRWI3ak5uQT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2M0ovd2RUS0krWXliS21jd0FBQUFCSlJVNUVya0pnZ2c9PSIsCgkiVGhlbWUiIDogIiIsCgkiVHlwZSIgOiAiZmxvdyIsCgkiVmVyc2lvbiIgOiAiNzk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54</Pages>
  <Words>27907</Words>
  <Characters>31261</Characters>
  <Lines>1</Lines>
  <Paragraphs>1</Paragraphs>
  <TotalTime>118</TotalTime>
  <ScaleCrop>false</ScaleCrop>
  <LinksUpToDate>false</LinksUpToDate>
  <CharactersWithSpaces>31384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lux</cp:lastModifiedBy>
  <cp:lastPrinted>2024-04-09T00:31:00Z</cp:lastPrinted>
  <dcterms:modified xsi:type="dcterms:W3CDTF">2024-04-17T02:01:00Z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39AB7D923AAB417AAE25C4AC10FCCCF3_13</vt:lpwstr>
  </property>
</Properties>
</file>