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安康市汉滨区</w:t>
      </w:r>
      <w:r>
        <w:rPr>
          <w:rFonts w:hint="eastAsia" w:ascii="方正小标宋简体" w:hAnsi="方正小标宋简体" w:eastAsia="方正小标宋简体" w:cs="方正小标宋简体"/>
          <w:sz w:val="44"/>
          <w:szCs w:val="44"/>
        </w:rPr>
        <w:t>人民政府办公室</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关于公布《</w:t>
      </w:r>
      <w:r>
        <w:rPr>
          <w:rFonts w:hint="eastAsia" w:ascii="方正小标宋简体" w:hAnsi="方正小标宋简体" w:eastAsia="方正小标宋简体" w:cs="方正小标宋简体"/>
          <w:sz w:val="44"/>
          <w:szCs w:val="44"/>
          <w:lang w:val="en-US" w:eastAsia="zh-CN"/>
        </w:rPr>
        <w:t>汉滨区</w:t>
      </w:r>
      <w:r>
        <w:rPr>
          <w:rFonts w:hint="eastAsia" w:ascii="方正小标宋简体" w:hAnsi="方正小标宋简体" w:eastAsia="方正小标宋简体" w:cs="方正小标宋简体"/>
          <w:sz w:val="44"/>
          <w:szCs w:val="44"/>
        </w:rPr>
        <w:t>行政</w:t>
      </w:r>
      <w:r>
        <w:rPr>
          <w:rFonts w:hint="eastAsia" w:ascii="方正小标宋简体" w:hAnsi="方正小标宋简体" w:eastAsia="方正小标宋简体" w:cs="方正小标宋简体"/>
          <w:sz w:val="44"/>
          <w:szCs w:val="44"/>
          <w:lang w:val="en-US" w:eastAsia="zh-CN"/>
        </w:rPr>
        <w:t>备案</w:t>
      </w:r>
      <w:r>
        <w:rPr>
          <w:rFonts w:hint="eastAsia" w:ascii="方正小标宋简体" w:hAnsi="方正小标宋简体" w:eastAsia="方正小标宋简体" w:cs="方正小标宋简体"/>
          <w:sz w:val="44"/>
          <w:szCs w:val="44"/>
        </w:rPr>
        <w:t xml:space="preserve">事项清单 </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（2023年版）》的通知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街道办事处，区</w:t>
      </w:r>
      <w:r>
        <w:rPr>
          <w:rFonts w:hint="eastAsia" w:ascii="仿宋_GB2312" w:hAnsi="仿宋_GB2312" w:eastAsia="仿宋_GB2312" w:cs="仿宋_GB2312"/>
          <w:sz w:val="32"/>
          <w:szCs w:val="32"/>
        </w:rPr>
        <w:t>政府各工作部门、直属机构</w:t>
      </w:r>
      <w:r>
        <w:rPr>
          <w:rFonts w:hint="eastAsia" w:ascii="仿宋_GB2312" w:hAnsi="仿宋_GB2312" w:eastAsia="仿宋_GB2312" w:cs="仿宋_GB2312"/>
          <w:sz w:val="32"/>
          <w:szCs w:val="32"/>
          <w:lang w:eastAsia="zh-CN"/>
        </w:rPr>
        <w:t>：</w:t>
      </w:r>
    </w:p>
    <w:p>
      <w:pPr>
        <w:keepNext w:val="0"/>
        <w:keepLines w:val="0"/>
        <w:widowControl/>
        <w:suppressLineNumbers w:val="0"/>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为贯彻落实省政府办公厅</w:t>
      </w:r>
      <w:r>
        <w:rPr>
          <w:rFonts w:hint="eastAsia" w:ascii="仿宋" w:hAnsi="仿宋" w:eastAsia="仿宋" w:cs="仿宋"/>
          <w:color w:val="000000"/>
          <w:kern w:val="0"/>
          <w:sz w:val="32"/>
          <w:szCs w:val="32"/>
          <w:lang w:val="en-US" w:eastAsia="zh-CN" w:bidi="ar"/>
        </w:rPr>
        <w:t>《关于公布行政备案事项清单（2023年版）的通知》（陕政办发〔2023〕21号）和市政府办公室《关于公布行政备案事项清单（2023年版）的通知》（安政办发〔2023〕23号）</w:t>
      </w:r>
      <w:r>
        <w:rPr>
          <w:rFonts w:hint="eastAsia" w:ascii="仿宋" w:hAnsi="仿宋" w:eastAsia="仿宋" w:cs="仿宋"/>
          <w:sz w:val="32"/>
          <w:szCs w:val="32"/>
          <w:lang w:val="en-US" w:eastAsia="zh-CN"/>
        </w:rPr>
        <w:t>要求，按照行政备案事项清单管理工作机制，区审改办会同区级有关部门对全区行政备案事项进行梳理汇总，现将《汉滨区行政许可事项清单(2023年版)》予以公布，并将有关事项通知如下：</w:t>
      </w:r>
    </w:p>
    <w:p>
      <w:pPr>
        <w:keepNext w:val="0"/>
        <w:keepLines w:val="0"/>
        <w:widowControl/>
        <w:suppressLineNumbers w:val="0"/>
        <w:ind w:firstLine="640" w:firstLineChars="20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一、规范清单管理</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行政备案事项清单梳理以法律、法规、规章为设定依据，没有法定依据的，原则上予以取消，实现清单之外无行政备案事项。列入清单的事项，要落实责任主体，对以备案之名行许可之实的，要坚决清理纠正。清单应根据法律法规规章立改废释、全面深化改革要求及经济社会发展需要适时按程序进行动态调整。</w:t>
      </w:r>
    </w:p>
    <w:p>
      <w:pPr>
        <w:keepNext w:val="0"/>
        <w:keepLines w:val="0"/>
        <w:widowControl/>
        <w:suppressLineNumbers w:val="0"/>
        <w:ind w:firstLine="640" w:firstLineChars="200"/>
        <w:jc w:val="left"/>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二、优化实施规范</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严格按照标准化、规范化、便利化要求，进一步完善行政备案实施规范及办事指南，及时向社会公布，严格按照办事指南实施行政备案，不得擅自增设备案条件。在</w:t>
      </w:r>
      <w:r>
        <w:rPr>
          <w:rFonts w:hint="eastAsia" w:ascii="仿宋_GB2312" w:hAnsi="仿宋_GB2312" w:eastAsia="仿宋_GB2312" w:cs="仿宋_GB2312"/>
          <w:color w:val="000000"/>
          <w:kern w:val="0"/>
          <w:sz w:val="31"/>
          <w:szCs w:val="31"/>
          <w:lang w:val="en-US" w:eastAsia="zh-CN" w:bidi="ar"/>
        </w:rPr>
        <w:t>市</w:t>
      </w:r>
      <w:r>
        <w:rPr>
          <w:rFonts w:ascii="仿宋_GB2312" w:hAnsi="仿宋_GB2312" w:eastAsia="仿宋_GB2312" w:cs="仿宋_GB2312"/>
          <w:color w:val="000000"/>
          <w:kern w:val="0"/>
          <w:sz w:val="31"/>
          <w:szCs w:val="31"/>
          <w:lang w:val="en-US" w:eastAsia="zh-CN" w:bidi="ar"/>
        </w:rPr>
        <w:t>级行业主管部门完善行政备案实施规范的基础上，县级行政备案实施机关完成事项认领并补充完善办事指南，明确具体的办理时间、办理地点、咨询电话等服务性信息。全</w:t>
      </w:r>
      <w:r>
        <w:rPr>
          <w:rFonts w:hint="eastAsia" w:ascii="仿宋_GB2312" w:hAnsi="仿宋_GB2312" w:eastAsia="仿宋_GB2312" w:cs="仿宋_GB2312"/>
          <w:color w:val="000000"/>
          <w:kern w:val="0"/>
          <w:sz w:val="31"/>
          <w:szCs w:val="31"/>
          <w:lang w:val="en-US" w:eastAsia="zh-CN" w:bidi="ar"/>
        </w:rPr>
        <w:t>区</w:t>
      </w:r>
      <w:r>
        <w:rPr>
          <w:rFonts w:ascii="仿宋_GB2312" w:hAnsi="仿宋_GB2312" w:eastAsia="仿宋_GB2312" w:cs="仿宋_GB2312"/>
          <w:color w:val="000000"/>
          <w:kern w:val="0"/>
          <w:sz w:val="31"/>
          <w:szCs w:val="31"/>
          <w:lang w:val="en-US" w:eastAsia="zh-CN" w:bidi="ar"/>
        </w:rPr>
        <w:t>各级各部门要依托全国一体化政务服务平台等系统，加强部门间数据共享，积极推进行政备案“进大厅、上平台、掌上办”，探索部分高频易办行政备案事项网上办理、一网通办。</w:t>
      </w:r>
    </w:p>
    <w:p>
      <w:pPr>
        <w:keepNext w:val="0"/>
        <w:keepLines w:val="0"/>
        <w:widowControl/>
        <w:suppressLineNumbers w:val="0"/>
        <w:ind w:firstLine="640" w:firstLineChars="200"/>
        <w:jc w:val="left"/>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三、推进协同联动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强化行政备案事项全过程管理，推进备案和监管协同联动，划清备案与监管权责界限，坚决杜绝“以备案代监管”“不备案不监管”问题，防止出现监管真空。行政备案实施部门应当建立健全监督制度，依法及时对行政备案材料进行统计、存档和核查。行业主管部门按照行政备案信息进行事中、事后监督检查时，应当指派两名以上具有执法资格工作人员依法进行；对于要求在法定时限内进行备案而未备案的市场主体，应当根据有关行业规定依法处理，并责令其限期进行备案；对隐瞒有关情况或者提供虚假材料取得备案的，应当及时通报行政备案实施部门并根据有关行业规定依法处理。探索实施“信用监管”“审慎监管”“移动监管”等方式，实现行政备案监管方式多元化、高效化，为市场创造公平竞争的营商环境。</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全区各级各部门要深入学习贯彻习近平总书记关于优化营商环境的重要论述，进一步解放思想、创新举措、总结推广典型经验，推进行政备案管理事项合法、程序规范、服务优质，不断优化提升营商环境水平。</w:t>
      </w:r>
    </w:p>
    <w:p>
      <w:pPr>
        <w:pStyle w:val="2"/>
        <w:rPr>
          <w:rFonts w:hint="eastAsia"/>
        </w:rPr>
      </w:pPr>
    </w:p>
    <w:p>
      <w:pPr>
        <w:ind w:firstLine="640" w:firstLineChars="200"/>
        <w:jc w:val="left"/>
        <w:rPr>
          <w:rFonts w:hint="eastAsia" w:ascii="仿宋" w:hAnsi="仿宋" w:eastAsia="仿宋" w:cs="仿宋"/>
          <w:sz w:val="32"/>
          <w:szCs w:val="32"/>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附件：汉滨区行政备案事项清单(2023年版)</w:t>
      </w:r>
    </w:p>
    <w:p>
      <w:pPr>
        <w:keepNext w:val="0"/>
        <w:keepLines w:val="0"/>
        <w:pageBreakBefore w:val="0"/>
        <w:widowControl w:val="0"/>
        <w:kinsoku/>
        <w:wordWrap/>
        <w:overflowPunct/>
        <w:topLinePunct w:val="0"/>
        <w:autoSpaceDE/>
        <w:autoSpaceDN/>
        <w:bidi w:val="0"/>
        <w:adjustRightInd/>
        <w:snapToGrid/>
        <w:spacing w:line="570" w:lineRule="exact"/>
        <w:ind w:firstLine="4800" w:firstLineChars="1500"/>
        <w:jc w:val="both"/>
        <w:textAlignment w:val="auto"/>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3840" w:firstLineChars="1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安康市汉滨区人民政府办公室</w:t>
      </w:r>
    </w:p>
    <w:p>
      <w:pPr>
        <w:keepNext w:val="0"/>
        <w:keepLines w:val="0"/>
        <w:pageBreakBefore w:val="0"/>
        <w:widowControl w:val="0"/>
        <w:kinsoku/>
        <w:wordWrap/>
        <w:overflowPunct/>
        <w:topLinePunct w:val="0"/>
        <w:autoSpaceDE/>
        <w:autoSpaceDN/>
        <w:bidi w:val="0"/>
        <w:adjustRightInd/>
        <w:snapToGrid/>
        <w:spacing w:line="570" w:lineRule="exact"/>
        <w:ind w:firstLine="4640" w:firstLineChars="145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2024年2月20日</w:t>
      </w:r>
    </w:p>
    <w:p>
      <w:pPr>
        <w:keepNext w:val="0"/>
        <w:keepLines w:val="0"/>
        <w:pageBreakBefore w:val="0"/>
        <w:widowControl w:val="0"/>
        <w:kinsoku/>
        <w:wordWrap/>
        <w:overflowPunct/>
        <w:topLinePunct w:val="0"/>
        <w:autoSpaceDE/>
        <w:autoSpaceDN/>
        <w:bidi w:val="0"/>
        <w:adjustRightInd/>
        <w:snapToGrid/>
        <w:spacing w:line="570" w:lineRule="exact"/>
        <w:ind w:firstLine="5440" w:firstLineChars="17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440" w:firstLineChars="17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440" w:firstLineChars="17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440" w:firstLineChars="17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440" w:firstLineChars="17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440" w:firstLineChars="17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440" w:firstLineChars="17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440" w:firstLineChars="17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440" w:firstLineChars="17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440" w:firstLineChars="1700"/>
        <w:jc w:val="both"/>
        <w:textAlignment w:val="auto"/>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440" w:firstLineChars="17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280" w:firstLineChars="1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抄送：市职转办、市审改办。</w:t>
      </w:r>
    </w:p>
    <w:p>
      <w:pPr>
        <w:keepNext w:val="0"/>
        <w:keepLines w:val="0"/>
        <w:pageBreakBefore w:val="0"/>
        <w:widowControl w:val="0"/>
        <w:kinsoku/>
        <w:wordWrap/>
        <w:overflowPunct/>
        <w:topLinePunct w:val="0"/>
        <w:autoSpaceDE/>
        <w:autoSpaceDN/>
        <w:bidi w:val="0"/>
        <w:adjustRightInd/>
        <w:snapToGrid/>
        <w:spacing w:line="570" w:lineRule="exact"/>
        <w:ind w:firstLine="1120" w:firstLineChars="400"/>
        <w:jc w:val="both"/>
        <w:textAlignment w:val="auto"/>
        <w:rPr>
          <w:rFonts w:hint="eastAsia" w:ascii="仿宋_GB2312" w:hAnsi="仿宋_GB2312" w:eastAsia="仿宋_GB2312" w:cs="仿宋_GB2312"/>
          <w:spacing w:val="-6"/>
          <w:sz w:val="28"/>
          <w:szCs w:val="28"/>
          <w:lang w:val="en-US" w:eastAsia="zh-CN"/>
        </w:rPr>
      </w:pPr>
      <w:r>
        <w:rPr>
          <w:rFonts w:hint="eastAsia" w:ascii="仿宋_GB2312" w:hAnsi="仿宋_GB2312" w:eastAsia="仿宋_GB2312" w:cs="仿宋_GB2312"/>
          <w:sz w:val="28"/>
          <w:szCs w:val="28"/>
          <w:lang w:val="en-US" w:eastAsia="zh-CN"/>
        </w:rPr>
        <w:t>区</w:t>
      </w:r>
      <w:r>
        <w:rPr>
          <w:rFonts w:hint="eastAsia" w:ascii="仿宋_GB2312" w:hAnsi="仿宋_GB2312" w:eastAsia="仿宋_GB2312" w:cs="仿宋_GB2312"/>
          <w:spacing w:val="-6"/>
          <w:sz w:val="28"/>
          <w:szCs w:val="28"/>
          <w:lang w:val="en-US" w:eastAsia="zh-CN"/>
        </w:rPr>
        <w:t>委各工作部门，区人大常委会办公室，区政协办公室，区人武部。</w:t>
      </w:r>
    </w:p>
    <w:p>
      <w:pPr>
        <w:keepNext w:val="0"/>
        <w:keepLines w:val="0"/>
        <w:pageBreakBefore w:val="0"/>
        <w:widowControl w:val="0"/>
        <w:kinsoku/>
        <w:wordWrap/>
        <w:overflowPunct/>
        <w:topLinePunct w:val="0"/>
        <w:autoSpaceDE/>
        <w:autoSpaceDN/>
        <w:bidi w:val="0"/>
        <w:adjustRightInd/>
        <w:snapToGrid/>
        <w:spacing w:line="570" w:lineRule="exact"/>
        <w:ind w:firstLine="1120" w:firstLineChars="400"/>
        <w:jc w:val="both"/>
        <w:textAlignment w:val="auto"/>
        <w:rPr>
          <w:rFonts w:hint="eastAsia" w:ascii="仿宋_GB2312" w:hAnsi="仿宋_GB2312" w:eastAsia="仿宋_GB2312" w:cs="仿宋_GB2312"/>
          <w:sz w:val="28"/>
          <w:szCs w:val="28"/>
          <w:lang w:val="en-US" w:eastAsia="zh-CN"/>
        </w:rPr>
        <w:sectPr>
          <w:footerReference r:id="rId3" w:type="default"/>
          <w:pgSz w:w="11906" w:h="16838"/>
          <w:pgMar w:top="1440" w:right="1080" w:bottom="1440" w:left="1080" w:header="851" w:footer="1417" w:gutter="0"/>
          <w:pgNumType w:fmt="numberInDash"/>
          <w:cols w:space="425" w:num="1"/>
          <w:docGrid w:type="lines" w:linePitch="312" w:charSpace="0"/>
        </w:sectPr>
      </w:pPr>
      <w:r>
        <w:rPr>
          <w:rFonts w:hint="eastAsia" w:ascii="仿宋_GB2312" w:hAnsi="仿宋_GB2312" w:eastAsia="仿宋_GB2312" w:cs="仿宋_GB2312"/>
          <w:sz w:val="28"/>
          <w:szCs w:val="28"/>
          <w:lang w:val="en-US" w:eastAsia="zh-CN"/>
        </w:rPr>
        <w:t>区监委，区法院，区检察院，各人民团体，各新闻单位。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黑体" w:hAnsi="黑体" w:eastAsia="黑体" w:cs="黑体"/>
          <w:b w:val="0"/>
          <w:bCs w:val="0"/>
          <w:color w:val="auto"/>
          <w:sz w:val="32"/>
          <w:szCs w:val="32"/>
          <w:shd w:val="clear" w:color="auto" w:fill="FFFFFF"/>
          <w:lang w:val="en-US" w:eastAsia="zh-CN"/>
        </w:rPr>
      </w:pPr>
      <w:r>
        <w:rPr>
          <w:rFonts w:hint="eastAsia" w:ascii="黑体" w:hAnsi="黑体" w:eastAsia="黑体" w:cs="黑体"/>
          <w:b w:val="0"/>
          <w:bCs w:val="0"/>
          <w:color w:val="auto"/>
          <w:sz w:val="32"/>
          <w:szCs w:val="32"/>
          <w:shd w:val="clear" w:color="auto" w:fill="FFFFFF"/>
          <w:lang w:eastAsia="zh-CN"/>
        </w:rPr>
        <w:t>附件</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b w:val="0"/>
          <w:bCs w:val="0"/>
          <w:color w:val="auto"/>
          <w:sz w:val="44"/>
          <w:szCs w:val="44"/>
          <w:shd w:val="clear" w:color="auto" w:fill="FFFFFF"/>
          <w:lang w:val="en-US" w:eastAsia="zh-CN"/>
        </w:rPr>
      </w:pPr>
      <w:r>
        <w:rPr>
          <w:rFonts w:hint="eastAsia" w:ascii="方正小标宋简体" w:hAnsi="方正小标宋简体" w:eastAsia="方正小标宋简体" w:cs="方正小标宋简体"/>
          <w:b w:val="0"/>
          <w:bCs w:val="0"/>
          <w:color w:val="auto"/>
          <w:sz w:val="44"/>
          <w:szCs w:val="44"/>
          <w:shd w:val="clear" w:color="auto" w:fill="FFFFFF"/>
          <w:lang w:val="en-US" w:eastAsia="zh-CN"/>
        </w:rPr>
        <w:t>汉滨区行政备案事项清单(2023年版)</w:t>
      </w: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6"/>
        <w:gridCol w:w="1673"/>
        <w:gridCol w:w="2719"/>
        <w:gridCol w:w="2857"/>
        <w:gridCol w:w="1588"/>
        <w:gridCol w:w="5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Style w:val="10"/>
                <w:lang w:val="en-US" w:eastAsia="zh-CN" w:bidi="ar"/>
              </w:rPr>
              <w:t xml:space="preserve">事项名称 </w:t>
            </w:r>
            <w:r>
              <w:rPr>
                <w:rStyle w:val="11"/>
                <w:lang w:val="en-US" w:eastAsia="zh-CN" w:bidi="ar"/>
              </w:rPr>
              <w:t>(</w:t>
            </w:r>
            <w:r>
              <w:rPr>
                <w:rStyle w:val="10"/>
                <w:lang w:val="en-US" w:eastAsia="zh-CN" w:bidi="ar"/>
              </w:rPr>
              <w:t>主项</w:t>
            </w:r>
            <w:r>
              <w:rPr>
                <w:rStyle w:val="11"/>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子项名称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实施机关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取得出版物经营许可证的单位、个人从事出版物网络发行经营活动备案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取得出版物经营许可证的单位从事出版物网络发行经营活动备案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取得出版物经营许可证的个人从事出版物网络发行经营活动备案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从事出版物发行业务的单位、个人临时开展出版物销售活动备案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从事出版物发行业务的单位临时开展出版物销售活动备案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从事出版物发行业务的个人临时开展出版物销售活动备案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出版物发行单位设立不具备法人资格的发行分支机构备案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出版物批发单位设立不具备法人资格的发行分支机构备案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出版物零售单位设立不具备法人资格的发行分支机构备案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出版单位设立不具备法人资格的发行分支机构备案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出版物发行业务注销备案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单位从事出版物发行业务注销备案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个人从事出版物发行业务注销备案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从事电影流动放映活动备案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企业从事电影流动放映活动备案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《中华人民共和国电影产业促进法》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个人从事电影流动放映活动备案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《中华人民共和国电影产业促进法》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电影发行、放映单位变更备案</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电影放映单位变更备案</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电影发行、放映单位注销备案</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电影放映单位注销备案</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申请从事农村16毫米电影片业务备案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电影发行单位申请从事农村16毫米电影片电影发行业务备案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电影放映单位申请从事农村16毫米电影片电影放映业务备案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个人申请从事农村16毫米电影片电影放映业务备案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《印刷登记簿》备案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《印刷品承印管理规定》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从事出版物出租业务备案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单位从事出版物出租业务备案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个人从事出版物出租业务备案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宗教教职人员担任或者离任宗教活动场所主要教职备案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宗教教职人员跨县担任或者离任宗教活动场所主要教职备案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                                   《陕西省宗教事务条例》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担任宗教活动场所主要教职注销备案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《宗教教职人员管理办法》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本省宗教教职人员主持宗教活动备案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宗教教职人员在省内跨县（市、区）主持宗教活动备案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宗教活动场所管理组织的成员备案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                                      《陕西省宗教事务条例》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宗教活动场所突发事件应急预案备案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宗教活动场所内部财务管理制度备案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《宗教活动场所财务管理办法》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宗教活动场所年度收入和支出预算备案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《宗教活动场所财务管理办法》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宗教活动场所单位银行结算账户信息备案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《宗教活动场所财务管理办法》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取得法人资格的宗教活动场所印章式样备案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《国家宗教事务局民政部关于宗教活动场所办理法人登记事项的通知》（国宗发〔2019〕1号）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宗教活动场所监事备案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《国家宗教事务局关于印发&lt;宗教活动场所法人章程示范文本&gt;的通知》（国宗发〔2019〕2号）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宗教团体、寺观教堂开展学习时间在三个月以下的宗教教育培训备案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陕西省宗教事务条例》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固定资产投资项目备案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企业投资项目备案及房地产开发项目备案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《企业投资项目核准和备案管理条例》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《陕西省企业投资项目核准和备案管理办法》（陕发改投资〔2017〕1331号）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外商投资项目备案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《企业投资项目核准和备案管理条例》                          《外商投资项目核准和备案管理办法》                  《陕西省外商投资项目核准和备案管理办法》（陕发改外资〔2021〕1209号）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光伏电站项目备案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《企业投资项目核准和备案管理条例》                  《光伏电站开发建设管理办法》（国能发新能规〔2022〕104号）                                             《国务院关于投资体制改革的决定（国发〔2004〕20号）                                    《光伏电站项目管理暂行办法》（国能新能〔2013〕329号）                                                《陕西省发展和改革委员会关于进一步加强光伏发电项目管理的通知》（陕发改新能源〔2016〕1629号）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固定资产投资项目节能验收报告备案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《固定资产投资项目节能审查办法》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汽车其他投资项目备案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《汽车产业投资管理规定》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自行办理招标事宜的备案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《中华人民共和国招标投标法》                             《陕西省实施&lt;中华人民共和国招标投标法&gt;办法》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工程招标投标情况书面报告备案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《中华人民共和国招标投标法》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石油天然气管道竣工测量图备案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石油天然气管道事故应急预案备案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石油天然气管道停止运行、封存、报废备案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粮食收购备案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《粮食流通管理条例》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粮油仓储单位备案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《粮油仓储管理办法》                               《国有粮油仓储物流设施保护办法》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储粮熏蒸作业备案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《粮油仓储管理办法》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国有粮油仓储单位拆迁、改变用途的备案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《国有粮油仓储物流设施保护办法》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征收、征用国有粮油仓储物流设施的备案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《国有粮油仓储物流设施保护办法》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粮油仓储单位出租、出借粮油仓储物流设施的备案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《国有粮油仓储物流设施保护办法》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人民防空工程、兼顾人民防空需要的地下工程竣工验收备案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区发改局（国动办）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《建设工程质量管理条例》                                《人民防空工程建设管理规定》（国人防办字〔2003〕第18号）                                                《人民防空工程质量监督管理规定》（国人防办字〔2010〕288号）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人民防空工程质量监督手续备案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区发改局（国动办）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《建设工程质量管理条例》                                《人民防空工程建设管理规定》（国人防办字〔2003〕第18号）                                                《人民防空工程质量监督管理规定》（国人防办字〔2010〕288号）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人防工程平时利用、变更和战时转换备案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区发改局（国动办）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《中华人民共和国人民防空法》                         《人民防空工程建设管理规定》（国人防办字〔2003〕第18号）                                                 《陕西省实施 &lt;中华人民共和国人民防空法&gt; 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区教育体育局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民办学校招生简章和广告备案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区教育体育局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                  《国务院关于第三批取消中央指定地方实施行政许可事项的决定》（国发〔2017〕7号）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民办学校学籍和教学管理制度备案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民办学校自主设置课程的备案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区教育体育局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民办学校重大事项变更的备案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民办学校章程变更的备案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区教育体育局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民办学校异地设立分校在原审批机关的备案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民办学校理事会、监事会成员变更的备案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民办学校法人举办者控股股东和实际控制人变更的备案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区教育体育局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教育移动互联网应用程序备案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教育移动互联网应用程序使用者备案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区教育体育局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《教育移动互联网应用程序备案管理办法》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（教技厅〔2019〕3号）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区教育体育局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校车安全管理责任书备案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区教育体育局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煤矿生产安全事故应急预案备案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《生产安全事故应急预案管理办法》                                 《陕西省煤矿生产安全事故应急预案管理办法实施细则》（陕应急〔2021〕336号）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煤矿建设项目开工告知备案</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县属及民营煤矿建设项目开工告知备案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《建设工程安全生产管理条例》                           《国家发展和改革委员会等五部门关于加强煤炭建设项目管理的通知》（发改能源〔2006〕1039号)                                      《陕西省人民政府关于取消和下放41项行政审批项目的决定》（陕政发〔2014〕13号）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生产经营单位生产安全事故应急预案备案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《生产安全事故应急预案管理办法》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重大危险源备案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                                                《危险化学品重大危险源监督管理暂行规定》                        《危险化学品安全管理条例》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经营非药品类易制毒化学品备案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经营第三类非药品类易制毒化学品备案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《易制毒化学品管理条例》                              《非药品类易制毒化学品生产、经营许可办法》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黑火药、引火线批发企业采购销售记录备案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《烟花爆竹经营许可实施办法》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生产、储存危险化学品企业安全评价报告以及整改方案的落实情况备案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生产、储存危险化学品的单位转产、停产、停业或者解散处置方案备案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民用爆炸物品销售备案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互联单位、接入单位、使用计算机信息网络的法人和其他组织办理接入国际联网备案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《计算机信息网络国际联网安全保护管理办法》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治安保卫重点单位保卫机构设置和人员配备情况备案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《企业事业单位内部治安保卫条例》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娱乐服务场所备案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《娱乐场所管理条例》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收购非生产性废旧金属备案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《废旧金属收购业治安管理办法》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城市、风景名胜区和重要工程设施附近实施爆破作业备案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爆破作业合同备案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《爆破作业项目管理要求》（GA991-2012）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机动车登记信息或者事项变更备案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机动车所有人住所在车辆管理所 管辖区域内迁移、机动车所有人 姓名（单位名称 ）变更备案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机动车所有人身份证明名称或者号码变更备案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机动车所有人联系方式变更备案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车辆识别代号因磨损、锈蚀、事故等原因辨认不清或者损坏备案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道路运输企业聘用机动车驾驶人备案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持有大型客车、重型牵引挂车、城市公交车、中型客车、大型货车驾驶证的驾驶人从业单位等信息变更备案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公章刻制备案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《印铸刻字业暂行管理规则》                        《国务院关于第三批取消中央指定地方实施行政许可事项的决定》（国发〔2017〕7号）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民用爆炸物品销售企业备案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进出口民用爆炸物品的情况备案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民用爆炸物品生产企业备案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爆破作业单位备案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管制刀具制造企业刀具样品及其说明备案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《公安部对部分刀具实行管制的暂行规定》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房屋承租人基本情况登记备案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《租赁房屋治安管理规定》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房屋承租人将承租房屋转租或者转借他人向当地公安派出所申报备案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《租赁房屋治安管理规定》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旅馆歇业、转业、合并、迁移、改变名称等情况备案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《旅馆业治安管理办法》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第三类易制毒化学品运输备案证明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剧毒化学品运达目的地备案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《剧毒化学品购买和公路运输许可证件管理办法》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射击竞技体育运动单位接待训练、比赛等射击活动备案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《射击竞技体育运动枪支管理办法》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易制爆危险化学品从业单位转产、停产停业后生产装置、储存设施、库存处置方案备案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《易制爆危险化学品治安管理办法》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易制毒化学品销售、购买情况备案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《易制毒化学品管理条例》                           《易制爆危险化学品治安管理办法》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养老机构备案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《中华人民共和国老年人权益保障法》                              《养老机构管理办法》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社会团体印章样式、银行账号备案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《社会团体登记管理条例》                                               《社会团体印章管理规定》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民办非企业单位印章样式、银行账号备案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《民办非企业单位登记管理暂行条例》                             《民办非企业单位印章管理规定》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捐献遗体备案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《陕西省殡葬管理办法》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管辖区域外开展公开募捐活动备案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《中华人民共和国慈善法》                          《慈善组织公开募捐管理办法》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公开募捐方案备案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《中华人民共和国慈善法》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变更捐赠财产用途备案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《中华人民共和国慈善法》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慈善信托备案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慈善信托备案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《中华人民共和国慈善法》                         《慈善信托管理办法》（银监发〔2017〕37号）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慈善信托受托人变更备案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《中华人民共和国慈善法》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公证员年度考核结果备案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《公证员执业管理办法》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对违规律师辞退或除名备案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《律师事务所管理办法》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基层法律服务所与基层法律服务工作者解除聘用合同或者劳动合同备案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《基层法律服务工作者管理办法》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基层法律服务所辅助工作人员的聘用、变更情况备案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《基层法律服务所管理办法》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人民调解委员会对推选、聘任产生的人民调解员备案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《陕西省人民调解员管理服务办法》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代理记账机构及其分支机构年度报备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《代理记账管理办法》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金融企业国有资产评估项目备案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《金融企业国有资产评估监督管理暂行办法》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代理记账机构设立分支机构备案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《代理记账管理办法》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代理记账机构分支机构名称、 负责人变更备案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《代理记账管理办法》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人力资源服务企业备案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《人力资源市场暂行条例》                         《陕西省人力资源市场条例》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劳务派遣单位设立分公司经营劳务派遣业务备案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《劳务派遣行政许可实施办法》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安康市自然资源局汉滨分局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设施农业用地备案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《自然资源部农业农村部关于设施农业用地管理有关问题的通知》（自然资规〔2019〕4号）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安康市自然资源局汉滨分局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矿山地质环境保护与土地复垦方案备案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安康市自然资源局汉滨分局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《陕西省秦岭生态环境保护条例》                    《陕西省煤炭石油天然气开发生态环境保护条例》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安康市自然资源局汉滨分局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房产测绘成果备案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安康市自然资源局汉滨分局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《住房和城乡建设部办公厅关于印发 &lt;房屋交易与产权管理工作导则&gt; 的通知》（建办房〔2015〕45号）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生态环境恢复治理方案备案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《陕西省煤炭石油天然气开发生态环境保护条例》                                      《陕西省秦岭生态环境保护条例》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排污登记表备案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《排污许可管理条例》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环境影响后评价备案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《中华人民共和国环境影响评价法》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建设项目环境影响登记表备案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《中华人民共和国环境影响评价法》                  《建设项目环境保护管理条例》                     《建设项目环境影响登记表备案管理办法》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突发环境事件应急预案备案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《突发环境事件应急管理办法》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煤炭、石油、天然气开发单位突发环境事件应急预案备案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《陕西省煤炭石油天然气开发生态环境保护条例》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危险废物意外事故防范措施和应急预案备案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《中华人民共和国固体废物污染环境防治法》                                                                   《陕西省固体废物污染环境防治条例》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从事含消耗臭氧层物质的制冷设备、制冷系统或者灭火系统的维修、报废处理等经 营活动备案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《消耗臭氧层物质管理条例》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危险废物管理计划备案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土壤污染重点监管单位拆除设施、设备或建筑物、构筑物土壤污染防治工作方案备案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建设用地土壤污染修复方案备案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土壤污染风险管控效果、修复效果评估报告备案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土壤污染重点监管单位经营用地变更或收回、转让土壤污染状况调查报告备案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污染源自动监控设施登记备案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污染源自动监控设施登记备案（首次）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《污染源自动监控设施现场监督检查办法》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污染源自动监控设施登记备案（变更）</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《污染源自动监控设施现场监督检查办法》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三级、四级病原微生物实验室备案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《病原微生物实验室生物安全环境管理办法》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病原微生物实验室应急预案备案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病原微生物实验室环境污染应急预案备案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《病原微生物实验室生物安全环境管理办法》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病原微生物实验室危险废物意外事故防范措施应急预案备案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《病原微生物实验室生物安全环境管理办法》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病原微生物实验室监测计划备案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《病原微生物实验室生物安全环境管理办法》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煤矿及选煤厂建设临时性堆放场综合利用方案备案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安康市生态环境局汉滨分局、区发改局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《陕西省煤炭石油天然气开发生态环境保护条例》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畜禽养殖品种、规模以及畜禽养殖废弃物的产生、排放和综合利用等情况备案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《畜禽规模养殖污染防治条例》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建筑工地农民工业余学校备案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《关于深入推进建筑工地农民工业余学校工作的指导意见》（建人〔2012〕200号）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房屋建筑和市政基础设施工程竣工验收备案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《建设工程质量管理条例》                               《房屋建筑和市政工程基础设施工程竣工验收备案管理办法》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建筑起重机械首次出租或首次安装前备案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《建筑起重机械安全监督管理规定》                  《陕西省建设工程质量和安全生产管理条例》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建设工程消防验收备案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《中华人民共和国消防法》                                      《建设工程消防设计审查验收管理暂行规定》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房屋交易备案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商品房现售备案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《商品房销售管理办法》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商品房买卖合同网签备案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《中华人民共和国城市房地产管理法》                《城市房地产开发经营管理条例》                        《城市商品房预售管理办法》                            《住房和城乡建设部关于进一步规范和加强房屋网签备案工作的指导意见 》（建房〔2018〕128号）《国务院办公厅关于促进房地产市场平稳健康发展的通知》（国办发〔2010〕4号）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存量房买卖合同网签备案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《住房和城乡建设部关于进一步规范和加强房屋网签备案工作的指导意见 》（建房〔2018〕128号）《国务院办公厅关于促进房地产市场平稳健康发展的通知》（国办发〔2010〕4号）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房屋租赁合同网签备案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《中华人民共和国城市房地产管理法》                                  《商品房屋租赁管理办法》                                             《住房和城乡建设部关于进一步规范和加强房屋网签备案工作的指导意见 》（建房〔2018〕128号）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房屋抵押合同网签备案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《住房和城乡建设部关于进一步规范和加强房屋网签备案工作的指导意见 》（建房〔2018〕128号）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房地产开发企业、房地产经纪机构、住房租赁企业、银行业金融机构、交易当事人备案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《住房和城乡建设部关于印发房屋交易合同网签备案业务规范（试行）的通知》（建房规〔2019〕5号）《房地产经纪管理办法》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物业服务合同备案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《陕西省物业管理条例》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物业承接查验备案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《陕西省物业服务管理条例》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业主委员会备案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 乡镇人民政府、街道办事处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《物业管理条例》                                    《陕西省物业服务管理条例》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黏土实心砖生产企业转产新型墙体材料备案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《陕西省新型墙体材料发展应用条例》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工程施工招标文件备案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《房屋建筑和市政基础设施工程施工招标投标管理办法》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最高限价及其成果文件备案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《建筑工程施工发包与承包计价管理办法》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书面评标报告备案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《评标委员会和评标方法暂行规定》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招标人自行办理施工招标事宜备案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《中华人民共和国招标投标法》                                 《房屋建筑和市政基础设施工程施工招标投标管理办法》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燃气工程竣工验收备案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《城镇燃气管理条例》                                             《陕西省燃气管理条例》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地震应急预案备案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《中华人民共和国防震减灾法》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施工图审查情况备案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《房屋建筑和市政基础设施工程施工图设计文件审查管理办法》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小区前期物业企业招投标备案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《物业管理条例》                                                                     《建设部关于印发&lt;前期物业管理招标投标管理暂行办法&gt;的通知》（建住房〔2003〕130号）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城镇排水与污水处理设施建设工程竣工备案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城市供水单位供水水质突发事件应急预案备案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《城市供水条例》                                                   《城市供水水质管理规定》                                                      《陕西省城乡供水用水条例》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城乡供水工程竣工验收备案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《城市供水条例》                                                                                                      《陕西省城乡供水用水条例》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建筑工程竣工结算文件备案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《建筑工程施工发包与承包计价管理办法》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一般建设工程抗震设防要求备案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《陕西省防震减灾条例》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安康市城市管理执法局汉滨分局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食品摊贩登记备案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安康市城市管理执法局汉滨分局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《陕西省食品小作坊小餐饮及摊贩管理条例》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安康市城市管理执法局汉滨分局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建筑垃圾处理方案备案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安康市城市管理执法局汉滨分局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公路工程交工验收备案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《公路建设监督管理办法》                         《公路工程竣（交）工验收办法》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公路建设项目招标备案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《中华人民共和国招标投标法》                            《公路工程建设项目招标投标管理办法》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水运建设项目招标备案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《中华人民共和国招标投标法》                            《水运工程建设项目招标投标管理办法》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道路货物运输经营者设立分公司备案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《道路货物运输及站场管理规定》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道路货物运输经营者和货运站变更名称、地址等备案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《道路货物运输及站场管理规定》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在外省注册的货运经营者在本省境内从事货运经营活动一个月以上的备案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《陕西省道路运输管理条例》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班车客运经营者起讫地客运站点、途经路线备案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道路客运经营者设立分公司备案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定制客运备案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客运站经营者设立停靠点备案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2"/>
                <w:lang w:val="en-US" w:eastAsia="zh-CN" w:bidi="ar"/>
              </w:rPr>
              <w:t>道路货物</w:t>
            </w:r>
            <w:r>
              <w:rPr>
                <w:rStyle w:val="13"/>
                <w:lang w:val="en-US" w:eastAsia="zh-CN" w:bidi="ar"/>
              </w:rPr>
              <w:t>运输站（场）经营备案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《中华人民共和国道路运输条例》                           《道路货物运输及站场管理规定》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2"/>
                <w:lang w:val="en-US" w:eastAsia="zh-CN" w:bidi="ar"/>
              </w:rPr>
              <w:t>从事货运</w:t>
            </w:r>
            <w:r>
              <w:rPr>
                <w:rStyle w:val="13"/>
                <w:lang w:val="en-US" w:eastAsia="zh-CN" w:bidi="ar"/>
              </w:rPr>
              <w:t>代理 （代办）等货运相关服务备案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《道路货物运输及站场管理规定》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机动车维修经营备案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机动车维修经营备案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《中华人民共和国道路运输条例》                          《机动车维修管理规定》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机动车维修变更备案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机动车维修注销备案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机动车维修连锁经营服务备案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机动车维修工时单价标准备案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机动车驾驶员培训经营备案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                         《中华人民共和国道路运输条例》                          《国务院关于深化“证照分离 ”改革进一步激发市场主体发展活力的通知》（国发〔2021〕7号）《机动车驾驶员培训管理规定》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道路运输企业新建或者变更监控平台备案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《道路运输车辆动态监督管理办法》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港口经营人变更企业法人、 负责人、办公地址备案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从事船舶港口服务、港口设施设备和机械租赁维修业务备案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从事船舶港口服务、港口设施设备和机械租赁维修业务备案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从事船舶港口服务、港口设施设备和机械租赁维修业务变更备案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从事船舶港口服务、港口设施设备和机械租赁维修业务终止经营备案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经营港口理货业务备案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经营港口理货业务备案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《中华人民共和国港口法》                                            《港口经营管理规定》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经营港口理货业务变更备案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经营港口理货业务终止经营备案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变更或者改造港口固定经营设施备案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港口经营企业应急预案备案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内河通航水域安全作业备案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《中华人民共和国内河交通安全管理条例》                 《水上水下作业和活动通航安全管理规定》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航道设置渔标和军用标备案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《中华人民共和国航道管理条例》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小微型客车租赁经营备案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小微型客车租赁经营备案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《小微型客车租赁经营服务管理办法》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小微型客车租赁变更备案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《小微型客车租赁经营服务管理办法》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小微型客车租赁注销备案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《小微型客车租赁经营服务管理办法》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小微型客车暂停或者终止分时租赁经营备案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《小微型客车租赁经营服务管理办法》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收费公路建设项目法人和项目建设管理单位备案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《公路建设市场管理办法》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水利工程一般设计变更核备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《水利部关于印发 &lt;水利工程设计变更管理暂行办法&gt; 的通知》（水规计〔2020〕283号）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水利工程保证安全生产措施方案备案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《水利工程建设安全生产管理规定》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水利工程中拆除工程和爆破工程相关资料备案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《水利工程建设安全生产管理规定》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水利工程法人验收质量评定结论核备</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《水利工程建设安全生产管理规定》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水利工程质量验收结论备案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《水利工程质量管理规定》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水利工程开工备案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《水利工程质量管理规定》                         《水利工程建设项目管理规定（试行）》（水建〔1995〕128号）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水利工程法人验收工作计划备案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《水利工程建设项目验收管理规定》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水利工程法人验收鉴定书备案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《水利工程建设项目验收管理规定》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水利工程阶段验收鉴定书备案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《水利工程建设项目验收管理规定》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水利工程建设项目监理单位备案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《水利工程建设监理规定》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水库年度汛期调度方案（运用计划）报备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《水利部关于印发大中型水库汛期调度运用规定（试行）的通知》（水防〔2021〕189号）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非防洪建设项目安全度汛方案备案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《水利部关于加强非防洪建设项目洪水影响评价工作的通知》（水汛〔2017〕359号）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地下水取水工程施工单位资质证明和施工方案备案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《陕西省地下水条例》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关停、报废地下水取水工程登记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《陕西省地下水条例》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生产建设项目水土保持方案设施自主验收备案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《水利部办公厅关于印发生产建设项目水土保持监督管理办法的通知》（办水保〔2019〕172号）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以监测、勘探为目的的地下水取水工程施工前备案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《地下水管理条例》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临时应急取（排）水备案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《地下水管理条例》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《取水许可和水资源费征收管理条例》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河道管理范围内建设项目施工安排备案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《河道管理范围内建设项目管理的有关规定》（水政〔1992〕7号）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地下工程建设方案和防止对地下水产生不利影响措施方案备案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《地下水管理条例》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执业兽医备案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《中华人民共和国动物防疫法》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乡村兽医备案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《中华人民共和国动物防疫法》                       《执业兽医和乡村兽医管理办法》                          《国务院关于取消和下放一批行政许可事项的决定》（国发〔2020〕13号）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畜禽养殖场备案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《中华人民共和国畜牧法》                           《畜禽标识和养殖档案管理办法》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专门经营不再分装的包装农作物种子或者受具有农作物种子生产经营许可证的企业书面委托代销其种子的备案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专门经营不再分装的包装农作物种子备案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                           《农作物种子生产经营许可管理办法》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受具有农作物种子生产经营许可证的企业书面委托代销其种子备案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                           《农作物种子生产经营许可管理办法》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受具有农作物种子生产经营 许可证的企业书面委托生产其种的备案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                           《农作物种子生产经营许可管理办法》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单位和个人仅从事食用菌菌种栽培种经营的备案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单位仅从事食用菌菌种栽培种经营的备案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《食用菌菌种管理办法》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个人仅从事食用菌菌种栽培种经营的备案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《食用菌菌种管理办法》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农药经营者设立分支机构备案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《农药管理条例》                                  《农药经营许可管理办法》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跨区作业中介服务组织备案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联合收割机跨区作业管理办法》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跨区作业合同备案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联合收割机跨区作业管理办法》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农用地地块土壤污染修复方案备案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农用地地块土壤污染修复效果评估报告备案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出售、购买、利用水生野生动物或其制品的单位和个人备案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《中华人民共和国水生野生动物利用特许办法》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auto"/>
                <w:kern w:val="0"/>
                <w:sz w:val="20"/>
                <w:szCs w:val="20"/>
                <w:u w:val="none"/>
                <w:lang w:val="en-US" w:eastAsia="zh-CN" w:bidi="ar"/>
              </w:rPr>
              <w:t>农药经营季度数据备案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林木种子经营者经营行为备案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林木种子生产经营许可证载明的有效区域设立分支机构的备案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                            《林木种子生产经营许可证管理办法》                        《陕西省实施 &lt;中华人民共和国种子法&gt; 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专门经营不再分装的包装林木种子的备案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                            《林木种子生产经营许可证管理办法》                        《陕西省实施 &lt;中华人民共和国种子法&gt; 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受具有林木种子生产经营许可证的种子生产经营者以书面委托生产、代销其种子的备案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                            《林木种子生产经营许可证管理办法》                        《陕西省实施 &lt;中华人民共和国种子法&gt; 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在森林公园内开展影视拍摄或者大型文艺演出等活动景观生态影响评估备案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在省级森林公园内开展影视拍摄或者大型文艺演出等活动景观生态影响评估备案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《陕西省森林公园条例》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生产、经营应施检疫的森林植物及其产品备案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《植物检疫条例实施细则》                                            《陕西省林业有害生物防治检疫条例》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从事公益性治沙活动备案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《陕西省实施 &lt;中华人民共和国防沙治沙法&gt; 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按照特许猎捕证、狩猎证规定的种类、数量或者限额、地点、工具、方法和期限进行猎捕情况备案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《中华人民共和国野生动物保护法》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人工繁育有重要生态、科学、社会价值的陆生野生动物备案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《中华人民共和国野生动物保护法》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农用地地块土壤污染修复方案备案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农用地地块土壤污染修复效果评估报告备案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区经贸局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单用途商业预付卡备案</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其他发卡企业备案</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区经贸局</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《单用途商业预付卡管理办法（试行）》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区经贸局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洗染业经营者备案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区经贸局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《洗染业管理办法》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区经贸局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零售商促销行为备案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区经贸局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《零售商促销行为管理办法》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个体演员、个体演出经纪人备案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《营业性演出管理条例》                                                   《营业性演出管理条例实施细则》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剧本娱乐经营场所备案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《文化和旅游部公安部住房和城乡建设部应急管理部市场监管总局关于加强剧本娱乐经营场所管理的通知》（文旅市场发〔2022〕70号）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艺术品经营活动经营单位设立、变更、注销备案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《艺术品经营管理办法》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旅行社设立分社备案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《旅行社条例》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旅行社设立服务网点备案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《旅行社条例》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演出场所经营单位设立、变更备案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演出场所经营单位设立备案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演出场所经营单位变更备案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跨地区巡演备案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《文化和旅游部办公厅关于简化跨地区巡演审批程序的通知》（办市场发〔2021〕181号）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艺术考级机构委托承办单位承办艺术考级活动备案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《社会艺术水平考级管理办法》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艺术考级机构开展艺术考级活动备案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《社会艺术水平考级管理办法》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互联网上网服务营业场所变更或终止经活动备案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非国有不可移动文物转让、抵押或者改变用途的备案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文物收藏单位藏品档案备案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                           《中华人民共和国文物保护法实施条例》                   《陕西省文物保护条例》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博物馆举办展览的备案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《博物馆条例》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可移动文物定级的备案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                              《文物认定管理暂行办法》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基建考古工作实施前备案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《陕西省基本建设工程考古工作管理办法》（陕政办发〔2022〕34号）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国有文物收藏单位之间借用馆藏文物备案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                              《陕西省文物保护条例》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保管使用的菌（毒）种或样本备案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《人间传染的病原微生物菌（毒）种保藏机构管理办法》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托育机构备案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《中华人民共和国人口与计划生育法》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诊所执业备案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《医疗机构管理条例》                                《国家卫生健康委员会国家中医药管理局关于印发诊所备案管理暂行办法的通知》（国卫医政发〔2022〕33号）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医疗机构歇业备案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义诊活动备案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《卫生部关于组织义诊活动实行备案管理的通知》（卫医发〔2001〕365号）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医师定期考核结果备案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《中华人民共和国医师法》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对调离、退休、退职、被辞退、开除的医师进行备案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《医师执业注册管理办法》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抗菌药物备案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抗菌药物供应目录备案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《抗菌药物临床应用管理办法》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抗菌药物供应目录调整备案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《抗菌药物临床应用管理办法》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抗菌药物临时采购情况备案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《抗菌药物临床应用管理办法》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从事使用高毒物品作业的用人单位备案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从事使用高毒物品作业的用人单位变更备案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《使用有毒物品作业场所劳动保护条例》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使用有毒物品作业场所事故应急救援预案和演练记录备案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《使用有毒物品作业场所劳动保护条例》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医疗卫生机构设立伦理审查委员会备案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《涉及人的生命科学和医学研究伦理审查办法》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医疗机构承担非免疫规划疫苗接种工作备案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《中华人民共和国疫苗管理法》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医疗机构开展健康体检项目目录备案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《健康体检管理暂行规定》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中医诊所备案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《中华人民共和国中医药法》                               《中医诊所备案管理暂行办法》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冬病夏治穴位贴敷技术备案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《国家中医药管理局关于加强对冬病夏治穴位贴敷技术应用管理的通知》（国中医药医政发〔2013〕36号）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医疗美容项目备案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《医疗美容服务管理办法》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限制类医疗技术备案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《医疗技术临床应用管理办法》                                                         《陕西省医疗技术临床应用管理办法实施细则》（陕卫办医发〔2020〕24号）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医师多机构执业备案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《医师执业注册管理办法》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驻军编制内向社会开展诊疗活动的医疗机构备案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《陕西省医疗机构管理条例实施办法》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医疗美容主诊医师专业备案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《国家卫生计生委关于加强医疗美容主诊医师管理有关问题的通知》（国卫医发〔2017〕16号）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养老机构内部设置诊所、卫生 所（室） 、医务室、护理站备案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计生委办公厅关于养老机构内部设置医疗机构取消行政审批实行备案管理的通知》（国卫办医发〔2017〕38号）《国家卫生计生委关于深化“放管服”改革激发医疗领域投资活力的通知》（国卫法制发〔2017〕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公司备案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非公司企业法人备案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个人独资企业备案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合伙企业备案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农民专业合作社（联合社）备案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分支机构备案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个体工商户备案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市场主体受益所有人备案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歇业备案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《中华人民共和国市场主体登记管理条例》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仅销售预包装食品备案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《中华人民共和国食品安全法》                                      《陕西省仅销售预包装食品备案实施细则》（陕市监发〔2022〕59号）                                                                《国务院关于深化“证照分离” 改革进一步激发市场主体发展活力的通知》（国发〔2021〕7号）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强检计量器具备案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《中华人民共和国强制检定的工作计量器具检定管理办法》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销售国家和本省确定的重点管理计量器具备案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销售国家和本省确定的重点管理计量器具单位备案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《陕西省计量监督管理条例》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销售国家和本省确定的重点管理计量器具个人备案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《陕西省计量监督管理条例》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安装国家和本省确定的重点管理计量器具备案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安装国家和本省确定的重点管理计量器具单位备案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《陕西省计量监督管理条例》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安装国家和本省确定的重点管理计量器具个人备案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《陕西省计量监督管理条例》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网络食品交易平台备案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通过自建网站进行交易的食品经营者备案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《网络食品安全违法行为查处办法》                       《网络餐饮服务食品安全监督管理办法》                     《陕西省网络食品交易平台备案管理办法》（陕市监发〔2022〕298号）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非食品生产经营者从事对温度、湿度等有特殊要求的食品贮存业务备案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《中华人民共和国食品安全法实施条例》                   《市场监管总局关于加强冷藏冷冻食品质量安全管理的公告》（2020年第10号）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市场主体报送年度报告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《企业信息公示暂行条例》                             《农民专业合作社年度报告公示暂行办法》                    《个体工商户年度报告暂行办法》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化妆品展销会信息报告备案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《化妆品生产经营监督管理办法》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区医保局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跨省临时外出就医人员备案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异地转诊就医人员备案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区级指定的异地定点医疗机构；乡镇（街道）的医保经办机构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《国家医疗保障局财政部关于进一步做好基本医疗保险跨省异地就医直接结算工作的通知》（医保发〔2022〕22号）                                              《陕西省医疗保障局陕西省财政厅关于印发 &lt;陕西省基本医疗保险异地就医直接结算制度改革实施方案&gt; 的通知》（陕医保发〔2022〕36号）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因工作、旅游等原异地急诊抢救人员以及其他跨省临时外出就医人员备案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《国家医疗保障局财政部关于进一步做好基本医疗保险跨省异地就医直接结算工作的通知》（医保发〔2022〕22号）                                              《陕西省医疗保障局陕西省财政厅关于印发 &lt;陕西省基本医疗保险异地就医直接结算制度改革实施方案&gt; 的通知》（陕医保发〔2022〕36号）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区医保局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跨省异地长期居住人员备案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异地安置退休人员备案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区医保局；乡镇（街道）的医保经办机构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《国家医疗保障局财政部关于进一步做好基本医疗保险跨省异地就医直接结算工作的通知》（医保发〔2022〕22号）                                              《陕西省医疗保障局陕西省财政厅关于印发 &lt;陕西省基本医疗保险异地就医直接结算制度改革实施方案&gt; 的通知》（陕医保发〔2022〕36号）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异地长期居住人员备案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《国家医疗保障局财政部关于进一步做好基本医疗保险跨省异地就医直接结算工作的通知》（医保发〔2022〕22号）                                              《陕西省医疗保障局陕西省财政厅关于印发 &lt;陕西省基本医疗保险异地就医直接结算制度改革实施方案&gt; 的通知》（陕医保发〔2022〕36号）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常驻异地工作人员备案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《国家医疗保障局财政部关于进一步做好基本医疗保险跨省异地就医直接结算工作的通知》（医保发〔2022〕22号）                                              《陕西省医疗保障局陕西省财政厅关于印发 &lt;陕西省基本医疗保险异地就医直接结算制度改革实施方案&gt; 的通知》（陕医保发〔2022〕36号）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财务、会计制度或者财务、 会计处理办法和会计核算软件备案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《中华人民共和国税收征收管理法》                                           《中华人民共和国税收征收管理法实施细则》                              《中华人民共和国发票管理办法》                                         《国家税务总局关于进一步简化企业开办涉税事项办理程序 压缩办理时间的通知》（税总发〔2019〕126号）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货物运输业小规模纳税人异地代开增值税专用发票备案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《货物运输业小规模纳税人申请代开增值税专用发票管理办法》（2017年第55号）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代储油业务备案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《成品油零售加油站增值税征收管理办法》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农产品增值税进项税额扣除标准备案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《农产品增值税进项税额核定扣除试点实施办法》（财税〔2012〕38号）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出口退（免）税备案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《国家税务总局关于部分税务行政审批事项取消后有关管理问题的公告》（2015年第56号）                                         《国家税务总局关于发布 &lt;融资租赁货物出口退税管理办法&gt; 的公告》（2014年第56号）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外贸综合服务企业代办退税备案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《国家税务总局关于调整完善外贸综合服务企业办理出口货物退（免）税有关事项的公告》（2017年第35号）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出口货物劳务放弃退（免）税备案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《国家税务总局关于出口货物劳务增值税和消费税有关问题的公告》（2013年第65号）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出口货物劳务放弃免税权备案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 &lt;出口货物劳务增值税和消费税管理办法&gt; 有关问题的公告》（2013年第12号）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放弃适用增值税零税率备案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《国家税务总局关于发布 &lt;适用增值税零税率应税服务退（免）税管理办法&gt; 的公告》（2014年第11号）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演出活动批准件和演出合同、报酬分配方案等备案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《演出市场个人所得税征收管理暂行办法》（国税发〔1995〕171号）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纳税人非货币性资产投资需要分期缴纳个人所得税备案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《国家税务总局关于个人非货币性资产投资有关个人所得税征管问题的公告》（2015年第20号）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纳税人分期缴税期间提出变更原分期缴税计划备案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《国家税务总局关于个人非货币性资产投资有关个人所得税征管问题的公告》（2015年第20号）                                   《国家税务总局关于股权奖励和转增股本个人所得税征管问题的公告》（2015年第80号）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获得股权奖励的企业技术人员、企业转增股本涉及的股东需要分期缴纳个人所得税备案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《国家税务总局关于股权奖励和转增股本个人所得税征管问题的公告》（2015年第80号）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中小高新技术企业以未分配利润、盈余公积、资本公积向个人股东转增股本时分期缴税计划备案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《财政部国家税务总局关于将国家自主创新示范区有关税收试点政策推广到全国范围实施的通知》（财税〔2015〕116号）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高新技术企业转化科技成果股权奖励分期缴纳备案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《财政部国家税务总局关于将国家自主创新示范区有关税收试点政策推广到全国范围实施的通知》（财税〔2015〕116号）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非上市公司实施符合条件的股权激励，个人选择递延纳税备案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《国家税务总局关于股权激励和技术入股所得税征管问题的公告》（2016年第62号）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上市公司实施股权激励，个人选择在不超过12个月期限内缴税备案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《国家税务总局关于股权激励和技术入股所得税征管问题的公告》（2016年第62号）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个人以技术成果投资入股境内公司并选择递延纳税备案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《国家税务总局关于股权激励和技术入股所得税征管问题的公告》（2016年第62号）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非营利性科研机构和高校向科技人员发放职务科技成果转化现金奖励备案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《国家税务总局关于科技人员取得职务科技成果转化现金奖励有关个人所得税征管问题的公告》（2018年第30号）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合伙创投企业个人合伙人投资抵扣备案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《国家税务总局关于创业投资企业和天使投资个人税收政策有关问题的公告》（2018年第43号）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天使投资个人投资抵扣备案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《国家税务总局关于创业投资企业和天使投资个人税收政策有关问题的公告》（2018年第43号）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天使投资个人投资初创科技型企业清算备案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《国家税务总局关于创业投资企业和天使投资个人税收政策有关问题的公告》（2018年第43号）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创投企业选择按单一投资基金核算方式备案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《财政部国家税务总局国家发展和改革委员会中国证监会关于创业投资企业个人合伙人所得税政策问题的通知》（财税〔2019〕8号）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服务贸易等项目对外支付税务备案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《国家税务总局国家外汇管理局关于服务贸易等项目对外支付税务备案有关问题的公告》（2013年第40号）                                                《国家税务总局国家外汇管理局关于服务贸易等项目对外支付税务备案有关问题的补充公告》（2021年第19号）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非居民企业股权转让适用特殊性税务处理备案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《国家税务总局关于非居民企业股权转让适用特殊性税务处理有关问题的公告》（2013年第72号）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境内机构和个人发包工程作业或劳务项目备案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《非居民承包工程作业和提供劳务税收管理暂行办法》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境外投资者以分配利润直接投资暂不征收预提所得税政策备案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《财政部国家税务总局国家发展和改革委员会商务部关于扩大境外投资者以分配利润直接投资暂不征收预提所得税政策适用范围的通知》（财税〔2018〕102号）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外国企业常驻代表机构调整申报方式备案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《国家税务总局关于印发 &lt;外国企业常驻代表机构税收管理暂行办法&gt; 的通知》（国税发〔2010〕18号）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非居民企业派遣人员在中国境内提供劳务及接收企业办理税务登记和备案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《国家税务总局关于非居民企业派遣人员在中国境内提供劳务征收企业所得税有关问题的公告》（2013年第19号）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非境内注册居民企业的财务会计制度等备案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《国家税务总局关于印发 &lt;境外注册中资控股居民企业所得税管理办法&gt; （试行）的公告》（2011年第45号）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增值税即征即退备案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《国家税务总局关于进一步优化增值税优惠政策办理程序及服务有关事项的公告 》（2021年第4号）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享受免征增值税优惠政策的国有粮食购销企业备案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《国家税务总局关于国有粮食购销企业销售粮食免征增值税审批事项取消后有关管理事项的公告》（2015年第42号）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科技成果转化暂不征收个人所得税备案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《国家税务总局关于3项个人所得税事项取消审批实施后续管理的公告》（2016年第5号）</w:t>
            </w:r>
          </w:p>
        </w:tc>
      </w:tr>
    </w:tbl>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28"/>
          <w:szCs w:val="28"/>
          <w:lang w:val="en-US" w:eastAsia="zh-CN"/>
        </w:rPr>
      </w:pPr>
    </w:p>
    <w:sectPr>
      <w:pgSz w:w="16838" w:h="11906" w:orient="landscape"/>
      <w:pgMar w:top="1077" w:right="1134" w:bottom="113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hZTI2ZTc0OTg2ZDgxNWQ0MjU4NGQ0ZDkxNTc1N2EifQ=="/>
  </w:docVars>
  <w:rsids>
    <w:rsidRoot w:val="00172A27"/>
    <w:rsid w:val="015C2B0C"/>
    <w:rsid w:val="01AF0E8E"/>
    <w:rsid w:val="06043E9E"/>
    <w:rsid w:val="088D60ED"/>
    <w:rsid w:val="08B77276"/>
    <w:rsid w:val="0B022976"/>
    <w:rsid w:val="0E43752E"/>
    <w:rsid w:val="0E681446"/>
    <w:rsid w:val="0FBF4992"/>
    <w:rsid w:val="10090A65"/>
    <w:rsid w:val="15995F29"/>
    <w:rsid w:val="16D16FE7"/>
    <w:rsid w:val="18023FB5"/>
    <w:rsid w:val="1BD50837"/>
    <w:rsid w:val="1D1C78C7"/>
    <w:rsid w:val="1DF61EC7"/>
    <w:rsid w:val="20D44015"/>
    <w:rsid w:val="21317460"/>
    <w:rsid w:val="21BE719F"/>
    <w:rsid w:val="22AA5F48"/>
    <w:rsid w:val="2309444A"/>
    <w:rsid w:val="24741D97"/>
    <w:rsid w:val="26B34440"/>
    <w:rsid w:val="2964062C"/>
    <w:rsid w:val="2B312790"/>
    <w:rsid w:val="2C9254B0"/>
    <w:rsid w:val="2C9E1BF4"/>
    <w:rsid w:val="308670A4"/>
    <w:rsid w:val="33F46A50"/>
    <w:rsid w:val="3AC727C9"/>
    <w:rsid w:val="3C261771"/>
    <w:rsid w:val="40082AB2"/>
    <w:rsid w:val="436C03B1"/>
    <w:rsid w:val="43884ABF"/>
    <w:rsid w:val="46B02CAB"/>
    <w:rsid w:val="4EE21004"/>
    <w:rsid w:val="4F18038A"/>
    <w:rsid w:val="4FCB2904"/>
    <w:rsid w:val="50D35F69"/>
    <w:rsid w:val="511F2F07"/>
    <w:rsid w:val="5A151506"/>
    <w:rsid w:val="5A9D4E9D"/>
    <w:rsid w:val="5D3A69D3"/>
    <w:rsid w:val="5D8130C8"/>
    <w:rsid w:val="5DA55197"/>
    <w:rsid w:val="5DAC4FF3"/>
    <w:rsid w:val="5F27754A"/>
    <w:rsid w:val="605E1725"/>
    <w:rsid w:val="63EA5F57"/>
    <w:rsid w:val="641C6E32"/>
    <w:rsid w:val="64E275B7"/>
    <w:rsid w:val="64EF4547"/>
    <w:rsid w:val="65841133"/>
    <w:rsid w:val="66666A8A"/>
    <w:rsid w:val="67BA52E0"/>
    <w:rsid w:val="69950138"/>
    <w:rsid w:val="69967687"/>
    <w:rsid w:val="69DF2DDC"/>
    <w:rsid w:val="6C89702F"/>
    <w:rsid w:val="6D2531FB"/>
    <w:rsid w:val="6D4F2026"/>
    <w:rsid w:val="70A60867"/>
    <w:rsid w:val="722241AD"/>
    <w:rsid w:val="73DC65DE"/>
    <w:rsid w:val="75F5296A"/>
    <w:rsid w:val="766A10B5"/>
    <w:rsid w:val="779F437F"/>
    <w:rsid w:val="77B92EBE"/>
    <w:rsid w:val="7AAE0A2C"/>
    <w:rsid w:val="7B7D30DF"/>
    <w:rsid w:val="7B810197"/>
    <w:rsid w:val="7C7367E0"/>
    <w:rsid w:val="7F922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font31"/>
    <w:basedOn w:val="9"/>
    <w:uiPriority w:val="0"/>
    <w:rPr>
      <w:rFonts w:hint="eastAsia" w:ascii="黑体" w:hAnsi="宋体" w:eastAsia="黑体" w:cs="黑体"/>
      <w:color w:val="000000"/>
      <w:sz w:val="20"/>
      <w:szCs w:val="20"/>
      <w:u w:val="none"/>
    </w:rPr>
  </w:style>
  <w:style w:type="character" w:customStyle="1" w:styleId="11">
    <w:name w:val="font61"/>
    <w:basedOn w:val="9"/>
    <w:uiPriority w:val="0"/>
    <w:rPr>
      <w:rFonts w:ascii="微软雅黑" w:hAnsi="微软雅黑" w:eastAsia="微软雅黑" w:cs="微软雅黑"/>
      <w:color w:val="000000"/>
      <w:sz w:val="20"/>
      <w:szCs w:val="20"/>
      <w:u w:val="none"/>
    </w:rPr>
  </w:style>
  <w:style w:type="character" w:customStyle="1" w:styleId="12">
    <w:name w:val="font11"/>
    <w:basedOn w:val="9"/>
    <w:autoRedefine/>
    <w:qFormat/>
    <w:uiPriority w:val="0"/>
    <w:rPr>
      <w:rFonts w:hint="eastAsia" w:ascii="宋体" w:hAnsi="宋体" w:eastAsia="宋体" w:cs="宋体"/>
      <w:color w:val="000000"/>
      <w:sz w:val="20"/>
      <w:szCs w:val="20"/>
      <w:u w:val="none"/>
    </w:rPr>
  </w:style>
  <w:style w:type="character" w:customStyle="1" w:styleId="13">
    <w:name w:val="font41"/>
    <w:basedOn w:val="9"/>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2023-12-25T01:36:00Z</dcterms:created>
  <dc:creator>余毅</dc:creator>
  <cp:lastModifiedBy>AKYuYi</cp:lastModifiedBy>
  <dcterms:modified xsi:type="dcterms:W3CDTF">2024-02-26T06:31:51Z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7FEA62CFA6CF4C4DA4F127C22481A646_13</vt:lpwstr>
  </property>
</Properties>
</file>