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4" w:name="_GoBack"/>
      <w:bookmarkEnd w:id="4"/>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 xml:space="preserve"> </w:t>
      </w: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 设 项 目 环 境 影 响 报 告 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pStyle w:val="2"/>
      </w:pPr>
    </w:p>
    <w:p>
      <w:pPr>
        <w:pStyle w:val="2"/>
      </w:pPr>
    </w:p>
    <w:p>
      <w:pPr>
        <w:adjustRightInd w:val="0"/>
        <w:snapToGrid w:val="0"/>
        <w:spacing w:line="288" w:lineRule="auto"/>
        <w:ind w:firstLine="640" w:firstLineChars="200"/>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新型环保建材功能玻璃研发、生产加工项目</w:t>
      </w:r>
    </w:p>
    <w:p>
      <w:pPr>
        <w:adjustRightInd w:val="0"/>
        <w:snapToGrid w:val="0"/>
        <w:spacing w:before="120" w:beforeLines="50" w:after="120" w:afterLines="50" w:line="288" w:lineRule="auto"/>
        <w:ind w:firstLine="640" w:firstLineChars="200"/>
        <w:rPr>
          <w:rFonts w:ascii="仿宋_GB2312" w:eastAsia="仿宋_GB2312"/>
          <w:sz w:val="32"/>
          <w:szCs w:val="32"/>
          <w:u w:val="single"/>
        </w:rPr>
      </w:pPr>
      <w:r>
        <w:rPr>
          <w:rFonts w:hint="eastAsia" w:ascii="仿宋_GB2312" w:eastAsia="仿宋_GB2312"/>
          <w:sz w:val="32"/>
          <w:szCs w:val="32"/>
        </w:rPr>
        <w:t>建设单位（盖章）：</w:t>
      </w:r>
      <w:r>
        <w:rPr>
          <w:rFonts w:hint="eastAsia" w:ascii="仿宋_GB2312" w:eastAsia="仿宋_GB2312"/>
          <w:sz w:val="32"/>
          <w:szCs w:val="32"/>
          <w:u w:val="single"/>
        </w:rPr>
        <w:t>安康鑫顺佳钢化玻璃制造有限公司</w:t>
      </w:r>
    </w:p>
    <w:p>
      <w:pPr>
        <w:adjustRightInd w:val="0"/>
        <w:snapToGrid w:val="0"/>
        <w:spacing w:line="288" w:lineRule="auto"/>
        <w:ind w:firstLine="640" w:firstLineChars="200"/>
        <w:rPr>
          <w:rFonts w:ascii="仿宋_GB2312" w:eastAsia="仿宋_GB2312"/>
          <w:sz w:val="32"/>
          <w:szCs w:val="32"/>
          <w:u w:val="single"/>
        </w:rPr>
      </w:pPr>
      <w:r>
        <w:rPr>
          <w:rFonts w:hint="eastAsia" w:ascii="仿宋_GB2312" w:eastAsia="仿宋_GB2312"/>
          <w:sz w:val="32"/>
          <w:szCs w:val="32"/>
        </w:rPr>
        <w:t>编制日期：</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仿宋_GB2312" w:eastAsia="仿宋_GB2312"/>
          <w:color w:val="0000FF"/>
          <w:sz w:val="32"/>
          <w:szCs w:val="32"/>
          <w:u w:val="single"/>
        </w:rPr>
        <w:t xml:space="preserve"> </w:t>
      </w:r>
      <w:r>
        <w:rPr>
          <w:rFonts w:eastAsia="仿宋_GB2312"/>
          <w:color w:val="0000FF"/>
          <w:sz w:val="32"/>
          <w:szCs w:val="32"/>
          <w:u w:val="single"/>
        </w:rPr>
        <w:t xml:space="preserve">    2023年07月   </w:t>
      </w:r>
      <w:r>
        <w:rPr>
          <w:rFonts w:ascii="仿宋_GB2312" w:eastAsia="仿宋_GB2312"/>
          <w:sz w:val="32"/>
          <w:szCs w:val="32"/>
          <w:u w:val="single"/>
        </w:rPr>
        <w:t xml:space="preserve">           </w:t>
      </w:r>
    </w:p>
    <w:p>
      <w:pPr>
        <w:adjustRightInd w:val="0"/>
        <w:snapToGrid w:val="0"/>
        <w:spacing w:line="288" w:lineRule="auto"/>
        <w:ind w:firstLine="1040"/>
        <w:rPr>
          <w:rFonts w:ascii="仿宋_GB2312" w:eastAsia="仿宋_GB2312"/>
          <w:sz w:val="36"/>
          <w:szCs w:val="36"/>
        </w:rPr>
      </w:pPr>
      <w:bookmarkStart w:id="0" w:name="_Hlk57884087"/>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pStyle w:val="2"/>
      </w:pPr>
    </w:p>
    <w:p>
      <w:pPr>
        <w:pStyle w:val="2"/>
      </w:pPr>
    </w:p>
    <w:p>
      <w:pPr>
        <w:pStyle w:val="2"/>
      </w:pPr>
    </w:p>
    <w:p>
      <w:pPr>
        <w:pStyle w:val="2"/>
      </w:pPr>
    </w:p>
    <w:p>
      <w:pPr>
        <w:pStyle w:val="2"/>
      </w:pPr>
    </w:p>
    <w:p>
      <w:pPr>
        <w:pStyle w:val="2"/>
      </w:pPr>
    </w:p>
    <w:p>
      <w:pPr>
        <w:pStyle w:val="2"/>
      </w:pP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一</w:t>
      </w:r>
      <w:r>
        <w:rPr>
          <w:rFonts w:hint="eastAsia" w:ascii="黑体" w:hAnsi="黑体" w:eastAsia="黑体"/>
          <w:snapToGrid w:val="0"/>
          <w:sz w:val="30"/>
          <w:szCs w:val="30"/>
          <w:lang w:eastAsia="zh-CN"/>
        </w:rPr>
        <w:t>、建设项目基本情况</w:t>
      </w:r>
    </w:p>
    <w:tbl>
      <w:tblPr>
        <w:tblStyle w:val="23"/>
        <w:tblW w:w="88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45"/>
        <w:gridCol w:w="2805"/>
        <w:gridCol w:w="1838"/>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建设项目名称</w:t>
            </w:r>
          </w:p>
        </w:tc>
        <w:tc>
          <w:tcPr>
            <w:tcW w:w="7269" w:type="dxa"/>
            <w:gridSpan w:val="3"/>
            <w:vAlign w:val="center"/>
          </w:tcPr>
          <w:p>
            <w:pPr>
              <w:adjustRightInd w:val="0"/>
              <w:snapToGrid w:val="0"/>
              <w:jc w:val="center"/>
              <w:rPr>
                <w:szCs w:val="21"/>
              </w:rPr>
            </w:pPr>
            <w:r>
              <w:rPr>
                <w:rFonts w:hint="eastAsia"/>
                <w:szCs w:val="21"/>
              </w:rPr>
              <w:t>新型环保建材功能玻璃研发、生产加工项目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项目代码</w:t>
            </w:r>
          </w:p>
        </w:tc>
        <w:tc>
          <w:tcPr>
            <w:tcW w:w="7269" w:type="dxa"/>
            <w:gridSpan w:val="3"/>
            <w:vAlign w:val="center"/>
          </w:tcPr>
          <w:p>
            <w:pPr>
              <w:adjustRightInd w:val="0"/>
              <w:snapToGrid w:val="0"/>
              <w:jc w:val="center"/>
              <w:rPr>
                <w:szCs w:val="21"/>
              </w:rPr>
            </w:pPr>
            <w:r>
              <w:rPr>
                <w:rFonts w:hint="eastAsia"/>
                <w:szCs w:val="21"/>
              </w:rPr>
              <w:t>2</w:t>
            </w:r>
            <w:r>
              <w:rPr>
                <w:szCs w:val="21"/>
              </w:rPr>
              <w:t>205-610902-04-01-422061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建设单位联系人</w:t>
            </w:r>
          </w:p>
        </w:tc>
        <w:tc>
          <w:tcPr>
            <w:tcW w:w="2805" w:type="dxa"/>
            <w:vAlign w:val="center"/>
          </w:tcPr>
          <w:p>
            <w:pPr>
              <w:adjustRightInd w:val="0"/>
              <w:snapToGrid w:val="0"/>
              <w:jc w:val="center"/>
              <w:rPr>
                <w:szCs w:val="21"/>
              </w:rPr>
            </w:pPr>
            <w:r>
              <w:rPr>
                <w:rFonts w:hint="eastAsia"/>
                <w:szCs w:val="21"/>
              </w:rPr>
              <w:t>陈本苏</w:t>
            </w:r>
          </w:p>
        </w:tc>
        <w:tc>
          <w:tcPr>
            <w:tcW w:w="1838" w:type="dxa"/>
            <w:vAlign w:val="center"/>
          </w:tcPr>
          <w:p>
            <w:pPr>
              <w:adjustRightInd w:val="0"/>
              <w:snapToGrid w:val="0"/>
              <w:jc w:val="center"/>
              <w:rPr>
                <w:szCs w:val="21"/>
              </w:rPr>
            </w:pPr>
            <w:r>
              <w:rPr>
                <w:rFonts w:hAnsi="宋体"/>
                <w:szCs w:val="21"/>
              </w:rPr>
              <w:t>联系方式</w:t>
            </w:r>
          </w:p>
        </w:tc>
        <w:tc>
          <w:tcPr>
            <w:tcW w:w="2626" w:type="dxa"/>
            <w:vAlign w:val="center"/>
          </w:tcPr>
          <w:p>
            <w:pPr>
              <w:adjustRightInd w:val="0"/>
              <w:snapToGrid w:val="0"/>
              <w:jc w:val="center"/>
              <w:rPr>
                <w:szCs w:val="21"/>
              </w:rPr>
            </w:pPr>
            <w:r>
              <w:rPr>
                <w:szCs w:val="21"/>
              </w:rPr>
              <w:t>18091530510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建设地点</w:t>
            </w:r>
          </w:p>
        </w:tc>
        <w:tc>
          <w:tcPr>
            <w:tcW w:w="7269" w:type="dxa"/>
            <w:gridSpan w:val="3"/>
            <w:vAlign w:val="center"/>
          </w:tcPr>
          <w:p>
            <w:pPr>
              <w:adjustRightInd w:val="0"/>
              <w:snapToGrid w:val="0"/>
              <w:jc w:val="center"/>
              <w:rPr>
                <w:szCs w:val="21"/>
              </w:rPr>
            </w:pPr>
            <w:r>
              <w:rPr>
                <w:rFonts w:hint="eastAsia" w:hAnsi="宋体"/>
                <w:szCs w:val="21"/>
              </w:rPr>
              <w:t>陕西省安康市汉滨区五里镇民兴村秦东魔芋工业园区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地理坐标</w:t>
            </w:r>
          </w:p>
        </w:tc>
        <w:tc>
          <w:tcPr>
            <w:tcW w:w="7269" w:type="dxa"/>
            <w:gridSpan w:val="3"/>
            <w:vAlign w:val="center"/>
          </w:tcPr>
          <w:p>
            <w:pPr>
              <w:pStyle w:val="19"/>
              <w:spacing w:before="0" w:beforeAutospacing="0" w:after="0" w:afterAutospacing="0"/>
              <w:jc w:val="center"/>
              <w:rPr>
                <w:rFonts w:ascii="Times New Roman" w:hAnsi="Times New Roman"/>
                <w:kern w:val="2"/>
                <w:sz w:val="21"/>
                <w:szCs w:val="21"/>
                <w:lang w:val="en-US" w:eastAsia="zh-CN"/>
              </w:rPr>
            </w:pPr>
            <w:r>
              <w:rPr>
                <w:rFonts w:ascii="Times New Roman"/>
                <w:kern w:val="2"/>
                <w:sz w:val="21"/>
                <w:szCs w:val="21"/>
                <w:lang w:val="en-US" w:eastAsia="zh-CN"/>
              </w:rPr>
              <w:t>东经：</w:t>
            </w:r>
            <w:r>
              <w:rPr>
                <w:rFonts w:ascii="Times New Roman" w:hAnsi="Times New Roman"/>
                <w:kern w:val="2"/>
                <w:sz w:val="21"/>
                <w:szCs w:val="21"/>
                <w:u w:val="single"/>
                <w:lang w:val="en-US" w:eastAsia="zh-CN"/>
              </w:rPr>
              <w:t>108</w:t>
            </w:r>
            <w:r>
              <w:rPr>
                <w:rFonts w:hint="eastAsia" w:ascii="Times New Roman" w:hAnsi="Times New Roman"/>
                <w:kern w:val="2"/>
                <w:sz w:val="21"/>
                <w:szCs w:val="21"/>
                <w:u w:val="single"/>
                <w:lang w:val="en-US" w:eastAsia="zh-CN"/>
              </w:rPr>
              <w:t>°</w:t>
            </w:r>
            <w:r>
              <w:rPr>
                <w:rFonts w:ascii="Times New Roman" w:hAnsi="Times New Roman"/>
                <w:kern w:val="2"/>
                <w:sz w:val="21"/>
                <w:szCs w:val="21"/>
                <w:u w:val="single"/>
                <w:lang w:val="en-US" w:eastAsia="zh-CN"/>
              </w:rPr>
              <w:t>54</w:t>
            </w:r>
            <w:r>
              <w:rPr>
                <w:rFonts w:hint="eastAsia" w:ascii="Times New Roman" w:hAnsi="Times New Roman"/>
                <w:kern w:val="2"/>
                <w:sz w:val="21"/>
                <w:szCs w:val="21"/>
                <w:u w:val="single"/>
                <w:lang w:val="en-US" w:eastAsia="zh-CN"/>
              </w:rPr>
              <w:t>′</w:t>
            </w:r>
            <w:r>
              <w:rPr>
                <w:rFonts w:ascii="Times New Roman" w:hAnsi="Times New Roman"/>
                <w:kern w:val="2"/>
                <w:sz w:val="21"/>
                <w:szCs w:val="21"/>
                <w:u w:val="single"/>
                <w:lang w:val="en-US" w:eastAsia="zh-CN"/>
              </w:rPr>
              <w:t>54.470</w:t>
            </w:r>
            <w:r>
              <w:rPr>
                <w:rFonts w:hint="eastAsia" w:ascii="Times New Roman" w:hAnsi="Times New Roman"/>
                <w:kern w:val="2"/>
                <w:sz w:val="21"/>
                <w:szCs w:val="21"/>
                <w:u w:val="single"/>
                <w:lang w:val="en-US" w:eastAsia="zh-CN"/>
              </w:rPr>
              <w:t>″</w:t>
            </w:r>
            <w:r>
              <w:rPr>
                <w:rFonts w:ascii="Times New Roman"/>
                <w:kern w:val="2"/>
                <w:sz w:val="21"/>
                <w:szCs w:val="21"/>
                <w:lang w:val="en-US" w:eastAsia="zh-CN"/>
              </w:rPr>
              <w:t>，北纬：</w:t>
            </w:r>
            <w:r>
              <w:rPr>
                <w:rFonts w:ascii="Times New Roman" w:hAnsi="Times New Roman"/>
                <w:kern w:val="2"/>
                <w:sz w:val="21"/>
                <w:szCs w:val="21"/>
                <w:u w:val="single"/>
                <w:lang w:val="en-US" w:eastAsia="zh-CN"/>
              </w:rPr>
              <w:t>32</w:t>
            </w:r>
            <w:r>
              <w:rPr>
                <w:rFonts w:hint="eastAsia" w:ascii="Times New Roman" w:hAnsi="Times New Roman"/>
                <w:kern w:val="2"/>
                <w:sz w:val="21"/>
                <w:szCs w:val="21"/>
                <w:u w:val="single"/>
                <w:lang w:val="en-US" w:eastAsia="zh-CN"/>
              </w:rPr>
              <w:t>°</w:t>
            </w:r>
            <w:r>
              <w:rPr>
                <w:rFonts w:ascii="Times New Roman" w:hAnsi="Times New Roman"/>
                <w:kern w:val="2"/>
                <w:sz w:val="21"/>
                <w:szCs w:val="21"/>
                <w:u w:val="single"/>
                <w:lang w:val="en-US" w:eastAsia="zh-CN"/>
              </w:rPr>
              <w:t>42</w:t>
            </w:r>
            <w:r>
              <w:rPr>
                <w:rFonts w:hint="eastAsia" w:ascii="Times New Roman" w:hAnsi="Times New Roman"/>
                <w:kern w:val="2"/>
                <w:sz w:val="21"/>
                <w:szCs w:val="21"/>
                <w:u w:val="single"/>
                <w:lang w:val="en-US" w:eastAsia="zh-CN"/>
              </w:rPr>
              <w:t>′</w:t>
            </w:r>
            <w:r>
              <w:rPr>
                <w:rFonts w:ascii="Times New Roman" w:hAnsi="Times New Roman"/>
                <w:kern w:val="2"/>
                <w:sz w:val="21"/>
                <w:szCs w:val="21"/>
                <w:u w:val="single"/>
                <w:lang w:val="en-US" w:eastAsia="zh-CN"/>
              </w:rPr>
              <w:t>46.200</w:t>
            </w:r>
            <w:r>
              <w:rPr>
                <w:rFonts w:hint="eastAsia" w:ascii="Times New Roman" w:hAnsi="Times New Roman"/>
                <w:kern w:val="2"/>
                <w:sz w:val="21"/>
                <w:szCs w:val="21"/>
                <w:u w:val="single"/>
                <w:lang w:val="en-US" w:eastAsia="zh-CN"/>
              </w:rPr>
              <w:t>″</w:t>
            </w:r>
            <w:r>
              <w:rPr>
                <w:rFonts w:ascii="Times New Roman" w:hAnsi="Times New Roman"/>
                <w:kern w:val="2"/>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国民经济</w:t>
            </w:r>
          </w:p>
          <w:p>
            <w:pPr>
              <w:adjustRightInd w:val="0"/>
              <w:snapToGrid w:val="0"/>
              <w:jc w:val="center"/>
              <w:rPr>
                <w:szCs w:val="21"/>
              </w:rPr>
            </w:pPr>
            <w:r>
              <w:rPr>
                <w:rFonts w:hAnsi="宋体"/>
                <w:szCs w:val="21"/>
              </w:rPr>
              <w:t>行业类别</w:t>
            </w:r>
          </w:p>
        </w:tc>
        <w:tc>
          <w:tcPr>
            <w:tcW w:w="2805" w:type="dxa"/>
            <w:vAlign w:val="center"/>
          </w:tcPr>
          <w:p>
            <w:pPr>
              <w:adjustRightInd w:val="0"/>
              <w:snapToGrid w:val="0"/>
              <w:jc w:val="center"/>
              <w:rPr>
                <w:szCs w:val="21"/>
              </w:rPr>
            </w:pPr>
            <w:r>
              <w:rPr>
                <w:rFonts w:hint="eastAsia"/>
                <w:szCs w:val="21"/>
              </w:rPr>
              <w:t>C</w:t>
            </w:r>
            <w:r>
              <w:rPr>
                <w:szCs w:val="21"/>
              </w:rPr>
              <w:t>3042</w:t>
            </w:r>
            <w:r>
              <w:rPr>
                <w:rFonts w:hint="eastAsia"/>
                <w:szCs w:val="21"/>
              </w:rPr>
              <w:t>特种玻璃制造</w:t>
            </w:r>
          </w:p>
        </w:tc>
        <w:tc>
          <w:tcPr>
            <w:tcW w:w="1838" w:type="dxa"/>
            <w:vAlign w:val="center"/>
          </w:tcPr>
          <w:p>
            <w:pPr>
              <w:adjustRightInd w:val="0"/>
              <w:snapToGrid w:val="0"/>
              <w:jc w:val="center"/>
              <w:rPr>
                <w:szCs w:val="21"/>
              </w:rPr>
            </w:pPr>
            <w:bookmarkStart w:id="1" w:name="_Hlk49843745"/>
            <w:r>
              <w:rPr>
                <w:rFonts w:hAnsi="宋体"/>
                <w:szCs w:val="21"/>
              </w:rPr>
              <w:t>建设项目</w:t>
            </w:r>
          </w:p>
          <w:p>
            <w:pPr>
              <w:adjustRightInd w:val="0"/>
              <w:snapToGrid w:val="0"/>
              <w:jc w:val="center"/>
              <w:rPr>
                <w:szCs w:val="21"/>
              </w:rPr>
            </w:pPr>
            <w:r>
              <w:rPr>
                <w:rFonts w:hAnsi="宋体"/>
                <w:szCs w:val="21"/>
              </w:rPr>
              <w:t>行业类别</w:t>
            </w:r>
            <w:bookmarkEnd w:id="1"/>
          </w:p>
        </w:tc>
        <w:tc>
          <w:tcPr>
            <w:tcW w:w="2626" w:type="dxa"/>
            <w:vAlign w:val="center"/>
          </w:tcPr>
          <w:p>
            <w:pPr>
              <w:jc w:val="left"/>
              <w:rPr>
                <w:kern w:val="0"/>
                <w:szCs w:val="21"/>
              </w:rPr>
            </w:pPr>
            <w:r>
              <w:rPr>
                <w:rFonts w:hint="eastAsia"/>
                <w:kern w:val="0"/>
                <w:szCs w:val="21"/>
              </w:rPr>
              <w:t>二十七、非金属矿物制品业3</w:t>
            </w:r>
            <w:r>
              <w:rPr>
                <w:kern w:val="0"/>
                <w:szCs w:val="21"/>
              </w:rPr>
              <w:t>0</w:t>
            </w:r>
          </w:p>
          <w:p>
            <w:pPr>
              <w:jc w:val="left"/>
              <w:rPr>
                <w:kern w:val="0"/>
                <w:szCs w:val="21"/>
              </w:rPr>
            </w:pPr>
            <w:r>
              <w:rPr>
                <w:rFonts w:hint="eastAsia"/>
                <w:kern w:val="0"/>
                <w:szCs w:val="21"/>
              </w:rPr>
              <w:t>5</w:t>
            </w:r>
            <w:r>
              <w:rPr>
                <w:kern w:val="0"/>
                <w:szCs w:val="21"/>
              </w:rPr>
              <w:t>7</w:t>
            </w:r>
            <w:r>
              <w:rPr>
                <w:rFonts w:hint="eastAsia"/>
                <w:kern w:val="0"/>
                <w:szCs w:val="21"/>
              </w:rPr>
              <w:t>、玻璃制品</w:t>
            </w:r>
            <w:r>
              <w:rPr>
                <w:kern w:val="0"/>
                <w:szCs w:val="21"/>
              </w:rPr>
              <w:t>304</w:t>
            </w:r>
          </w:p>
          <w:p>
            <w:pPr>
              <w:jc w:val="left"/>
              <w:rPr>
                <w:szCs w:val="21"/>
              </w:rPr>
            </w:pPr>
            <w:r>
              <w:rPr>
                <w:rFonts w:hint="eastAsia"/>
                <w:kern w:val="0"/>
                <w:szCs w:val="21"/>
              </w:rPr>
              <w:t>特种玻璃制造；其他玻璃制造；玻璃制品制造（电加热的除外；仅切割、打磨、成型的除外）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建设性质</w:t>
            </w:r>
          </w:p>
        </w:tc>
        <w:tc>
          <w:tcPr>
            <w:tcW w:w="2805" w:type="dxa"/>
            <w:vAlign w:val="center"/>
          </w:tcPr>
          <w:p>
            <w:pPr>
              <w:jc w:val="left"/>
              <w:rPr>
                <w:szCs w:val="21"/>
              </w:rPr>
            </w:pPr>
            <w:r>
              <w:rPr>
                <w:rFonts w:hint="eastAsia"/>
                <w:kern w:val="0"/>
                <w:sz w:val="24"/>
              </w:rPr>
              <w:t>☑</w:t>
            </w:r>
            <w:r>
              <w:rPr>
                <w:rFonts w:hAnsi="宋体"/>
                <w:szCs w:val="21"/>
              </w:rPr>
              <w:t>新建（迁建）</w:t>
            </w:r>
          </w:p>
          <w:p>
            <w:pPr>
              <w:jc w:val="left"/>
              <w:rPr>
                <w:szCs w:val="21"/>
              </w:rPr>
            </w:pPr>
            <w:r>
              <w:rPr>
                <w:rFonts w:hint="eastAsia"/>
                <w:kern w:val="0"/>
                <w:sz w:val="24"/>
              </w:rPr>
              <w:t>□</w:t>
            </w:r>
            <w:r>
              <w:rPr>
                <w:rFonts w:hAnsi="宋体"/>
                <w:szCs w:val="21"/>
              </w:rPr>
              <w:t>改建</w:t>
            </w:r>
          </w:p>
          <w:p>
            <w:pPr>
              <w:jc w:val="left"/>
              <w:rPr>
                <w:szCs w:val="21"/>
              </w:rPr>
            </w:pPr>
            <w:r>
              <w:rPr>
                <w:rFonts w:hint="eastAsia"/>
                <w:kern w:val="0"/>
                <w:sz w:val="24"/>
              </w:rPr>
              <w:t>□</w:t>
            </w:r>
            <w:r>
              <w:rPr>
                <w:rFonts w:hAnsi="宋体"/>
                <w:szCs w:val="21"/>
              </w:rPr>
              <w:t>扩建</w:t>
            </w:r>
          </w:p>
          <w:p>
            <w:pPr>
              <w:jc w:val="left"/>
              <w:rPr>
                <w:szCs w:val="21"/>
              </w:rPr>
            </w:pPr>
            <w:r>
              <w:rPr>
                <w:rFonts w:hint="eastAsia"/>
                <w:kern w:val="0"/>
                <w:sz w:val="24"/>
              </w:rPr>
              <w:t>□</w:t>
            </w:r>
            <w:r>
              <w:rPr>
                <w:rFonts w:hAnsi="宋体"/>
                <w:szCs w:val="21"/>
              </w:rPr>
              <w:t>技术改造</w:t>
            </w:r>
          </w:p>
        </w:tc>
        <w:tc>
          <w:tcPr>
            <w:tcW w:w="1838" w:type="dxa"/>
            <w:vAlign w:val="center"/>
          </w:tcPr>
          <w:p>
            <w:pPr>
              <w:adjustRightInd w:val="0"/>
              <w:snapToGrid w:val="0"/>
              <w:jc w:val="center"/>
              <w:rPr>
                <w:szCs w:val="21"/>
              </w:rPr>
            </w:pPr>
            <w:r>
              <w:rPr>
                <w:rFonts w:hAnsi="宋体"/>
                <w:szCs w:val="21"/>
              </w:rPr>
              <w:t>建设项目</w:t>
            </w:r>
          </w:p>
          <w:p>
            <w:pPr>
              <w:adjustRightInd w:val="0"/>
              <w:snapToGrid w:val="0"/>
              <w:jc w:val="center"/>
              <w:rPr>
                <w:szCs w:val="21"/>
              </w:rPr>
            </w:pPr>
            <w:r>
              <w:rPr>
                <w:rFonts w:hAnsi="宋体"/>
                <w:szCs w:val="21"/>
              </w:rPr>
              <w:t>申报情形</w:t>
            </w:r>
          </w:p>
        </w:tc>
        <w:tc>
          <w:tcPr>
            <w:tcW w:w="2626" w:type="dxa"/>
            <w:vAlign w:val="center"/>
          </w:tcPr>
          <w:p>
            <w:pPr>
              <w:jc w:val="left"/>
              <w:rPr>
                <w:szCs w:val="21"/>
              </w:rPr>
            </w:pPr>
            <w:r>
              <w:rPr>
                <w:rFonts w:hint="eastAsia"/>
                <w:kern w:val="0"/>
                <w:sz w:val="24"/>
              </w:rPr>
              <w:t>☑</w:t>
            </w:r>
            <w:r>
              <w:rPr>
                <w:rFonts w:hAnsi="宋体"/>
                <w:szCs w:val="21"/>
              </w:rPr>
              <w:t>首次申报项目</w:t>
            </w:r>
            <w:r>
              <w:rPr>
                <w:szCs w:val="21"/>
              </w:rPr>
              <w:t xml:space="preserve">             </w:t>
            </w:r>
          </w:p>
          <w:p>
            <w:pPr>
              <w:jc w:val="left"/>
              <w:rPr>
                <w:szCs w:val="21"/>
              </w:rPr>
            </w:pPr>
            <w:r>
              <w:rPr>
                <w:rFonts w:hint="eastAsia"/>
                <w:kern w:val="0"/>
                <w:sz w:val="24"/>
              </w:rPr>
              <w:t>□</w:t>
            </w:r>
            <w:r>
              <w:rPr>
                <w:rFonts w:hAnsi="宋体"/>
                <w:szCs w:val="21"/>
              </w:rPr>
              <w:t>不予批准后再次申报项目</w:t>
            </w:r>
          </w:p>
          <w:p>
            <w:pPr>
              <w:jc w:val="left"/>
              <w:rPr>
                <w:szCs w:val="21"/>
              </w:rPr>
            </w:pPr>
            <w:r>
              <w:rPr>
                <w:rFonts w:hint="eastAsia"/>
                <w:kern w:val="0"/>
                <w:sz w:val="24"/>
              </w:rPr>
              <w:t>□</w:t>
            </w:r>
            <w:r>
              <w:rPr>
                <w:rFonts w:hAnsi="宋体"/>
                <w:szCs w:val="21"/>
              </w:rPr>
              <w:t>超五年重新审核项目</w:t>
            </w:r>
            <w:r>
              <w:rPr>
                <w:szCs w:val="21"/>
              </w:rPr>
              <w:t xml:space="preserve">     </w:t>
            </w:r>
          </w:p>
          <w:p>
            <w:pPr>
              <w:jc w:val="left"/>
              <w:rPr>
                <w:szCs w:val="21"/>
              </w:rPr>
            </w:pPr>
            <w:r>
              <w:rPr>
                <w:rFonts w:hint="eastAsia"/>
                <w:kern w:val="0"/>
                <w:sz w:val="24"/>
              </w:rPr>
              <w:t>□</w:t>
            </w:r>
            <w:r>
              <w:rPr>
                <w:rFonts w:hAnsi="宋体"/>
                <w:szCs w:val="21"/>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0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项目审批（核准</w:t>
            </w:r>
            <w:r>
              <w:rPr>
                <w:szCs w:val="21"/>
              </w:rPr>
              <w:t>/</w:t>
            </w:r>
            <w:r>
              <w:rPr>
                <w:rFonts w:hAnsi="宋体"/>
                <w:szCs w:val="21"/>
              </w:rPr>
              <w:t>备案）部门（选填）</w:t>
            </w:r>
          </w:p>
        </w:tc>
        <w:tc>
          <w:tcPr>
            <w:tcW w:w="2805" w:type="dxa"/>
            <w:vAlign w:val="center"/>
          </w:tcPr>
          <w:p>
            <w:pPr>
              <w:adjustRightInd w:val="0"/>
              <w:snapToGrid w:val="0"/>
              <w:jc w:val="center"/>
              <w:rPr>
                <w:szCs w:val="21"/>
              </w:rPr>
            </w:pPr>
            <w:r>
              <w:rPr>
                <w:rFonts w:hint="eastAsia"/>
                <w:szCs w:val="21"/>
              </w:rPr>
              <w:t>汉滨区发展和改革局</w:t>
            </w:r>
          </w:p>
        </w:tc>
        <w:tc>
          <w:tcPr>
            <w:tcW w:w="1838" w:type="dxa"/>
            <w:vAlign w:val="center"/>
          </w:tcPr>
          <w:p>
            <w:pPr>
              <w:adjustRightInd w:val="0"/>
              <w:snapToGrid w:val="0"/>
              <w:jc w:val="center"/>
              <w:rPr>
                <w:szCs w:val="21"/>
              </w:rPr>
            </w:pPr>
            <w:r>
              <w:rPr>
                <w:rFonts w:hAnsi="宋体"/>
                <w:szCs w:val="21"/>
              </w:rPr>
              <w:t>项目审批（核准</w:t>
            </w:r>
            <w:r>
              <w:rPr>
                <w:szCs w:val="21"/>
              </w:rPr>
              <w:t>/</w:t>
            </w:r>
          </w:p>
          <w:p>
            <w:pPr>
              <w:adjustRightInd w:val="0"/>
              <w:snapToGrid w:val="0"/>
              <w:jc w:val="center"/>
              <w:rPr>
                <w:szCs w:val="21"/>
              </w:rPr>
            </w:pPr>
            <w:r>
              <w:rPr>
                <w:rFonts w:hAnsi="宋体"/>
                <w:szCs w:val="21"/>
              </w:rPr>
              <w:t>备案）文号（选填）</w:t>
            </w:r>
          </w:p>
        </w:tc>
        <w:tc>
          <w:tcPr>
            <w:tcW w:w="2626" w:type="dxa"/>
            <w:vAlign w:val="center"/>
          </w:tcPr>
          <w:p>
            <w:pPr>
              <w:adjustRightInd w:val="0"/>
              <w:snapToGrid w:val="0"/>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总投资（万元）</w:t>
            </w:r>
          </w:p>
        </w:tc>
        <w:tc>
          <w:tcPr>
            <w:tcW w:w="2805" w:type="dxa"/>
            <w:vAlign w:val="center"/>
          </w:tcPr>
          <w:p>
            <w:pPr>
              <w:adjustRightInd w:val="0"/>
              <w:snapToGrid w:val="0"/>
              <w:jc w:val="center"/>
              <w:rPr>
                <w:szCs w:val="21"/>
              </w:rPr>
            </w:pPr>
            <w:r>
              <w:rPr>
                <w:szCs w:val="21"/>
              </w:rPr>
              <w:t>1500.00</w:t>
            </w:r>
          </w:p>
        </w:tc>
        <w:tc>
          <w:tcPr>
            <w:tcW w:w="1838" w:type="dxa"/>
            <w:tcMar>
              <w:top w:w="16" w:type="dxa"/>
              <w:left w:w="16" w:type="dxa"/>
              <w:right w:w="16" w:type="dxa"/>
            </w:tcMar>
            <w:vAlign w:val="center"/>
          </w:tcPr>
          <w:p>
            <w:pPr>
              <w:adjustRightInd w:val="0"/>
              <w:snapToGrid w:val="0"/>
              <w:jc w:val="center"/>
              <w:rPr>
                <w:szCs w:val="21"/>
              </w:rPr>
            </w:pPr>
            <w:r>
              <w:rPr>
                <w:rFonts w:hAnsi="宋体"/>
                <w:szCs w:val="21"/>
              </w:rPr>
              <w:t>环保投资（万元）</w:t>
            </w:r>
          </w:p>
        </w:tc>
        <w:tc>
          <w:tcPr>
            <w:tcW w:w="2626" w:type="dxa"/>
            <w:vAlign w:val="center"/>
          </w:tcPr>
          <w:p>
            <w:pPr>
              <w:adjustRightInd w:val="0"/>
              <w:snapToGrid w:val="0"/>
              <w:jc w:val="center"/>
              <w:rPr>
                <w:color w:val="0000FF"/>
                <w:szCs w:val="21"/>
              </w:rPr>
            </w:pPr>
            <w:r>
              <w:rPr>
                <w:color w:val="0000FF"/>
                <w:szCs w:val="21"/>
              </w:rPr>
              <w:t>25.3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环保投资占比（</w:t>
            </w:r>
            <w:r>
              <w:rPr>
                <w:szCs w:val="21"/>
              </w:rPr>
              <w:t>%</w:t>
            </w:r>
            <w:r>
              <w:rPr>
                <w:rFonts w:hAnsi="宋体"/>
                <w:szCs w:val="21"/>
              </w:rPr>
              <w:t>）</w:t>
            </w:r>
          </w:p>
        </w:tc>
        <w:tc>
          <w:tcPr>
            <w:tcW w:w="2805" w:type="dxa"/>
            <w:vAlign w:val="center"/>
          </w:tcPr>
          <w:p>
            <w:pPr>
              <w:adjustRightInd w:val="0"/>
              <w:snapToGrid w:val="0"/>
              <w:jc w:val="center"/>
              <w:rPr>
                <w:color w:val="0000FF"/>
                <w:szCs w:val="21"/>
              </w:rPr>
            </w:pPr>
            <w:r>
              <w:rPr>
                <w:color w:val="0000FF"/>
                <w:szCs w:val="21"/>
              </w:rPr>
              <w:t>1.69</w:t>
            </w:r>
          </w:p>
        </w:tc>
        <w:tc>
          <w:tcPr>
            <w:tcW w:w="1838" w:type="dxa"/>
            <w:tcMar>
              <w:top w:w="16" w:type="dxa"/>
              <w:left w:w="16" w:type="dxa"/>
              <w:right w:w="16" w:type="dxa"/>
            </w:tcMar>
            <w:vAlign w:val="center"/>
          </w:tcPr>
          <w:p>
            <w:pPr>
              <w:adjustRightInd w:val="0"/>
              <w:snapToGrid w:val="0"/>
              <w:jc w:val="center"/>
              <w:rPr>
                <w:szCs w:val="21"/>
              </w:rPr>
            </w:pPr>
            <w:r>
              <w:rPr>
                <w:rFonts w:hAnsi="宋体"/>
                <w:szCs w:val="21"/>
              </w:rPr>
              <w:t>施工工期</w:t>
            </w:r>
          </w:p>
        </w:tc>
        <w:tc>
          <w:tcPr>
            <w:tcW w:w="2626" w:type="dxa"/>
            <w:vAlign w:val="center"/>
          </w:tcPr>
          <w:p>
            <w:pPr>
              <w:adjustRightInd w:val="0"/>
              <w:snapToGrid w:val="0"/>
              <w:jc w:val="center"/>
              <w:rPr>
                <w:szCs w:val="21"/>
              </w:rPr>
            </w:pPr>
            <w:r>
              <w:rPr>
                <w:rFonts w:hint="eastAsia"/>
                <w:szCs w:val="21"/>
              </w:rPr>
              <w:t>5个月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45" w:type="dxa"/>
            <w:tcMar>
              <w:top w:w="16" w:type="dxa"/>
              <w:left w:w="16" w:type="dxa"/>
              <w:right w:w="16" w:type="dxa"/>
            </w:tcMar>
            <w:vAlign w:val="center"/>
          </w:tcPr>
          <w:p>
            <w:pPr>
              <w:adjustRightInd w:val="0"/>
              <w:snapToGrid w:val="0"/>
              <w:jc w:val="center"/>
              <w:rPr>
                <w:szCs w:val="21"/>
              </w:rPr>
            </w:pPr>
            <w:r>
              <w:rPr>
                <w:rFonts w:hAnsi="宋体"/>
                <w:szCs w:val="21"/>
              </w:rPr>
              <w:t>是否开工建设</w:t>
            </w:r>
          </w:p>
        </w:tc>
        <w:tc>
          <w:tcPr>
            <w:tcW w:w="2805" w:type="dxa"/>
            <w:vAlign w:val="center"/>
          </w:tcPr>
          <w:p>
            <w:pPr>
              <w:adjustRightInd w:val="0"/>
              <w:snapToGrid w:val="0"/>
              <w:rPr>
                <w:szCs w:val="21"/>
              </w:rPr>
            </w:pPr>
            <w:r>
              <w:rPr>
                <w:rFonts w:hint="eastAsia"/>
                <w:kern w:val="0"/>
                <w:sz w:val="24"/>
              </w:rPr>
              <w:t>☑</w:t>
            </w:r>
            <w:r>
              <w:rPr>
                <w:rFonts w:hAnsi="宋体"/>
                <w:szCs w:val="21"/>
              </w:rPr>
              <w:t>否</w:t>
            </w:r>
          </w:p>
          <w:p>
            <w:pPr>
              <w:adjustRightInd w:val="0"/>
              <w:snapToGrid w:val="0"/>
              <w:rPr>
                <w:rFonts w:hAnsi="宋体"/>
                <w:szCs w:val="21"/>
              </w:rPr>
            </w:pPr>
            <w:r>
              <w:rPr>
                <w:rFonts w:hint="eastAsia"/>
                <w:kern w:val="0"/>
                <w:sz w:val="24"/>
              </w:rPr>
              <w:t>□</w:t>
            </w:r>
            <w:r>
              <w:rPr>
                <w:rFonts w:hAnsi="宋体"/>
                <w:szCs w:val="21"/>
              </w:rPr>
              <w:t xml:space="preserve">是： </w:t>
            </w:r>
          </w:p>
        </w:tc>
        <w:tc>
          <w:tcPr>
            <w:tcW w:w="1838" w:type="dxa"/>
            <w:tcMar>
              <w:top w:w="16" w:type="dxa"/>
              <w:left w:w="16" w:type="dxa"/>
              <w:right w:w="16" w:type="dxa"/>
            </w:tcMar>
            <w:vAlign w:val="center"/>
          </w:tcPr>
          <w:p>
            <w:pPr>
              <w:adjustRightInd w:val="0"/>
              <w:snapToGrid w:val="0"/>
              <w:jc w:val="center"/>
              <w:rPr>
                <w:spacing w:val="-6"/>
                <w:szCs w:val="21"/>
              </w:rPr>
            </w:pPr>
            <w:r>
              <w:rPr>
                <w:rFonts w:hAnsi="宋体"/>
                <w:spacing w:val="-6"/>
                <w:szCs w:val="21"/>
              </w:rPr>
              <w:t>用地（用海）</w:t>
            </w:r>
          </w:p>
          <w:p>
            <w:pPr>
              <w:adjustRightInd w:val="0"/>
              <w:snapToGrid w:val="0"/>
              <w:jc w:val="center"/>
              <w:rPr>
                <w:szCs w:val="21"/>
              </w:rPr>
            </w:pPr>
            <w:r>
              <w:rPr>
                <w:rFonts w:hAnsi="宋体"/>
                <w:spacing w:val="-6"/>
                <w:szCs w:val="21"/>
              </w:rPr>
              <w:t>面积（</w:t>
            </w:r>
            <w:r>
              <w:rPr>
                <w:spacing w:val="-6"/>
                <w:szCs w:val="21"/>
              </w:rPr>
              <w:t>m</w:t>
            </w:r>
            <w:r>
              <w:rPr>
                <w:spacing w:val="-6"/>
                <w:szCs w:val="21"/>
                <w:vertAlign w:val="superscript"/>
              </w:rPr>
              <w:t>2</w:t>
            </w:r>
            <w:r>
              <w:rPr>
                <w:rFonts w:hAnsi="宋体"/>
                <w:spacing w:val="-6"/>
                <w:szCs w:val="21"/>
              </w:rPr>
              <w:t>）</w:t>
            </w:r>
          </w:p>
        </w:tc>
        <w:tc>
          <w:tcPr>
            <w:tcW w:w="2626" w:type="dxa"/>
            <w:vAlign w:val="center"/>
          </w:tcPr>
          <w:p>
            <w:pPr>
              <w:adjustRightInd w:val="0"/>
              <w:snapToGrid w:val="0"/>
              <w:jc w:val="center"/>
              <w:rPr>
                <w:szCs w:val="21"/>
              </w:rPr>
            </w:pPr>
            <w:r>
              <w:rPr>
                <w:rFonts w:hint="eastAsia"/>
                <w:szCs w:val="21"/>
              </w:rPr>
              <w:t>2</w:t>
            </w:r>
            <w:r>
              <w:rPr>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5" w:type="dxa"/>
            <w:vAlign w:val="center"/>
          </w:tcPr>
          <w:p>
            <w:pPr>
              <w:autoSpaceDE w:val="0"/>
              <w:autoSpaceDN w:val="0"/>
              <w:adjustRightInd w:val="0"/>
              <w:snapToGrid w:val="0"/>
              <w:jc w:val="center"/>
              <w:rPr>
                <w:kern w:val="0"/>
                <w:szCs w:val="21"/>
              </w:rPr>
            </w:pPr>
            <w:r>
              <w:rPr>
                <w:rFonts w:hAnsi="宋体"/>
                <w:kern w:val="0"/>
                <w:szCs w:val="21"/>
              </w:rPr>
              <w:t>专项评价设置情况</w:t>
            </w:r>
          </w:p>
        </w:tc>
        <w:tc>
          <w:tcPr>
            <w:tcW w:w="7269" w:type="dxa"/>
            <w:gridSpan w:val="3"/>
            <w:vAlign w:val="center"/>
          </w:tcPr>
          <w:p>
            <w:pPr>
              <w:autoSpaceDE w:val="0"/>
              <w:autoSpaceDN w:val="0"/>
              <w:adjustRightInd w:val="0"/>
              <w:snapToGrid w:val="0"/>
              <w:jc w:val="center"/>
              <w:rPr>
                <w:kern w:val="0"/>
                <w:szCs w:val="21"/>
              </w:rPr>
            </w:pPr>
            <w:r>
              <w:rPr>
                <w:rFonts w:hAnsi="宋体"/>
                <w:kern w:val="0"/>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5" w:type="dxa"/>
            <w:vAlign w:val="center"/>
          </w:tcPr>
          <w:p>
            <w:pPr>
              <w:autoSpaceDE w:val="0"/>
              <w:autoSpaceDN w:val="0"/>
              <w:adjustRightInd w:val="0"/>
              <w:snapToGrid w:val="0"/>
              <w:jc w:val="center"/>
              <w:rPr>
                <w:kern w:val="0"/>
                <w:szCs w:val="21"/>
              </w:rPr>
            </w:pPr>
            <w:r>
              <w:rPr>
                <w:rFonts w:hAnsi="宋体"/>
                <w:szCs w:val="21"/>
              </w:rPr>
              <w:t>规划情况</w:t>
            </w:r>
          </w:p>
        </w:tc>
        <w:tc>
          <w:tcPr>
            <w:tcW w:w="7269" w:type="dxa"/>
            <w:gridSpan w:val="3"/>
            <w:vAlign w:val="center"/>
          </w:tcPr>
          <w:p>
            <w:pPr>
              <w:widowControl/>
              <w:jc w:val="left"/>
              <w:rPr>
                <w:kern w:val="0"/>
                <w:szCs w:val="21"/>
              </w:rPr>
            </w:pPr>
            <w:r>
              <w:rPr>
                <w:rFonts w:hint="eastAsia"/>
                <w:kern w:val="0"/>
                <w:szCs w:val="21"/>
              </w:rPr>
              <w:t>规划名称：</w:t>
            </w:r>
            <w:r>
              <w:rPr>
                <w:kern w:val="0"/>
                <w:szCs w:val="21"/>
              </w:rPr>
              <w:t>《安康市汉滨区五里工业集中区总体规划（2015-2030年）》</w:t>
            </w:r>
          </w:p>
          <w:p>
            <w:pPr>
              <w:widowControl/>
              <w:jc w:val="left"/>
              <w:rPr>
                <w:szCs w:val="21"/>
              </w:rPr>
            </w:pPr>
            <w:r>
              <w:rPr>
                <w:color w:val="000000"/>
                <w:kern w:val="0"/>
                <w:szCs w:val="21"/>
                <w:lang w:bidi="ar"/>
              </w:rPr>
              <w:t>审批机关：陕西省人民政府</w:t>
            </w:r>
          </w:p>
          <w:p>
            <w:pPr>
              <w:autoSpaceDE w:val="0"/>
              <w:autoSpaceDN w:val="0"/>
              <w:adjustRightInd w:val="0"/>
              <w:snapToGrid w:val="0"/>
              <w:rPr>
                <w:kern w:val="0"/>
                <w:szCs w:val="21"/>
              </w:rPr>
            </w:pPr>
            <w:r>
              <w:rPr>
                <w:color w:val="000000"/>
                <w:kern w:val="0"/>
                <w:szCs w:val="21"/>
                <w:lang w:bidi="ar"/>
              </w:rPr>
              <w:t>审批文件名称：关于《安康市汉滨区五里工业集中区总体规划（2015-2030年）的批复》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5" w:type="dxa"/>
            <w:vAlign w:val="center"/>
          </w:tcPr>
          <w:p>
            <w:pPr>
              <w:adjustRightInd w:val="0"/>
              <w:snapToGrid w:val="0"/>
              <w:jc w:val="center"/>
              <w:rPr>
                <w:szCs w:val="21"/>
              </w:rPr>
            </w:pPr>
            <w:r>
              <w:rPr>
                <w:rFonts w:hAnsi="宋体"/>
                <w:szCs w:val="21"/>
              </w:rPr>
              <w:t>规划环境影响评价情况</w:t>
            </w:r>
          </w:p>
        </w:tc>
        <w:tc>
          <w:tcPr>
            <w:tcW w:w="7269" w:type="dxa"/>
            <w:gridSpan w:val="3"/>
            <w:vAlign w:val="center"/>
          </w:tcPr>
          <w:p>
            <w:pPr>
              <w:widowControl/>
              <w:jc w:val="left"/>
              <w:rPr>
                <w:kern w:val="0"/>
                <w:szCs w:val="21"/>
              </w:rPr>
            </w:pPr>
            <w:r>
              <w:rPr>
                <w:rFonts w:hint="eastAsia"/>
                <w:kern w:val="0"/>
                <w:szCs w:val="21"/>
              </w:rPr>
              <w:t>规划环境影响评价文件名称：《安康市汉滨区五里工业集中区总体规划环境影响报告书》</w:t>
            </w:r>
          </w:p>
          <w:p>
            <w:pPr>
              <w:widowControl/>
              <w:jc w:val="left"/>
              <w:rPr>
                <w:kern w:val="0"/>
                <w:szCs w:val="21"/>
              </w:rPr>
            </w:pPr>
            <w:r>
              <w:rPr>
                <w:rFonts w:hint="eastAsia"/>
                <w:kern w:val="0"/>
                <w:szCs w:val="21"/>
              </w:rPr>
              <w:t>审查机关：原安康市环境保护局</w:t>
            </w:r>
          </w:p>
          <w:p>
            <w:pPr>
              <w:widowControl/>
              <w:jc w:val="left"/>
              <w:rPr>
                <w:kern w:val="0"/>
                <w:szCs w:val="21"/>
              </w:rPr>
            </w:pPr>
            <w:r>
              <w:rPr>
                <w:rFonts w:hint="eastAsia"/>
                <w:kern w:val="0"/>
                <w:szCs w:val="21"/>
              </w:rPr>
              <w:t>审查文件名称及文号：关于《安康市汉滨区五里工业集中区总体规划环境影响报告书》审查意见的函（安环函〔2016〕182号）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545" w:type="dxa"/>
            <w:vAlign w:val="center"/>
          </w:tcPr>
          <w:p>
            <w:pPr>
              <w:autoSpaceDE w:val="0"/>
              <w:autoSpaceDN w:val="0"/>
              <w:adjustRightInd w:val="0"/>
              <w:snapToGrid w:val="0"/>
              <w:jc w:val="center"/>
              <w:rPr>
                <w:kern w:val="0"/>
                <w:szCs w:val="21"/>
              </w:rPr>
            </w:pPr>
            <w:r>
              <w:rPr>
                <w:rFonts w:hAnsi="宋体"/>
                <w:kern w:val="0"/>
                <w:szCs w:val="21"/>
              </w:rPr>
              <w:t>规划及规划环境影响评价符合性分析</w:t>
            </w:r>
          </w:p>
        </w:tc>
        <w:tc>
          <w:tcPr>
            <w:tcW w:w="7269" w:type="dxa"/>
            <w:gridSpan w:val="3"/>
            <w:vAlign w:val="center"/>
          </w:tcPr>
          <w:p>
            <w:pPr>
              <w:spacing w:line="360" w:lineRule="auto"/>
              <w:ind w:firstLine="420" w:firstLineChars="200"/>
              <w:rPr>
                <w:rFonts w:hAnsi="宋体"/>
              </w:rPr>
            </w:pPr>
            <w:r>
              <w:rPr>
                <w:rFonts w:hAnsi="宋体"/>
              </w:rPr>
              <w:t>安康市汉滨区五里工业集中区位于</w:t>
            </w:r>
            <w:r>
              <w:rPr>
                <w:rFonts w:hint="eastAsia" w:hAnsi="宋体"/>
              </w:rPr>
              <w:t>汉滨区</w:t>
            </w:r>
            <w:r>
              <w:rPr>
                <w:rFonts w:hAnsi="宋体"/>
              </w:rPr>
              <w:t>五里镇镇域中部，规划面积41.2km</w:t>
            </w:r>
            <w:r>
              <w:rPr>
                <w:rFonts w:hAnsi="宋体"/>
                <w:vertAlign w:val="superscript"/>
              </w:rPr>
              <w:t>2</w:t>
            </w:r>
            <w:r>
              <w:rPr>
                <w:rFonts w:hAnsi="宋体"/>
              </w:rPr>
              <w:t>。园区产业主要发展工业、商贸、物流三大产业。园区以富硒食品和新型材料为主导、装备制造为支柱，清洁能源及资源回收再利用和生物医药为新兴的绿色工业体系的产业园。园区已取得安康市环境保护局关于《安康市汉滨区五里工业集中区总体规划环境影响报告书》审查意见的函，文号为安环函[2016]182号。本项目与园区规划及规划环评符合性分析见表1-1</w:t>
            </w:r>
            <w:r>
              <w:rPr>
                <w:rFonts w:hint="eastAsia" w:hAnsi="宋体"/>
              </w:rPr>
              <w:t>。</w:t>
            </w:r>
          </w:p>
          <w:p>
            <w:pPr>
              <w:jc w:val="center"/>
              <w:rPr>
                <w:b/>
                <w:bCs/>
                <w:szCs w:val="21"/>
              </w:rPr>
            </w:pPr>
            <w:r>
              <w:rPr>
                <w:rFonts w:hint="eastAsia"/>
                <w:b/>
                <w:bCs/>
                <w:szCs w:val="21"/>
              </w:rPr>
              <w:t>表1</w:t>
            </w:r>
            <w:r>
              <w:rPr>
                <w:b/>
                <w:bCs/>
                <w:szCs w:val="21"/>
              </w:rPr>
              <w:t xml:space="preserve">-1    </w:t>
            </w:r>
            <w:r>
              <w:rPr>
                <w:rFonts w:hint="eastAsia"/>
                <w:b/>
                <w:bCs/>
                <w:szCs w:val="21"/>
              </w:rPr>
              <w:t>项目与规划及规划环评符合性分析</w:t>
            </w:r>
          </w:p>
          <w:tbl>
            <w:tblPr>
              <w:tblStyle w:val="23"/>
              <w:tblW w:w="702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3090"/>
              <w:gridCol w:w="1759"/>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4378" w:type="dxa"/>
                  <w:gridSpan w:val="2"/>
                  <w:vAlign w:val="center"/>
                </w:tcPr>
                <w:p>
                  <w:pPr>
                    <w:adjustRightInd w:val="0"/>
                    <w:snapToGrid w:val="0"/>
                    <w:jc w:val="center"/>
                    <w:rPr>
                      <w:szCs w:val="21"/>
                    </w:rPr>
                  </w:pPr>
                  <w:r>
                    <w:rPr>
                      <w:rFonts w:hint="eastAsia"/>
                      <w:szCs w:val="21"/>
                    </w:rPr>
                    <w:t>园区规划</w:t>
                  </w:r>
                </w:p>
              </w:tc>
              <w:tc>
                <w:tcPr>
                  <w:tcW w:w="1759" w:type="dxa"/>
                  <w:vAlign w:val="center"/>
                </w:tcPr>
                <w:p>
                  <w:pPr>
                    <w:adjustRightInd w:val="0"/>
                    <w:snapToGrid w:val="0"/>
                    <w:jc w:val="center"/>
                    <w:rPr>
                      <w:szCs w:val="21"/>
                    </w:rPr>
                  </w:pPr>
                  <w:r>
                    <w:rPr>
                      <w:rFonts w:hint="eastAsia"/>
                      <w:szCs w:val="21"/>
                    </w:rPr>
                    <w:t>本项目情况</w:t>
                  </w:r>
                </w:p>
              </w:tc>
              <w:tc>
                <w:tcPr>
                  <w:tcW w:w="886" w:type="dxa"/>
                  <w:vAlign w:val="center"/>
                </w:tcPr>
                <w:p>
                  <w:pPr>
                    <w:jc w:val="center"/>
                    <w:rPr>
                      <w:szCs w:val="21"/>
                    </w:rPr>
                  </w:pPr>
                  <w:r>
                    <w:rPr>
                      <w:rFonts w:hint="eastAsia"/>
                      <w:szCs w:val="21"/>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Align w:val="center"/>
                </w:tcPr>
                <w:p>
                  <w:pPr>
                    <w:adjustRightInd w:val="0"/>
                    <w:snapToGrid w:val="0"/>
                    <w:jc w:val="center"/>
                    <w:rPr>
                      <w:szCs w:val="21"/>
                    </w:rPr>
                  </w:pPr>
                  <w:r>
                    <w:rPr>
                      <w:rFonts w:hint="eastAsia"/>
                      <w:szCs w:val="21"/>
                    </w:rPr>
                    <w:t>园区功能</w:t>
                  </w:r>
                </w:p>
                <w:p>
                  <w:pPr>
                    <w:adjustRightInd w:val="0"/>
                    <w:snapToGrid w:val="0"/>
                    <w:jc w:val="center"/>
                    <w:rPr>
                      <w:szCs w:val="21"/>
                    </w:rPr>
                  </w:pPr>
                  <w:r>
                    <w:rPr>
                      <w:rFonts w:hint="eastAsia"/>
                      <w:szCs w:val="21"/>
                    </w:rPr>
                    <w:t>定位</w:t>
                  </w:r>
                </w:p>
              </w:tc>
              <w:tc>
                <w:tcPr>
                  <w:tcW w:w="3090" w:type="dxa"/>
                  <w:vAlign w:val="center"/>
                </w:tcPr>
                <w:p>
                  <w:pPr>
                    <w:adjustRightInd w:val="0"/>
                    <w:snapToGrid w:val="0"/>
                    <w:jc w:val="center"/>
                    <w:rPr>
                      <w:szCs w:val="21"/>
                    </w:rPr>
                  </w:pPr>
                  <w:r>
                    <w:rPr>
                      <w:szCs w:val="21"/>
                    </w:rPr>
                    <w:t>以富硒食品和新型材料为主导、装备制造为支柱，清洁能源及资源回收再利用和生物医药为新兴的绿色工业体系的产业园。</w:t>
                  </w:r>
                </w:p>
              </w:tc>
              <w:tc>
                <w:tcPr>
                  <w:tcW w:w="1759" w:type="dxa"/>
                  <w:vAlign w:val="center"/>
                </w:tcPr>
                <w:p>
                  <w:pPr>
                    <w:adjustRightInd w:val="0"/>
                    <w:snapToGrid w:val="0"/>
                    <w:jc w:val="center"/>
                    <w:rPr>
                      <w:rFonts w:hAnsi="宋体"/>
                      <w:szCs w:val="21"/>
                    </w:rPr>
                  </w:pPr>
                  <w:r>
                    <w:rPr>
                      <w:rFonts w:hint="eastAsia" w:hAnsi="宋体"/>
                      <w:szCs w:val="21"/>
                    </w:rPr>
                    <w:t>本项目属特种玻璃制造，符合园区产业定位。</w:t>
                  </w:r>
                </w:p>
              </w:tc>
              <w:tc>
                <w:tcPr>
                  <w:tcW w:w="886" w:type="dxa"/>
                  <w:vAlign w:val="center"/>
                </w:tcPr>
                <w:p>
                  <w:pPr>
                    <w:jc w:val="center"/>
                    <w:rPr>
                      <w:rFonts w:hAnsi="宋体"/>
                      <w:szCs w:val="21"/>
                    </w:rPr>
                  </w:pPr>
                  <w:r>
                    <w:rPr>
                      <w:rFonts w:hint="eastAsia"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Align w:val="center"/>
                </w:tcPr>
                <w:p>
                  <w:pPr>
                    <w:adjustRightInd w:val="0"/>
                    <w:snapToGrid w:val="0"/>
                    <w:jc w:val="center"/>
                    <w:rPr>
                      <w:szCs w:val="21"/>
                    </w:rPr>
                  </w:pPr>
                  <w:r>
                    <w:rPr>
                      <w:rFonts w:hint="eastAsia"/>
                      <w:szCs w:val="21"/>
                    </w:rPr>
                    <w:t>园区产业发展方向</w:t>
                  </w:r>
                </w:p>
              </w:tc>
              <w:tc>
                <w:tcPr>
                  <w:tcW w:w="3090" w:type="dxa"/>
                  <w:vAlign w:val="center"/>
                </w:tcPr>
                <w:p>
                  <w:pPr>
                    <w:adjustRightInd w:val="0"/>
                    <w:snapToGrid w:val="0"/>
                    <w:jc w:val="center"/>
                    <w:rPr>
                      <w:szCs w:val="21"/>
                    </w:rPr>
                  </w:pPr>
                  <w:r>
                    <w:rPr>
                      <w:rFonts w:hint="eastAsia" w:ascii="宋体" w:hAnsi="宋体" w:cs="宋体"/>
                      <w:color w:val="000000"/>
                      <w:kern w:val="0"/>
                      <w:szCs w:val="21"/>
                      <w:lang w:bidi="ar"/>
                    </w:rPr>
                    <w:t>按照</w:t>
                  </w:r>
                  <w:r>
                    <w:rPr>
                      <w:color w:val="000000"/>
                      <w:kern w:val="0"/>
                      <w:szCs w:val="21"/>
                      <w:lang w:bidi="ar"/>
                    </w:rPr>
                    <w:t>“</w:t>
                  </w:r>
                  <w:r>
                    <w:rPr>
                      <w:rFonts w:hint="eastAsia" w:ascii="宋体" w:hAnsi="宋体" w:cs="宋体"/>
                      <w:color w:val="000000"/>
                      <w:kern w:val="0"/>
                      <w:szCs w:val="21"/>
                      <w:lang w:bidi="ar"/>
                    </w:rPr>
                    <w:t>园区化承载，集群化推进，循环化发展，链条化分工</w:t>
                  </w:r>
                  <w:r>
                    <w:rPr>
                      <w:color w:val="000000"/>
                      <w:kern w:val="0"/>
                      <w:szCs w:val="21"/>
                      <w:lang w:bidi="ar"/>
                    </w:rPr>
                    <w:t>”</w:t>
                  </w:r>
                  <w:r>
                    <w:rPr>
                      <w:rFonts w:hint="eastAsia" w:ascii="宋体" w:hAnsi="宋体" w:cs="宋体"/>
                      <w:color w:val="000000"/>
                      <w:kern w:val="0"/>
                      <w:szCs w:val="21"/>
                      <w:lang w:bidi="ar"/>
                    </w:rPr>
                    <w:t>的思路，推进五里工业园突破发展。积极构建以富硒食品和新型材料为主导、装备制造为支柱，清洁能源及资源回收再利用和生物医药为新兴的绿色工业体系；引导企业入集中区集群化发展；打造优势产业链，培育系列优势产品，专业化纵深发展，争创全国行业之先。通过努力把五里建成汉滨区工业中心，安康市工业重镇。</w:t>
                  </w:r>
                </w:p>
              </w:tc>
              <w:tc>
                <w:tcPr>
                  <w:tcW w:w="1759" w:type="dxa"/>
                  <w:vAlign w:val="center"/>
                </w:tcPr>
                <w:p>
                  <w:pPr>
                    <w:adjustRightInd w:val="0"/>
                    <w:snapToGrid w:val="0"/>
                    <w:jc w:val="center"/>
                    <w:rPr>
                      <w:rFonts w:hAnsi="宋体"/>
                      <w:szCs w:val="21"/>
                    </w:rPr>
                  </w:pPr>
                  <w:r>
                    <w:rPr>
                      <w:rFonts w:hint="eastAsia" w:hAnsi="宋体"/>
                      <w:szCs w:val="21"/>
                    </w:rPr>
                    <w:t>本项目属特种玻璃制造，租赁五里镇工业集中区东区秦东魔芋食品公司现有空置厂房生产，符合园区发展方向。</w:t>
                  </w:r>
                </w:p>
              </w:tc>
              <w:tc>
                <w:tcPr>
                  <w:tcW w:w="886" w:type="dxa"/>
                  <w:vAlign w:val="center"/>
                </w:tcPr>
                <w:p>
                  <w:pPr>
                    <w:jc w:val="center"/>
                    <w:rPr>
                      <w:rFonts w:hAnsi="宋体"/>
                      <w:szCs w:val="21"/>
                    </w:rPr>
                  </w:pPr>
                  <w:r>
                    <w:rPr>
                      <w:rFonts w:hint="eastAsia"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Align w:val="center"/>
                </w:tcPr>
                <w:p>
                  <w:pPr>
                    <w:adjustRightInd w:val="0"/>
                    <w:snapToGrid w:val="0"/>
                    <w:jc w:val="center"/>
                    <w:rPr>
                      <w:szCs w:val="21"/>
                    </w:rPr>
                  </w:pPr>
                  <w:r>
                    <w:rPr>
                      <w:rFonts w:hint="eastAsia"/>
                      <w:szCs w:val="21"/>
                    </w:rPr>
                    <w:t>空间结构</w:t>
                  </w:r>
                </w:p>
              </w:tc>
              <w:tc>
                <w:tcPr>
                  <w:tcW w:w="3090" w:type="dxa"/>
                  <w:vAlign w:val="center"/>
                </w:tcPr>
                <w:p>
                  <w:pPr>
                    <w:adjustRightInd w:val="0"/>
                    <w:snapToGrid w:val="0"/>
                    <w:jc w:val="center"/>
                    <w:rPr>
                      <w:szCs w:val="21"/>
                    </w:rPr>
                  </w:pPr>
                  <w:r>
                    <w:rPr>
                      <w:rFonts w:hint="eastAsia" w:ascii="宋体" w:hAnsi="宋体" w:cs="宋体"/>
                      <w:color w:val="000000"/>
                      <w:kern w:val="0"/>
                      <w:szCs w:val="21"/>
                      <w:lang w:bidi="ar"/>
                    </w:rPr>
                    <w:t>规划在整合五里镇现状建设用地的基础上，依托周围的山体、交通线路、市政设施等规划因素，构建工业集中区空间结构为</w:t>
                  </w:r>
                  <w:r>
                    <w:rPr>
                      <w:color w:val="000000"/>
                      <w:kern w:val="0"/>
                      <w:szCs w:val="21"/>
                      <w:lang w:bidi="ar"/>
                    </w:rPr>
                    <w:t>“</w:t>
                  </w:r>
                  <w:r>
                    <w:rPr>
                      <w:rFonts w:hint="eastAsia" w:ascii="宋体" w:hAnsi="宋体" w:cs="宋体"/>
                      <w:color w:val="000000"/>
                      <w:kern w:val="0"/>
                      <w:szCs w:val="21"/>
                      <w:lang w:bidi="ar"/>
                    </w:rPr>
                    <w:t>一轴、双心、三廊、三区</w:t>
                  </w:r>
                  <w:r>
                    <w:rPr>
                      <w:color w:val="000000"/>
                      <w:kern w:val="0"/>
                      <w:szCs w:val="21"/>
                      <w:lang w:bidi="ar"/>
                    </w:rPr>
                    <w:t>”</w:t>
                  </w:r>
                  <w:r>
                    <w:rPr>
                      <w:rFonts w:hint="eastAsia" w:ascii="宋体" w:hAnsi="宋体" w:cs="宋体"/>
                      <w:color w:val="000000"/>
                      <w:kern w:val="0"/>
                      <w:szCs w:val="21"/>
                      <w:lang w:bidi="ar"/>
                    </w:rPr>
                    <w:t>的城镇总体布局形态。</w:t>
                  </w:r>
                </w:p>
              </w:tc>
              <w:tc>
                <w:tcPr>
                  <w:tcW w:w="1759" w:type="dxa"/>
                  <w:vAlign w:val="center"/>
                </w:tcPr>
                <w:p>
                  <w:pPr>
                    <w:adjustRightInd w:val="0"/>
                    <w:snapToGrid w:val="0"/>
                    <w:jc w:val="center"/>
                    <w:rPr>
                      <w:rFonts w:hAnsi="宋体"/>
                      <w:szCs w:val="21"/>
                    </w:rPr>
                  </w:pPr>
                  <w:r>
                    <w:rPr>
                      <w:rFonts w:hint="eastAsia" w:ascii="宋体" w:hAnsi="宋体" w:cs="宋体"/>
                      <w:color w:val="000000"/>
                      <w:kern w:val="0"/>
                      <w:szCs w:val="21"/>
                      <w:lang w:bidi="ar"/>
                    </w:rPr>
                    <w:t>本项目地位于“三区”内的工业集中区五里镇片区，符合城镇总体布局。</w:t>
                  </w:r>
                </w:p>
              </w:tc>
              <w:tc>
                <w:tcPr>
                  <w:tcW w:w="886" w:type="dxa"/>
                  <w:vAlign w:val="center"/>
                </w:tcPr>
                <w:p>
                  <w:pPr>
                    <w:jc w:val="center"/>
                    <w:rPr>
                      <w:rFonts w:hAnsi="宋体"/>
                      <w:szCs w:val="21"/>
                    </w:rPr>
                  </w:pPr>
                  <w:r>
                    <w:rPr>
                      <w:rFonts w:hint="eastAsia"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Align w:val="center"/>
                </w:tcPr>
                <w:p>
                  <w:pPr>
                    <w:adjustRightInd w:val="0"/>
                    <w:snapToGrid w:val="0"/>
                    <w:jc w:val="center"/>
                    <w:rPr>
                      <w:szCs w:val="21"/>
                    </w:rPr>
                  </w:pPr>
                  <w:r>
                    <w:rPr>
                      <w:rFonts w:hint="eastAsia"/>
                      <w:szCs w:val="21"/>
                    </w:rPr>
                    <w:t>用地布局</w:t>
                  </w:r>
                </w:p>
              </w:tc>
              <w:tc>
                <w:tcPr>
                  <w:tcW w:w="3090" w:type="dxa"/>
                  <w:vAlign w:val="center"/>
                </w:tcPr>
                <w:p>
                  <w:pPr>
                    <w:adjustRightInd w:val="0"/>
                    <w:snapToGrid w:val="0"/>
                    <w:jc w:val="center"/>
                    <w:rPr>
                      <w:szCs w:val="21"/>
                    </w:rPr>
                  </w:pPr>
                  <w:r>
                    <w:rPr>
                      <w:rFonts w:hint="eastAsia" w:ascii="宋体" w:hAnsi="宋体" w:cs="宋体"/>
                      <w:color w:val="000000"/>
                      <w:kern w:val="0"/>
                      <w:szCs w:val="21"/>
                      <w:lang w:bidi="ar"/>
                    </w:rPr>
                    <w:t>五里工业集中区的产业分区是按照工业分类的方法和环境保护的要求进行分布，工业构建</w:t>
                  </w:r>
                  <w:r>
                    <w:rPr>
                      <w:color w:val="000000"/>
                      <w:kern w:val="0"/>
                      <w:szCs w:val="21"/>
                      <w:lang w:bidi="ar"/>
                    </w:rPr>
                    <w:t>“</w:t>
                  </w:r>
                  <w:r>
                    <w:rPr>
                      <w:rFonts w:hint="eastAsia" w:ascii="宋体" w:hAnsi="宋体" w:cs="宋体"/>
                      <w:color w:val="000000"/>
                      <w:kern w:val="0"/>
                      <w:szCs w:val="21"/>
                      <w:lang w:bidi="ar"/>
                    </w:rPr>
                    <w:t>一区七园</w:t>
                  </w:r>
                  <w:r>
                    <w:rPr>
                      <w:color w:val="000000"/>
                      <w:kern w:val="0"/>
                      <w:szCs w:val="21"/>
                      <w:lang w:bidi="ar"/>
                    </w:rPr>
                    <w:t>”</w:t>
                  </w:r>
                  <w:r>
                    <w:rPr>
                      <w:rFonts w:hint="eastAsia" w:ascii="宋体" w:hAnsi="宋体" w:cs="宋体"/>
                      <w:color w:val="000000"/>
                      <w:kern w:val="0"/>
                      <w:szCs w:val="21"/>
                      <w:lang w:bidi="ar"/>
                    </w:rPr>
                    <w:t>产业布局。</w:t>
                  </w:r>
                  <w:r>
                    <w:rPr>
                      <w:color w:val="000000"/>
                      <w:kern w:val="0"/>
                      <w:szCs w:val="21"/>
                      <w:lang w:bidi="ar"/>
                    </w:rPr>
                    <w:t>“</w:t>
                  </w:r>
                  <w:r>
                    <w:rPr>
                      <w:rFonts w:hint="eastAsia" w:ascii="宋体" w:hAnsi="宋体" w:cs="宋体"/>
                      <w:color w:val="000000"/>
                      <w:kern w:val="0"/>
                      <w:szCs w:val="21"/>
                      <w:lang w:bidi="ar"/>
                    </w:rPr>
                    <w:t>一区</w:t>
                  </w:r>
                  <w:r>
                    <w:rPr>
                      <w:color w:val="000000"/>
                      <w:kern w:val="0"/>
                      <w:szCs w:val="21"/>
                      <w:lang w:bidi="ar"/>
                    </w:rPr>
                    <w:t>”</w:t>
                  </w:r>
                  <w:r>
                    <w:rPr>
                      <w:rFonts w:hint="eastAsia" w:ascii="宋体" w:hAnsi="宋体" w:cs="宋体"/>
                      <w:color w:val="000000"/>
                      <w:kern w:val="0"/>
                      <w:szCs w:val="21"/>
                      <w:lang w:bidi="ar"/>
                    </w:rPr>
                    <w:t>为五里工业集中区，七园分别为富硒食品园（创业园）、新型材料产业园、综合园（正英朝阳产业城）、装备制造园、生物医药园、飞地产业园、综合物流园。</w:t>
                  </w:r>
                </w:p>
              </w:tc>
              <w:tc>
                <w:tcPr>
                  <w:tcW w:w="1759" w:type="dxa"/>
                  <w:vAlign w:val="center"/>
                </w:tcPr>
                <w:p>
                  <w:pPr>
                    <w:adjustRightInd w:val="0"/>
                    <w:snapToGrid w:val="0"/>
                    <w:jc w:val="center"/>
                    <w:rPr>
                      <w:rFonts w:hAnsi="宋体"/>
                      <w:szCs w:val="21"/>
                    </w:rPr>
                  </w:pPr>
                  <w:r>
                    <w:rPr>
                      <w:rFonts w:hint="eastAsia" w:ascii="宋体" w:hAnsi="宋体" w:cs="宋体"/>
                      <w:color w:val="000000"/>
                      <w:kern w:val="0"/>
                      <w:szCs w:val="21"/>
                      <w:lang w:bidi="ar"/>
                    </w:rPr>
                    <w:t>本项目位于五里工业集中区，与园区产业布局相符。</w:t>
                  </w:r>
                </w:p>
              </w:tc>
              <w:tc>
                <w:tcPr>
                  <w:tcW w:w="886" w:type="dxa"/>
                  <w:vAlign w:val="center"/>
                </w:tcPr>
                <w:p>
                  <w:pPr>
                    <w:jc w:val="center"/>
                    <w:rPr>
                      <w:rFonts w:hAnsi="宋体"/>
                      <w:szCs w:val="21"/>
                    </w:rPr>
                  </w:pPr>
                  <w:r>
                    <w:rPr>
                      <w:rFonts w:hint="eastAsia"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Merge w:val="restart"/>
                  <w:vAlign w:val="center"/>
                </w:tcPr>
                <w:p>
                  <w:pPr>
                    <w:adjustRightInd w:val="0"/>
                    <w:snapToGrid w:val="0"/>
                    <w:jc w:val="center"/>
                    <w:rPr>
                      <w:szCs w:val="21"/>
                    </w:rPr>
                  </w:pPr>
                  <w:r>
                    <w:rPr>
                      <w:szCs w:val="21"/>
                    </w:rPr>
                    <w:t>《安康市汉滨区五里工业集中区总体规划环境影响报告书》规划环评及审查意见</w:t>
                  </w:r>
                </w:p>
              </w:tc>
              <w:tc>
                <w:tcPr>
                  <w:tcW w:w="3090" w:type="dxa"/>
                  <w:vAlign w:val="center"/>
                </w:tcPr>
                <w:p>
                  <w:pPr>
                    <w:adjustRightInd w:val="0"/>
                    <w:snapToGrid w:val="0"/>
                    <w:jc w:val="center"/>
                    <w:rPr>
                      <w:szCs w:val="21"/>
                    </w:rPr>
                  </w:pPr>
                  <w:r>
                    <w:rPr>
                      <w:szCs w:val="21"/>
                    </w:rPr>
                    <w:t>规划园区实施过程中，园区应围绕富硒食品加工、物流商贸、生物医药、新型材料、装备制造引进企业入园，</w:t>
                  </w:r>
                  <w:r>
                    <w:rPr>
                      <w:rFonts w:hint="eastAsia"/>
                      <w:szCs w:val="21"/>
                    </w:rPr>
                    <w:t>限制</w:t>
                  </w:r>
                  <w:r>
                    <w:rPr>
                      <w:szCs w:val="21"/>
                    </w:rPr>
                    <w:t>高耗水、高耗能、涉重金属及含电镀冶炼的装备制造企业入园。</w:t>
                  </w:r>
                </w:p>
              </w:tc>
              <w:tc>
                <w:tcPr>
                  <w:tcW w:w="1759" w:type="dxa"/>
                  <w:vAlign w:val="center"/>
                </w:tcPr>
                <w:p>
                  <w:pPr>
                    <w:adjustRightInd w:val="0"/>
                    <w:snapToGrid w:val="0"/>
                    <w:jc w:val="center"/>
                    <w:rPr>
                      <w:rFonts w:hAnsi="宋体"/>
                      <w:szCs w:val="21"/>
                    </w:rPr>
                  </w:pPr>
                  <w:r>
                    <w:rPr>
                      <w:rFonts w:hint="eastAsia" w:hAnsi="宋体"/>
                      <w:szCs w:val="21"/>
                    </w:rPr>
                    <w:t>本项目属特种玻璃制造，不属于高耗水、高耗能、涉重金属及电镀冶炼的装备制造业，不在园区限制入园企业之内。</w:t>
                  </w:r>
                  <w:r>
                    <w:rPr>
                      <w:rFonts w:hAnsi="宋体"/>
                      <w:szCs w:val="21"/>
                    </w:rPr>
                    <w:t xml:space="preserve"> </w:t>
                  </w:r>
                </w:p>
              </w:tc>
              <w:tc>
                <w:tcPr>
                  <w:tcW w:w="886" w:type="dxa"/>
                  <w:vAlign w:val="center"/>
                </w:tcPr>
                <w:p>
                  <w:pPr>
                    <w:jc w:val="center"/>
                    <w:rPr>
                      <w:rFonts w:hAnsi="宋体"/>
                      <w:szCs w:val="21"/>
                    </w:rPr>
                  </w:pPr>
                  <w:r>
                    <w:rPr>
                      <w:rFonts w:hint="eastAsia"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Merge w:val="continue"/>
                  <w:vAlign w:val="center"/>
                </w:tcPr>
                <w:p>
                  <w:pPr>
                    <w:adjustRightInd w:val="0"/>
                    <w:snapToGrid w:val="0"/>
                    <w:jc w:val="center"/>
                    <w:rPr>
                      <w:szCs w:val="21"/>
                    </w:rPr>
                  </w:pPr>
                </w:p>
              </w:tc>
              <w:tc>
                <w:tcPr>
                  <w:tcW w:w="3090" w:type="dxa"/>
                  <w:vAlign w:val="center"/>
                </w:tcPr>
                <w:p>
                  <w:pPr>
                    <w:adjustRightInd w:val="0"/>
                    <w:snapToGrid w:val="0"/>
                    <w:jc w:val="center"/>
                    <w:rPr>
                      <w:szCs w:val="21"/>
                    </w:rPr>
                  </w:pPr>
                  <w:r>
                    <w:rPr>
                      <w:szCs w:val="21"/>
                    </w:rPr>
                    <w:t>园区的环保基础设施建设必须要与园区同时规划、同时建设、同时投入运营，按照清污分流、雨污分流、循环用水的原则优化布置给排水管网。</w:t>
                  </w:r>
                </w:p>
              </w:tc>
              <w:tc>
                <w:tcPr>
                  <w:tcW w:w="1759" w:type="dxa"/>
                  <w:vAlign w:val="center"/>
                </w:tcPr>
                <w:p>
                  <w:pPr>
                    <w:adjustRightInd w:val="0"/>
                    <w:snapToGrid w:val="0"/>
                    <w:jc w:val="center"/>
                    <w:rPr>
                      <w:rFonts w:hAnsi="宋体"/>
                      <w:szCs w:val="21"/>
                    </w:rPr>
                  </w:pPr>
                  <w:r>
                    <w:rPr>
                      <w:rFonts w:hint="eastAsia" w:ascii="宋体" w:hAnsi="宋体" w:cs="宋体"/>
                      <w:szCs w:val="21"/>
                    </w:rPr>
                    <w:t>本项目实施雨污分流。运营期生产废水经沉淀后循环使用不外排；生活污水就那个化粪池后排入汉滨区五里镇污水处理厂。</w:t>
                  </w:r>
                </w:p>
              </w:tc>
              <w:tc>
                <w:tcPr>
                  <w:tcW w:w="886" w:type="dxa"/>
                  <w:vAlign w:val="center"/>
                </w:tcPr>
                <w:p>
                  <w:pPr>
                    <w:jc w:val="center"/>
                    <w:rPr>
                      <w:rFonts w:hAnsi="宋体"/>
                      <w:szCs w:val="21"/>
                    </w:rPr>
                  </w:pPr>
                  <w:r>
                    <w:rPr>
                      <w:rFonts w:hint="eastAsia"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88" w:type="dxa"/>
                  <w:vMerge w:val="continue"/>
                  <w:vAlign w:val="center"/>
                </w:tcPr>
                <w:p>
                  <w:pPr>
                    <w:adjustRightInd w:val="0"/>
                    <w:snapToGrid w:val="0"/>
                    <w:jc w:val="center"/>
                    <w:rPr>
                      <w:szCs w:val="21"/>
                    </w:rPr>
                  </w:pPr>
                </w:p>
              </w:tc>
              <w:tc>
                <w:tcPr>
                  <w:tcW w:w="3090" w:type="dxa"/>
                  <w:vAlign w:val="center"/>
                </w:tcPr>
                <w:p>
                  <w:pPr>
                    <w:adjustRightInd w:val="0"/>
                    <w:snapToGrid w:val="0"/>
                    <w:jc w:val="center"/>
                    <w:rPr>
                      <w:szCs w:val="21"/>
                    </w:rPr>
                  </w:pPr>
                  <w:r>
                    <w:rPr>
                      <w:szCs w:val="21"/>
                    </w:rPr>
                    <w:t>从源头上控制污染，提倡推行清洁生产，大力发展循环经济，工业区应使用清洁能源，逐步淘汰燃煤锅炉。</w:t>
                  </w:r>
                </w:p>
              </w:tc>
              <w:tc>
                <w:tcPr>
                  <w:tcW w:w="1759" w:type="dxa"/>
                  <w:vAlign w:val="center"/>
                </w:tcPr>
                <w:p>
                  <w:pPr>
                    <w:adjustRightInd w:val="0"/>
                    <w:snapToGrid w:val="0"/>
                    <w:jc w:val="center"/>
                    <w:rPr>
                      <w:rFonts w:hAnsi="宋体"/>
                      <w:szCs w:val="21"/>
                    </w:rPr>
                  </w:pPr>
                  <w:r>
                    <w:rPr>
                      <w:rFonts w:hint="eastAsia" w:hAnsi="宋体"/>
                      <w:szCs w:val="21"/>
                    </w:rPr>
                    <w:t>本项目不建设锅炉，生产过程中使用电能，属清洁能源。</w:t>
                  </w:r>
                </w:p>
              </w:tc>
              <w:tc>
                <w:tcPr>
                  <w:tcW w:w="886" w:type="dxa"/>
                  <w:vAlign w:val="center"/>
                </w:tcPr>
                <w:p>
                  <w:pPr>
                    <w:jc w:val="center"/>
                    <w:rPr>
                      <w:rFonts w:hAnsi="宋体"/>
                      <w:szCs w:val="21"/>
                    </w:rPr>
                  </w:pPr>
                  <w:r>
                    <w:rPr>
                      <w:rFonts w:hint="eastAsia" w:hAnsi="宋体"/>
                      <w:szCs w:val="21"/>
                    </w:rPr>
                    <w:t>符合</w:t>
                  </w:r>
                </w:p>
              </w:tc>
            </w:tr>
          </w:tbl>
          <w:p>
            <w:pPr>
              <w:pStyle w:val="2"/>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45" w:type="dxa"/>
            <w:vAlign w:val="center"/>
          </w:tcPr>
          <w:p>
            <w:pPr>
              <w:autoSpaceDE w:val="0"/>
              <w:autoSpaceDN w:val="0"/>
              <w:adjustRightInd w:val="0"/>
              <w:snapToGrid w:val="0"/>
              <w:jc w:val="center"/>
              <w:rPr>
                <w:kern w:val="0"/>
                <w:szCs w:val="21"/>
              </w:rPr>
            </w:pPr>
            <w:r>
              <w:rPr>
                <w:rFonts w:hAnsi="宋体"/>
                <w:kern w:val="0"/>
                <w:szCs w:val="21"/>
              </w:rPr>
              <w:t>其他符合性分析</w:t>
            </w:r>
          </w:p>
        </w:tc>
        <w:tc>
          <w:tcPr>
            <w:tcW w:w="7269" w:type="dxa"/>
            <w:gridSpan w:val="3"/>
            <w:vAlign w:val="center"/>
          </w:tcPr>
          <w:p>
            <w:pPr>
              <w:spacing w:line="360" w:lineRule="auto"/>
              <w:ind w:firstLine="422" w:firstLineChars="200"/>
              <w:rPr>
                <w:b/>
              </w:rPr>
            </w:pPr>
            <w:r>
              <w:rPr>
                <w:b/>
              </w:rPr>
              <w:t>1</w:t>
            </w:r>
            <w:r>
              <w:rPr>
                <w:rFonts w:hAnsi="宋体"/>
                <w:b/>
              </w:rPr>
              <w:t>、</w:t>
            </w:r>
            <w:r>
              <w:rPr>
                <w:b/>
                <w:szCs w:val="22"/>
              </w:rPr>
              <w:t>“</w:t>
            </w:r>
            <w:r>
              <w:rPr>
                <w:rFonts w:hAnsi="宋体"/>
                <w:b/>
                <w:szCs w:val="22"/>
              </w:rPr>
              <w:t>三线一单</w:t>
            </w:r>
            <w:r>
              <w:rPr>
                <w:b/>
                <w:szCs w:val="22"/>
              </w:rPr>
              <w:t>”</w:t>
            </w:r>
            <w:r>
              <w:rPr>
                <w:rFonts w:hAnsi="宋体"/>
                <w:b/>
                <w:szCs w:val="22"/>
              </w:rPr>
              <w:t>符合性分析</w:t>
            </w:r>
          </w:p>
          <w:p>
            <w:pPr>
              <w:jc w:val="center"/>
              <w:rPr>
                <w:b/>
                <w:bCs/>
                <w:szCs w:val="21"/>
              </w:rPr>
            </w:pPr>
            <w:r>
              <w:rPr>
                <w:b/>
                <w:bCs/>
                <w:szCs w:val="21"/>
              </w:rPr>
              <w:t>表1-2    本项目与“三线一单”符合性分析</w:t>
            </w:r>
          </w:p>
          <w:tbl>
            <w:tblPr>
              <w:tblStyle w:val="23"/>
              <w:tblW w:w="702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4638"/>
              <w:gridCol w:w="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69" w:type="dxa"/>
                  <w:vAlign w:val="center"/>
                </w:tcPr>
                <w:p>
                  <w:pPr>
                    <w:adjustRightInd w:val="0"/>
                    <w:snapToGrid w:val="0"/>
                    <w:jc w:val="center"/>
                    <w:rPr>
                      <w:szCs w:val="21"/>
                    </w:rPr>
                  </w:pPr>
                  <w:r>
                    <w:rPr>
                      <w:szCs w:val="21"/>
                    </w:rPr>
                    <w:t>“</w:t>
                  </w:r>
                  <w:r>
                    <w:rPr>
                      <w:rFonts w:hAnsi="宋体"/>
                      <w:szCs w:val="21"/>
                    </w:rPr>
                    <w:t>三线一单</w:t>
                  </w:r>
                  <w:r>
                    <w:rPr>
                      <w:szCs w:val="21"/>
                    </w:rPr>
                    <w:t>”</w:t>
                  </w:r>
                  <w:r>
                    <w:rPr>
                      <w:rFonts w:hAnsi="宋体"/>
                      <w:szCs w:val="21"/>
                    </w:rPr>
                    <w:t>具体内容</w:t>
                  </w:r>
                </w:p>
              </w:tc>
              <w:tc>
                <w:tcPr>
                  <w:tcW w:w="4638" w:type="dxa"/>
                  <w:vAlign w:val="center"/>
                </w:tcPr>
                <w:p>
                  <w:pPr>
                    <w:adjustRightInd w:val="0"/>
                    <w:snapToGrid w:val="0"/>
                    <w:jc w:val="center"/>
                    <w:rPr>
                      <w:szCs w:val="21"/>
                    </w:rPr>
                  </w:pPr>
                  <w:r>
                    <w:rPr>
                      <w:rFonts w:hAnsi="宋体"/>
                      <w:szCs w:val="21"/>
                    </w:rPr>
                    <w:t>符合性分析</w:t>
                  </w:r>
                </w:p>
              </w:tc>
              <w:tc>
                <w:tcPr>
                  <w:tcW w:w="816" w:type="dxa"/>
                  <w:vAlign w:val="center"/>
                </w:tcPr>
                <w:p>
                  <w:pPr>
                    <w:jc w:val="center"/>
                    <w:rPr>
                      <w:szCs w:val="21"/>
                    </w:rPr>
                  </w:pPr>
                  <w:r>
                    <w:rPr>
                      <w:rFonts w:hAnsi="宋体"/>
                      <w:szCs w:val="21"/>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69" w:type="dxa"/>
                  <w:vAlign w:val="center"/>
                </w:tcPr>
                <w:p>
                  <w:pPr>
                    <w:adjustRightInd w:val="0"/>
                    <w:snapToGrid w:val="0"/>
                    <w:jc w:val="center"/>
                    <w:rPr>
                      <w:szCs w:val="21"/>
                    </w:rPr>
                  </w:pPr>
                  <w:r>
                    <w:rPr>
                      <w:rFonts w:hAnsi="宋体"/>
                      <w:szCs w:val="21"/>
                    </w:rPr>
                    <w:t>生态保护红线</w:t>
                  </w:r>
                </w:p>
              </w:tc>
              <w:tc>
                <w:tcPr>
                  <w:tcW w:w="4638" w:type="dxa"/>
                  <w:vAlign w:val="center"/>
                </w:tcPr>
                <w:p>
                  <w:pPr>
                    <w:adjustRightInd w:val="0"/>
                    <w:snapToGrid w:val="0"/>
                    <w:spacing w:before="120" w:beforeLines="50" w:after="120" w:afterLines="50"/>
                    <w:jc w:val="center"/>
                    <w:rPr>
                      <w:rFonts w:hAnsi="宋体"/>
                      <w:szCs w:val="21"/>
                    </w:rPr>
                  </w:pPr>
                  <w:r>
                    <w:rPr>
                      <w:rFonts w:hint="eastAsia" w:hAnsi="宋体"/>
                      <w:szCs w:val="21"/>
                    </w:rPr>
                    <w:t>本项目为新建，位于安康市汉滨区五里镇工业园区，根据《陕西省人民政府关于加快实施“三线一单”生态环境分区管控的意见》（陕政发【2020】11号）、《安康市人民政府关于印发安康市“三线一单”生态环境分区管控方案的通知》（安政发【2</w:t>
                  </w:r>
                  <w:r>
                    <w:rPr>
                      <w:rFonts w:hAnsi="宋体"/>
                      <w:szCs w:val="21"/>
                    </w:rPr>
                    <w:t>021</w:t>
                  </w:r>
                  <w:r>
                    <w:rPr>
                      <w:rFonts w:hint="eastAsia" w:hAnsi="宋体"/>
                      <w:szCs w:val="21"/>
                    </w:rPr>
                    <w:t>】1</w:t>
                  </w:r>
                  <w:r>
                    <w:rPr>
                      <w:rFonts w:hAnsi="宋体"/>
                      <w:szCs w:val="21"/>
                    </w:rPr>
                    <w:t>8</w:t>
                  </w:r>
                  <w:r>
                    <w:rPr>
                      <w:rFonts w:hint="eastAsia" w:hAnsi="宋体"/>
                      <w:szCs w:val="21"/>
                    </w:rPr>
                    <w:t>号）文件要求，本项目位于汉滨区重点管控单元7，不涉及优先保护单元（</w:t>
                  </w:r>
                  <w:r>
                    <w:rPr>
                      <w:rFonts w:hint="eastAsia"/>
                      <w:kern w:val="0"/>
                      <w:szCs w:val="21"/>
                    </w:rPr>
                    <w:t>主要包括生态保护红线、自然保护地、集中式饮用水源保护区等生态功能重要区、生态环境敏感区保护红线、自然保护地、集中式饮用水源保护区等生态功能重要区、生态环境敏感区</w:t>
                  </w:r>
                  <w:r>
                    <w:rPr>
                      <w:rFonts w:hint="eastAsia" w:hAnsi="宋体"/>
                      <w:szCs w:val="21"/>
                    </w:rPr>
                    <w:t>）。</w:t>
                  </w:r>
                </w:p>
              </w:tc>
              <w:tc>
                <w:tcPr>
                  <w:tcW w:w="816" w:type="dxa"/>
                  <w:vAlign w:val="center"/>
                </w:tcPr>
                <w:p>
                  <w:pPr>
                    <w:adjustRightInd w:val="0"/>
                    <w:snapToGrid w:val="0"/>
                    <w:jc w:val="center"/>
                    <w:rPr>
                      <w:szCs w:val="21"/>
                    </w:rPr>
                  </w:pPr>
                  <w:r>
                    <w:rPr>
                      <w:rFonts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569" w:type="dxa"/>
                  <w:vAlign w:val="center"/>
                </w:tcPr>
                <w:p>
                  <w:pPr>
                    <w:adjustRightInd w:val="0"/>
                    <w:snapToGrid w:val="0"/>
                    <w:jc w:val="center"/>
                    <w:rPr>
                      <w:szCs w:val="21"/>
                    </w:rPr>
                  </w:pPr>
                  <w:r>
                    <w:rPr>
                      <w:rFonts w:hAnsi="宋体"/>
                      <w:szCs w:val="21"/>
                    </w:rPr>
                    <w:t>资源利用上线</w:t>
                  </w:r>
                </w:p>
              </w:tc>
              <w:tc>
                <w:tcPr>
                  <w:tcW w:w="4638" w:type="dxa"/>
                  <w:vAlign w:val="center"/>
                </w:tcPr>
                <w:p>
                  <w:pPr>
                    <w:adjustRightInd w:val="0"/>
                    <w:snapToGrid w:val="0"/>
                    <w:spacing w:before="120" w:beforeLines="50" w:after="120" w:afterLines="50"/>
                    <w:jc w:val="center"/>
                    <w:rPr>
                      <w:rFonts w:hAnsi="宋体"/>
                      <w:szCs w:val="21"/>
                    </w:rPr>
                  </w:pPr>
                  <w:r>
                    <w:rPr>
                      <w:rFonts w:hint="eastAsia" w:hAnsi="宋体"/>
                      <w:szCs w:val="21"/>
                    </w:rPr>
                    <w:t>本项目位于汉滨区五里镇工业园区，所用土地为工业用地，不涉及基本农田。项目运营过程中会消耗一定的电能、水资源。</w:t>
                  </w:r>
                  <w:r>
                    <w:rPr>
                      <w:szCs w:val="21"/>
                    </w:rPr>
                    <w:t>项目用水由当地供水管网供给，用电由当地电网引入；项目资源消耗量相对于区域资源利用总量较小，符合资源利用上线要求。</w:t>
                  </w:r>
                </w:p>
              </w:tc>
              <w:tc>
                <w:tcPr>
                  <w:tcW w:w="816" w:type="dxa"/>
                  <w:vAlign w:val="center"/>
                </w:tcPr>
                <w:p>
                  <w:pPr>
                    <w:widowControl/>
                    <w:jc w:val="center"/>
                    <w:rPr>
                      <w:szCs w:val="21"/>
                    </w:rPr>
                  </w:pPr>
                  <w:r>
                    <w:rPr>
                      <w:rFonts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69" w:type="dxa"/>
                  <w:vAlign w:val="center"/>
                </w:tcPr>
                <w:p>
                  <w:pPr>
                    <w:adjustRightInd w:val="0"/>
                    <w:snapToGrid w:val="0"/>
                    <w:jc w:val="center"/>
                    <w:rPr>
                      <w:szCs w:val="21"/>
                    </w:rPr>
                  </w:pPr>
                  <w:r>
                    <w:rPr>
                      <w:rFonts w:hAnsi="宋体"/>
                      <w:szCs w:val="21"/>
                    </w:rPr>
                    <w:t>环境质量底线</w:t>
                  </w:r>
                </w:p>
              </w:tc>
              <w:tc>
                <w:tcPr>
                  <w:tcW w:w="4638" w:type="dxa"/>
                  <w:vAlign w:val="center"/>
                </w:tcPr>
                <w:p>
                  <w:pPr>
                    <w:adjustRightInd w:val="0"/>
                    <w:snapToGrid w:val="0"/>
                    <w:spacing w:before="120" w:beforeLines="50" w:after="120" w:afterLines="50"/>
                    <w:jc w:val="center"/>
                    <w:rPr>
                      <w:rFonts w:hAnsi="宋体"/>
                      <w:szCs w:val="21"/>
                    </w:rPr>
                  </w:pPr>
                  <w:r>
                    <w:rPr>
                      <w:rFonts w:hAnsi="宋体"/>
                      <w:szCs w:val="21"/>
                    </w:rPr>
                    <w:t>由陕西省环境保护厅办公室发布的《环保快报》数据结果，</w:t>
                  </w:r>
                  <w:r>
                    <w:rPr>
                      <w:rFonts w:hint="eastAsia" w:hAnsi="宋体"/>
                      <w:szCs w:val="21"/>
                    </w:rPr>
                    <w:t>安康市汉滨区</w:t>
                  </w:r>
                  <w:r>
                    <w:rPr>
                      <w:rFonts w:hAnsi="宋体"/>
                      <w:szCs w:val="21"/>
                    </w:rPr>
                    <w:t>环境空气质量为达标区</w:t>
                  </w:r>
                  <w:r>
                    <w:rPr>
                      <w:rFonts w:hint="eastAsia" w:hAnsi="宋体"/>
                      <w:szCs w:val="21"/>
                    </w:rPr>
                    <w:t>，项目地环境空气中特征污染物及声环境质量均满足相关质量标准。</w:t>
                  </w:r>
                  <w:r>
                    <w:rPr>
                      <w:kern w:val="0"/>
                      <w:szCs w:val="21"/>
                    </w:rPr>
                    <w:t>本项目运营期各污染物采取相应的环保措施后能满足达标排放要求，项目建设不会改变区域环境质量，不触及环境质量底线</w:t>
                  </w:r>
                  <w:r>
                    <w:rPr>
                      <w:rFonts w:hint="eastAsia"/>
                      <w:kern w:val="0"/>
                      <w:szCs w:val="21"/>
                    </w:rPr>
                    <w:t>。</w:t>
                  </w:r>
                </w:p>
              </w:tc>
              <w:tc>
                <w:tcPr>
                  <w:tcW w:w="816" w:type="dxa"/>
                  <w:vAlign w:val="center"/>
                </w:tcPr>
                <w:p>
                  <w:pPr>
                    <w:adjustRightInd w:val="0"/>
                    <w:snapToGrid w:val="0"/>
                    <w:jc w:val="center"/>
                    <w:rPr>
                      <w:szCs w:val="21"/>
                    </w:rPr>
                  </w:pPr>
                  <w:r>
                    <w:rPr>
                      <w:rFonts w:hAnsi="宋体"/>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9" w:type="dxa"/>
                  <w:vAlign w:val="center"/>
                </w:tcPr>
                <w:p>
                  <w:pPr>
                    <w:adjustRightInd w:val="0"/>
                    <w:snapToGrid w:val="0"/>
                    <w:jc w:val="center"/>
                    <w:rPr>
                      <w:szCs w:val="21"/>
                    </w:rPr>
                  </w:pPr>
                  <w:r>
                    <w:rPr>
                      <w:rFonts w:hAnsi="宋体"/>
                      <w:szCs w:val="21"/>
                    </w:rPr>
                    <w:t>环境准入负面清单</w:t>
                  </w:r>
                </w:p>
              </w:tc>
              <w:tc>
                <w:tcPr>
                  <w:tcW w:w="4638" w:type="dxa"/>
                  <w:vAlign w:val="center"/>
                </w:tcPr>
                <w:p>
                  <w:pPr>
                    <w:adjustRightInd w:val="0"/>
                    <w:snapToGrid w:val="0"/>
                    <w:jc w:val="center"/>
                    <w:rPr>
                      <w:szCs w:val="21"/>
                    </w:rPr>
                  </w:pPr>
                  <w:r>
                    <w:rPr>
                      <w:rFonts w:hAnsi="宋体"/>
                      <w:szCs w:val="21"/>
                    </w:rPr>
                    <w:t>项目不属于《产业结构调整指导目录（</w:t>
                  </w:r>
                  <w:r>
                    <w:rPr>
                      <w:szCs w:val="21"/>
                    </w:rPr>
                    <w:t>2019</w:t>
                  </w:r>
                  <w:r>
                    <w:rPr>
                      <w:rFonts w:hAnsi="宋体"/>
                      <w:szCs w:val="21"/>
                    </w:rPr>
                    <w:t>年本）》中鼓励类、限制类、淘汰类项目；项目</w:t>
                  </w:r>
                  <w:r>
                    <w:rPr>
                      <w:rFonts w:hint="eastAsia" w:hAnsi="宋体"/>
                      <w:szCs w:val="21"/>
                    </w:rPr>
                    <w:t>不在《汉滨区国家重点生态功能区产业准入负面清单》（汉政办发【2</w:t>
                  </w:r>
                  <w:r>
                    <w:rPr>
                      <w:rFonts w:hAnsi="宋体"/>
                      <w:szCs w:val="21"/>
                    </w:rPr>
                    <w:t>019</w:t>
                  </w:r>
                  <w:r>
                    <w:rPr>
                      <w:rFonts w:hint="eastAsia" w:hAnsi="宋体"/>
                      <w:szCs w:val="21"/>
                    </w:rPr>
                    <w:t>】1</w:t>
                  </w:r>
                  <w:r>
                    <w:rPr>
                      <w:rFonts w:hAnsi="宋体"/>
                      <w:szCs w:val="21"/>
                    </w:rPr>
                    <w:t>42</w:t>
                  </w:r>
                  <w:r>
                    <w:rPr>
                      <w:rFonts w:hint="eastAsia" w:hAnsi="宋体"/>
                      <w:szCs w:val="21"/>
                    </w:rPr>
                    <w:t>号）之内，项目符合国家产业政策要求。</w:t>
                  </w:r>
                </w:p>
              </w:tc>
              <w:tc>
                <w:tcPr>
                  <w:tcW w:w="816" w:type="dxa"/>
                  <w:vAlign w:val="center"/>
                </w:tcPr>
                <w:p>
                  <w:pPr>
                    <w:adjustRightInd w:val="0"/>
                    <w:snapToGrid w:val="0"/>
                    <w:jc w:val="center"/>
                    <w:rPr>
                      <w:szCs w:val="21"/>
                    </w:rPr>
                  </w:pPr>
                  <w:r>
                    <w:rPr>
                      <w:rFonts w:hAnsi="宋体"/>
                      <w:szCs w:val="21"/>
                    </w:rPr>
                    <w:t>符合</w:t>
                  </w:r>
                </w:p>
              </w:tc>
            </w:tr>
          </w:tbl>
          <w:p>
            <w:pPr>
              <w:spacing w:line="360" w:lineRule="auto"/>
              <w:ind w:firstLine="420" w:firstLineChars="200"/>
              <w:rPr>
                <w:rFonts w:hAnsi="宋体"/>
              </w:rPr>
            </w:pPr>
            <w:r>
              <w:t>根据</w:t>
            </w:r>
            <w:r>
              <w:rPr>
                <w:rFonts w:hint="eastAsia" w:hAnsi="宋体"/>
              </w:rPr>
              <w:t xml:space="preserve"> “陕西省三线一单数据应用系统”给出的 “</w:t>
            </w:r>
            <w:r>
              <w:rPr>
                <w:rFonts w:hint="eastAsia"/>
                <w:szCs w:val="21"/>
              </w:rPr>
              <w:t>新型环保建材功能玻璃研发、生产加工项目</w:t>
            </w:r>
            <w:r>
              <w:rPr>
                <w:rFonts w:hint="eastAsia" w:hAnsi="宋体"/>
              </w:rPr>
              <w:t>生态环境管控单元对照分析报告”，本项目位于汉滨区重点管控单元，不涉及优先保护单元。</w:t>
            </w:r>
          </w:p>
          <w:p>
            <w:pPr>
              <w:autoSpaceDE w:val="0"/>
              <w:autoSpaceDN w:val="0"/>
              <w:adjustRightInd w:val="0"/>
              <w:snapToGrid w:val="0"/>
              <w:spacing w:line="360" w:lineRule="auto"/>
              <w:ind w:firstLine="420" w:firstLineChars="200"/>
              <w:rPr>
                <w:color w:val="0000FF"/>
                <w:szCs w:val="21"/>
              </w:rPr>
            </w:pPr>
            <w:r>
              <w:rPr>
                <w:rFonts w:hint="eastAsia" w:ascii="宋体" w:hAnsi="宋体" w:cs="宋体"/>
                <w:color w:val="0000FF"/>
                <w:szCs w:val="21"/>
              </w:rPr>
              <w:t>①</w:t>
            </w:r>
            <w:r>
              <w:rPr>
                <w:color w:val="0000FF"/>
                <w:szCs w:val="21"/>
              </w:rPr>
              <w:t>一图：根据</w:t>
            </w:r>
            <w:r>
              <w:rPr>
                <w:color w:val="0000FF"/>
                <w:kern w:val="0"/>
                <w:szCs w:val="21"/>
              </w:rPr>
              <w:t>《安康市“三线一单”生态环境分区管控实施方案》（安政发〔2021〕18号）</w:t>
            </w:r>
            <w:r>
              <w:rPr>
                <w:color w:val="0000FF"/>
                <w:szCs w:val="21"/>
              </w:rPr>
              <w:t>的要求，本项目所在区域属于重点管控单元区，项目选址与安康市环境管控单元分布示意图见附图7。</w:t>
            </w:r>
          </w:p>
          <w:p>
            <w:pPr>
              <w:spacing w:line="360" w:lineRule="auto"/>
              <w:ind w:firstLine="420" w:firstLineChars="200"/>
              <w:rPr>
                <w:rFonts w:hAnsi="宋体"/>
                <w:color w:val="0000FF"/>
              </w:rPr>
            </w:pPr>
            <w:r>
              <w:rPr>
                <w:rFonts w:hint="eastAsia" w:ascii="宋体" w:hAnsi="宋体" w:cs="宋体"/>
                <w:color w:val="0000FF"/>
              </w:rPr>
              <w:t>②</w:t>
            </w:r>
            <w:r>
              <w:rPr>
                <w:rFonts w:hint="eastAsia" w:hAnsi="宋体"/>
                <w:color w:val="0000FF"/>
              </w:rPr>
              <w:t>一表：项目与安康市生态环境分区管控准入清单符合性分析见表1</w:t>
            </w:r>
            <w:r>
              <w:rPr>
                <w:rFonts w:hAnsi="宋体"/>
                <w:color w:val="0000FF"/>
              </w:rPr>
              <w:t>-3</w:t>
            </w:r>
            <w:r>
              <w:rPr>
                <w:rFonts w:hint="eastAsia" w:hAnsi="宋体"/>
                <w:color w:val="0000FF"/>
              </w:rPr>
              <w:t>。</w:t>
            </w:r>
          </w:p>
          <w:p>
            <w:pPr>
              <w:jc w:val="center"/>
              <w:rPr>
                <w:b/>
                <w:bCs/>
                <w:szCs w:val="21"/>
              </w:rPr>
            </w:pPr>
            <w:r>
              <w:rPr>
                <w:rFonts w:hint="eastAsia"/>
                <w:b/>
                <w:bCs/>
                <w:szCs w:val="21"/>
              </w:rPr>
              <w:t>表1</w:t>
            </w:r>
            <w:r>
              <w:rPr>
                <w:b/>
                <w:bCs/>
                <w:szCs w:val="21"/>
              </w:rPr>
              <w:t xml:space="preserve">-3    </w:t>
            </w:r>
            <w:r>
              <w:rPr>
                <w:rFonts w:hint="eastAsia"/>
                <w:b/>
                <w:bCs/>
                <w:szCs w:val="21"/>
              </w:rPr>
              <w:t>项目与环境管控单元管控要求对照表</w:t>
            </w:r>
          </w:p>
          <w:tbl>
            <w:tblPr>
              <w:tblStyle w:val="23"/>
              <w:tblW w:w="70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1"/>
              <w:gridCol w:w="879"/>
              <w:gridCol w:w="764"/>
              <w:gridCol w:w="764"/>
              <w:gridCol w:w="2361"/>
              <w:gridCol w:w="1230"/>
              <w:gridCol w:w="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trPr>
              <w:tc>
                <w:tcPr>
                  <w:tcW w:w="561" w:type="dxa"/>
                  <w:vAlign w:val="center"/>
                </w:tcPr>
                <w:p>
                  <w:pPr>
                    <w:adjustRightInd w:val="0"/>
                    <w:snapToGrid w:val="0"/>
                    <w:jc w:val="center"/>
                    <w:rPr>
                      <w:szCs w:val="21"/>
                    </w:rPr>
                  </w:pPr>
                  <w:r>
                    <w:rPr>
                      <w:szCs w:val="21"/>
                    </w:rPr>
                    <w:t>市区县</w:t>
                  </w:r>
                </w:p>
              </w:tc>
              <w:tc>
                <w:tcPr>
                  <w:tcW w:w="879" w:type="dxa"/>
                  <w:vAlign w:val="center"/>
                </w:tcPr>
                <w:p>
                  <w:pPr>
                    <w:adjustRightInd w:val="0"/>
                    <w:snapToGrid w:val="0"/>
                    <w:jc w:val="center"/>
                    <w:rPr>
                      <w:szCs w:val="21"/>
                    </w:rPr>
                  </w:pPr>
                  <w:r>
                    <w:rPr>
                      <w:szCs w:val="21"/>
                    </w:rPr>
                    <w:t>环境管控单元名称</w:t>
                  </w:r>
                </w:p>
              </w:tc>
              <w:tc>
                <w:tcPr>
                  <w:tcW w:w="764" w:type="dxa"/>
                  <w:vAlign w:val="center"/>
                </w:tcPr>
                <w:p>
                  <w:pPr>
                    <w:adjustRightInd w:val="0"/>
                    <w:snapToGrid w:val="0"/>
                    <w:jc w:val="center"/>
                    <w:rPr>
                      <w:szCs w:val="21"/>
                    </w:rPr>
                  </w:pPr>
                  <w:r>
                    <w:rPr>
                      <w:szCs w:val="21"/>
                    </w:rPr>
                    <w:t>单元要素属性</w:t>
                  </w:r>
                </w:p>
              </w:tc>
              <w:tc>
                <w:tcPr>
                  <w:tcW w:w="764" w:type="dxa"/>
                  <w:vAlign w:val="center"/>
                </w:tcPr>
                <w:p>
                  <w:pPr>
                    <w:adjustRightInd w:val="0"/>
                    <w:snapToGrid w:val="0"/>
                    <w:jc w:val="center"/>
                    <w:rPr>
                      <w:szCs w:val="21"/>
                    </w:rPr>
                  </w:pPr>
                  <w:r>
                    <w:rPr>
                      <w:rFonts w:hint="eastAsia"/>
                      <w:szCs w:val="21"/>
                    </w:rPr>
                    <w:t>管控要求分类</w:t>
                  </w:r>
                </w:p>
              </w:tc>
              <w:tc>
                <w:tcPr>
                  <w:tcW w:w="2361" w:type="dxa"/>
                  <w:vAlign w:val="center"/>
                </w:tcPr>
                <w:p>
                  <w:pPr>
                    <w:adjustRightInd w:val="0"/>
                    <w:snapToGrid w:val="0"/>
                    <w:jc w:val="center"/>
                    <w:rPr>
                      <w:szCs w:val="21"/>
                    </w:rPr>
                  </w:pPr>
                  <w:r>
                    <w:rPr>
                      <w:szCs w:val="21"/>
                    </w:rPr>
                    <w:t>管控要求</w:t>
                  </w:r>
                </w:p>
              </w:tc>
              <w:tc>
                <w:tcPr>
                  <w:tcW w:w="1230" w:type="dxa"/>
                  <w:vAlign w:val="center"/>
                </w:tcPr>
                <w:p>
                  <w:pPr>
                    <w:adjustRightInd w:val="0"/>
                    <w:snapToGrid w:val="0"/>
                    <w:jc w:val="center"/>
                    <w:rPr>
                      <w:szCs w:val="21"/>
                    </w:rPr>
                  </w:pPr>
                  <w:r>
                    <w:rPr>
                      <w:szCs w:val="21"/>
                    </w:rPr>
                    <w:t>项目情况</w:t>
                  </w:r>
                </w:p>
              </w:tc>
              <w:tc>
                <w:tcPr>
                  <w:tcW w:w="464" w:type="dxa"/>
                  <w:vAlign w:val="center"/>
                </w:tcPr>
                <w:p>
                  <w:pPr>
                    <w:jc w:val="center"/>
                    <w:rPr>
                      <w:szCs w:val="21"/>
                    </w:rPr>
                  </w:pPr>
                  <w:r>
                    <w:rPr>
                      <w:szCs w:val="21"/>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trPr>
              <w:tc>
                <w:tcPr>
                  <w:tcW w:w="561" w:type="dxa"/>
                  <w:vMerge w:val="restart"/>
                  <w:vAlign w:val="center"/>
                </w:tcPr>
                <w:p>
                  <w:pPr>
                    <w:adjustRightInd w:val="0"/>
                    <w:snapToGrid w:val="0"/>
                    <w:jc w:val="center"/>
                    <w:rPr>
                      <w:szCs w:val="21"/>
                    </w:rPr>
                  </w:pPr>
                  <w:r>
                    <w:rPr>
                      <w:rFonts w:hint="eastAsia"/>
                      <w:szCs w:val="21"/>
                    </w:rPr>
                    <w:t>安康市汉滨区</w:t>
                  </w:r>
                </w:p>
              </w:tc>
              <w:tc>
                <w:tcPr>
                  <w:tcW w:w="879" w:type="dxa"/>
                  <w:vMerge w:val="restart"/>
                  <w:vAlign w:val="center"/>
                </w:tcPr>
                <w:p>
                  <w:pPr>
                    <w:adjustRightInd w:val="0"/>
                    <w:snapToGrid w:val="0"/>
                    <w:jc w:val="center"/>
                    <w:rPr>
                      <w:szCs w:val="21"/>
                    </w:rPr>
                  </w:pPr>
                  <w:r>
                    <w:rPr>
                      <w:rFonts w:hint="eastAsia"/>
                      <w:szCs w:val="21"/>
                    </w:rPr>
                    <w:t>汉滨区重点管控单元7</w:t>
                  </w:r>
                </w:p>
              </w:tc>
              <w:tc>
                <w:tcPr>
                  <w:tcW w:w="764" w:type="dxa"/>
                  <w:vMerge w:val="restart"/>
                  <w:vAlign w:val="center"/>
                </w:tcPr>
                <w:p>
                  <w:pPr>
                    <w:adjustRightInd w:val="0"/>
                    <w:snapToGrid w:val="0"/>
                    <w:jc w:val="center"/>
                    <w:rPr>
                      <w:szCs w:val="21"/>
                    </w:rPr>
                  </w:pPr>
                  <w:r>
                    <w:rPr>
                      <w:rFonts w:hint="eastAsia"/>
                      <w:szCs w:val="21"/>
                    </w:rPr>
                    <w:t>大气环境布局敏感重点管控区</w:t>
                  </w:r>
                </w:p>
              </w:tc>
              <w:tc>
                <w:tcPr>
                  <w:tcW w:w="764" w:type="dxa"/>
                  <w:vAlign w:val="center"/>
                </w:tcPr>
                <w:p>
                  <w:pPr>
                    <w:adjustRightInd w:val="0"/>
                    <w:snapToGrid w:val="0"/>
                    <w:jc w:val="center"/>
                    <w:rPr>
                      <w:szCs w:val="21"/>
                    </w:rPr>
                  </w:pPr>
                  <w:r>
                    <w:rPr>
                      <w:rFonts w:hint="eastAsia"/>
                      <w:szCs w:val="21"/>
                    </w:rPr>
                    <w:t>空间布局约束</w:t>
                  </w:r>
                </w:p>
              </w:tc>
              <w:tc>
                <w:tcPr>
                  <w:tcW w:w="2361" w:type="dxa"/>
                  <w:vAlign w:val="center"/>
                </w:tcPr>
                <w:p>
                  <w:pPr>
                    <w:adjustRightInd w:val="0"/>
                    <w:snapToGrid w:val="0"/>
                    <w:rPr>
                      <w:szCs w:val="21"/>
                    </w:rPr>
                  </w:pPr>
                  <w:r>
                    <w:rPr>
                      <w:rFonts w:hint="eastAsia"/>
                      <w:szCs w:val="21"/>
                    </w:rPr>
                    <w:t>1、严格控制涉气“两高”项目（民生等项目除外）。</w:t>
                  </w:r>
                </w:p>
              </w:tc>
              <w:tc>
                <w:tcPr>
                  <w:tcW w:w="1230" w:type="dxa"/>
                  <w:vAlign w:val="center"/>
                </w:tcPr>
                <w:p>
                  <w:pPr>
                    <w:adjustRightInd w:val="0"/>
                    <w:snapToGrid w:val="0"/>
                    <w:jc w:val="center"/>
                    <w:rPr>
                      <w:szCs w:val="21"/>
                    </w:rPr>
                  </w:pPr>
                  <w:r>
                    <w:rPr>
                      <w:rFonts w:hint="eastAsia"/>
                      <w:szCs w:val="21"/>
                    </w:rPr>
                    <w:t>本项目属于特种玻璃制造，不属于两高项目。</w:t>
                  </w:r>
                </w:p>
              </w:tc>
              <w:tc>
                <w:tcPr>
                  <w:tcW w:w="464"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trPr>
              <w:tc>
                <w:tcPr>
                  <w:tcW w:w="561" w:type="dxa"/>
                  <w:vMerge w:val="continue"/>
                  <w:vAlign w:val="center"/>
                </w:tcPr>
                <w:p>
                  <w:pPr>
                    <w:adjustRightInd w:val="0"/>
                    <w:snapToGrid w:val="0"/>
                    <w:jc w:val="center"/>
                    <w:rPr>
                      <w:szCs w:val="21"/>
                    </w:rPr>
                  </w:pPr>
                </w:p>
              </w:tc>
              <w:tc>
                <w:tcPr>
                  <w:tcW w:w="879" w:type="dxa"/>
                  <w:vMerge w:val="continue"/>
                  <w:vAlign w:val="center"/>
                </w:tcPr>
                <w:p>
                  <w:pPr>
                    <w:adjustRightInd w:val="0"/>
                    <w:snapToGrid w:val="0"/>
                    <w:jc w:val="center"/>
                    <w:rPr>
                      <w:szCs w:val="21"/>
                    </w:rPr>
                  </w:pPr>
                </w:p>
              </w:tc>
              <w:tc>
                <w:tcPr>
                  <w:tcW w:w="764" w:type="dxa"/>
                  <w:vMerge w:val="continue"/>
                  <w:vAlign w:val="center"/>
                </w:tcPr>
                <w:p>
                  <w:pPr>
                    <w:adjustRightInd w:val="0"/>
                    <w:snapToGrid w:val="0"/>
                    <w:jc w:val="center"/>
                    <w:rPr>
                      <w:szCs w:val="21"/>
                    </w:rPr>
                  </w:pPr>
                </w:p>
              </w:tc>
              <w:tc>
                <w:tcPr>
                  <w:tcW w:w="764" w:type="dxa"/>
                  <w:vAlign w:val="center"/>
                </w:tcPr>
                <w:p>
                  <w:pPr>
                    <w:adjustRightInd w:val="0"/>
                    <w:snapToGrid w:val="0"/>
                    <w:jc w:val="center"/>
                    <w:rPr>
                      <w:szCs w:val="21"/>
                    </w:rPr>
                  </w:pPr>
                  <w:r>
                    <w:rPr>
                      <w:rFonts w:hint="eastAsia"/>
                      <w:szCs w:val="21"/>
                    </w:rPr>
                    <w:t>污染物排放管控</w:t>
                  </w:r>
                </w:p>
              </w:tc>
              <w:tc>
                <w:tcPr>
                  <w:tcW w:w="2361" w:type="dxa"/>
                  <w:vAlign w:val="center"/>
                </w:tcPr>
                <w:p>
                  <w:pPr>
                    <w:adjustRightInd w:val="0"/>
                    <w:snapToGrid w:val="0"/>
                    <w:rPr>
                      <w:szCs w:val="21"/>
                    </w:rPr>
                  </w:pPr>
                  <w:r>
                    <w:rPr>
                      <w:rFonts w:hint="eastAsia"/>
                      <w:szCs w:val="21"/>
                    </w:rPr>
                    <w:t>1、区域内保留企业采取先进生产工艺、严格落实污染治理设施。</w:t>
                  </w:r>
                </w:p>
                <w:p>
                  <w:pPr>
                    <w:adjustRightInd w:val="0"/>
                    <w:snapToGrid w:val="0"/>
                  </w:pPr>
                  <w:r>
                    <w:rPr>
                      <w:szCs w:val="21"/>
                    </w:rPr>
                    <w:t>2</w:t>
                  </w:r>
                  <w:r>
                    <w:rPr>
                      <w:rFonts w:hint="eastAsia"/>
                      <w:szCs w:val="21"/>
                    </w:rPr>
                    <w:t>、淘汰老旧车辆，优先选择新能源汽车、替代能源汽车等清洁能源汽车。</w:t>
                  </w:r>
                </w:p>
              </w:tc>
              <w:tc>
                <w:tcPr>
                  <w:tcW w:w="1230" w:type="dxa"/>
                  <w:vAlign w:val="center"/>
                </w:tcPr>
                <w:p>
                  <w:pPr>
                    <w:adjustRightInd w:val="0"/>
                    <w:snapToGrid w:val="0"/>
                    <w:jc w:val="center"/>
                    <w:rPr>
                      <w:szCs w:val="21"/>
                    </w:rPr>
                  </w:pPr>
                  <w:r>
                    <w:rPr>
                      <w:rFonts w:hint="eastAsia"/>
                      <w:szCs w:val="21"/>
                    </w:rPr>
                    <w:t>1、本项目所用工艺、设备不属于淘汰生产工艺设备；项目有机废气经集气罩收集后经活性炭吸附处理后经1</w:t>
                  </w:r>
                  <w:r>
                    <w:rPr>
                      <w:szCs w:val="21"/>
                    </w:rPr>
                    <w:t>5m</w:t>
                  </w:r>
                  <w:r>
                    <w:rPr>
                      <w:rFonts w:hint="eastAsia"/>
                      <w:szCs w:val="21"/>
                    </w:rPr>
                    <w:t>排气筒达标排放；2、项目厂区内物料运输采用电动叉车。</w:t>
                  </w:r>
                </w:p>
              </w:tc>
              <w:tc>
                <w:tcPr>
                  <w:tcW w:w="464"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trPr>
              <w:tc>
                <w:tcPr>
                  <w:tcW w:w="561" w:type="dxa"/>
                  <w:vMerge w:val="continue"/>
                  <w:vAlign w:val="center"/>
                </w:tcPr>
                <w:p>
                  <w:pPr>
                    <w:adjustRightInd w:val="0"/>
                    <w:snapToGrid w:val="0"/>
                    <w:jc w:val="center"/>
                    <w:rPr>
                      <w:szCs w:val="21"/>
                    </w:rPr>
                  </w:pPr>
                </w:p>
              </w:tc>
              <w:tc>
                <w:tcPr>
                  <w:tcW w:w="879" w:type="dxa"/>
                  <w:vMerge w:val="continue"/>
                  <w:vAlign w:val="center"/>
                </w:tcPr>
                <w:p>
                  <w:pPr>
                    <w:adjustRightInd w:val="0"/>
                    <w:snapToGrid w:val="0"/>
                    <w:jc w:val="center"/>
                    <w:rPr>
                      <w:szCs w:val="21"/>
                    </w:rPr>
                  </w:pPr>
                </w:p>
              </w:tc>
              <w:tc>
                <w:tcPr>
                  <w:tcW w:w="764" w:type="dxa"/>
                  <w:vMerge w:val="restart"/>
                  <w:vAlign w:val="center"/>
                </w:tcPr>
                <w:p>
                  <w:pPr>
                    <w:adjustRightInd w:val="0"/>
                    <w:snapToGrid w:val="0"/>
                    <w:jc w:val="center"/>
                    <w:rPr>
                      <w:szCs w:val="21"/>
                    </w:rPr>
                  </w:pPr>
                  <w:r>
                    <w:rPr>
                      <w:rFonts w:hint="eastAsia"/>
                      <w:szCs w:val="21"/>
                    </w:rPr>
                    <w:t>水环境城镇生活污染重点管控区</w:t>
                  </w:r>
                </w:p>
              </w:tc>
              <w:tc>
                <w:tcPr>
                  <w:tcW w:w="764" w:type="dxa"/>
                  <w:vAlign w:val="center"/>
                </w:tcPr>
                <w:p>
                  <w:pPr>
                    <w:adjustRightInd w:val="0"/>
                    <w:snapToGrid w:val="0"/>
                    <w:jc w:val="center"/>
                    <w:rPr>
                      <w:szCs w:val="21"/>
                    </w:rPr>
                  </w:pPr>
                  <w:r>
                    <w:rPr>
                      <w:rFonts w:hint="eastAsia"/>
                      <w:szCs w:val="21"/>
                    </w:rPr>
                    <w:t>空间布局约束</w:t>
                  </w:r>
                </w:p>
              </w:tc>
              <w:tc>
                <w:tcPr>
                  <w:tcW w:w="2361" w:type="dxa"/>
                  <w:vAlign w:val="center"/>
                </w:tcPr>
                <w:p>
                  <w:pPr>
                    <w:adjustRightInd w:val="0"/>
                    <w:snapToGrid w:val="0"/>
                    <w:rPr>
                      <w:szCs w:val="21"/>
                    </w:rPr>
                  </w:pPr>
                  <w:r>
                    <w:rPr>
                      <w:rFonts w:hint="eastAsia"/>
                      <w:szCs w:val="21"/>
                    </w:rPr>
                    <w:t>1、掌握排污口信息。按照“查、测、溯、治”的工作步骤和要求，以城市建成区及重要水体为重点，摸清所有直接、间接排放的各类排污口数量、位置，并完成整治。</w:t>
                  </w:r>
                </w:p>
                <w:p>
                  <w:pPr>
                    <w:adjustRightInd w:val="0"/>
                    <w:snapToGrid w:val="0"/>
                    <w:rPr>
                      <w:szCs w:val="21"/>
                    </w:rPr>
                  </w:pPr>
                  <w:r>
                    <w:rPr>
                      <w:rFonts w:hint="eastAsia"/>
                      <w:szCs w:val="21"/>
                    </w:rPr>
                    <w:t>2、加强城镇污水处理设施建设与改造。加强污水处理厂运维水平，杜绝污水直接入河现象，确保城镇污水处理厂出水水质稳定达标。</w:t>
                  </w:r>
                </w:p>
                <w:p>
                  <w:pPr>
                    <w:adjustRightInd w:val="0"/>
                    <w:snapToGrid w:val="0"/>
                  </w:pPr>
                  <w:r>
                    <w:rPr>
                      <w:rFonts w:hint="eastAsia"/>
                      <w:szCs w:val="21"/>
                    </w:rPr>
                    <w:t>3、完善城市和乡镇配套管网建设。加快城镇污水管网、雨污分流设施建设，杜绝城镇生活污水直排外环境。</w:t>
                  </w:r>
                </w:p>
              </w:tc>
              <w:tc>
                <w:tcPr>
                  <w:tcW w:w="1230" w:type="dxa"/>
                  <w:vAlign w:val="center"/>
                </w:tcPr>
                <w:p>
                  <w:pPr>
                    <w:adjustRightInd w:val="0"/>
                    <w:snapToGrid w:val="0"/>
                    <w:jc w:val="center"/>
                    <w:rPr>
                      <w:szCs w:val="21"/>
                    </w:rPr>
                  </w:pPr>
                  <w:r>
                    <w:rPr>
                      <w:rFonts w:hint="eastAsia"/>
                      <w:szCs w:val="21"/>
                    </w:rPr>
                    <w:t>本项目无生产废水排放。生活污水经化粪池处理后排入园区污水管网，进入五里镇污水处理厂。</w:t>
                  </w:r>
                </w:p>
              </w:tc>
              <w:tc>
                <w:tcPr>
                  <w:tcW w:w="464"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3" w:hRule="atLeast"/>
              </w:trPr>
              <w:tc>
                <w:tcPr>
                  <w:tcW w:w="561" w:type="dxa"/>
                  <w:vMerge w:val="continue"/>
                  <w:vAlign w:val="center"/>
                </w:tcPr>
                <w:p>
                  <w:pPr>
                    <w:adjustRightInd w:val="0"/>
                    <w:snapToGrid w:val="0"/>
                    <w:jc w:val="center"/>
                    <w:rPr>
                      <w:szCs w:val="21"/>
                    </w:rPr>
                  </w:pPr>
                </w:p>
              </w:tc>
              <w:tc>
                <w:tcPr>
                  <w:tcW w:w="879" w:type="dxa"/>
                  <w:vMerge w:val="continue"/>
                  <w:vAlign w:val="center"/>
                </w:tcPr>
                <w:p>
                  <w:pPr>
                    <w:adjustRightInd w:val="0"/>
                    <w:snapToGrid w:val="0"/>
                    <w:jc w:val="center"/>
                    <w:rPr>
                      <w:szCs w:val="21"/>
                    </w:rPr>
                  </w:pPr>
                </w:p>
              </w:tc>
              <w:tc>
                <w:tcPr>
                  <w:tcW w:w="764" w:type="dxa"/>
                  <w:vMerge w:val="continue"/>
                  <w:vAlign w:val="center"/>
                </w:tcPr>
                <w:p>
                  <w:pPr>
                    <w:adjustRightInd w:val="0"/>
                    <w:snapToGrid w:val="0"/>
                    <w:jc w:val="center"/>
                    <w:rPr>
                      <w:szCs w:val="21"/>
                    </w:rPr>
                  </w:pPr>
                </w:p>
              </w:tc>
              <w:tc>
                <w:tcPr>
                  <w:tcW w:w="764" w:type="dxa"/>
                  <w:vAlign w:val="center"/>
                </w:tcPr>
                <w:p>
                  <w:pPr>
                    <w:adjustRightInd w:val="0"/>
                    <w:snapToGrid w:val="0"/>
                    <w:jc w:val="center"/>
                    <w:rPr>
                      <w:szCs w:val="21"/>
                    </w:rPr>
                  </w:pPr>
                  <w:r>
                    <w:rPr>
                      <w:rFonts w:hint="eastAsia"/>
                      <w:szCs w:val="21"/>
                    </w:rPr>
                    <w:t>资源开发要求</w:t>
                  </w:r>
                </w:p>
              </w:tc>
              <w:tc>
                <w:tcPr>
                  <w:tcW w:w="2361" w:type="dxa"/>
                  <w:vAlign w:val="center"/>
                </w:tcPr>
                <w:p>
                  <w:pPr>
                    <w:adjustRightInd w:val="0"/>
                    <w:snapToGrid w:val="0"/>
                    <w:rPr>
                      <w:szCs w:val="21"/>
                    </w:rPr>
                  </w:pPr>
                  <w:r>
                    <w:rPr>
                      <w:rFonts w:hint="eastAsia"/>
                      <w:szCs w:val="21"/>
                    </w:rPr>
                    <w:t>1、加强城镇节水。提高中水回用率，积极推行低影响开发建设模式，建设滞、渗、蓄、用排相结合的雨水收集利用设施。</w:t>
                  </w:r>
                </w:p>
              </w:tc>
              <w:tc>
                <w:tcPr>
                  <w:tcW w:w="1230" w:type="dxa"/>
                  <w:vAlign w:val="center"/>
                </w:tcPr>
                <w:p>
                  <w:pPr>
                    <w:adjustRightInd w:val="0"/>
                    <w:snapToGrid w:val="0"/>
                    <w:jc w:val="center"/>
                    <w:rPr>
                      <w:szCs w:val="21"/>
                    </w:rPr>
                  </w:pPr>
                  <w:r>
                    <w:rPr>
                      <w:rFonts w:hint="eastAsia"/>
                      <w:szCs w:val="21"/>
                    </w:rPr>
                    <w:t>本项目实施雨污分流；生产废水循环使用不外排。</w:t>
                  </w:r>
                </w:p>
              </w:tc>
              <w:tc>
                <w:tcPr>
                  <w:tcW w:w="464" w:type="dxa"/>
                  <w:vAlign w:val="center"/>
                </w:tcPr>
                <w:p>
                  <w:pPr>
                    <w:jc w:val="center"/>
                    <w:rPr>
                      <w:szCs w:val="21"/>
                    </w:rPr>
                  </w:pPr>
                  <w:r>
                    <w:rPr>
                      <w:rFonts w:hint="eastAsia"/>
                      <w:szCs w:val="21"/>
                    </w:rPr>
                    <w:t>符合</w:t>
                  </w:r>
                </w:p>
              </w:tc>
            </w:tr>
          </w:tbl>
          <w:p>
            <w:pPr>
              <w:spacing w:line="360" w:lineRule="auto"/>
              <w:ind w:firstLine="420" w:firstLineChars="200"/>
              <w:rPr>
                <w:color w:val="0000FF"/>
                <w:szCs w:val="21"/>
              </w:rPr>
            </w:pPr>
            <w:r>
              <w:rPr>
                <w:rFonts w:ascii="宋体" w:hAnsi="宋体" w:cs="宋体"/>
                <w:color w:val="0000FF"/>
                <w:szCs w:val="21"/>
              </w:rPr>
              <w:t>③</w:t>
            </w:r>
            <w:r>
              <w:rPr>
                <w:color w:val="0000FF"/>
                <w:szCs w:val="21"/>
              </w:rPr>
              <w:t>一说明：本项目位于</w:t>
            </w:r>
            <w:r>
              <w:rPr>
                <w:color w:val="0000FF"/>
                <w:kern w:val="0"/>
                <w:szCs w:val="21"/>
              </w:rPr>
              <w:t>安康市“三线一单”生态环境分区中重点管控单元，对照表1-3中的管控要求，项目建设符合安康市生态环境准入清单中重点管控单元的环境分区管控要求。</w:t>
            </w:r>
          </w:p>
          <w:p>
            <w:pPr>
              <w:spacing w:line="360" w:lineRule="auto"/>
              <w:ind w:firstLine="422" w:firstLineChars="200"/>
              <w:rPr>
                <w:b/>
              </w:rPr>
            </w:pPr>
            <w:r>
              <w:rPr>
                <w:b/>
              </w:rPr>
              <w:t>2</w:t>
            </w:r>
            <w:r>
              <w:rPr>
                <w:rFonts w:hAnsi="宋体"/>
                <w:b/>
              </w:rPr>
              <w:t>、产业政策符合性</w:t>
            </w:r>
            <w:r>
              <w:rPr>
                <w:rFonts w:hint="eastAsia" w:hAnsi="宋体"/>
                <w:b/>
              </w:rPr>
              <w:t>分析</w:t>
            </w:r>
          </w:p>
          <w:p>
            <w:pPr>
              <w:spacing w:line="360" w:lineRule="auto"/>
              <w:ind w:firstLine="420" w:firstLineChars="200"/>
            </w:pPr>
            <w:r>
              <w:rPr>
                <w:rFonts w:hAnsi="宋体"/>
              </w:rPr>
              <w:t>根据国家发改委</w:t>
            </w:r>
            <w:r>
              <w:t>29</w:t>
            </w:r>
            <w:r>
              <w:rPr>
                <w:rFonts w:hAnsi="宋体"/>
              </w:rPr>
              <w:t>号令《产业结构调整指导目录》（</w:t>
            </w:r>
            <w:r>
              <w:t>2019</w:t>
            </w:r>
            <w:r>
              <w:rPr>
                <w:rFonts w:hAnsi="宋体"/>
              </w:rPr>
              <w:t>年本），本项目既不属于鼓励类项目，也不属于限制类、淘汰类项目，</w:t>
            </w:r>
            <w:r>
              <w:rPr>
                <w:rFonts w:hint="eastAsia" w:hAnsi="宋体"/>
              </w:rPr>
              <w:t>可视为允许；对照</w:t>
            </w:r>
            <w:r>
              <w:t xml:space="preserve"> </w:t>
            </w:r>
            <w:r>
              <w:rPr>
                <w:rFonts w:hint="eastAsia" w:hAnsi="宋体"/>
                <w:szCs w:val="21"/>
              </w:rPr>
              <w:t>《汉滨区国家重点生态功能区产业准入负面清单》（汉政办发【2</w:t>
            </w:r>
            <w:r>
              <w:rPr>
                <w:rFonts w:hAnsi="宋体"/>
                <w:szCs w:val="21"/>
              </w:rPr>
              <w:t>019</w:t>
            </w:r>
            <w:r>
              <w:rPr>
                <w:rFonts w:hint="eastAsia" w:hAnsi="宋体"/>
                <w:szCs w:val="21"/>
              </w:rPr>
              <w:t>】1</w:t>
            </w:r>
            <w:r>
              <w:rPr>
                <w:rFonts w:hAnsi="宋体"/>
                <w:szCs w:val="21"/>
              </w:rPr>
              <w:t>42</w:t>
            </w:r>
            <w:r>
              <w:rPr>
                <w:rFonts w:hint="eastAsia" w:hAnsi="宋体"/>
                <w:szCs w:val="21"/>
              </w:rPr>
              <w:t>号），项目不在限制及禁止类清单之内；此外，本项目已取得陕西省企业投资项目备案确认书（代码2</w:t>
            </w:r>
            <w:r>
              <w:rPr>
                <w:rFonts w:hAnsi="宋体"/>
                <w:szCs w:val="21"/>
              </w:rPr>
              <w:t>205-610902-04-01-422061</w:t>
            </w:r>
            <w:r>
              <w:rPr>
                <w:rFonts w:hint="eastAsia" w:hAnsi="宋体"/>
                <w:szCs w:val="21"/>
              </w:rPr>
              <w:t>），本项目建设符合国家及地方相关产业政策。</w:t>
            </w:r>
          </w:p>
          <w:p>
            <w:pPr>
              <w:spacing w:line="360" w:lineRule="auto"/>
              <w:ind w:firstLine="422" w:firstLineChars="200"/>
              <w:rPr>
                <w:b/>
              </w:rPr>
            </w:pPr>
            <w:r>
              <w:rPr>
                <w:b/>
              </w:rPr>
              <w:t>3</w:t>
            </w:r>
            <w:r>
              <w:rPr>
                <w:rFonts w:hAnsi="宋体"/>
                <w:b/>
              </w:rPr>
              <w:t>、相关</w:t>
            </w:r>
            <w:r>
              <w:rPr>
                <w:rFonts w:hint="eastAsia" w:hAnsi="宋体"/>
                <w:b/>
              </w:rPr>
              <w:t>法律法规、</w:t>
            </w:r>
            <w:r>
              <w:rPr>
                <w:rFonts w:hAnsi="宋体"/>
                <w:b/>
              </w:rPr>
              <w:t>政策</w:t>
            </w:r>
            <w:r>
              <w:rPr>
                <w:rFonts w:hint="eastAsia" w:hAnsi="宋体"/>
                <w:b/>
              </w:rPr>
              <w:t>、规划</w:t>
            </w:r>
            <w:r>
              <w:rPr>
                <w:rFonts w:hAnsi="宋体"/>
                <w:b/>
              </w:rPr>
              <w:t>符合性分析</w:t>
            </w:r>
          </w:p>
          <w:p>
            <w:pPr>
              <w:spacing w:line="360" w:lineRule="auto"/>
              <w:ind w:firstLine="420" w:firstLineChars="200"/>
              <w:rPr>
                <w:color w:val="0000FF"/>
              </w:rPr>
            </w:pPr>
            <w:r>
              <w:rPr>
                <w:rFonts w:hint="eastAsia" w:hAnsi="宋体"/>
                <w:color w:val="0000FF"/>
              </w:rPr>
              <w:t>本项目</w:t>
            </w:r>
            <w:r>
              <w:rPr>
                <w:rFonts w:hAnsi="宋体"/>
                <w:color w:val="0000FF"/>
              </w:rPr>
              <w:t>与相关</w:t>
            </w:r>
            <w:r>
              <w:rPr>
                <w:rFonts w:hint="eastAsia" w:hAnsi="宋体"/>
                <w:color w:val="0000FF"/>
              </w:rPr>
              <w:t>法律法规、政策、规划</w:t>
            </w:r>
            <w:r>
              <w:rPr>
                <w:rFonts w:hAnsi="宋体"/>
                <w:color w:val="0000FF"/>
              </w:rPr>
              <w:t>相符性分析见表</w:t>
            </w:r>
            <w:r>
              <w:rPr>
                <w:color w:val="0000FF"/>
              </w:rPr>
              <w:t>1-4</w:t>
            </w:r>
            <w:r>
              <w:rPr>
                <w:rFonts w:hAnsi="宋体"/>
                <w:color w:val="0000FF"/>
              </w:rPr>
              <w:t>。</w:t>
            </w:r>
          </w:p>
          <w:p>
            <w:pPr>
              <w:autoSpaceDE w:val="0"/>
              <w:autoSpaceDN w:val="0"/>
              <w:adjustRightInd w:val="0"/>
              <w:ind w:firstLine="422" w:firstLineChars="200"/>
              <w:jc w:val="center"/>
              <w:rPr>
                <w:b/>
                <w:bCs/>
                <w:szCs w:val="21"/>
              </w:rPr>
            </w:pPr>
            <w:r>
              <w:rPr>
                <w:b/>
                <w:bCs/>
                <w:szCs w:val="21"/>
              </w:rPr>
              <w:t xml:space="preserve">表1-3 </w:t>
            </w:r>
            <w:r>
              <w:rPr>
                <w:rFonts w:hint="eastAsia"/>
                <w:b/>
                <w:bCs/>
                <w:szCs w:val="21"/>
              </w:rPr>
              <w:t xml:space="preserve">    </w:t>
            </w:r>
            <w:r>
              <w:rPr>
                <w:b/>
                <w:bCs/>
                <w:szCs w:val="21"/>
              </w:rPr>
              <w:t>与项目相关</w:t>
            </w:r>
            <w:r>
              <w:rPr>
                <w:rFonts w:hint="eastAsia"/>
                <w:b/>
                <w:bCs/>
                <w:szCs w:val="21"/>
              </w:rPr>
              <w:t>法律法规、</w:t>
            </w:r>
            <w:r>
              <w:rPr>
                <w:b/>
                <w:bCs/>
                <w:szCs w:val="21"/>
              </w:rPr>
              <w:t>政策</w:t>
            </w:r>
            <w:r>
              <w:rPr>
                <w:rFonts w:hint="eastAsia"/>
                <w:b/>
                <w:bCs/>
                <w:szCs w:val="21"/>
              </w:rPr>
              <w:t>、规划</w:t>
            </w:r>
            <w:r>
              <w:rPr>
                <w:b/>
                <w:bCs/>
                <w:szCs w:val="21"/>
              </w:rPr>
              <w:t>相符性分析</w:t>
            </w:r>
          </w:p>
          <w:tbl>
            <w:tblPr>
              <w:tblStyle w:val="23"/>
              <w:tblW w:w="70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3"/>
              <w:gridCol w:w="3321"/>
              <w:gridCol w:w="1733"/>
              <w:gridCol w:w="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Align w:val="center"/>
                </w:tcPr>
                <w:p>
                  <w:pPr>
                    <w:pStyle w:val="48"/>
                    <w:widowControl w:val="0"/>
                    <w:autoSpaceDE w:val="0"/>
                    <w:autoSpaceDN w:val="0"/>
                    <w:spacing w:before="0" w:after="0"/>
                    <w:jc w:val="center"/>
                    <w:rPr>
                      <w:rFonts w:ascii="Times New Roman" w:hAnsi="Times New Roman"/>
                      <w:sz w:val="21"/>
                      <w:szCs w:val="21"/>
                    </w:rPr>
                  </w:pPr>
                  <w:r>
                    <w:rPr>
                      <w:rFonts w:ascii="Times New Roman" w:hAnsi="Times New Roman"/>
                      <w:sz w:val="21"/>
                      <w:szCs w:val="21"/>
                    </w:rPr>
                    <w:t>文件</w:t>
                  </w:r>
                </w:p>
              </w:tc>
              <w:tc>
                <w:tcPr>
                  <w:tcW w:w="3321" w:type="dxa"/>
                  <w:vAlign w:val="center"/>
                </w:tcPr>
                <w:p>
                  <w:pPr>
                    <w:jc w:val="center"/>
                    <w:rPr>
                      <w:szCs w:val="21"/>
                    </w:rPr>
                  </w:pPr>
                  <w:r>
                    <w:rPr>
                      <w:szCs w:val="21"/>
                    </w:rPr>
                    <w:t>政策要求</w:t>
                  </w:r>
                </w:p>
              </w:tc>
              <w:tc>
                <w:tcPr>
                  <w:tcW w:w="1733" w:type="dxa"/>
                  <w:vAlign w:val="center"/>
                </w:tcPr>
                <w:p>
                  <w:pPr>
                    <w:jc w:val="center"/>
                    <w:rPr>
                      <w:szCs w:val="21"/>
                    </w:rPr>
                  </w:pPr>
                  <w:r>
                    <w:rPr>
                      <w:szCs w:val="21"/>
                    </w:rPr>
                    <w:t>本项目情况</w:t>
                  </w:r>
                </w:p>
              </w:tc>
              <w:tc>
                <w:tcPr>
                  <w:tcW w:w="526" w:type="dxa"/>
                  <w:vAlign w:val="center"/>
                </w:tcPr>
                <w:p>
                  <w:pPr>
                    <w:jc w:val="center"/>
                    <w:rPr>
                      <w:szCs w:val="21"/>
                    </w:rPr>
                  </w:pPr>
                  <w:r>
                    <w:rPr>
                      <w:szCs w:val="21"/>
                    </w:rPr>
                    <w:t>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Align w:val="center"/>
                </w:tcPr>
                <w:p>
                  <w:pPr>
                    <w:pStyle w:val="48"/>
                    <w:widowControl w:val="0"/>
                    <w:autoSpaceDE w:val="0"/>
                    <w:autoSpaceDN w:val="0"/>
                    <w:spacing w:before="0" w:after="0"/>
                    <w:jc w:val="center"/>
                    <w:rPr>
                      <w:rFonts w:ascii="Times New Roman" w:hAnsi="Times New Roman"/>
                      <w:sz w:val="21"/>
                      <w:szCs w:val="21"/>
                    </w:rPr>
                  </w:pPr>
                  <w:r>
                    <w:rPr>
                      <w:rFonts w:ascii="Times New Roman" w:hAnsi="Times New Roman"/>
                      <w:sz w:val="21"/>
                      <w:szCs w:val="21"/>
                    </w:rPr>
                    <w:t>《陕西省十四五环境保护规划》2021年9月28日</w:t>
                  </w:r>
                </w:p>
              </w:tc>
              <w:tc>
                <w:tcPr>
                  <w:tcW w:w="3321" w:type="dxa"/>
                  <w:vAlign w:val="center"/>
                </w:tcPr>
                <w:p>
                  <w:pPr>
                    <w:rPr>
                      <w:szCs w:val="21"/>
                    </w:rPr>
                  </w:pPr>
                  <w:r>
                    <w:rPr>
                      <w:rFonts w:hint="eastAsia"/>
                      <w:szCs w:val="21"/>
                    </w:rPr>
                    <w:t>推进重点行业挥发性有机物综合整治。建立石化、化工、工业涂装、包装印刷、家具、电子制造、工程机械制造等重点行源头、过程和末端全过程控制体系，实施挥发性有机物总量制。加大汽修行业餐饮油烟污染治理。在工业涂装和包装印 刷等行业全面推进源头潜代，严格落实国家和地方产品挥发性有机物含量限值质量标准。将全面使用符合国家要求的低挥发性有机物含量原辅材料的企业纳入正面清单和政府绿色采购清单。全面落实《挥发性有机物无组织排放控制标准》GB37822-2019要求。</w:t>
                  </w:r>
                </w:p>
              </w:tc>
              <w:tc>
                <w:tcPr>
                  <w:tcW w:w="1733" w:type="dxa"/>
                  <w:vAlign w:val="center"/>
                </w:tcPr>
                <w:p>
                  <w:pPr>
                    <w:rPr>
                      <w:szCs w:val="21"/>
                    </w:rPr>
                  </w:pPr>
                  <w:r>
                    <w:rPr>
                      <w:rFonts w:hint="eastAsia"/>
                      <w:szCs w:val="21"/>
                    </w:rPr>
                    <w:t>本项目涂胶、打胶工序产生的有机废气经采用“活性炭吸附”处理工艺，处理达标后经1根1</w:t>
                  </w:r>
                  <w:r>
                    <w:rPr>
                      <w:szCs w:val="21"/>
                    </w:rPr>
                    <w:t>5m</w:t>
                  </w:r>
                  <w:r>
                    <w:rPr>
                      <w:rFonts w:hint="eastAsia"/>
                      <w:szCs w:val="21"/>
                    </w:rPr>
                    <w:t>排气筒达标排放；</w:t>
                  </w:r>
                  <w:r>
                    <w:rPr>
                      <w:rFonts w:ascii="宋体" w:hAnsi="宋体"/>
                      <w:szCs w:val="21"/>
                    </w:rPr>
                    <w:t>本次评价要求企业建立健全</w:t>
                  </w:r>
                  <w:r>
                    <w:rPr>
                      <w:szCs w:val="21"/>
                    </w:rPr>
                    <w:t>VOCs</w:t>
                  </w:r>
                  <w:r>
                    <w:rPr>
                      <w:rFonts w:ascii="宋体" w:hAnsi="宋体"/>
                      <w:szCs w:val="21"/>
                    </w:rPr>
                    <w:t>治理设施的运行维护规程和台帐，并加强对各类设备的检修维护。</w:t>
                  </w:r>
                </w:p>
              </w:tc>
              <w:tc>
                <w:tcPr>
                  <w:tcW w:w="526" w:type="dxa"/>
                  <w:vAlign w:val="center"/>
                </w:tcPr>
                <w:p>
                  <w:pPr>
                    <w:jc w:val="center"/>
                    <w:rPr>
                      <w:szCs w:val="21"/>
                    </w:rPr>
                  </w:pPr>
                  <w:r>
                    <w:rPr>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Merge w:val="restart"/>
                  <w:vAlign w:val="center"/>
                </w:tcPr>
                <w:p>
                  <w:pPr>
                    <w:pStyle w:val="48"/>
                    <w:widowControl w:val="0"/>
                    <w:autoSpaceDE w:val="0"/>
                    <w:autoSpaceDN w:val="0"/>
                    <w:spacing w:before="0" w:after="0"/>
                    <w:jc w:val="center"/>
                    <w:rPr>
                      <w:rFonts w:ascii="Times New Roman" w:hAnsi="Times New Roman"/>
                      <w:sz w:val="21"/>
                      <w:szCs w:val="21"/>
                    </w:rPr>
                  </w:pPr>
                  <w:r>
                    <w:rPr>
                      <w:rFonts w:ascii="Times New Roman" w:hAnsi="Times New Roman"/>
                      <w:sz w:val="21"/>
                      <w:szCs w:val="21"/>
                    </w:rPr>
                    <w:t>《陕西省蓝天保卫战2022年工作方案》</w:t>
                  </w:r>
                </w:p>
              </w:tc>
              <w:tc>
                <w:tcPr>
                  <w:tcW w:w="3321" w:type="dxa"/>
                  <w:vAlign w:val="center"/>
                </w:tcPr>
                <w:p>
                  <w:pPr>
                    <w:rPr>
                      <w:szCs w:val="21"/>
                    </w:rPr>
                  </w:pPr>
                  <w:r>
                    <w:rPr>
                      <w:szCs w:val="21"/>
                    </w:rPr>
                    <w:t>优化产业结构布局。严格执行《产业结构调整指导目录》。坚决遏制“两高”项目盲目发展，严格落实国家产 业规划、产业政策、“三线一单”、规划环评，以及产 能置换、煤炭消费减量替代、区域污染物削减等要求，对不符合规定的项目坚决停批停建。</w:t>
                  </w:r>
                </w:p>
              </w:tc>
              <w:tc>
                <w:tcPr>
                  <w:tcW w:w="1733" w:type="dxa"/>
                  <w:vAlign w:val="center"/>
                </w:tcPr>
                <w:p>
                  <w:pPr>
                    <w:rPr>
                      <w:szCs w:val="21"/>
                    </w:rPr>
                  </w:pPr>
                  <w:r>
                    <w:rPr>
                      <w:rFonts w:hint="eastAsia"/>
                      <w:szCs w:val="21"/>
                    </w:rPr>
                    <w:t>本项目属特种玻璃制造，不属于两高行业。项目符合安康市汉滨区五里工业集中区总体规划及规划环评相关要求；符合“三线一单”生态环境分区管控要求；符合《产业结构指导目录》相关要求。</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Merge w:val="continue"/>
                  <w:vAlign w:val="center"/>
                </w:tcPr>
                <w:p>
                  <w:pPr>
                    <w:pStyle w:val="48"/>
                    <w:widowControl w:val="0"/>
                    <w:autoSpaceDE w:val="0"/>
                    <w:autoSpaceDN w:val="0"/>
                    <w:spacing w:before="0" w:after="0"/>
                    <w:jc w:val="center"/>
                    <w:rPr>
                      <w:rFonts w:ascii="Times New Roman" w:hAnsi="Times New Roman"/>
                      <w:sz w:val="21"/>
                      <w:szCs w:val="21"/>
                    </w:rPr>
                  </w:pPr>
                </w:p>
              </w:tc>
              <w:tc>
                <w:tcPr>
                  <w:tcW w:w="3321" w:type="dxa"/>
                  <w:vAlign w:val="center"/>
                </w:tcPr>
                <w:p>
                  <w:pPr>
                    <w:rPr>
                      <w:szCs w:val="21"/>
                    </w:rPr>
                  </w:pPr>
                  <w:r>
                    <w:rPr>
                      <w:rFonts w:hint="eastAsia"/>
                      <w:szCs w:val="21"/>
                    </w:rPr>
                    <w:t>强化</w:t>
                  </w:r>
                  <w:r>
                    <w:rPr>
                      <w:szCs w:val="21"/>
                    </w:rPr>
                    <w:t>挥发性有机物无组织排放整治。全面排查含挥发性有机物物料储存、转移和输送、设备与管线组件、敞开液面以及工艺过程等环节无组织排放情况，对达不到相关标准要求的开展整治</w:t>
                  </w:r>
                  <w:r>
                    <w:rPr>
                      <w:rFonts w:hint="eastAsia"/>
                      <w:szCs w:val="21"/>
                    </w:rPr>
                    <w:t>。</w:t>
                  </w:r>
                </w:p>
              </w:tc>
              <w:tc>
                <w:tcPr>
                  <w:tcW w:w="1733" w:type="dxa"/>
                  <w:vAlign w:val="center"/>
                </w:tcPr>
                <w:p>
                  <w:pPr>
                    <w:rPr>
                      <w:szCs w:val="21"/>
                    </w:rPr>
                  </w:pPr>
                  <w:r>
                    <w:rPr>
                      <w:rFonts w:hint="eastAsia"/>
                      <w:szCs w:val="21"/>
                    </w:rPr>
                    <w:t>本项目所使用胶黏剂均为密封桶装，仅使用时才开封。</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Merge w:val="continue"/>
                  <w:vAlign w:val="center"/>
                </w:tcPr>
                <w:p>
                  <w:pPr>
                    <w:pStyle w:val="48"/>
                    <w:widowControl w:val="0"/>
                    <w:autoSpaceDE w:val="0"/>
                    <w:autoSpaceDN w:val="0"/>
                    <w:spacing w:before="0" w:after="0"/>
                    <w:jc w:val="center"/>
                    <w:rPr>
                      <w:rFonts w:ascii="Times New Roman" w:hAnsi="Times New Roman"/>
                      <w:sz w:val="21"/>
                      <w:szCs w:val="21"/>
                    </w:rPr>
                  </w:pPr>
                </w:p>
              </w:tc>
              <w:tc>
                <w:tcPr>
                  <w:tcW w:w="3321" w:type="dxa"/>
                  <w:vAlign w:val="center"/>
                </w:tcPr>
                <w:p>
                  <w:pPr>
                    <w:rPr>
                      <w:szCs w:val="21"/>
                    </w:rPr>
                  </w:pPr>
                  <w:r>
                    <w:rPr>
                      <w:rFonts w:hint="eastAsia"/>
                      <w:szCs w:val="21"/>
                    </w:rPr>
                    <w:t>开展</w:t>
                  </w:r>
                  <w:r>
                    <w:rPr>
                      <w:szCs w:val="21"/>
                    </w:rPr>
                    <w:t>简易低效挥发性有机物治理设施清理整顿。各市（区）对照排查整治清单，全面梳理挥发性有机物治理设施台账，分析治理技术、处理能力与挥发性有机物废气排放特征、组分等匹配性，对采用单一低温等离子、光氧化、光催化以及非水溶性挥发性有机物废气采用单一喷淋吸收等治理技术且无法稳定达标的，加快推进升级改造，严把工程 质量，确保稳定</w:t>
                  </w:r>
                  <w:r>
                    <w:rPr>
                      <w:rFonts w:hint="eastAsia"/>
                      <w:szCs w:val="21"/>
                    </w:rPr>
                    <w:t>达标</w:t>
                  </w:r>
                  <w:r>
                    <w:rPr>
                      <w:szCs w:val="21"/>
                    </w:rPr>
                    <w:t>排放。</w:t>
                  </w:r>
                </w:p>
              </w:tc>
              <w:tc>
                <w:tcPr>
                  <w:tcW w:w="1733" w:type="dxa"/>
                  <w:vAlign w:val="center"/>
                </w:tcPr>
                <w:p>
                  <w:pPr>
                    <w:rPr>
                      <w:szCs w:val="21"/>
                    </w:rPr>
                  </w:pPr>
                  <w:r>
                    <w:rPr>
                      <w:rFonts w:hint="eastAsia"/>
                      <w:szCs w:val="21"/>
                    </w:rPr>
                    <w:t>本项目有机废气采用“活性炭吸附”工艺，处理达标后经1根1</w:t>
                  </w:r>
                  <w:r>
                    <w:rPr>
                      <w:szCs w:val="21"/>
                    </w:rPr>
                    <w:t>5m</w:t>
                  </w:r>
                  <w:r>
                    <w:rPr>
                      <w:rFonts w:hint="eastAsia"/>
                      <w:szCs w:val="21"/>
                    </w:rPr>
                    <w:t>排气筒高空排放。</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Align w:val="center"/>
                </w:tcPr>
                <w:p>
                  <w:pPr>
                    <w:pStyle w:val="48"/>
                    <w:widowControl w:val="0"/>
                    <w:autoSpaceDE w:val="0"/>
                    <w:autoSpaceDN w:val="0"/>
                    <w:spacing w:before="0" w:after="0"/>
                    <w:jc w:val="center"/>
                    <w:rPr>
                      <w:rFonts w:ascii="Times New Roman" w:hAnsi="Times New Roman"/>
                      <w:sz w:val="21"/>
                      <w:szCs w:val="21"/>
                    </w:rPr>
                  </w:pPr>
                  <w:r>
                    <w:rPr>
                      <w:rFonts w:ascii="Times New Roman" w:hAnsi="Times New Roman"/>
                      <w:sz w:val="21"/>
                      <w:szCs w:val="21"/>
                    </w:rPr>
                    <w:t>《陕西省碧水保卫战2022年工作方案》</w:t>
                  </w:r>
                </w:p>
              </w:tc>
              <w:tc>
                <w:tcPr>
                  <w:tcW w:w="3321" w:type="dxa"/>
                  <w:vAlign w:val="center"/>
                </w:tcPr>
                <w:p>
                  <w:pPr>
                    <w:rPr>
                      <w:szCs w:val="21"/>
                    </w:rPr>
                  </w:pPr>
                  <w:r>
                    <w:rPr>
                      <w:rFonts w:hint="eastAsia"/>
                      <w:szCs w:val="21"/>
                    </w:rPr>
                    <w:t>加强</w:t>
                  </w:r>
                  <w:r>
                    <w:rPr>
                      <w:szCs w:val="21"/>
                    </w:rPr>
                    <w:t>工业园区</w:t>
                  </w:r>
                  <w:r>
                    <w:rPr>
                      <w:rFonts w:hint="eastAsia"/>
                      <w:szCs w:val="21"/>
                    </w:rPr>
                    <w:t>污水</w:t>
                  </w:r>
                  <w:r>
                    <w:rPr>
                      <w:szCs w:val="21"/>
                    </w:rPr>
                    <w:t>集中处理设施建设，</w:t>
                  </w:r>
                  <w:r>
                    <w:rPr>
                      <w:rFonts w:hint="eastAsia"/>
                      <w:szCs w:val="21"/>
                    </w:rPr>
                    <w:t>严控</w:t>
                  </w:r>
                  <w:r>
                    <w:rPr>
                      <w:szCs w:val="21"/>
                    </w:rPr>
                    <w:t>工业废水未经处理</w:t>
                  </w:r>
                  <w:r>
                    <w:rPr>
                      <w:rFonts w:hint="eastAsia"/>
                      <w:szCs w:val="21"/>
                    </w:rPr>
                    <w:t>或未</w:t>
                  </w:r>
                  <w:r>
                    <w:rPr>
                      <w:szCs w:val="21"/>
                    </w:rPr>
                    <w:t>有效处理直接排</w:t>
                  </w:r>
                  <w:r>
                    <w:rPr>
                      <w:rFonts w:hint="eastAsia"/>
                      <w:szCs w:val="21"/>
                    </w:rPr>
                    <w:t>入</w:t>
                  </w:r>
                  <w:r>
                    <w:rPr>
                      <w:szCs w:val="21"/>
                    </w:rPr>
                    <w:t>城镇污水处理</w:t>
                  </w:r>
                  <w:r>
                    <w:rPr>
                      <w:rFonts w:hint="eastAsia"/>
                      <w:szCs w:val="21"/>
                    </w:rPr>
                    <w:t>系统</w:t>
                  </w:r>
                  <w:r>
                    <w:rPr>
                      <w:szCs w:val="21"/>
                    </w:rPr>
                    <w:t>。</w:t>
                  </w:r>
                  <w:r>
                    <w:rPr>
                      <w:rFonts w:hint="eastAsia"/>
                      <w:szCs w:val="21"/>
                    </w:rPr>
                    <w:t>严格</w:t>
                  </w:r>
                  <w:r>
                    <w:rPr>
                      <w:szCs w:val="21"/>
                    </w:rPr>
                    <w:t>落实排污许可制度，</w:t>
                  </w:r>
                  <w:r>
                    <w:rPr>
                      <w:rFonts w:hint="eastAsia"/>
                      <w:szCs w:val="21"/>
                    </w:rPr>
                    <w:t>确保</w:t>
                  </w:r>
                  <w:r>
                    <w:rPr>
                      <w:szCs w:val="21"/>
                    </w:rPr>
                    <w:t>企业持证排污、按证排污。</w:t>
                  </w:r>
                  <w:r>
                    <w:rPr>
                      <w:rFonts w:hint="eastAsia"/>
                      <w:szCs w:val="21"/>
                    </w:rPr>
                    <w:t>在</w:t>
                  </w:r>
                  <w:r>
                    <w:rPr>
                      <w:szCs w:val="21"/>
                    </w:rPr>
                    <w:t>黄河流域逐步开展煤炭、火电</w:t>
                  </w:r>
                  <w:r>
                    <w:rPr>
                      <w:rFonts w:hint="eastAsia"/>
                      <w:szCs w:val="21"/>
                    </w:rPr>
                    <w:t>、</w:t>
                  </w:r>
                  <w:r>
                    <w:rPr>
                      <w:szCs w:val="21"/>
                    </w:rPr>
                    <w:t>钢铁、焦化、化工、</w:t>
                  </w:r>
                  <w:r>
                    <w:rPr>
                      <w:rFonts w:hint="eastAsia"/>
                      <w:szCs w:val="21"/>
                    </w:rPr>
                    <w:t>有色</w:t>
                  </w:r>
                  <w:r>
                    <w:rPr>
                      <w:szCs w:val="21"/>
                    </w:rPr>
                    <w:t>等行业强制性清洁生产。</w:t>
                  </w:r>
                </w:p>
              </w:tc>
              <w:tc>
                <w:tcPr>
                  <w:tcW w:w="1733" w:type="dxa"/>
                  <w:vAlign w:val="center"/>
                </w:tcPr>
                <w:p>
                  <w:pPr>
                    <w:rPr>
                      <w:szCs w:val="21"/>
                    </w:rPr>
                  </w:pPr>
                  <w:r>
                    <w:rPr>
                      <w:rFonts w:hint="eastAsia"/>
                      <w:szCs w:val="21"/>
                    </w:rPr>
                    <w:t>本项目生产废水经沉淀后循环使用，不外排；员工生活污水经化粪池后排入园区污水管网，进入汉滨区五里镇污水处理厂。</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Merge w:val="restart"/>
                  <w:vAlign w:val="center"/>
                </w:tcPr>
                <w:p>
                  <w:pPr>
                    <w:pStyle w:val="48"/>
                    <w:widowControl w:val="0"/>
                    <w:autoSpaceDE w:val="0"/>
                    <w:autoSpaceDN w:val="0"/>
                    <w:spacing w:before="0" w:after="0"/>
                    <w:jc w:val="center"/>
                    <w:rPr>
                      <w:rFonts w:ascii="Times New Roman" w:hAnsi="Times New Roman"/>
                      <w:sz w:val="21"/>
                      <w:szCs w:val="21"/>
                    </w:rPr>
                  </w:pPr>
                  <w:r>
                    <w:rPr>
                      <w:rFonts w:hint="eastAsia" w:ascii="Times New Roman" w:hAnsi="Times New Roman"/>
                      <w:sz w:val="21"/>
                      <w:szCs w:val="21"/>
                    </w:rPr>
                    <w:t>《陕西省大气污染治理专项行动方案（2</w:t>
                  </w:r>
                  <w:r>
                    <w:rPr>
                      <w:rFonts w:ascii="Times New Roman" w:hAnsi="Times New Roman"/>
                      <w:sz w:val="21"/>
                      <w:szCs w:val="21"/>
                    </w:rPr>
                    <w:t>023-2027</w:t>
                  </w:r>
                  <w:r>
                    <w:rPr>
                      <w:rFonts w:hint="eastAsia" w:ascii="Times New Roman" w:hAnsi="Times New Roman"/>
                      <w:sz w:val="21"/>
                      <w:szCs w:val="21"/>
                    </w:rPr>
                    <w:t>年）》</w:t>
                  </w:r>
                </w:p>
              </w:tc>
              <w:tc>
                <w:tcPr>
                  <w:tcW w:w="3321" w:type="dxa"/>
                  <w:vAlign w:val="center"/>
                </w:tcPr>
                <w:p>
                  <w:pPr>
                    <w:rPr>
                      <w:szCs w:val="21"/>
                    </w:rPr>
                  </w:pPr>
                  <w:r>
                    <w:rPr>
                      <w:rFonts w:hint="eastAsia"/>
                      <w:szCs w:val="21"/>
                    </w:rPr>
                    <w:t>能源消费结构调整。到2</w:t>
                  </w:r>
                  <w:r>
                    <w:rPr>
                      <w:szCs w:val="21"/>
                    </w:rPr>
                    <w:t>025</w:t>
                  </w:r>
                  <w:r>
                    <w:rPr>
                      <w:rFonts w:hint="eastAsia"/>
                      <w:szCs w:val="21"/>
                    </w:rPr>
                    <w:t>年，电能在终端能源消费中的比重提高到2</w:t>
                  </w:r>
                  <w:r>
                    <w:rPr>
                      <w:szCs w:val="21"/>
                    </w:rPr>
                    <w:t>7%</w:t>
                  </w:r>
                  <w:r>
                    <w:rPr>
                      <w:rFonts w:hint="eastAsia"/>
                      <w:szCs w:val="21"/>
                    </w:rPr>
                    <w:t>以上。积极发展非石化能源。</w:t>
                  </w:r>
                </w:p>
              </w:tc>
              <w:tc>
                <w:tcPr>
                  <w:tcW w:w="1733" w:type="dxa"/>
                  <w:vAlign w:val="center"/>
                </w:tcPr>
                <w:p>
                  <w:pPr>
                    <w:rPr>
                      <w:szCs w:val="21"/>
                    </w:rPr>
                  </w:pPr>
                  <w:r>
                    <w:rPr>
                      <w:rFonts w:hint="eastAsia"/>
                      <w:szCs w:val="21"/>
                    </w:rPr>
                    <w:t>本项目所用能源为电，属清洁能源。</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Merge w:val="continue"/>
                  <w:vAlign w:val="center"/>
                </w:tcPr>
                <w:p>
                  <w:pPr>
                    <w:pStyle w:val="48"/>
                    <w:widowControl w:val="0"/>
                    <w:autoSpaceDE w:val="0"/>
                    <w:autoSpaceDN w:val="0"/>
                    <w:spacing w:before="0" w:after="0"/>
                    <w:jc w:val="center"/>
                    <w:rPr>
                      <w:rFonts w:ascii="Times New Roman" w:hAnsi="Times New Roman"/>
                      <w:sz w:val="21"/>
                      <w:szCs w:val="21"/>
                    </w:rPr>
                  </w:pPr>
                </w:p>
              </w:tc>
              <w:tc>
                <w:tcPr>
                  <w:tcW w:w="3321" w:type="dxa"/>
                  <w:vAlign w:val="center"/>
                </w:tcPr>
                <w:p>
                  <w:pPr>
                    <w:rPr>
                      <w:szCs w:val="21"/>
                    </w:rPr>
                  </w:pPr>
                  <w:r>
                    <w:rPr>
                      <w:rFonts w:hint="eastAsia"/>
                      <w:szCs w:val="21"/>
                    </w:rPr>
                    <w:t>工业企业深度治理行动。严把燃煤锅炉准入关口，各市（区）建成区禁止新建燃煤锅炉。</w:t>
                  </w:r>
                </w:p>
              </w:tc>
              <w:tc>
                <w:tcPr>
                  <w:tcW w:w="1733" w:type="dxa"/>
                  <w:vAlign w:val="center"/>
                </w:tcPr>
                <w:p>
                  <w:pPr>
                    <w:rPr>
                      <w:szCs w:val="21"/>
                    </w:rPr>
                  </w:pPr>
                  <w:r>
                    <w:rPr>
                      <w:rFonts w:hint="eastAsia"/>
                      <w:szCs w:val="21"/>
                    </w:rPr>
                    <w:t>本项目无燃煤锅炉建设。</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Merge w:val="continue"/>
                  <w:vAlign w:val="center"/>
                </w:tcPr>
                <w:p>
                  <w:pPr>
                    <w:pStyle w:val="48"/>
                    <w:widowControl w:val="0"/>
                    <w:autoSpaceDE w:val="0"/>
                    <w:autoSpaceDN w:val="0"/>
                    <w:spacing w:before="0" w:after="0"/>
                    <w:jc w:val="center"/>
                    <w:rPr>
                      <w:rFonts w:ascii="Times New Roman" w:hAnsi="Times New Roman"/>
                      <w:sz w:val="21"/>
                      <w:szCs w:val="21"/>
                    </w:rPr>
                  </w:pPr>
                </w:p>
              </w:tc>
              <w:tc>
                <w:tcPr>
                  <w:tcW w:w="3321" w:type="dxa"/>
                  <w:vAlign w:val="center"/>
                </w:tcPr>
                <w:p>
                  <w:pPr>
                    <w:rPr>
                      <w:szCs w:val="21"/>
                    </w:rPr>
                  </w:pPr>
                  <w:r>
                    <w:rPr>
                      <w:rFonts w:hint="eastAsia"/>
                      <w:szCs w:val="21"/>
                    </w:rPr>
                    <w:t>新建</w:t>
                  </w:r>
                  <w:r>
                    <w:rPr>
                      <w:szCs w:val="21"/>
                    </w:rPr>
                    <w:t>挥发性有机物治理设施</w:t>
                  </w:r>
                  <w:r>
                    <w:rPr>
                      <w:rFonts w:hint="eastAsia"/>
                      <w:szCs w:val="21"/>
                    </w:rPr>
                    <w:t>不再</w:t>
                  </w:r>
                  <w:r>
                    <w:rPr>
                      <w:szCs w:val="21"/>
                    </w:rPr>
                    <w:t>采用单一低温等离子、</w:t>
                  </w:r>
                  <w:r>
                    <w:rPr>
                      <w:rFonts w:hint="eastAsia"/>
                      <w:szCs w:val="21"/>
                    </w:rPr>
                    <w:t>光氧化</w:t>
                  </w:r>
                  <w:r>
                    <w:rPr>
                      <w:szCs w:val="21"/>
                    </w:rPr>
                    <w:t>、光催化等治理技术，</w:t>
                  </w:r>
                  <w:r>
                    <w:rPr>
                      <w:rFonts w:hint="eastAsia"/>
                      <w:szCs w:val="21"/>
                    </w:rPr>
                    <w:t>非水溶性</w:t>
                  </w:r>
                  <w:r>
                    <w:rPr>
                      <w:szCs w:val="21"/>
                    </w:rPr>
                    <w:t>挥发性有机物废气</w:t>
                  </w:r>
                  <w:r>
                    <w:rPr>
                      <w:rFonts w:hint="eastAsia"/>
                      <w:szCs w:val="21"/>
                    </w:rPr>
                    <w:t>不再</w:t>
                  </w:r>
                  <w:r>
                    <w:rPr>
                      <w:szCs w:val="21"/>
                    </w:rPr>
                    <w:t>采用单一喷淋</w:t>
                  </w:r>
                  <w:r>
                    <w:rPr>
                      <w:rFonts w:hint="eastAsia"/>
                      <w:szCs w:val="21"/>
                    </w:rPr>
                    <w:t>吸收方式</w:t>
                  </w:r>
                  <w:r>
                    <w:rPr>
                      <w:szCs w:val="21"/>
                    </w:rPr>
                    <w:t>处理。</w:t>
                  </w:r>
                </w:p>
              </w:tc>
              <w:tc>
                <w:tcPr>
                  <w:tcW w:w="1733" w:type="dxa"/>
                  <w:vAlign w:val="center"/>
                </w:tcPr>
                <w:p>
                  <w:pPr>
                    <w:rPr>
                      <w:szCs w:val="21"/>
                    </w:rPr>
                  </w:pPr>
                  <w:r>
                    <w:rPr>
                      <w:rFonts w:hint="eastAsia"/>
                      <w:szCs w:val="21"/>
                    </w:rPr>
                    <w:t>本项目有机废气采用“活性炭吸附”处理工艺。</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Align w:val="center"/>
                </w:tcPr>
                <w:p>
                  <w:pPr>
                    <w:pStyle w:val="48"/>
                    <w:widowControl w:val="0"/>
                    <w:autoSpaceDE w:val="0"/>
                    <w:autoSpaceDN w:val="0"/>
                    <w:spacing w:before="0" w:after="0"/>
                    <w:jc w:val="center"/>
                    <w:rPr>
                      <w:rFonts w:ascii="Times New Roman" w:hAnsi="Times New Roman"/>
                      <w:sz w:val="21"/>
                      <w:szCs w:val="21"/>
                    </w:rPr>
                  </w:pPr>
                  <w:r>
                    <w:rPr>
                      <w:rFonts w:ascii="Times New Roman" w:hAnsi="Times New Roman"/>
                      <w:sz w:val="21"/>
                      <w:szCs w:val="21"/>
                    </w:rPr>
                    <w:t>《挥发性有机物（VOCs）污染防治技术政策》</w:t>
                  </w:r>
                </w:p>
              </w:tc>
              <w:tc>
                <w:tcPr>
                  <w:tcW w:w="3321" w:type="dxa"/>
                  <w:vAlign w:val="center"/>
                </w:tcPr>
                <w:p>
                  <w:pPr>
                    <w:rPr>
                      <w:szCs w:val="21"/>
                    </w:rPr>
                  </w:pPr>
                  <w:r>
                    <w:rPr>
                      <w:rFonts w:hint="eastAsia"/>
                      <w:szCs w:val="21"/>
                    </w:rPr>
                    <w:t>含VOC</w:t>
                  </w:r>
                  <w:r>
                    <w:rPr>
                      <w:szCs w:val="21"/>
                    </w:rPr>
                    <w:t>s</w:t>
                  </w:r>
                  <w:r>
                    <w:rPr>
                      <w:rFonts w:hint="eastAsia"/>
                      <w:szCs w:val="21"/>
                    </w:rPr>
                    <w:t>产品</w:t>
                  </w:r>
                  <w:r>
                    <w:rPr>
                      <w:szCs w:val="21"/>
                    </w:rPr>
                    <w:t>的使用过程中，</w:t>
                  </w:r>
                  <w:r>
                    <w:rPr>
                      <w:rFonts w:hint="eastAsia"/>
                      <w:szCs w:val="21"/>
                    </w:rPr>
                    <w:t>应采取</w:t>
                  </w:r>
                  <w:r>
                    <w:rPr>
                      <w:szCs w:val="21"/>
                    </w:rPr>
                    <w:t>废气收集措施，</w:t>
                  </w:r>
                  <w:r>
                    <w:rPr>
                      <w:rFonts w:hint="eastAsia"/>
                      <w:szCs w:val="21"/>
                    </w:rPr>
                    <w:t>提高</w:t>
                  </w:r>
                  <w:r>
                    <w:rPr>
                      <w:szCs w:val="21"/>
                    </w:rPr>
                    <w:t>废气收集效率，减少</w:t>
                  </w:r>
                  <w:r>
                    <w:rPr>
                      <w:rFonts w:hint="eastAsia"/>
                      <w:szCs w:val="21"/>
                    </w:rPr>
                    <w:t>废气</w:t>
                  </w:r>
                  <w:r>
                    <w:rPr>
                      <w:szCs w:val="21"/>
                    </w:rPr>
                    <w:t>的无组织排放与逸散，</w:t>
                  </w:r>
                  <w:r>
                    <w:rPr>
                      <w:rFonts w:hint="eastAsia"/>
                      <w:szCs w:val="21"/>
                    </w:rPr>
                    <w:t>并</w:t>
                  </w:r>
                  <w:r>
                    <w:rPr>
                      <w:szCs w:val="21"/>
                    </w:rPr>
                    <w:t>对收集后的废气进行</w:t>
                  </w:r>
                  <w:r>
                    <w:rPr>
                      <w:rFonts w:hint="eastAsia"/>
                      <w:szCs w:val="21"/>
                    </w:rPr>
                    <w:t>回收</w:t>
                  </w:r>
                  <w:r>
                    <w:rPr>
                      <w:szCs w:val="21"/>
                    </w:rPr>
                    <w:t>或处理后达标排放。</w:t>
                  </w:r>
                </w:p>
              </w:tc>
              <w:tc>
                <w:tcPr>
                  <w:tcW w:w="1733" w:type="dxa"/>
                  <w:vAlign w:val="center"/>
                </w:tcPr>
                <w:p>
                  <w:pPr>
                    <w:rPr>
                      <w:szCs w:val="21"/>
                    </w:rPr>
                  </w:pPr>
                  <w:r>
                    <w:rPr>
                      <w:rFonts w:hint="eastAsia"/>
                      <w:szCs w:val="21"/>
                    </w:rPr>
                    <w:t>本项目所用胶黏剂均采取密封桶装；涂胶、打胶工序产生的有机废气采取“活性炭吸附”工艺处理达标后经1根1</w:t>
                  </w:r>
                  <w:r>
                    <w:rPr>
                      <w:szCs w:val="21"/>
                    </w:rPr>
                    <w:t>5m</w:t>
                  </w:r>
                  <w:r>
                    <w:rPr>
                      <w:rFonts w:hint="eastAsia"/>
                      <w:szCs w:val="21"/>
                    </w:rPr>
                    <w:t>排气筒高空排放。</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Align w:val="center"/>
                </w:tcPr>
                <w:p>
                  <w:pPr>
                    <w:pStyle w:val="48"/>
                    <w:widowControl w:val="0"/>
                    <w:autoSpaceDE w:val="0"/>
                    <w:autoSpaceDN w:val="0"/>
                    <w:spacing w:before="0" w:after="0"/>
                    <w:jc w:val="center"/>
                    <w:rPr>
                      <w:rFonts w:ascii="Times New Roman" w:hAnsi="Times New Roman"/>
                      <w:sz w:val="21"/>
                      <w:szCs w:val="21"/>
                    </w:rPr>
                  </w:pPr>
                  <w:r>
                    <w:rPr>
                      <w:rFonts w:ascii="Times New Roman" w:hAnsi="Times New Roman"/>
                      <w:sz w:val="21"/>
                      <w:szCs w:val="21"/>
                    </w:rPr>
                    <w:t>《挥发性有机物无组织排放控制标准》</w:t>
                  </w:r>
                </w:p>
              </w:tc>
              <w:tc>
                <w:tcPr>
                  <w:tcW w:w="3321" w:type="dxa"/>
                  <w:vAlign w:val="center"/>
                </w:tcPr>
                <w:p>
                  <w:pPr>
                    <w:rPr>
                      <w:szCs w:val="21"/>
                    </w:rPr>
                  </w:pPr>
                  <w:r>
                    <w:rPr>
                      <w:szCs w:val="21"/>
                    </w:rPr>
                    <w:t>VOCs废气收集处理系统应与生产工艺设备同步运行。</w:t>
                  </w:r>
                </w:p>
                <w:p>
                  <w:pPr>
                    <w:rPr>
                      <w:szCs w:val="21"/>
                    </w:rPr>
                  </w:pPr>
                  <w:r>
                    <w:rPr>
                      <w:szCs w:val="21"/>
                    </w:rPr>
                    <w:t>收集的废气中NMHC初始排放速率≥3kg/h时，应配置VOCs处理设施，处理效率不应低于80%；对于重点地区，收集的废气中NMHC初始排放速率≥2kg/h时，应配置VOCs处理设施，处理效率不应低于80%。采用的原辅材料 符合国家有关低VOCs含量产品规定的除</w:t>
                  </w:r>
                  <w:r>
                    <w:rPr>
                      <w:rFonts w:hint="eastAsia"/>
                      <w:szCs w:val="21"/>
                    </w:rPr>
                    <w:t>外</w:t>
                  </w:r>
                  <w:r>
                    <w:rPr>
                      <w:szCs w:val="21"/>
                    </w:rPr>
                    <w:t>。</w:t>
                  </w:r>
                </w:p>
              </w:tc>
              <w:tc>
                <w:tcPr>
                  <w:tcW w:w="1733" w:type="dxa"/>
                  <w:vAlign w:val="center"/>
                </w:tcPr>
                <w:p>
                  <w:pPr>
                    <w:rPr>
                      <w:szCs w:val="21"/>
                    </w:rPr>
                  </w:pPr>
                  <w:r>
                    <w:rPr>
                      <w:rFonts w:hint="eastAsia"/>
                      <w:szCs w:val="21"/>
                    </w:rPr>
                    <w:t>本项目废气收集处理系统与生产工艺设备同步运行。本项目有机废气产生速率小于2kg/h，有机废气经“活性炭吸附”后经1根1</w:t>
                  </w:r>
                  <w:r>
                    <w:rPr>
                      <w:szCs w:val="21"/>
                    </w:rPr>
                    <w:t>5m</w:t>
                  </w:r>
                  <w:r>
                    <w:rPr>
                      <w:rFonts w:hint="eastAsia"/>
                      <w:szCs w:val="21"/>
                    </w:rPr>
                    <w:t>排气筒排放。</w:t>
                  </w:r>
                </w:p>
              </w:tc>
              <w:tc>
                <w:tcPr>
                  <w:tcW w:w="526" w:type="dxa"/>
                  <w:vAlign w:val="center"/>
                </w:tcPr>
                <w:p>
                  <w:pPr>
                    <w:jc w:val="center"/>
                    <w:rPr>
                      <w:szCs w:val="21"/>
                    </w:rPr>
                  </w:pPr>
                  <w:r>
                    <w:rPr>
                      <w:rFonts w:hint="eastAsia"/>
                      <w:szCs w:val="21"/>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443" w:type="dxa"/>
                  <w:vAlign w:val="center"/>
                </w:tcPr>
                <w:p>
                  <w:pPr>
                    <w:pStyle w:val="48"/>
                    <w:widowControl w:val="0"/>
                    <w:autoSpaceDE w:val="0"/>
                    <w:autoSpaceDN w:val="0"/>
                    <w:spacing w:before="0" w:after="0"/>
                    <w:jc w:val="center"/>
                    <w:rPr>
                      <w:rFonts w:ascii="Times New Roman" w:hAnsi="Times New Roman"/>
                      <w:sz w:val="21"/>
                      <w:szCs w:val="21"/>
                    </w:rPr>
                  </w:pPr>
                  <w:r>
                    <w:rPr>
                      <w:rFonts w:hint="eastAsia"/>
                      <w:kern w:val="0"/>
                      <w:sz w:val="21"/>
                      <w:szCs w:val="21"/>
                    </w:rPr>
                    <w:t>《重点行业挥发性有机物综合治理方案》</w:t>
                  </w:r>
                </w:p>
              </w:tc>
              <w:tc>
                <w:tcPr>
                  <w:tcW w:w="3321" w:type="dxa"/>
                  <w:vAlign w:val="center"/>
                </w:tcPr>
                <w:p>
                  <w:pPr>
                    <w:rPr>
                      <w:szCs w:val="21"/>
                    </w:rPr>
                  </w:pPr>
                  <w:r>
                    <w:rPr>
                      <w:rFonts w:hint="eastAsia"/>
                      <w:szCs w:val="21"/>
                    </w:rPr>
                    <w:t>①全面加强无组织排放控制。……，通过采取设备与场所密闭、工艺改进、废气有效收集等措施，削减VOCs无组织排放。</w:t>
                  </w:r>
                </w:p>
                <w:p>
                  <w:pPr>
                    <w:rPr>
                      <w:szCs w:val="21"/>
                    </w:rPr>
                  </w:pPr>
                  <w:r>
                    <w:rPr>
                      <w:rFonts w:hint="eastAsia"/>
                      <w:szCs w:val="21"/>
                    </w:rPr>
                    <w:t>②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p>
                  <w:pPr>
                    <w:rPr>
                      <w:szCs w:val="21"/>
                    </w:rPr>
                  </w:pPr>
                  <w:r>
                    <w:rPr>
                      <w:rFonts w:hint="eastAsia"/>
                      <w:szCs w:val="21"/>
                    </w:rPr>
                    <w:t>③鼓励企业采用多种技术的组合工艺，提高VOCs治理效率。低浓度、大风量废气，宜采用沸石转轮吸附、活性炭吸附、减风增浓等浓缩技术，提高VOCs浓度净化处理。</w:t>
                  </w:r>
                </w:p>
              </w:tc>
              <w:tc>
                <w:tcPr>
                  <w:tcW w:w="1733" w:type="dxa"/>
                  <w:vAlign w:val="center"/>
                </w:tcPr>
                <w:p>
                  <w:pPr>
                    <w:rPr>
                      <w:szCs w:val="21"/>
                    </w:rPr>
                  </w:pPr>
                  <w:r>
                    <w:rPr>
                      <w:rFonts w:hint="eastAsia"/>
                      <w:szCs w:val="21"/>
                    </w:rPr>
                    <w:t>本项目涂胶、打胶工序均在封闭车间进行。有机废气采取“活性炭吸附”工艺处理达标后经1根1</w:t>
                  </w:r>
                  <w:r>
                    <w:rPr>
                      <w:szCs w:val="21"/>
                    </w:rPr>
                    <w:t>5m</w:t>
                  </w:r>
                  <w:r>
                    <w:rPr>
                      <w:rFonts w:hint="eastAsia"/>
                      <w:szCs w:val="21"/>
                    </w:rPr>
                    <w:t>排气筒高空排放。</w:t>
                  </w:r>
                </w:p>
                <w:p>
                  <w:pPr>
                    <w:pStyle w:val="2"/>
                    <w:rPr>
                      <w:color w:val="auto"/>
                      <w:sz w:val="21"/>
                      <w:szCs w:val="21"/>
                    </w:rPr>
                  </w:pPr>
                  <w:r>
                    <w:rPr>
                      <w:rFonts w:hint="eastAsia"/>
                      <w:color w:val="auto"/>
                      <w:sz w:val="21"/>
                      <w:szCs w:val="21"/>
                    </w:rPr>
                    <w:t>本项目有机废气属于大风量、低浓度废气，采取活性炭吸附技术。</w:t>
                  </w:r>
                </w:p>
              </w:tc>
              <w:tc>
                <w:tcPr>
                  <w:tcW w:w="526" w:type="dxa"/>
                  <w:vAlign w:val="center"/>
                </w:tcPr>
                <w:p>
                  <w:pPr>
                    <w:jc w:val="center"/>
                    <w:rPr>
                      <w:szCs w:val="21"/>
                    </w:rPr>
                  </w:pPr>
                  <w:r>
                    <w:rPr>
                      <w:rFonts w:hint="eastAsia"/>
                      <w:szCs w:val="21"/>
                    </w:rPr>
                    <w:t>符合</w:t>
                  </w:r>
                </w:p>
              </w:tc>
            </w:tr>
          </w:tbl>
          <w:p>
            <w:pPr>
              <w:autoSpaceDE w:val="0"/>
              <w:autoSpaceDN w:val="0"/>
              <w:adjustRightInd w:val="0"/>
              <w:snapToGrid w:val="0"/>
              <w:spacing w:line="360" w:lineRule="exact"/>
              <w:ind w:firstLine="422" w:firstLineChars="200"/>
              <w:jc w:val="left"/>
              <w:rPr>
                <w:b/>
              </w:rPr>
            </w:pPr>
            <w:r>
              <w:rPr>
                <w:b/>
              </w:rPr>
              <w:t>3</w:t>
            </w:r>
            <w:r>
              <w:rPr>
                <w:rFonts w:hAnsi="宋体"/>
                <w:b/>
              </w:rPr>
              <w:t>、选址合理性</w:t>
            </w:r>
            <w:bookmarkStart w:id="2" w:name="_Ref303096042"/>
            <w:r>
              <w:rPr>
                <w:rFonts w:hint="eastAsia" w:hAnsi="宋体"/>
                <w:b/>
              </w:rPr>
              <w:t>分析</w:t>
            </w:r>
          </w:p>
          <w:p>
            <w:pPr>
              <w:autoSpaceDE w:val="0"/>
              <w:autoSpaceDN w:val="0"/>
              <w:adjustRightInd w:val="0"/>
              <w:snapToGrid w:val="0"/>
              <w:spacing w:line="360" w:lineRule="exact"/>
              <w:ind w:firstLine="420" w:firstLineChars="200"/>
              <w:jc w:val="left"/>
            </w:pPr>
            <w:r>
              <w:rPr>
                <w:lang w:val="zh-CN"/>
              </w:rPr>
              <w:fldChar w:fldCharType="begin"/>
            </w:r>
            <w:r>
              <w:rPr>
                <w:lang w:val="zh-CN"/>
              </w:rPr>
              <w:instrText xml:space="preserve"> = 1 \* GB3 \* MERGEFORMAT </w:instrText>
            </w:r>
            <w:r>
              <w:rPr>
                <w:lang w:val="zh-CN"/>
              </w:rPr>
              <w:fldChar w:fldCharType="separate"/>
            </w:r>
            <w:r>
              <w:rPr>
                <w:rFonts w:hAnsi="宋体"/>
                <w:lang w:val="zh-CN"/>
              </w:rPr>
              <w:t>①</w:t>
            </w:r>
            <w:r>
              <w:rPr>
                <w:lang w:val="zh-CN"/>
              </w:rPr>
              <w:fldChar w:fldCharType="end"/>
            </w:r>
            <w:r>
              <w:rPr>
                <w:rFonts w:hAnsi="宋体"/>
                <w:lang w:val="zh-CN"/>
              </w:rPr>
              <w:t>区位及交通</w:t>
            </w:r>
          </w:p>
          <w:p>
            <w:pPr>
              <w:autoSpaceDE w:val="0"/>
              <w:autoSpaceDN w:val="0"/>
              <w:adjustRightInd w:val="0"/>
              <w:snapToGrid w:val="0"/>
              <w:spacing w:line="360" w:lineRule="exact"/>
              <w:ind w:firstLine="420" w:firstLineChars="200"/>
              <w:jc w:val="left"/>
              <w:rPr>
                <w:rFonts w:hAnsi="宋体"/>
              </w:rPr>
            </w:pPr>
            <w:r>
              <w:rPr>
                <w:rFonts w:hAnsi="宋体"/>
              </w:rPr>
              <w:t>本项目</w:t>
            </w:r>
            <w:r>
              <w:rPr>
                <w:rFonts w:hint="eastAsia" w:hAnsi="宋体"/>
              </w:rPr>
              <w:t>建设地位于安康市汉滨区五里镇工业园区。经调查，项目北侧1</w:t>
            </w:r>
            <w:r>
              <w:rPr>
                <w:rFonts w:hAnsi="宋体"/>
              </w:rPr>
              <w:t>25m</w:t>
            </w:r>
            <w:r>
              <w:rPr>
                <w:rFonts w:hint="eastAsia" w:hAnsi="宋体"/>
              </w:rPr>
              <w:t>为G</w:t>
            </w:r>
            <w:r>
              <w:rPr>
                <w:rFonts w:hAnsi="宋体"/>
              </w:rPr>
              <w:t>316</w:t>
            </w:r>
            <w:r>
              <w:rPr>
                <w:rFonts w:hint="eastAsia" w:hAnsi="宋体"/>
              </w:rPr>
              <w:t>国道，</w:t>
            </w:r>
            <w:r>
              <w:rPr>
                <w:rFonts w:hAnsi="宋体"/>
                <w:lang w:val="zh-CN"/>
              </w:rPr>
              <w:t>地理位置优</w:t>
            </w:r>
            <w:r>
              <w:rPr>
                <w:rFonts w:hAnsi="宋体"/>
              </w:rPr>
              <w:t>越，交通便利，地理位置见附图</w:t>
            </w:r>
            <w:r>
              <w:t>1</w:t>
            </w:r>
            <w:r>
              <w:rPr>
                <w:rFonts w:hAnsi="宋体"/>
              </w:rPr>
              <w:t>。</w:t>
            </w:r>
          </w:p>
          <w:p>
            <w:pPr>
              <w:autoSpaceDE w:val="0"/>
              <w:autoSpaceDN w:val="0"/>
              <w:adjustRightInd w:val="0"/>
              <w:snapToGrid w:val="0"/>
              <w:spacing w:line="360" w:lineRule="exact"/>
              <w:ind w:firstLine="420" w:firstLineChars="200"/>
              <w:jc w:val="left"/>
            </w:pPr>
            <w:r>
              <w:rPr>
                <w:szCs w:val="21"/>
                <w:lang w:val="zh-CN"/>
              </w:rPr>
              <w:fldChar w:fldCharType="begin"/>
            </w:r>
            <w:r>
              <w:rPr>
                <w:szCs w:val="21"/>
                <w:lang w:val="zh-CN"/>
              </w:rPr>
              <w:instrText xml:space="preserve"> = 2 \* GB3 \* MERGEFORMAT </w:instrText>
            </w:r>
            <w:r>
              <w:rPr>
                <w:szCs w:val="21"/>
                <w:lang w:val="zh-CN"/>
              </w:rPr>
              <w:fldChar w:fldCharType="separate"/>
            </w:r>
            <w:r>
              <w:rPr>
                <w:rFonts w:hAnsi="宋体"/>
                <w:szCs w:val="21"/>
                <w:lang w:val="zh-CN"/>
              </w:rPr>
              <w:t>②</w:t>
            </w:r>
            <w:r>
              <w:rPr>
                <w:szCs w:val="21"/>
                <w:lang w:val="zh-CN"/>
              </w:rPr>
              <w:fldChar w:fldCharType="end"/>
            </w:r>
            <w:r>
              <w:rPr>
                <w:szCs w:val="21"/>
                <w:lang w:val="zh-CN"/>
              </w:rPr>
              <w:t>基础设施条件</w:t>
            </w:r>
          </w:p>
          <w:p>
            <w:pPr>
              <w:autoSpaceDE w:val="0"/>
              <w:autoSpaceDN w:val="0"/>
              <w:adjustRightInd w:val="0"/>
              <w:snapToGrid w:val="0"/>
              <w:spacing w:line="360" w:lineRule="exact"/>
              <w:ind w:firstLine="420" w:firstLineChars="200"/>
              <w:jc w:val="left"/>
              <w:rPr>
                <w:szCs w:val="21"/>
                <w:lang w:val="zh-CN"/>
              </w:rPr>
            </w:pPr>
            <w:r>
              <w:rPr>
                <w:szCs w:val="21"/>
                <w:lang w:val="zh-CN"/>
              </w:rPr>
              <w:t>经调查，项目所在地</w:t>
            </w:r>
            <w:r>
              <w:rPr>
                <w:rFonts w:hint="eastAsia"/>
                <w:szCs w:val="21"/>
                <w:lang w:val="zh-CN"/>
              </w:rPr>
              <w:t>供电、供水、污水管网</w:t>
            </w:r>
            <w:r>
              <w:rPr>
                <w:szCs w:val="21"/>
                <w:lang w:val="zh-CN"/>
              </w:rPr>
              <w:t>已敷设到位，</w:t>
            </w:r>
            <w:r>
              <w:rPr>
                <w:rFonts w:hint="eastAsia"/>
                <w:szCs w:val="21"/>
                <w:lang w:val="zh-CN"/>
              </w:rPr>
              <w:t>可满足项目运营期生产及生活需要。</w:t>
            </w:r>
          </w:p>
          <w:p>
            <w:pPr>
              <w:autoSpaceDE w:val="0"/>
              <w:autoSpaceDN w:val="0"/>
              <w:adjustRightInd w:val="0"/>
              <w:snapToGrid w:val="0"/>
              <w:spacing w:line="360" w:lineRule="exact"/>
              <w:ind w:firstLine="420" w:firstLineChars="200"/>
              <w:jc w:val="left"/>
            </w:pPr>
            <w:r>
              <w:rPr>
                <w:lang w:val="zh-CN"/>
              </w:rPr>
              <w:t xml:space="preserve"> </w:t>
            </w:r>
            <w:r>
              <w:rPr>
                <w:lang w:val="zh-CN"/>
              </w:rPr>
              <w:fldChar w:fldCharType="begin"/>
            </w:r>
            <w:r>
              <w:rPr>
                <w:lang w:val="zh-CN"/>
              </w:rPr>
              <w:instrText xml:space="preserve"> = 3 \* GB3 \* MERGEFORMAT </w:instrText>
            </w:r>
            <w:r>
              <w:rPr>
                <w:lang w:val="zh-CN"/>
              </w:rPr>
              <w:fldChar w:fldCharType="separate"/>
            </w:r>
            <w:r>
              <w:rPr>
                <w:rFonts w:hAnsi="宋体"/>
                <w:lang w:val="zh-CN"/>
              </w:rPr>
              <w:t>③</w:t>
            </w:r>
            <w:r>
              <w:rPr>
                <w:lang w:val="zh-CN"/>
              </w:rPr>
              <w:fldChar w:fldCharType="end"/>
            </w:r>
            <w:r>
              <w:rPr>
                <w:rFonts w:hAnsi="宋体"/>
                <w:lang w:val="zh-CN"/>
              </w:rPr>
              <w:t>用地协调</w:t>
            </w:r>
            <w:r>
              <w:rPr>
                <w:rFonts w:hAnsi="宋体"/>
              </w:rPr>
              <w:t>性</w:t>
            </w:r>
          </w:p>
          <w:p>
            <w:pPr>
              <w:autoSpaceDE w:val="0"/>
              <w:autoSpaceDN w:val="0"/>
              <w:adjustRightInd w:val="0"/>
              <w:snapToGrid w:val="0"/>
              <w:spacing w:line="360" w:lineRule="exact"/>
              <w:ind w:firstLine="420" w:firstLineChars="200"/>
              <w:jc w:val="left"/>
              <w:rPr>
                <w:rFonts w:hAnsi="宋体"/>
              </w:rPr>
            </w:pPr>
            <w:r>
              <w:rPr>
                <w:rFonts w:hAnsi="宋体"/>
              </w:rPr>
              <w:t>本项目位于</w:t>
            </w:r>
            <w:r>
              <w:rPr>
                <w:rFonts w:hint="eastAsia" w:hAnsi="宋体"/>
              </w:rPr>
              <w:t>五里镇工业园区，项目用地为工业用地。</w:t>
            </w:r>
          </w:p>
          <w:p>
            <w:pPr>
              <w:autoSpaceDE w:val="0"/>
              <w:autoSpaceDN w:val="0"/>
              <w:adjustRightInd w:val="0"/>
              <w:snapToGrid w:val="0"/>
              <w:spacing w:line="360" w:lineRule="exact"/>
              <w:ind w:firstLine="420" w:firstLineChars="200"/>
              <w:jc w:val="left"/>
              <w:rPr>
                <w:rFonts w:hAnsi="宋体"/>
              </w:rPr>
            </w:pPr>
            <w:r>
              <w:rPr>
                <w:rFonts w:hint="eastAsia" w:hAnsi="宋体"/>
              </w:rPr>
              <w:t>④环境敏感性</w:t>
            </w:r>
          </w:p>
          <w:p>
            <w:pPr>
              <w:autoSpaceDE w:val="0"/>
              <w:autoSpaceDN w:val="0"/>
              <w:adjustRightInd w:val="0"/>
              <w:snapToGrid w:val="0"/>
              <w:spacing w:line="360" w:lineRule="exact"/>
              <w:ind w:firstLine="420" w:firstLineChars="200"/>
              <w:jc w:val="left"/>
              <w:rPr>
                <w:bCs/>
                <w:szCs w:val="21"/>
              </w:rPr>
            </w:pPr>
            <w:r>
              <w:rPr>
                <w:snapToGrid w:val="0"/>
                <w:szCs w:val="21"/>
              </w:rPr>
              <w:t>项目所在地周边无文物保护区、自然保护区分布；</w:t>
            </w:r>
            <w:r>
              <w:rPr>
                <w:bCs/>
                <w:szCs w:val="21"/>
              </w:rPr>
              <w:t>项目实施环评提出的措施后，废气能够达标排放；</w:t>
            </w:r>
            <w:r>
              <w:rPr>
                <w:rFonts w:hint="eastAsia"/>
                <w:bCs/>
                <w:szCs w:val="21"/>
              </w:rPr>
              <w:t>生产废水经沉淀后循环使用，不外排，生活污水经化粪池后排入市政管网，进入汉滨区五里镇污水处理厂；</w:t>
            </w:r>
            <w:r>
              <w:rPr>
                <w:bCs/>
                <w:szCs w:val="21"/>
              </w:rPr>
              <w:t>噪声采取减振、隔声措施后厂界可达标；固废均得到合理处置，不会造成二次污染。</w:t>
            </w:r>
          </w:p>
          <w:p>
            <w:pPr>
              <w:autoSpaceDE w:val="0"/>
              <w:autoSpaceDN w:val="0"/>
              <w:adjustRightInd w:val="0"/>
              <w:snapToGrid w:val="0"/>
              <w:spacing w:line="360" w:lineRule="exact"/>
              <w:ind w:firstLine="420" w:firstLineChars="200"/>
              <w:jc w:val="left"/>
              <w:rPr>
                <w:rFonts w:hAnsi="宋体"/>
              </w:rPr>
            </w:pPr>
            <w:r>
              <w:rPr>
                <w:rFonts w:hint="eastAsia" w:hAnsi="宋体"/>
              </w:rPr>
              <w:t>综上所述，本项目选址基本合理。</w:t>
            </w:r>
          </w:p>
          <w:p>
            <w:pPr>
              <w:pStyle w:val="2"/>
              <w:rPr>
                <w:color w:val="auto"/>
              </w:rPr>
            </w:pPr>
          </w:p>
          <w:bookmarkEnd w:id="2"/>
          <w:p>
            <w:pPr>
              <w:spacing w:line="360" w:lineRule="auto"/>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3"/>
        <w:tblW w:w="881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04" w:hRule="atLeast"/>
          <w:jc w:val="center"/>
        </w:trPr>
        <w:tc>
          <w:tcPr>
            <w:tcW w:w="680" w:type="dxa"/>
            <w:vAlign w:val="center"/>
          </w:tcPr>
          <w:p>
            <w:pPr>
              <w:pStyle w:val="19"/>
              <w:adjustRightInd w:val="0"/>
              <w:snapToGrid w:val="0"/>
              <w:spacing w:before="0" w:beforeAutospacing="0" w:after="0" w:afterAutospacing="0"/>
              <w:jc w:val="center"/>
              <w:rPr>
                <w:rFonts w:cs="宋体"/>
                <w:sz w:val="21"/>
                <w:szCs w:val="21"/>
                <w:lang w:val="en-US" w:eastAsia="zh-CN"/>
              </w:rPr>
            </w:pPr>
            <w:r>
              <w:rPr>
                <w:rFonts w:hint="eastAsia" w:cs="宋体"/>
                <w:sz w:val="21"/>
                <w:szCs w:val="21"/>
                <w:lang w:val="en-US" w:eastAsia="zh-CN"/>
              </w:rPr>
              <w:t>建设内容</w:t>
            </w:r>
          </w:p>
        </w:tc>
        <w:tc>
          <w:tcPr>
            <w:tcW w:w="8134" w:type="dxa"/>
          </w:tcPr>
          <w:p>
            <w:pPr>
              <w:spacing w:line="360" w:lineRule="auto"/>
              <w:ind w:firstLine="422" w:firstLineChars="200"/>
              <w:rPr>
                <w:rFonts w:hAnsi="宋体"/>
                <w:b/>
              </w:rPr>
            </w:pPr>
            <w:r>
              <w:rPr>
                <w:rFonts w:hint="eastAsia" w:hAnsi="宋体"/>
                <w:b/>
              </w:rPr>
              <w:t>1、项目建设地点及四邻关系</w:t>
            </w:r>
          </w:p>
          <w:p>
            <w:pPr>
              <w:spacing w:line="360" w:lineRule="auto"/>
              <w:ind w:firstLine="420" w:firstLineChars="200"/>
              <w:rPr>
                <w:rFonts w:hAnsi="宋体"/>
              </w:rPr>
            </w:pPr>
            <w:r>
              <w:rPr>
                <w:rFonts w:hAnsi="宋体"/>
              </w:rPr>
              <w:t>本项目</w:t>
            </w:r>
            <w:r>
              <w:rPr>
                <w:rFonts w:hint="eastAsia" w:hAnsi="宋体"/>
              </w:rPr>
              <w:t>位于安康市</w:t>
            </w:r>
            <w:r>
              <w:rPr>
                <w:rFonts w:hint="eastAsia" w:hAnsi="宋体"/>
                <w:szCs w:val="21"/>
              </w:rPr>
              <w:t>汉滨区五里镇民兴村秦东魔芋工业园区，租赁安康秦东魔芋食品公司现有空置厂房进行生产。厂区中心地理坐标</w:t>
            </w:r>
            <w:r>
              <w:rPr>
                <w:szCs w:val="21"/>
                <w:u w:val="single"/>
              </w:rPr>
              <w:t>东经：108</w:t>
            </w:r>
            <w:r>
              <w:rPr>
                <w:rFonts w:hint="eastAsia"/>
                <w:szCs w:val="21"/>
                <w:u w:val="single"/>
              </w:rPr>
              <w:t>°</w:t>
            </w:r>
            <w:r>
              <w:rPr>
                <w:szCs w:val="21"/>
                <w:u w:val="single"/>
              </w:rPr>
              <w:t>54</w:t>
            </w:r>
            <w:r>
              <w:rPr>
                <w:rFonts w:hint="eastAsia"/>
                <w:szCs w:val="21"/>
                <w:u w:val="single"/>
              </w:rPr>
              <w:t>′</w:t>
            </w:r>
            <w:r>
              <w:rPr>
                <w:szCs w:val="21"/>
                <w:u w:val="single"/>
              </w:rPr>
              <w:t>54.470</w:t>
            </w:r>
            <w:r>
              <w:rPr>
                <w:rFonts w:hint="eastAsia"/>
                <w:szCs w:val="21"/>
                <w:u w:val="single"/>
              </w:rPr>
              <w:t>″</w:t>
            </w:r>
            <w:r>
              <w:rPr>
                <w:szCs w:val="21"/>
              </w:rPr>
              <w:t>，</w:t>
            </w:r>
            <w:r>
              <w:rPr>
                <w:szCs w:val="21"/>
                <w:u w:val="single"/>
              </w:rPr>
              <w:t>北纬：32</w:t>
            </w:r>
            <w:r>
              <w:rPr>
                <w:rFonts w:hint="eastAsia"/>
                <w:szCs w:val="21"/>
                <w:u w:val="single"/>
              </w:rPr>
              <w:t>°</w:t>
            </w:r>
            <w:r>
              <w:rPr>
                <w:szCs w:val="21"/>
                <w:u w:val="single"/>
              </w:rPr>
              <w:t>42</w:t>
            </w:r>
            <w:r>
              <w:rPr>
                <w:rFonts w:hint="eastAsia"/>
                <w:szCs w:val="21"/>
                <w:u w:val="single"/>
              </w:rPr>
              <w:t>′</w:t>
            </w:r>
            <w:r>
              <w:rPr>
                <w:szCs w:val="21"/>
                <w:u w:val="single"/>
              </w:rPr>
              <w:t>46.200</w:t>
            </w:r>
            <w:r>
              <w:rPr>
                <w:rFonts w:hint="eastAsia"/>
                <w:szCs w:val="21"/>
                <w:u w:val="single"/>
              </w:rPr>
              <w:t>″</w:t>
            </w:r>
            <w:r>
              <w:rPr>
                <w:rFonts w:hint="eastAsia"/>
                <w:szCs w:val="21"/>
              </w:rPr>
              <w:t>，具体地理位置见附图1。经调查，项目北侧为工业厂房，东侧2</w:t>
            </w:r>
            <w:r>
              <w:rPr>
                <w:szCs w:val="21"/>
              </w:rPr>
              <w:t>5m</w:t>
            </w:r>
            <w:r>
              <w:rPr>
                <w:rFonts w:hint="eastAsia"/>
                <w:szCs w:val="21"/>
              </w:rPr>
              <w:t>为兴村居民住宅，南侧5</w:t>
            </w:r>
            <w:r>
              <w:rPr>
                <w:szCs w:val="21"/>
              </w:rPr>
              <w:t>5m</w:t>
            </w:r>
            <w:r>
              <w:rPr>
                <w:rFonts w:hint="eastAsia"/>
                <w:szCs w:val="21"/>
              </w:rPr>
              <w:t>为民兴五里幼儿园，西侧为空地。项目四邻关系见附图2。</w:t>
            </w:r>
          </w:p>
          <w:p>
            <w:pPr>
              <w:spacing w:line="360" w:lineRule="auto"/>
              <w:ind w:firstLine="422" w:firstLineChars="200"/>
              <w:rPr>
                <w:rFonts w:hAnsi="宋体"/>
                <w:b/>
              </w:rPr>
            </w:pPr>
            <w:r>
              <w:rPr>
                <w:rFonts w:hint="eastAsia" w:hAnsi="宋体"/>
                <w:b/>
              </w:rPr>
              <w:t>2、主要建设内容</w:t>
            </w:r>
          </w:p>
          <w:p>
            <w:pPr>
              <w:spacing w:line="360" w:lineRule="auto"/>
              <w:ind w:firstLine="420" w:firstLineChars="200"/>
              <w:rPr>
                <w:rFonts w:hAnsi="宋体"/>
              </w:rPr>
            </w:pPr>
            <w:r>
              <w:rPr>
                <w:rFonts w:hint="eastAsia" w:hAnsi="宋体"/>
              </w:rPr>
              <w:t>根据陕西省企业投资项目备案确认书：本项目新建铝型材及钢化玻璃门窗加工生产线2条，年产约8</w:t>
            </w:r>
            <w:r>
              <w:rPr>
                <w:rFonts w:hAnsi="宋体"/>
              </w:rPr>
              <w:t>0</w:t>
            </w:r>
            <w:r>
              <w:rPr>
                <w:rFonts w:hint="eastAsia" w:hAnsi="宋体"/>
              </w:rPr>
              <w:t>万平方米钢化玻璃制造加工。新建厂区2</w:t>
            </w:r>
            <w:r>
              <w:rPr>
                <w:rFonts w:hAnsi="宋体"/>
              </w:rPr>
              <w:t>400</w:t>
            </w:r>
            <w:r>
              <w:rPr>
                <w:rFonts w:hint="eastAsia" w:hAnsi="宋体"/>
              </w:rPr>
              <w:t>平米。钢化玻璃加工设备1</w:t>
            </w:r>
            <w:r>
              <w:rPr>
                <w:rFonts w:hAnsi="宋体"/>
              </w:rPr>
              <w:t>0</w:t>
            </w:r>
            <w:r>
              <w:rPr>
                <w:rFonts w:hint="eastAsia" w:hAnsi="宋体"/>
              </w:rPr>
              <w:t>余套，钢化炉、玻璃切割机、玻璃磨边机3套，清洗机3套、打砂机1套、中空线1套、航吊1套及配套建设水、电、路、消防、绿化等附属设施。项目组成见表2</w:t>
            </w:r>
            <w:r>
              <w:rPr>
                <w:rFonts w:hAnsi="宋体"/>
              </w:rPr>
              <w:t>-1</w:t>
            </w:r>
            <w:r>
              <w:rPr>
                <w:rFonts w:hint="eastAsia" w:hAnsi="宋体"/>
              </w:rPr>
              <w:t>。</w:t>
            </w:r>
          </w:p>
          <w:p>
            <w:pPr>
              <w:jc w:val="center"/>
              <w:rPr>
                <w:b/>
                <w:bCs/>
                <w:szCs w:val="21"/>
              </w:rPr>
            </w:pPr>
            <w:r>
              <w:rPr>
                <w:rFonts w:hAnsi="宋体"/>
                <w:b/>
                <w:bCs/>
                <w:szCs w:val="21"/>
              </w:rPr>
              <w:t>表</w:t>
            </w:r>
            <w:r>
              <w:rPr>
                <w:b/>
                <w:bCs/>
                <w:szCs w:val="21"/>
              </w:rPr>
              <w:t xml:space="preserve">2-1    </w:t>
            </w:r>
            <w:r>
              <w:rPr>
                <w:rFonts w:hint="eastAsia" w:hAnsi="宋体"/>
                <w:b/>
                <w:bCs/>
                <w:szCs w:val="21"/>
              </w:rPr>
              <w:t>项目组成一览表</w:t>
            </w:r>
          </w:p>
          <w:tbl>
            <w:tblPr>
              <w:tblStyle w:val="23"/>
              <w:tblW w:w="78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045"/>
              <w:gridCol w:w="663"/>
              <w:gridCol w:w="473"/>
              <w:gridCol w:w="3499"/>
              <w:gridCol w:w="1138"/>
            </w:tblGrid>
            <w:tr>
              <w:tblPrEx>
                <w:tblLayout w:type="fixed"/>
                <w:tblCellMar>
                  <w:top w:w="0" w:type="dxa"/>
                  <w:left w:w="108" w:type="dxa"/>
                  <w:bottom w:w="0" w:type="dxa"/>
                  <w:right w:w="108" w:type="dxa"/>
                </w:tblCellMar>
              </w:tblPrEx>
              <w:trPr>
                <w:trHeight w:val="340" w:hRule="atLeast"/>
                <w:jc w:val="center"/>
              </w:trPr>
              <w:tc>
                <w:tcPr>
                  <w:tcW w:w="1053" w:type="dxa"/>
                  <w:vAlign w:val="center"/>
                </w:tcPr>
                <w:p>
                  <w:pPr>
                    <w:jc w:val="center"/>
                    <w:rPr>
                      <w:szCs w:val="21"/>
                    </w:rPr>
                  </w:pPr>
                  <w:r>
                    <w:rPr>
                      <w:rFonts w:hAnsi="宋体"/>
                      <w:szCs w:val="21"/>
                    </w:rPr>
                    <w:t>工程类别</w:t>
                  </w:r>
                </w:p>
              </w:tc>
              <w:tc>
                <w:tcPr>
                  <w:tcW w:w="1045" w:type="dxa"/>
                  <w:vAlign w:val="center"/>
                </w:tcPr>
                <w:p>
                  <w:pPr>
                    <w:jc w:val="center"/>
                    <w:rPr>
                      <w:rFonts w:hAnsi="宋体"/>
                      <w:szCs w:val="21"/>
                    </w:rPr>
                  </w:pPr>
                  <w:r>
                    <w:rPr>
                      <w:rFonts w:hAnsi="宋体"/>
                      <w:szCs w:val="21"/>
                    </w:rPr>
                    <w:t>工程</w:t>
                  </w:r>
                </w:p>
                <w:p>
                  <w:pPr>
                    <w:jc w:val="center"/>
                    <w:rPr>
                      <w:szCs w:val="21"/>
                    </w:rPr>
                  </w:pPr>
                  <w:r>
                    <w:rPr>
                      <w:rFonts w:hAnsi="宋体"/>
                      <w:szCs w:val="21"/>
                    </w:rPr>
                    <w:t>名称</w:t>
                  </w:r>
                </w:p>
              </w:tc>
              <w:tc>
                <w:tcPr>
                  <w:tcW w:w="4635" w:type="dxa"/>
                  <w:gridSpan w:val="3"/>
                  <w:vAlign w:val="center"/>
                </w:tcPr>
                <w:p>
                  <w:pPr>
                    <w:jc w:val="center"/>
                    <w:rPr>
                      <w:szCs w:val="21"/>
                    </w:rPr>
                  </w:pPr>
                  <w:r>
                    <w:rPr>
                      <w:rFonts w:hAnsi="宋体"/>
                      <w:szCs w:val="21"/>
                    </w:rPr>
                    <w:t>建设内容</w:t>
                  </w:r>
                </w:p>
              </w:tc>
              <w:tc>
                <w:tcPr>
                  <w:tcW w:w="1138" w:type="dxa"/>
                  <w:vAlign w:val="center"/>
                </w:tcPr>
                <w:p>
                  <w:pPr>
                    <w:jc w:val="center"/>
                    <w:rPr>
                      <w:szCs w:val="21"/>
                    </w:rPr>
                  </w:pPr>
                  <w:r>
                    <w:rPr>
                      <w:rFonts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restart"/>
                  <w:vAlign w:val="center"/>
                </w:tcPr>
                <w:p>
                  <w:pPr>
                    <w:jc w:val="center"/>
                    <w:rPr>
                      <w:rFonts w:hAnsi="宋体"/>
                      <w:szCs w:val="21"/>
                    </w:rPr>
                  </w:pPr>
                  <w:r>
                    <w:rPr>
                      <w:rFonts w:hint="eastAsia" w:hAnsi="宋体"/>
                      <w:szCs w:val="21"/>
                    </w:rPr>
                    <w:t>主体工程</w:t>
                  </w:r>
                </w:p>
              </w:tc>
              <w:tc>
                <w:tcPr>
                  <w:tcW w:w="1045" w:type="dxa"/>
                  <w:vMerge w:val="restart"/>
                  <w:vAlign w:val="center"/>
                </w:tcPr>
                <w:p>
                  <w:pPr>
                    <w:jc w:val="center"/>
                    <w:rPr>
                      <w:rFonts w:hAnsi="宋体"/>
                      <w:szCs w:val="21"/>
                    </w:rPr>
                  </w:pPr>
                  <w:r>
                    <w:rPr>
                      <w:rFonts w:hint="eastAsia" w:hAnsi="宋体"/>
                      <w:szCs w:val="21"/>
                    </w:rPr>
                    <w:t>1</w:t>
                  </w:r>
                  <w:r>
                    <w:rPr>
                      <w:rFonts w:hAnsi="宋体"/>
                      <w:szCs w:val="21"/>
                    </w:rPr>
                    <w:t>#</w:t>
                  </w:r>
                  <w:r>
                    <w:rPr>
                      <w:rFonts w:hint="eastAsia" w:hAnsi="宋体"/>
                      <w:szCs w:val="21"/>
                    </w:rPr>
                    <w:t>车间</w:t>
                  </w:r>
                </w:p>
                <w:p>
                  <w:pPr>
                    <w:jc w:val="center"/>
                    <w:rPr>
                      <w:rFonts w:hAnsi="宋体"/>
                      <w:szCs w:val="21"/>
                    </w:rPr>
                  </w:pPr>
                  <w:r>
                    <w:rPr>
                      <w:rFonts w:hint="eastAsia" w:hAnsi="宋体"/>
                      <w:szCs w:val="21"/>
                    </w:rPr>
                    <w:t>1层钢构</w:t>
                  </w:r>
                  <w:r>
                    <w:rPr>
                      <w:rFonts w:hAnsi="宋体"/>
                      <w:szCs w:val="21"/>
                    </w:rPr>
                    <w:t>1500</w:t>
                  </w:r>
                  <w:r>
                    <w:rPr>
                      <w:rFonts w:hint="eastAsia" w:hAnsi="宋体"/>
                      <w:szCs w:val="21"/>
                    </w:rPr>
                    <w:t>m</w:t>
                  </w:r>
                  <w:r>
                    <w:rPr>
                      <w:rFonts w:hAnsi="宋体"/>
                      <w:szCs w:val="21"/>
                      <w:vertAlign w:val="superscript"/>
                    </w:rPr>
                    <w:t>2</w:t>
                  </w:r>
                </w:p>
              </w:tc>
              <w:tc>
                <w:tcPr>
                  <w:tcW w:w="1136" w:type="dxa"/>
                  <w:gridSpan w:val="2"/>
                  <w:vAlign w:val="center"/>
                </w:tcPr>
                <w:p>
                  <w:pPr>
                    <w:jc w:val="center"/>
                    <w:rPr>
                      <w:rFonts w:hAnsi="宋体"/>
                      <w:szCs w:val="21"/>
                    </w:rPr>
                  </w:pPr>
                  <w:r>
                    <w:rPr>
                      <w:rFonts w:hint="eastAsia" w:hAnsi="宋体"/>
                      <w:szCs w:val="21"/>
                    </w:rPr>
                    <w:t>预加工生产区</w:t>
                  </w:r>
                </w:p>
              </w:tc>
              <w:tc>
                <w:tcPr>
                  <w:tcW w:w="3499" w:type="dxa"/>
                  <w:vAlign w:val="center"/>
                </w:tcPr>
                <w:p>
                  <w:pPr>
                    <w:jc w:val="center"/>
                    <w:rPr>
                      <w:rFonts w:hAnsi="宋体"/>
                      <w:szCs w:val="21"/>
                    </w:rPr>
                  </w:pPr>
                  <w:r>
                    <w:rPr>
                      <w:rFonts w:hint="eastAsia" w:hAnsi="宋体"/>
                      <w:szCs w:val="21"/>
                    </w:rPr>
                    <w:t>位于1</w:t>
                  </w:r>
                  <w:r>
                    <w:rPr>
                      <w:rFonts w:hAnsi="宋体"/>
                      <w:szCs w:val="21"/>
                    </w:rPr>
                    <w:t>#</w:t>
                  </w:r>
                  <w:r>
                    <w:rPr>
                      <w:rFonts w:hint="eastAsia" w:hAnsi="宋体"/>
                      <w:szCs w:val="21"/>
                    </w:rPr>
                    <w:t>车间西部，建筑面积</w:t>
                  </w:r>
                  <w:r>
                    <w:rPr>
                      <w:rFonts w:hAnsi="宋体"/>
                      <w:szCs w:val="21"/>
                    </w:rPr>
                    <w:t>500m</w:t>
                  </w:r>
                  <w:r>
                    <w:rPr>
                      <w:rFonts w:hAnsi="宋体"/>
                      <w:szCs w:val="21"/>
                      <w:vertAlign w:val="superscript"/>
                    </w:rPr>
                    <w:t>2</w:t>
                  </w:r>
                  <w:r>
                    <w:rPr>
                      <w:rFonts w:hint="eastAsia" w:hAnsi="宋体"/>
                      <w:szCs w:val="21"/>
                    </w:rPr>
                    <w:t>，内设切割机1台、四边磨1台、直边机2台，5</w:t>
                  </w:r>
                  <w:r>
                    <w:rPr>
                      <w:rFonts w:hAnsi="宋体"/>
                      <w:szCs w:val="21"/>
                    </w:rPr>
                    <w:t>m</w:t>
                  </w:r>
                  <w:r>
                    <w:rPr>
                      <w:rFonts w:hAnsi="宋体"/>
                      <w:szCs w:val="21"/>
                      <w:vertAlign w:val="superscript"/>
                    </w:rPr>
                    <w:t>3</w:t>
                  </w:r>
                  <w:r>
                    <w:rPr>
                      <w:rFonts w:hint="eastAsia" w:hAnsi="宋体"/>
                      <w:szCs w:val="21"/>
                    </w:rPr>
                    <w:t>循环水箱</w:t>
                  </w:r>
                  <w:r>
                    <w:rPr>
                      <w:rFonts w:hAnsi="宋体"/>
                      <w:szCs w:val="21"/>
                    </w:rPr>
                    <w:t>1</w:t>
                  </w:r>
                  <w:r>
                    <w:rPr>
                      <w:rFonts w:hint="eastAsia" w:hAnsi="宋体"/>
                      <w:szCs w:val="21"/>
                    </w:rPr>
                    <w:t>个，1</w:t>
                  </w:r>
                  <w:r>
                    <w:rPr>
                      <w:rFonts w:hAnsi="宋体"/>
                      <w:szCs w:val="21"/>
                    </w:rPr>
                    <w:t>0m</w:t>
                  </w:r>
                  <w:r>
                    <w:rPr>
                      <w:rFonts w:hAnsi="宋体"/>
                      <w:szCs w:val="21"/>
                      <w:vertAlign w:val="superscript"/>
                    </w:rPr>
                    <w:t>3</w:t>
                  </w:r>
                  <w:r>
                    <w:rPr>
                      <w:rFonts w:hint="eastAsia" w:hAnsi="宋体"/>
                      <w:szCs w:val="21"/>
                    </w:rPr>
                    <w:t>循环水箱</w:t>
                  </w:r>
                  <w:r>
                    <w:rPr>
                      <w:rFonts w:hAnsi="宋体"/>
                      <w:szCs w:val="21"/>
                    </w:rPr>
                    <w:t>1</w:t>
                  </w:r>
                  <w:r>
                    <w:rPr>
                      <w:rFonts w:hint="eastAsia" w:hAnsi="宋体"/>
                      <w:szCs w:val="21"/>
                    </w:rPr>
                    <w:t>个，主要进行切割、磨边等玻璃预加工。</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rFonts w:hAnsi="宋体"/>
                      <w:szCs w:val="21"/>
                    </w:rPr>
                  </w:pPr>
                </w:p>
              </w:tc>
              <w:tc>
                <w:tcPr>
                  <w:tcW w:w="1045" w:type="dxa"/>
                  <w:vMerge w:val="continue"/>
                  <w:vAlign w:val="center"/>
                </w:tcPr>
                <w:p>
                  <w:pPr>
                    <w:jc w:val="center"/>
                    <w:rPr>
                      <w:rFonts w:hAnsi="宋体"/>
                      <w:szCs w:val="21"/>
                    </w:rPr>
                  </w:pPr>
                </w:p>
              </w:tc>
              <w:tc>
                <w:tcPr>
                  <w:tcW w:w="1136" w:type="dxa"/>
                  <w:gridSpan w:val="2"/>
                  <w:vAlign w:val="center"/>
                </w:tcPr>
                <w:p>
                  <w:pPr>
                    <w:jc w:val="center"/>
                    <w:rPr>
                      <w:rFonts w:hAnsi="宋体"/>
                      <w:szCs w:val="21"/>
                    </w:rPr>
                  </w:pPr>
                  <w:r>
                    <w:rPr>
                      <w:rFonts w:hint="eastAsia" w:hAnsi="宋体"/>
                      <w:szCs w:val="21"/>
                    </w:rPr>
                    <w:t>钢化玻璃生产区</w:t>
                  </w:r>
                </w:p>
              </w:tc>
              <w:tc>
                <w:tcPr>
                  <w:tcW w:w="3499" w:type="dxa"/>
                  <w:vAlign w:val="center"/>
                </w:tcPr>
                <w:p>
                  <w:pPr>
                    <w:jc w:val="center"/>
                    <w:rPr>
                      <w:rFonts w:hAnsi="宋体"/>
                      <w:szCs w:val="21"/>
                    </w:rPr>
                  </w:pPr>
                  <w:r>
                    <w:rPr>
                      <w:rFonts w:hint="eastAsia" w:hAnsi="宋体"/>
                      <w:szCs w:val="21"/>
                    </w:rPr>
                    <w:t>位于1</w:t>
                  </w:r>
                  <w:r>
                    <w:rPr>
                      <w:rFonts w:hAnsi="宋体"/>
                      <w:szCs w:val="21"/>
                    </w:rPr>
                    <w:t>#</w:t>
                  </w:r>
                  <w:r>
                    <w:rPr>
                      <w:rFonts w:hint="eastAsia" w:hAnsi="宋体"/>
                      <w:szCs w:val="21"/>
                    </w:rPr>
                    <w:t>车间中部南侧，建筑面积1</w:t>
                  </w:r>
                  <w:r>
                    <w:rPr>
                      <w:rFonts w:hAnsi="宋体"/>
                      <w:szCs w:val="21"/>
                    </w:rPr>
                    <w:t>00m</w:t>
                  </w:r>
                  <w:r>
                    <w:rPr>
                      <w:rFonts w:hAnsi="宋体"/>
                      <w:szCs w:val="21"/>
                      <w:vertAlign w:val="superscript"/>
                    </w:rPr>
                    <w:t>2</w:t>
                  </w:r>
                  <w:r>
                    <w:rPr>
                      <w:rFonts w:hint="eastAsia" w:hAnsi="宋体"/>
                      <w:szCs w:val="21"/>
                    </w:rPr>
                    <w:t>，设钢化炉1个，主要进行钢化玻璃生产。</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rFonts w:hAnsi="宋体"/>
                      <w:szCs w:val="21"/>
                    </w:rPr>
                  </w:pPr>
                </w:p>
              </w:tc>
              <w:tc>
                <w:tcPr>
                  <w:tcW w:w="1045" w:type="dxa"/>
                  <w:vMerge w:val="continue"/>
                  <w:vAlign w:val="center"/>
                </w:tcPr>
                <w:p>
                  <w:pPr>
                    <w:jc w:val="center"/>
                    <w:rPr>
                      <w:rFonts w:hAnsi="宋体"/>
                      <w:szCs w:val="21"/>
                    </w:rPr>
                  </w:pPr>
                </w:p>
              </w:tc>
              <w:tc>
                <w:tcPr>
                  <w:tcW w:w="1136" w:type="dxa"/>
                  <w:gridSpan w:val="2"/>
                  <w:vAlign w:val="center"/>
                </w:tcPr>
                <w:p>
                  <w:pPr>
                    <w:jc w:val="center"/>
                    <w:rPr>
                      <w:rFonts w:hAnsi="宋体"/>
                      <w:szCs w:val="21"/>
                    </w:rPr>
                  </w:pPr>
                  <w:r>
                    <w:rPr>
                      <w:rFonts w:hint="eastAsia" w:hAnsi="宋体"/>
                      <w:szCs w:val="21"/>
                    </w:rPr>
                    <w:t>中空玻璃生产区</w:t>
                  </w:r>
                </w:p>
              </w:tc>
              <w:tc>
                <w:tcPr>
                  <w:tcW w:w="3499" w:type="dxa"/>
                  <w:vAlign w:val="center"/>
                </w:tcPr>
                <w:p>
                  <w:pPr>
                    <w:jc w:val="center"/>
                    <w:rPr>
                      <w:rFonts w:hAnsi="宋体"/>
                      <w:szCs w:val="21"/>
                    </w:rPr>
                  </w:pPr>
                  <w:r>
                    <w:rPr>
                      <w:rFonts w:hint="eastAsia" w:hAnsi="宋体"/>
                      <w:szCs w:val="21"/>
                    </w:rPr>
                    <w:t>位于1</w:t>
                  </w:r>
                  <w:r>
                    <w:rPr>
                      <w:rFonts w:hAnsi="宋体"/>
                      <w:szCs w:val="21"/>
                    </w:rPr>
                    <w:t>#</w:t>
                  </w:r>
                  <w:r>
                    <w:rPr>
                      <w:rFonts w:hint="eastAsia" w:hAnsi="宋体"/>
                      <w:szCs w:val="21"/>
                    </w:rPr>
                    <w:t>车间中部北侧，建筑面积</w:t>
                  </w:r>
                  <w:r>
                    <w:rPr>
                      <w:rFonts w:hAnsi="宋体"/>
                      <w:szCs w:val="21"/>
                    </w:rPr>
                    <w:t>450m</w:t>
                  </w:r>
                  <w:r>
                    <w:rPr>
                      <w:rFonts w:hAnsi="宋体"/>
                      <w:szCs w:val="21"/>
                      <w:vertAlign w:val="superscript"/>
                    </w:rPr>
                    <w:t>2</w:t>
                  </w:r>
                  <w:r>
                    <w:rPr>
                      <w:rFonts w:hint="eastAsia" w:hAnsi="宋体"/>
                      <w:szCs w:val="21"/>
                    </w:rPr>
                    <w:t>，内设中空玻璃生产线2条，配套有机废气收集及活性炭吸附装置，主要进行中空玻璃生产。</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rFonts w:hAnsi="宋体"/>
                      <w:szCs w:val="21"/>
                    </w:rPr>
                  </w:pPr>
                </w:p>
              </w:tc>
              <w:tc>
                <w:tcPr>
                  <w:tcW w:w="1045" w:type="dxa"/>
                  <w:vMerge w:val="restart"/>
                  <w:vAlign w:val="center"/>
                </w:tcPr>
                <w:p>
                  <w:pPr>
                    <w:jc w:val="center"/>
                    <w:rPr>
                      <w:rFonts w:hAnsi="宋体"/>
                      <w:szCs w:val="21"/>
                    </w:rPr>
                  </w:pPr>
                  <w:r>
                    <w:rPr>
                      <w:rFonts w:hint="eastAsia" w:hAnsi="宋体"/>
                      <w:szCs w:val="21"/>
                    </w:rPr>
                    <w:t>2</w:t>
                  </w:r>
                  <w:r>
                    <w:rPr>
                      <w:rFonts w:hAnsi="宋体"/>
                      <w:szCs w:val="21"/>
                    </w:rPr>
                    <w:t>#</w:t>
                  </w:r>
                  <w:r>
                    <w:rPr>
                      <w:rFonts w:hint="eastAsia" w:hAnsi="宋体"/>
                      <w:szCs w:val="21"/>
                    </w:rPr>
                    <w:t>车间</w:t>
                  </w:r>
                </w:p>
                <w:p>
                  <w:pPr>
                    <w:jc w:val="center"/>
                    <w:rPr>
                      <w:rFonts w:hAnsi="宋体"/>
                      <w:szCs w:val="21"/>
                    </w:rPr>
                  </w:pPr>
                  <w:r>
                    <w:rPr>
                      <w:rFonts w:hint="eastAsia" w:hAnsi="宋体"/>
                      <w:szCs w:val="21"/>
                    </w:rPr>
                    <w:t>1层钢构</w:t>
                  </w:r>
                  <w:r>
                    <w:rPr>
                      <w:rFonts w:hAnsi="宋体"/>
                      <w:szCs w:val="21"/>
                    </w:rPr>
                    <w:t>900</w:t>
                  </w:r>
                  <w:r>
                    <w:rPr>
                      <w:rFonts w:hint="eastAsia" w:hAnsi="宋体"/>
                      <w:szCs w:val="21"/>
                    </w:rPr>
                    <w:t>m</w:t>
                  </w:r>
                  <w:r>
                    <w:rPr>
                      <w:rFonts w:hAnsi="宋体"/>
                      <w:szCs w:val="21"/>
                      <w:vertAlign w:val="superscript"/>
                    </w:rPr>
                    <w:t>2</w:t>
                  </w:r>
                </w:p>
              </w:tc>
              <w:tc>
                <w:tcPr>
                  <w:tcW w:w="1136" w:type="dxa"/>
                  <w:gridSpan w:val="2"/>
                  <w:vAlign w:val="center"/>
                </w:tcPr>
                <w:p>
                  <w:pPr>
                    <w:jc w:val="center"/>
                    <w:rPr>
                      <w:rFonts w:hAnsi="宋体"/>
                      <w:szCs w:val="21"/>
                    </w:rPr>
                  </w:pPr>
                  <w:r>
                    <w:rPr>
                      <w:rFonts w:hint="eastAsia" w:hAnsi="宋体"/>
                      <w:szCs w:val="21"/>
                    </w:rPr>
                    <w:t>原料堆存区</w:t>
                  </w:r>
                </w:p>
              </w:tc>
              <w:tc>
                <w:tcPr>
                  <w:tcW w:w="3499" w:type="dxa"/>
                  <w:vAlign w:val="center"/>
                </w:tcPr>
                <w:p>
                  <w:pPr>
                    <w:jc w:val="center"/>
                    <w:rPr>
                      <w:rFonts w:hAnsi="宋体"/>
                      <w:szCs w:val="21"/>
                    </w:rPr>
                  </w:pPr>
                  <w:r>
                    <w:rPr>
                      <w:rFonts w:hint="eastAsia" w:hAnsi="宋体"/>
                      <w:szCs w:val="21"/>
                    </w:rPr>
                    <w:t>位于2</w:t>
                  </w:r>
                  <w:r>
                    <w:rPr>
                      <w:rFonts w:hAnsi="宋体"/>
                      <w:szCs w:val="21"/>
                    </w:rPr>
                    <w:t>#</w:t>
                  </w:r>
                  <w:r>
                    <w:rPr>
                      <w:rFonts w:hint="eastAsia" w:hAnsi="宋体"/>
                      <w:szCs w:val="21"/>
                    </w:rPr>
                    <w:t>车间西部，建筑面积4</w:t>
                  </w:r>
                  <w:r>
                    <w:rPr>
                      <w:rFonts w:hAnsi="宋体"/>
                      <w:szCs w:val="21"/>
                    </w:rPr>
                    <w:t>00m</w:t>
                  </w:r>
                  <w:r>
                    <w:rPr>
                      <w:rFonts w:hAnsi="宋体"/>
                      <w:szCs w:val="21"/>
                      <w:vertAlign w:val="superscript"/>
                    </w:rPr>
                    <w:t>2</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rFonts w:hAnsi="宋体"/>
                      <w:szCs w:val="21"/>
                    </w:rPr>
                  </w:pPr>
                </w:p>
              </w:tc>
              <w:tc>
                <w:tcPr>
                  <w:tcW w:w="1045" w:type="dxa"/>
                  <w:vMerge w:val="continue"/>
                  <w:vAlign w:val="center"/>
                </w:tcPr>
                <w:p>
                  <w:pPr>
                    <w:jc w:val="center"/>
                    <w:rPr>
                      <w:rFonts w:hAnsi="宋体"/>
                      <w:szCs w:val="21"/>
                    </w:rPr>
                  </w:pPr>
                </w:p>
              </w:tc>
              <w:tc>
                <w:tcPr>
                  <w:tcW w:w="1136" w:type="dxa"/>
                  <w:gridSpan w:val="2"/>
                  <w:vAlign w:val="center"/>
                </w:tcPr>
                <w:p>
                  <w:pPr>
                    <w:jc w:val="center"/>
                    <w:rPr>
                      <w:rFonts w:hAnsi="宋体"/>
                      <w:szCs w:val="21"/>
                    </w:rPr>
                  </w:pPr>
                  <w:r>
                    <w:rPr>
                      <w:rFonts w:hint="eastAsia" w:hAnsi="宋体"/>
                      <w:szCs w:val="21"/>
                    </w:rPr>
                    <w:t>成品存放区</w:t>
                  </w:r>
                </w:p>
              </w:tc>
              <w:tc>
                <w:tcPr>
                  <w:tcW w:w="3499" w:type="dxa"/>
                  <w:vAlign w:val="center"/>
                </w:tcPr>
                <w:p>
                  <w:pPr>
                    <w:jc w:val="center"/>
                    <w:rPr>
                      <w:rFonts w:hAnsi="宋体"/>
                      <w:szCs w:val="21"/>
                    </w:rPr>
                  </w:pPr>
                  <w:r>
                    <w:rPr>
                      <w:rFonts w:hint="eastAsia" w:hAnsi="宋体"/>
                      <w:szCs w:val="21"/>
                    </w:rPr>
                    <w:t>位于2</w:t>
                  </w:r>
                  <w:r>
                    <w:rPr>
                      <w:rFonts w:hAnsi="宋体"/>
                      <w:szCs w:val="21"/>
                    </w:rPr>
                    <w:t>#</w:t>
                  </w:r>
                  <w:r>
                    <w:rPr>
                      <w:rFonts w:hint="eastAsia" w:hAnsi="宋体"/>
                      <w:szCs w:val="21"/>
                    </w:rPr>
                    <w:t>车间东部，建筑面积3</w:t>
                  </w:r>
                  <w:r>
                    <w:rPr>
                      <w:rFonts w:hAnsi="宋体"/>
                      <w:szCs w:val="21"/>
                    </w:rPr>
                    <w:t>00m</w:t>
                  </w:r>
                  <w:r>
                    <w:rPr>
                      <w:rFonts w:hAnsi="宋体"/>
                      <w:szCs w:val="21"/>
                      <w:vertAlign w:val="superscript"/>
                    </w:rPr>
                    <w:t>2</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rFonts w:hAnsi="宋体"/>
                      <w:szCs w:val="21"/>
                    </w:rPr>
                  </w:pPr>
                </w:p>
              </w:tc>
              <w:tc>
                <w:tcPr>
                  <w:tcW w:w="1045" w:type="dxa"/>
                  <w:vMerge w:val="continue"/>
                  <w:vAlign w:val="center"/>
                </w:tcPr>
                <w:p>
                  <w:pPr>
                    <w:jc w:val="center"/>
                    <w:rPr>
                      <w:rFonts w:hAnsi="宋体"/>
                      <w:szCs w:val="21"/>
                    </w:rPr>
                  </w:pPr>
                </w:p>
              </w:tc>
              <w:tc>
                <w:tcPr>
                  <w:tcW w:w="1136" w:type="dxa"/>
                  <w:gridSpan w:val="2"/>
                  <w:vAlign w:val="center"/>
                </w:tcPr>
                <w:p>
                  <w:pPr>
                    <w:jc w:val="center"/>
                    <w:rPr>
                      <w:rFonts w:hAnsi="宋体"/>
                      <w:szCs w:val="21"/>
                    </w:rPr>
                  </w:pPr>
                  <w:r>
                    <w:rPr>
                      <w:rFonts w:hint="eastAsia" w:hAnsi="宋体"/>
                      <w:szCs w:val="21"/>
                    </w:rPr>
                    <w:t>一般固废堆存区</w:t>
                  </w:r>
                </w:p>
              </w:tc>
              <w:tc>
                <w:tcPr>
                  <w:tcW w:w="3499" w:type="dxa"/>
                  <w:vAlign w:val="center"/>
                </w:tcPr>
                <w:p>
                  <w:pPr>
                    <w:jc w:val="center"/>
                    <w:rPr>
                      <w:rFonts w:hAnsi="宋体"/>
                      <w:szCs w:val="21"/>
                    </w:rPr>
                  </w:pPr>
                  <w:r>
                    <w:rPr>
                      <w:rFonts w:hint="eastAsia" w:hAnsi="宋体"/>
                      <w:szCs w:val="21"/>
                    </w:rPr>
                    <w:t>位于2</w:t>
                  </w:r>
                  <w:r>
                    <w:rPr>
                      <w:rFonts w:hAnsi="宋体"/>
                      <w:szCs w:val="21"/>
                    </w:rPr>
                    <w:t>#</w:t>
                  </w:r>
                  <w:r>
                    <w:rPr>
                      <w:rFonts w:hint="eastAsia" w:hAnsi="宋体"/>
                      <w:szCs w:val="21"/>
                    </w:rPr>
                    <w:t>车间东部，建筑面积1</w:t>
                  </w:r>
                  <w:r>
                    <w:rPr>
                      <w:rFonts w:hAnsi="宋体"/>
                      <w:szCs w:val="21"/>
                    </w:rPr>
                    <w:t>20m</w:t>
                  </w:r>
                  <w:r>
                    <w:rPr>
                      <w:rFonts w:hAnsi="宋体"/>
                      <w:szCs w:val="21"/>
                      <w:vertAlign w:val="superscript"/>
                    </w:rPr>
                    <w:t>2</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rFonts w:hAnsi="宋体"/>
                      <w:szCs w:val="21"/>
                    </w:rPr>
                  </w:pPr>
                </w:p>
              </w:tc>
              <w:tc>
                <w:tcPr>
                  <w:tcW w:w="1045" w:type="dxa"/>
                  <w:vMerge w:val="continue"/>
                  <w:vAlign w:val="center"/>
                </w:tcPr>
                <w:p>
                  <w:pPr>
                    <w:jc w:val="center"/>
                    <w:rPr>
                      <w:rFonts w:hAnsi="宋体"/>
                      <w:szCs w:val="21"/>
                    </w:rPr>
                  </w:pPr>
                </w:p>
              </w:tc>
              <w:tc>
                <w:tcPr>
                  <w:tcW w:w="1136" w:type="dxa"/>
                  <w:gridSpan w:val="2"/>
                  <w:vAlign w:val="center"/>
                </w:tcPr>
                <w:p>
                  <w:pPr>
                    <w:jc w:val="center"/>
                    <w:rPr>
                      <w:rFonts w:hAnsi="宋体"/>
                      <w:color w:val="0000FF"/>
                      <w:szCs w:val="21"/>
                    </w:rPr>
                  </w:pPr>
                  <w:r>
                    <w:rPr>
                      <w:rFonts w:hint="eastAsia" w:hAnsi="宋体"/>
                      <w:color w:val="0000FF"/>
                      <w:szCs w:val="21"/>
                    </w:rPr>
                    <w:t>危废贮存库</w:t>
                  </w:r>
                </w:p>
              </w:tc>
              <w:tc>
                <w:tcPr>
                  <w:tcW w:w="3499" w:type="dxa"/>
                  <w:vAlign w:val="center"/>
                </w:tcPr>
                <w:p>
                  <w:pPr>
                    <w:jc w:val="center"/>
                    <w:rPr>
                      <w:rFonts w:hAnsi="宋体"/>
                      <w:szCs w:val="21"/>
                    </w:rPr>
                  </w:pPr>
                  <w:r>
                    <w:rPr>
                      <w:rFonts w:hint="eastAsia" w:hAnsi="宋体"/>
                      <w:szCs w:val="21"/>
                    </w:rPr>
                    <w:t>位于2</w:t>
                  </w:r>
                  <w:r>
                    <w:rPr>
                      <w:rFonts w:hAnsi="宋体"/>
                      <w:szCs w:val="21"/>
                    </w:rPr>
                    <w:t>#</w:t>
                  </w:r>
                  <w:r>
                    <w:rPr>
                      <w:rFonts w:hint="eastAsia" w:hAnsi="宋体"/>
                      <w:szCs w:val="21"/>
                    </w:rPr>
                    <w:t>车间东部北侧，建筑面积2</w:t>
                  </w:r>
                  <w:r>
                    <w:rPr>
                      <w:rFonts w:hAnsi="宋体"/>
                      <w:szCs w:val="21"/>
                    </w:rPr>
                    <w:t>0m</w:t>
                  </w:r>
                  <w:r>
                    <w:rPr>
                      <w:rFonts w:hAnsi="宋体"/>
                      <w:szCs w:val="21"/>
                      <w:vertAlign w:val="superscript"/>
                    </w:rPr>
                    <w:t>2</w:t>
                  </w:r>
                </w:p>
              </w:tc>
              <w:tc>
                <w:tcPr>
                  <w:tcW w:w="1138" w:type="dxa"/>
                  <w:vAlign w:val="center"/>
                </w:tcPr>
                <w:p>
                  <w:pPr>
                    <w:jc w:val="center"/>
                    <w:rPr>
                      <w:rFonts w:hAnsi="宋体"/>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053" w:type="dxa"/>
                  <w:vAlign w:val="center"/>
                </w:tcPr>
                <w:p>
                  <w:pPr>
                    <w:jc w:val="center"/>
                    <w:rPr>
                      <w:szCs w:val="21"/>
                    </w:rPr>
                  </w:pPr>
                  <w:r>
                    <w:rPr>
                      <w:rFonts w:hAnsi="宋体"/>
                      <w:szCs w:val="21"/>
                    </w:rPr>
                    <w:t>辅助工程</w:t>
                  </w:r>
                </w:p>
              </w:tc>
              <w:tc>
                <w:tcPr>
                  <w:tcW w:w="1045" w:type="dxa"/>
                  <w:vAlign w:val="center"/>
                </w:tcPr>
                <w:p>
                  <w:pPr>
                    <w:jc w:val="center"/>
                    <w:rPr>
                      <w:szCs w:val="21"/>
                    </w:rPr>
                  </w:pPr>
                  <w:r>
                    <w:rPr>
                      <w:rFonts w:hint="eastAsia" w:hAnsi="宋体"/>
                      <w:szCs w:val="21"/>
                    </w:rPr>
                    <w:t>办公辅助用房</w:t>
                  </w:r>
                </w:p>
              </w:tc>
              <w:tc>
                <w:tcPr>
                  <w:tcW w:w="4635" w:type="dxa"/>
                  <w:gridSpan w:val="3"/>
                  <w:vAlign w:val="center"/>
                </w:tcPr>
                <w:p>
                  <w:pPr>
                    <w:jc w:val="center"/>
                    <w:rPr>
                      <w:szCs w:val="21"/>
                    </w:rPr>
                  </w:pPr>
                  <w:r>
                    <w:rPr>
                      <w:rFonts w:hint="eastAsia" w:hAnsi="宋体"/>
                      <w:szCs w:val="21"/>
                    </w:rPr>
                    <w:t>位于1</w:t>
                  </w:r>
                  <w:r>
                    <w:rPr>
                      <w:rFonts w:hAnsi="宋体"/>
                      <w:szCs w:val="21"/>
                    </w:rPr>
                    <w:t>#</w:t>
                  </w:r>
                  <w:r>
                    <w:rPr>
                      <w:rFonts w:hint="eastAsia" w:hAnsi="宋体"/>
                      <w:szCs w:val="21"/>
                    </w:rPr>
                    <w:t>车间东部，建设面积2</w:t>
                  </w:r>
                  <w:r>
                    <w:rPr>
                      <w:rFonts w:hAnsi="宋体"/>
                      <w:szCs w:val="21"/>
                    </w:rPr>
                    <w:t>00m</w:t>
                  </w:r>
                  <w:r>
                    <w:rPr>
                      <w:rFonts w:hAnsi="宋体"/>
                      <w:szCs w:val="21"/>
                      <w:vertAlign w:val="superscript"/>
                    </w:rPr>
                    <w:t>2</w:t>
                  </w:r>
                  <w:r>
                    <w:rPr>
                      <w:rFonts w:hint="eastAsia" w:hAnsi="宋体"/>
                      <w:szCs w:val="21"/>
                    </w:rPr>
                    <w:t>。</w:t>
                  </w:r>
                </w:p>
              </w:tc>
              <w:tc>
                <w:tcPr>
                  <w:tcW w:w="1138" w:type="dxa"/>
                  <w:vAlign w:val="center"/>
                </w:tcPr>
                <w:p>
                  <w:pPr>
                    <w:jc w:val="center"/>
                    <w:rPr>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053" w:type="dxa"/>
                  <w:vMerge w:val="restart"/>
                  <w:vAlign w:val="center"/>
                </w:tcPr>
                <w:p>
                  <w:pPr>
                    <w:jc w:val="center"/>
                    <w:rPr>
                      <w:szCs w:val="21"/>
                    </w:rPr>
                  </w:pPr>
                  <w:r>
                    <w:rPr>
                      <w:rFonts w:hAnsi="宋体"/>
                      <w:szCs w:val="21"/>
                    </w:rPr>
                    <w:t>储运工程</w:t>
                  </w:r>
                </w:p>
              </w:tc>
              <w:tc>
                <w:tcPr>
                  <w:tcW w:w="1045" w:type="dxa"/>
                  <w:vAlign w:val="center"/>
                </w:tcPr>
                <w:p>
                  <w:pPr>
                    <w:jc w:val="center"/>
                    <w:rPr>
                      <w:szCs w:val="21"/>
                    </w:rPr>
                  </w:pPr>
                  <w:r>
                    <w:rPr>
                      <w:szCs w:val="21"/>
                    </w:rPr>
                    <w:t>.</w:t>
                  </w:r>
                  <w:r>
                    <w:rPr>
                      <w:rFonts w:hint="eastAsia" w:hAnsi="宋体"/>
                      <w:szCs w:val="21"/>
                    </w:rPr>
                    <w:t>辅料库</w:t>
                  </w:r>
                  <w:r>
                    <w:rPr>
                      <w:szCs w:val="21"/>
                    </w:rPr>
                    <w:t xml:space="preserve"> </w:t>
                  </w:r>
                </w:p>
              </w:tc>
              <w:tc>
                <w:tcPr>
                  <w:tcW w:w="4635" w:type="dxa"/>
                  <w:gridSpan w:val="3"/>
                  <w:vAlign w:val="center"/>
                </w:tcPr>
                <w:p>
                  <w:pPr>
                    <w:jc w:val="center"/>
                    <w:rPr>
                      <w:szCs w:val="21"/>
                    </w:rPr>
                  </w:pPr>
                  <w:r>
                    <w:rPr>
                      <w:rFonts w:hint="eastAsia"/>
                      <w:szCs w:val="21"/>
                    </w:rPr>
                    <w:t>位于1</w:t>
                  </w:r>
                  <w:r>
                    <w:rPr>
                      <w:szCs w:val="21"/>
                    </w:rPr>
                    <w:t>#</w:t>
                  </w:r>
                  <w:r>
                    <w:rPr>
                      <w:rFonts w:hint="eastAsia"/>
                      <w:szCs w:val="21"/>
                    </w:rPr>
                    <w:t>车间东部北侧，建筑面积7</w:t>
                  </w:r>
                  <w:r>
                    <w:rPr>
                      <w:szCs w:val="21"/>
                    </w:rPr>
                    <w:t>0m</w:t>
                  </w:r>
                  <w:r>
                    <w:rPr>
                      <w:szCs w:val="21"/>
                      <w:vertAlign w:val="superscript"/>
                    </w:rPr>
                    <w:t>2</w:t>
                  </w:r>
                </w:p>
              </w:tc>
              <w:tc>
                <w:tcPr>
                  <w:tcW w:w="1138" w:type="dxa"/>
                  <w:vAlign w:val="center"/>
                </w:tcPr>
                <w:p>
                  <w:pPr>
                    <w:jc w:val="center"/>
                    <w:rPr>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053" w:type="dxa"/>
                  <w:vMerge w:val="continue"/>
                  <w:vAlign w:val="center"/>
                </w:tcPr>
                <w:p>
                  <w:pPr>
                    <w:jc w:val="center"/>
                    <w:rPr>
                      <w:rFonts w:hAnsi="宋体"/>
                      <w:szCs w:val="21"/>
                    </w:rPr>
                  </w:pPr>
                </w:p>
              </w:tc>
              <w:tc>
                <w:tcPr>
                  <w:tcW w:w="1045" w:type="dxa"/>
                  <w:vMerge w:val="restart"/>
                  <w:vAlign w:val="center"/>
                </w:tcPr>
                <w:p>
                  <w:pPr>
                    <w:jc w:val="center"/>
                    <w:rPr>
                      <w:szCs w:val="21"/>
                    </w:rPr>
                  </w:pPr>
                  <w:r>
                    <w:rPr>
                      <w:rFonts w:hint="eastAsia"/>
                      <w:szCs w:val="21"/>
                    </w:rPr>
                    <w:t>运输</w:t>
                  </w:r>
                </w:p>
              </w:tc>
              <w:tc>
                <w:tcPr>
                  <w:tcW w:w="4635" w:type="dxa"/>
                  <w:gridSpan w:val="3"/>
                  <w:vAlign w:val="center"/>
                </w:tcPr>
                <w:p>
                  <w:pPr>
                    <w:jc w:val="center"/>
                    <w:rPr>
                      <w:szCs w:val="21"/>
                    </w:rPr>
                  </w:pPr>
                  <w:r>
                    <w:rPr>
                      <w:rFonts w:hint="eastAsia"/>
                      <w:szCs w:val="21"/>
                    </w:rPr>
                    <w:t>外部运输：原</w:t>
                  </w:r>
                  <w:r>
                    <w:rPr>
                      <w:rFonts w:hint="eastAsia" w:hAnsi="宋体"/>
                      <w:szCs w:val="21"/>
                    </w:rPr>
                    <w:t>料及产品运输委托社会车辆进行</w:t>
                  </w:r>
                </w:p>
              </w:tc>
              <w:tc>
                <w:tcPr>
                  <w:tcW w:w="1138" w:type="dxa"/>
                  <w:vAlign w:val="center"/>
                </w:tcPr>
                <w:p>
                  <w:pPr>
                    <w:jc w:val="center"/>
                    <w:rPr>
                      <w:rFonts w:hAnsi="宋体"/>
                      <w:szCs w:val="21"/>
                    </w:rPr>
                  </w:pPr>
                  <w:r>
                    <w:rPr>
                      <w:rFonts w:hint="eastAsia"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1053" w:type="dxa"/>
                  <w:vMerge w:val="continue"/>
                  <w:vAlign w:val="center"/>
                </w:tcPr>
                <w:p>
                  <w:pPr>
                    <w:jc w:val="center"/>
                    <w:rPr>
                      <w:rFonts w:hAnsi="宋体"/>
                      <w:szCs w:val="21"/>
                    </w:rPr>
                  </w:pPr>
                </w:p>
              </w:tc>
              <w:tc>
                <w:tcPr>
                  <w:tcW w:w="1045" w:type="dxa"/>
                  <w:vMerge w:val="continue"/>
                  <w:vAlign w:val="center"/>
                </w:tcPr>
                <w:p>
                  <w:pPr>
                    <w:jc w:val="center"/>
                    <w:rPr>
                      <w:szCs w:val="21"/>
                    </w:rPr>
                  </w:pPr>
                </w:p>
              </w:tc>
              <w:tc>
                <w:tcPr>
                  <w:tcW w:w="4635" w:type="dxa"/>
                  <w:gridSpan w:val="3"/>
                  <w:vAlign w:val="center"/>
                </w:tcPr>
                <w:p>
                  <w:pPr>
                    <w:jc w:val="center"/>
                    <w:rPr>
                      <w:szCs w:val="21"/>
                    </w:rPr>
                  </w:pPr>
                  <w:r>
                    <w:rPr>
                      <w:rFonts w:hint="eastAsia"/>
                      <w:szCs w:val="21"/>
                    </w:rPr>
                    <w:t>内部运输：车间原料及产品间转移拟采用电动叉车或人工平板车</w:t>
                  </w:r>
                </w:p>
              </w:tc>
              <w:tc>
                <w:tcPr>
                  <w:tcW w:w="1138" w:type="dxa"/>
                  <w:vAlign w:val="center"/>
                </w:tcPr>
                <w:p>
                  <w:pPr>
                    <w:jc w:val="center"/>
                    <w:rPr>
                      <w:rFonts w:hAnsi="宋体"/>
                      <w:szCs w:val="21"/>
                    </w:rPr>
                  </w:pPr>
                  <w:r>
                    <w:rPr>
                      <w:rFonts w:hint="eastAsia"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restart"/>
                  <w:vAlign w:val="center"/>
                </w:tcPr>
                <w:p>
                  <w:pPr>
                    <w:jc w:val="center"/>
                    <w:rPr>
                      <w:szCs w:val="21"/>
                    </w:rPr>
                  </w:pPr>
                  <w:r>
                    <w:rPr>
                      <w:rFonts w:hAnsi="宋体"/>
                      <w:szCs w:val="21"/>
                    </w:rPr>
                    <w:t>公用工程</w:t>
                  </w:r>
                </w:p>
              </w:tc>
              <w:tc>
                <w:tcPr>
                  <w:tcW w:w="1045" w:type="dxa"/>
                  <w:vAlign w:val="center"/>
                </w:tcPr>
                <w:p>
                  <w:pPr>
                    <w:jc w:val="center"/>
                    <w:rPr>
                      <w:szCs w:val="21"/>
                    </w:rPr>
                  </w:pPr>
                  <w:r>
                    <w:rPr>
                      <w:rFonts w:hAnsi="宋体"/>
                      <w:szCs w:val="21"/>
                    </w:rPr>
                    <w:t>供电</w:t>
                  </w:r>
                </w:p>
              </w:tc>
              <w:tc>
                <w:tcPr>
                  <w:tcW w:w="4635" w:type="dxa"/>
                  <w:gridSpan w:val="3"/>
                  <w:vAlign w:val="center"/>
                </w:tcPr>
                <w:p>
                  <w:pPr>
                    <w:jc w:val="center"/>
                    <w:rPr>
                      <w:szCs w:val="21"/>
                    </w:rPr>
                  </w:pPr>
                  <w:r>
                    <w:rPr>
                      <w:rFonts w:hAnsi="宋体"/>
                      <w:szCs w:val="21"/>
                    </w:rPr>
                    <w:t>供电由市政电网供给</w:t>
                  </w:r>
                </w:p>
              </w:tc>
              <w:tc>
                <w:tcPr>
                  <w:tcW w:w="1138"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szCs w:val="21"/>
                    </w:rPr>
                  </w:pPr>
                </w:p>
              </w:tc>
              <w:tc>
                <w:tcPr>
                  <w:tcW w:w="1045" w:type="dxa"/>
                  <w:vAlign w:val="center"/>
                </w:tcPr>
                <w:p>
                  <w:pPr>
                    <w:jc w:val="center"/>
                    <w:rPr>
                      <w:szCs w:val="21"/>
                    </w:rPr>
                  </w:pPr>
                  <w:r>
                    <w:rPr>
                      <w:rFonts w:hAnsi="宋体"/>
                      <w:szCs w:val="21"/>
                    </w:rPr>
                    <w:t>给水</w:t>
                  </w:r>
                </w:p>
              </w:tc>
              <w:tc>
                <w:tcPr>
                  <w:tcW w:w="4635" w:type="dxa"/>
                  <w:gridSpan w:val="3"/>
                  <w:vAlign w:val="center"/>
                </w:tcPr>
                <w:p>
                  <w:pPr>
                    <w:jc w:val="center"/>
                    <w:rPr>
                      <w:szCs w:val="21"/>
                    </w:rPr>
                  </w:pPr>
                  <w:r>
                    <w:rPr>
                      <w:rFonts w:hAnsi="宋体"/>
                      <w:szCs w:val="21"/>
                    </w:rPr>
                    <w:t>用水由</w:t>
                  </w:r>
                  <w:r>
                    <w:rPr>
                      <w:rFonts w:hint="eastAsia" w:hAnsi="宋体"/>
                      <w:szCs w:val="21"/>
                    </w:rPr>
                    <w:t>市政供水管网供给</w:t>
                  </w:r>
                </w:p>
              </w:tc>
              <w:tc>
                <w:tcPr>
                  <w:tcW w:w="1138"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szCs w:val="21"/>
                    </w:rPr>
                  </w:pPr>
                </w:p>
              </w:tc>
              <w:tc>
                <w:tcPr>
                  <w:tcW w:w="1045" w:type="dxa"/>
                  <w:vAlign w:val="center"/>
                </w:tcPr>
                <w:p>
                  <w:pPr>
                    <w:jc w:val="center"/>
                    <w:rPr>
                      <w:szCs w:val="21"/>
                    </w:rPr>
                  </w:pPr>
                  <w:r>
                    <w:rPr>
                      <w:rFonts w:hAnsi="宋体"/>
                      <w:szCs w:val="21"/>
                    </w:rPr>
                    <w:t>采暖与制冷</w:t>
                  </w:r>
                </w:p>
              </w:tc>
              <w:tc>
                <w:tcPr>
                  <w:tcW w:w="4635" w:type="dxa"/>
                  <w:gridSpan w:val="3"/>
                  <w:vAlign w:val="center"/>
                </w:tcPr>
                <w:p>
                  <w:pPr>
                    <w:jc w:val="center"/>
                    <w:rPr>
                      <w:szCs w:val="21"/>
                    </w:rPr>
                  </w:pPr>
                  <w:r>
                    <w:rPr>
                      <w:rFonts w:hAnsi="宋体"/>
                      <w:szCs w:val="21"/>
                    </w:rPr>
                    <w:t>生产区无采暖及制冷措施，</w:t>
                  </w:r>
                  <w:r>
                    <w:rPr>
                      <w:rFonts w:hint="eastAsia" w:hAnsi="宋体"/>
                      <w:szCs w:val="21"/>
                    </w:rPr>
                    <w:t>办公区</w:t>
                  </w:r>
                  <w:r>
                    <w:rPr>
                      <w:rFonts w:hAnsi="宋体"/>
                      <w:szCs w:val="21"/>
                    </w:rPr>
                    <w:t>采用分体式空调采暖与制冷</w:t>
                  </w:r>
                </w:p>
              </w:tc>
              <w:tc>
                <w:tcPr>
                  <w:tcW w:w="1138" w:type="dxa"/>
                  <w:vAlign w:val="center"/>
                </w:tcPr>
                <w:p>
                  <w:pPr>
                    <w:jc w:val="center"/>
                    <w:rPr>
                      <w:szCs w:val="21"/>
                    </w:rPr>
                  </w:pPr>
                  <w:r>
                    <w:rPr>
                      <w:rFonts w:hint="eastAsia"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szCs w:val="21"/>
                    </w:rPr>
                  </w:pPr>
                </w:p>
              </w:tc>
              <w:tc>
                <w:tcPr>
                  <w:tcW w:w="1045" w:type="dxa"/>
                  <w:vAlign w:val="center"/>
                </w:tcPr>
                <w:p>
                  <w:pPr>
                    <w:jc w:val="center"/>
                    <w:rPr>
                      <w:szCs w:val="21"/>
                    </w:rPr>
                  </w:pPr>
                  <w:r>
                    <w:rPr>
                      <w:rFonts w:hAnsi="宋体"/>
                      <w:szCs w:val="21"/>
                    </w:rPr>
                    <w:t>排水</w:t>
                  </w:r>
                </w:p>
              </w:tc>
              <w:tc>
                <w:tcPr>
                  <w:tcW w:w="4635" w:type="dxa"/>
                  <w:gridSpan w:val="3"/>
                  <w:vAlign w:val="center"/>
                </w:tcPr>
                <w:p>
                  <w:pPr>
                    <w:jc w:val="center"/>
                    <w:rPr>
                      <w:szCs w:val="21"/>
                    </w:rPr>
                  </w:pPr>
                  <w:r>
                    <w:rPr>
                      <w:rFonts w:hint="eastAsia"/>
                      <w:szCs w:val="21"/>
                    </w:rPr>
                    <w:t>雨污分流。生产废水循环使用不外排；生活污水经厂区化粪池后，排入园区污水管网，最终进入五里镇污水处理厂处理</w:t>
                  </w:r>
                </w:p>
              </w:tc>
              <w:tc>
                <w:tcPr>
                  <w:tcW w:w="1138" w:type="dxa"/>
                  <w:vAlign w:val="center"/>
                </w:tcPr>
                <w:p>
                  <w:pPr>
                    <w:jc w:val="center"/>
                    <w:rPr>
                      <w:szCs w:val="21"/>
                    </w:rPr>
                  </w:pPr>
                  <w:r>
                    <w:rPr>
                      <w:rFonts w:hint="eastAsia" w:hAnsi="宋体"/>
                      <w:szCs w:val="21"/>
                    </w:rPr>
                    <w:t>/</w:t>
                  </w:r>
                  <w:r>
                    <w:rPr>
                      <w:rFonts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4" w:hRule="atLeast"/>
                <w:jc w:val="center"/>
              </w:trPr>
              <w:tc>
                <w:tcPr>
                  <w:tcW w:w="1053" w:type="dxa"/>
                  <w:vMerge w:val="restart"/>
                  <w:vAlign w:val="center"/>
                </w:tcPr>
                <w:p>
                  <w:pPr>
                    <w:jc w:val="center"/>
                    <w:rPr>
                      <w:szCs w:val="21"/>
                    </w:rPr>
                  </w:pPr>
                  <w:r>
                    <w:rPr>
                      <w:rFonts w:hAnsi="宋体"/>
                      <w:szCs w:val="21"/>
                    </w:rPr>
                    <w:t>环保工程</w:t>
                  </w:r>
                </w:p>
              </w:tc>
              <w:tc>
                <w:tcPr>
                  <w:tcW w:w="1045" w:type="dxa"/>
                  <w:vAlign w:val="center"/>
                </w:tcPr>
                <w:p>
                  <w:pPr>
                    <w:jc w:val="center"/>
                    <w:rPr>
                      <w:szCs w:val="21"/>
                    </w:rPr>
                  </w:pPr>
                  <w:r>
                    <w:rPr>
                      <w:rFonts w:hAnsi="宋体"/>
                      <w:szCs w:val="21"/>
                    </w:rPr>
                    <w:t>废气</w:t>
                  </w:r>
                </w:p>
              </w:tc>
              <w:tc>
                <w:tcPr>
                  <w:tcW w:w="4635" w:type="dxa"/>
                  <w:gridSpan w:val="3"/>
                  <w:vAlign w:val="center"/>
                </w:tcPr>
                <w:p>
                  <w:pPr>
                    <w:jc w:val="center"/>
                    <w:rPr>
                      <w:szCs w:val="21"/>
                    </w:rPr>
                  </w:pPr>
                  <w:r>
                    <w:rPr>
                      <w:rFonts w:hint="eastAsia" w:hAnsi="宋体"/>
                      <w:szCs w:val="21"/>
                    </w:rPr>
                    <w:t>涂胶、打胶工序产生的有机废气：经集气罩收集后经活性炭吸附装置处理后，通过1根1</w:t>
                  </w:r>
                  <w:r>
                    <w:rPr>
                      <w:rFonts w:hAnsi="宋体"/>
                      <w:szCs w:val="21"/>
                    </w:rPr>
                    <w:t>5m</w:t>
                  </w:r>
                  <w:r>
                    <w:rPr>
                      <w:rFonts w:hint="eastAsia" w:hAnsi="宋体"/>
                      <w:szCs w:val="21"/>
                    </w:rPr>
                    <w:t>排气筒（</w:t>
                  </w:r>
                  <w:r>
                    <w:rPr>
                      <w:rFonts w:hAnsi="宋体"/>
                      <w:szCs w:val="21"/>
                    </w:rPr>
                    <w:t>DA001</w:t>
                  </w:r>
                  <w:r>
                    <w:rPr>
                      <w:rFonts w:hint="eastAsia" w:hAnsi="宋体"/>
                      <w:szCs w:val="21"/>
                    </w:rPr>
                    <w:t>）达标排放</w:t>
                  </w:r>
                </w:p>
              </w:tc>
              <w:tc>
                <w:tcPr>
                  <w:tcW w:w="1138" w:type="dxa"/>
                  <w:vAlign w:val="center"/>
                </w:tcPr>
                <w:p>
                  <w:pPr>
                    <w:jc w:val="center"/>
                    <w:rPr>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053" w:type="dxa"/>
                  <w:vMerge w:val="continue"/>
                  <w:vAlign w:val="center"/>
                </w:tcPr>
                <w:p>
                  <w:pPr>
                    <w:jc w:val="center"/>
                    <w:rPr>
                      <w:szCs w:val="21"/>
                    </w:rPr>
                  </w:pPr>
                </w:p>
              </w:tc>
              <w:tc>
                <w:tcPr>
                  <w:tcW w:w="1045" w:type="dxa"/>
                  <w:vMerge w:val="restart"/>
                  <w:vAlign w:val="center"/>
                </w:tcPr>
                <w:p>
                  <w:pPr>
                    <w:jc w:val="center"/>
                    <w:rPr>
                      <w:szCs w:val="21"/>
                    </w:rPr>
                  </w:pPr>
                  <w:r>
                    <w:rPr>
                      <w:rFonts w:hAnsi="宋体"/>
                      <w:szCs w:val="21"/>
                    </w:rPr>
                    <w:t>废水</w:t>
                  </w:r>
                </w:p>
              </w:tc>
              <w:tc>
                <w:tcPr>
                  <w:tcW w:w="663" w:type="dxa"/>
                  <w:vAlign w:val="center"/>
                </w:tcPr>
                <w:p>
                  <w:pPr>
                    <w:jc w:val="center"/>
                    <w:rPr>
                      <w:szCs w:val="21"/>
                    </w:rPr>
                  </w:pPr>
                  <w:r>
                    <w:rPr>
                      <w:rFonts w:hAnsi="宋体"/>
                      <w:szCs w:val="21"/>
                    </w:rPr>
                    <w:t>生产废水</w:t>
                  </w:r>
                </w:p>
              </w:tc>
              <w:tc>
                <w:tcPr>
                  <w:tcW w:w="3972" w:type="dxa"/>
                  <w:gridSpan w:val="2"/>
                  <w:vAlign w:val="center"/>
                </w:tcPr>
                <w:p>
                  <w:pPr>
                    <w:rPr>
                      <w:szCs w:val="21"/>
                    </w:rPr>
                  </w:pPr>
                  <w:r>
                    <w:rPr>
                      <w:szCs w:val="21"/>
                    </w:rPr>
                    <w:t>5</w:t>
                  </w:r>
                  <w:r>
                    <w:rPr>
                      <w:rFonts w:hint="eastAsia"/>
                      <w:szCs w:val="21"/>
                    </w:rPr>
                    <w:t>m</w:t>
                  </w:r>
                  <w:r>
                    <w:rPr>
                      <w:szCs w:val="21"/>
                      <w:vertAlign w:val="superscript"/>
                    </w:rPr>
                    <w:t>3</w:t>
                  </w:r>
                  <w:r>
                    <w:rPr>
                      <w:rFonts w:hint="eastAsia"/>
                      <w:szCs w:val="21"/>
                    </w:rPr>
                    <w:t>循环水箱</w:t>
                  </w:r>
                  <w:r>
                    <w:rPr>
                      <w:szCs w:val="21"/>
                    </w:rPr>
                    <w:t>1</w:t>
                  </w:r>
                  <w:r>
                    <w:rPr>
                      <w:rFonts w:hint="eastAsia"/>
                      <w:szCs w:val="21"/>
                    </w:rPr>
                    <w:t>个、1</w:t>
                  </w:r>
                  <w:r>
                    <w:rPr>
                      <w:szCs w:val="21"/>
                    </w:rPr>
                    <w:t>0m</w:t>
                  </w:r>
                  <w:r>
                    <w:rPr>
                      <w:szCs w:val="21"/>
                      <w:vertAlign w:val="superscript"/>
                    </w:rPr>
                    <w:t>3</w:t>
                  </w:r>
                  <w:r>
                    <w:rPr>
                      <w:rFonts w:hint="eastAsia"/>
                      <w:szCs w:val="21"/>
                    </w:rPr>
                    <w:t>循环水箱</w:t>
                  </w:r>
                  <w:r>
                    <w:rPr>
                      <w:szCs w:val="21"/>
                    </w:rPr>
                    <w:t>1</w:t>
                  </w:r>
                  <w:r>
                    <w:rPr>
                      <w:rFonts w:hint="eastAsia"/>
                      <w:szCs w:val="21"/>
                    </w:rPr>
                    <w:t>个。打磨及清洗废水经沉淀后循环使用不外排</w:t>
                  </w:r>
                </w:p>
              </w:tc>
              <w:tc>
                <w:tcPr>
                  <w:tcW w:w="1138" w:type="dxa"/>
                  <w:vAlign w:val="center"/>
                </w:tcPr>
                <w:p>
                  <w:pPr>
                    <w:jc w:val="center"/>
                    <w:rPr>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1053" w:type="dxa"/>
                  <w:vMerge w:val="continue"/>
                  <w:vAlign w:val="center"/>
                </w:tcPr>
                <w:p>
                  <w:pPr>
                    <w:jc w:val="center"/>
                    <w:rPr>
                      <w:szCs w:val="21"/>
                    </w:rPr>
                  </w:pPr>
                </w:p>
              </w:tc>
              <w:tc>
                <w:tcPr>
                  <w:tcW w:w="1045" w:type="dxa"/>
                  <w:vMerge w:val="continue"/>
                  <w:vAlign w:val="center"/>
                </w:tcPr>
                <w:p>
                  <w:pPr>
                    <w:jc w:val="center"/>
                    <w:rPr>
                      <w:szCs w:val="21"/>
                    </w:rPr>
                  </w:pPr>
                </w:p>
              </w:tc>
              <w:tc>
                <w:tcPr>
                  <w:tcW w:w="663" w:type="dxa"/>
                  <w:vAlign w:val="center"/>
                </w:tcPr>
                <w:p>
                  <w:pPr>
                    <w:jc w:val="center"/>
                    <w:rPr>
                      <w:szCs w:val="21"/>
                    </w:rPr>
                  </w:pPr>
                  <w:r>
                    <w:rPr>
                      <w:rFonts w:hAnsi="宋体"/>
                      <w:szCs w:val="21"/>
                    </w:rPr>
                    <w:t>生活污水</w:t>
                  </w:r>
                </w:p>
              </w:tc>
              <w:tc>
                <w:tcPr>
                  <w:tcW w:w="3972" w:type="dxa"/>
                  <w:gridSpan w:val="2"/>
                  <w:vAlign w:val="center"/>
                </w:tcPr>
                <w:p>
                  <w:pPr>
                    <w:jc w:val="center"/>
                    <w:rPr>
                      <w:szCs w:val="21"/>
                    </w:rPr>
                  </w:pPr>
                  <w:r>
                    <w:rPr>
                      <w:rFonts w:hint="eastAsia"/>
                      <w:szCs w:val="21"/>
                    </w:rPr>
                    <w:t>5</w:t>
                  </w:r>
                  <w:r>
                    <w:rPr>
                      <w:szCs w:val="21"/>
                    </w:rPr>
                    <w:t>m</w:t>
                  </w:r>
                  <w:r>
                    <w:rPr>
                      <w:szCs w:val="21"/>
                      <w:vertAlign w:val="superscript"/>
                    </w:rPr>
                    <w:t>3</w:t>
                  </w:r>
                  <w:r>
                    <w:rPr>
                      <w:rFonts w:hint="eastAsia"/>
                      <w:szCs w:val="21"/>
                    </w:rPr>
                    <w:t>化粪池1座，生活污水经化粪池后排入园区污水管网，进入五里镇污水处理厂</w:t>
                  </w:r>
                </w:p>
              </w:tc>
              <w:tc>
                <w:tcPr>
                  <w:tcW w:w="1138" w:type="dxa"/>
                  <w:vAlign w:val="center"/>
                </w:tcPr>
                <w:p>
                  <w:pPr>
                    <w:jc w:val="center"/>
                    <w:rPr>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szCs w:val="21"/>
                    </w:rPr>
                  </w:pPr>
                </w:p>
              </w:tc>
              <w:tc>
                <w:tcPr>
                  <w:tcW w:w="1045" w:type="dxa"/>
                  <w:vAlign w:val="center"/>
                </w:tcPr>
                <w:p>
                  <w:pPr>
                    <w:jc w:val="center"/>
                    <w:rPr>
                      <w:szCs w:val="21"/>
                    </w:rPr>
                  </w:pPr>
                  <w:r>
                    <w:rPr>
                      <w:rFonts w:hAnsi="宋体"/>
                      <w:szCs w:val="21"/>
                    </w:rPr>
                    <w:t>噪声</w:t>
                  </w:r>
                </w:p>
              </w:tc>
              <w:tc>
                <w:tcPr>
                  <w:tcW w:w="4635" w:type="dxa"/>
                  <w:gridSpan w:val="3"/>
                  <w:vAlign w:val="center"/>
                </w:tcPr>
                <w:p>
                  <w:pPr>
                    <w:jc w:val="center"/>
                    <w:rPr>
                      <w:szCs w:val="21"/>
                    </w:rPr>
                  </w:pPr>
                  <w:r>
                    <w:rPr>
                      <w:rFonts w:hAnsi="宋体"/>
                      <w:szCs w:val="21"/>
                    </w:rPr>
                    <w:t>选用低噪声设备，合理布局，并采用厂房隔声、基础减振、强化管理等措施</w:t>
                  </w:r>
                </w:p>
              </w:tc>
              <w:tc>
                <w:tcPr>
                  <w:tcW w:w="1138" w:type="dxa"/>
                  <w:vAlign w:val="center"/>
                </w:tcPr>
                <w:p>
                  <w:pPr>
                    <w:jc w:val="center"/>
                    <w:rPr>
                      <w:szCs w:val="21"/>
                    </w:rPr>
                  </w:pPr>
                  <w:r>
                    <w:rPr>
                      <w:rFonts w:hint="eastAsia" w:hAnsi="宋体"/>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53" w:type="dxa"/>
                  <w:vMerge w:val="continue"/>
                  <w:vAlign w:val="center"/>
                </w:tcPr>
                <w:p>
                  <w:pPr>
                    <w:jc w:val="center"/>
                    <w:rPr>
                      <w:szCs w:val="21"/>
                    </w:rPr>
                  </w:pPr>
                </w:p>
              </w:tc>
              <w:tc>
                <w:tcPr>
                  <w:tcW w:w="1045" w:type="dxa"/>
                  <w:vAlign w:val="center"/>
                </w:tcPr>
                <w:p>
                  <w:pPr>
                    <w:jc w:val="center"/>
                    <w:rPr>
                      <w:szCs w:val="21"/>
                    </w:rPr>
                  </w:pPr>
                  <w:r>
                    <w:rPr>
                      <w:rFonts w:hAnsi="宋体"/>
                      <w:szCs w:val="21"/>
                    </w:rPr>
                    <w:t>固废</w:t>
                  </w:r>
                </w:p>
              </w:tc>
              <w:tc>
                <w:tcPr>
                  <w:tcW w:w="4635" w:type="dxa"/>
                  <w:gridSpan w:val="3"/>
                  <w:vAlign w:val="center"/>
                </w:tcPr>
                <w:p>
                  <w:pPr>
                    <w:jc w:val="center"/>
                    <w:rPr>
                      <w:rFonts w:hAnsi="宋体"/>
                      <w:szCs w:val="21"/>
                    </w:rPr>
                  </w:pPr>
                  <w:r>
                    <w:rPr>
                      <w:rFonts w:hint="eastAsia" w:ascii="宋体" w:hAnsi="宋体" w:cs="宋体"/>
                      <w:szCs w:val="21"/>
                    </w:rPr>
                    <w:t>①</w:t>
                  </w:r>
                  <w:r>
                    <w:rPr>
                      <w:rFonts w:hint="eastAsia" w:hAnsi="宋体"/>
                      <w:szCs w:val="21"/>
                    </w:rPr>
                    <w:t>一般固废：主要包括废边角料、不合格产品、玻璃沉渣和废包装材料等，收集存放于一般固废堆存区，定期外售专业固废回收单位；</w:t>
                  </w:r>
                  <w:r>
                    <w:rPr>
                      <w:rFonts w:hint="eastAsia" w:ascii="宋体" w:hAnsi="宋体" w:cs="宋体"/>
                      <w:szCs w:val="21"/>
                    </w:rPr>
                    <w:t>②</w:t>
                  </w:r>
                  <w:r>
                    <w:rPr>
                      <w:rFonts w:hint="eastAsia" w:hAnsi="宋体"/>
                      <w:szCs w:val="21"/>
                    </w:rPr>
                    <w:t>生活垃圾：垃圾桶收集后定期交当地环卫部门处置；</w:t>
                  </w:r>
                  <w:r>
                    <w:rPr>
                      <w:rFonts w:hint="eastAsia" w:ascii="宋体" w:hAnsi="宋体" w:cs="宋体"/>
                      <w:szCs w:val="21"/>
                    </w:rPr>
                    <w:t>③</w:t>
                  </w:r>
                  <w:r>
                    <w:rPr>
                      <w:rFonts w:hint="eastAsia" w:hAnsi="宋体"/>
                      <w:szCs w:val="21"/>
                    </w:rPr>
                    <w:t>危险废物：主要包括废活性炭、废润滑油、含油抹布、废胶桶等，</w:t>
                  </w:r>
                  <w:r>
                    <w:rPr>
                      <w:rFonts w:hint="eastAsia" w:hAnsi="宋体"/>
                      <w:color w:val="0000FF"/>
                      <w:szCs w:val="21"/>
                    </w:rPr>
                    <w:t>分类收集后</w:t>
                  </w:r>
                  <w:r>
                    <w:rPr>
                      <w:rFonts w:hint="eastAsia" w:hAnsi="宋体"/>
                      <w:szCs w:val="21"/>
                    </w:rPr>
                    <w:t>存放于</w:t>
                  </w:r>
                  <w:r>
                    <w:rPr>
                      <w:rFonts w:hint="eastAsia" w:hAnsi="宋体"/>
                      <w:color w:val="0000FF"/>
                      <w:szCs w:val="21"/>
                    </w:rPr>
                    <w:t>危废贮存库</w:t>
                  </w:r>
                  <w:r>
                    <w:rPr>
                      <w:rFonts w:hint="eastAsia" w:hAnsi="宋体"/>
                      <w:szCs w:val="21"/>
                    </w:rPr>
                    <w:t>内，定期交有资质单位处置。</w:t>
                  </w:r>
                </w:p>
              </w:tc>
              <w:tc>
                <w:tcPr>
                  <w:tcW w:w="1138" w:type="dxa"/>
                  <w:vAlign w:val="center"/>
                </w:tcPr>
                <w:p>
                  <w:pPr>
                    <w:jc w:val="center"/>
                    <w:rPr>
                      <w:szCs w:val="21"/>
                    </w:rPr>
                  </w:pPr>
                  <w:r>
                    <w:rPr>
                      <w:rFonts w:hint="eastAsia"/>
                      <w:szCs w:val="21"/>
                    </w:rPr>
                    <w:t>新建</w:t>
                  </w:r>
                </w:p>
              </w:tc>
            </w:tr>
          </w:tbl>
          <w:p>
            <w:pPr>
              <w:pStyle w:val="2"/>
              <w:spacing w:line="360" w:lineRule="auto"/>
              <w:ind w:firstLine="417" w:firstLineChars="198"/>
              <w:rPr>
                <w:rFonts w:ascii="Times New Roman" w:cs="Times New Roman"/>
                <w:b/>
                <w:color w:val="auto"/>
                <w:sz w:val="21"/>
                <w:szCs w:val="21"/>
              </w:rPr>
            </w:pPr>
            <w:r>
              <w:rPr>
                <w:rFonts w:hint="eastAsia" w:ascii="Times New Roman" w:cs="Times New Roman"/>
                <w:b/>
                <w:color w:val="auto"/>
                <w:sz w:val="21"/>
                <w:szCs w:val="21"/>
              </w:rPr>
              <w:t>2、产品方案</w:t>
            </w:r>
          </w:p>
          <w:p>
            <w:pPr>
              <w:pStyle w:val="2"/>
              <w:spacing w:line="360" w:lineRule="auto"/>
              <w:ind w:firstLine="415" w:firstLineChars="198"/>
              <w:rPr>
                <w:rFonts w:ascii="Times New Roman" w:cs="Times New Roman"/>
                <w:color w:val="auto"/>
                <w:sz w:val="21"/>
                <w:szCs w:val="21"/>
              </w:rPr>
            </w:pPr>
            <w:r>
              <w:rPr>
                <w:rFonts w:ascii="Times New Roman" w:cs="Times New Roman"/>
                <w:color w:val="auto"/>
                <w:sz w:val="21"/>
                <w:szCs w:val="21"/>
              </w:rPr>
              <w:t>本项目产品包括钢化功能玻璃和钢化节能中空玻璃，</w:t>
            </w:r>
            <w:r>
              <w:rPr>
                <w:rFonts w:hint="eastAsia" w:ascii="Times New Roman" w:cs="Times New Roman"/>
                <w:color w:val="auto"/>
                <w:sz w:val="21"/>
                <w:szCs w:val="21"/>
              </w:rPr>
              <w:t>产品尺寸根据客户需求而定。</w:t>
            </w:r>
            <w:r>
              <w:rPr>
                <w:rFonts w:ascii="Times New Roman" w:cs="Times New Roman"/>
                <w:color w:val="auto"/>
                <w:sz w:val="21"/>
                <w:szCs w:val="21"/>
              </w:rPr>
              <w:t>其中，年生产钢化功能玻璃80万m</w:t>
            </w:r>
            <w:r>
              <w:rPr>
                <w:rFonts w:ascii="Times New Roman" w:cs="Times New Roman"/>
                <w:color w:val="auto"/>
                <w:sz w:val="21"/>
                <w:szCs w:val="21"/>
                <w:vertAlign w:val="superscript"/>
              </w:rPr>
              <w:t>2</w:t>
            </w:r>
            <w:r>
              <w:rPr>
                <w:rFonts w:ascii="Times New Roman" w:cs="Times New Roman"/>
                <w:color w:val="auto"/>
                <w:sz w:val="21"/>
                <w:szCs w:val="21"/>
              </w:rPr>
              <w:t>，40万m</w:t>
            </w:r>
            <w:r>
              <w:rPr>
                <w:rFonts w:ascii="Times New Roman" w:cs="Times New Roman"/>
                <w:color w:val="auto"/>
                <w:sz w:val="21"/>
                <w:szCs w:val="21"/>
                <w:vertAlign w:val="superscript"/>
              </w:rPr>
              <w:t>2</w:t>
            </w:r>
            <w:r>
              <w:rPr>
                <w:rFonts w:ascii="Times New Roman" w:cs="Times New Roman"/>
                <w:color w:val="auto"/>
                <w:sz w:val="21"/>
                <w:szCs w:val="21"/>
              </w:rPr>
              <w:t>作为产品外售</w:t>
            </w:r>
            <w:r>
              <w:rPr>
                <w:rFonts w:hint="eastAsia" w:ascii="Times New Roman" w:cs="Times New Roman"/>
                <w:color w:val="auto"/>
                <w:sz w:val="21"/>
                <w:szCs w:val="21"/>
              </w:rPr>
              <w:t>；4</w:t>
            </w:r>
            <w:r>
              <w:rPr>
                <w:rFonts w:ascii="Times New Roman" w:cs="Times New Roman"/>
                <w:color w:val="auto"/>
                <w:sz w:val="21"/>
                <w:szCs w:val="21"/>
              </w:rPr>
              <w:t>0</w:t>
            </w:r>
            <w:r>
              <w:rPr>
                <w:rFonts w:hint="eastAsia" w:ascii="Times New Roman" w:cs="Times New Roman"/>
                <w:color w:val="auto"/>
                <w:sz w:val="21"/>
                <w:szCs w:val="21"/>
              </w:rPr>
              <w:t>万m</w:t>
            </w:r>
            <w:r>
              <w:rPr>
                <w:rFonts w:ascii="Times New Roman" w:cs="Times New Roman"/>
                <w:color w:val="auto"/>
                <w:sz w:val="21"/>
                <w:szCs w:val="21"/>
                <w:vertAlign w:val="superscript"/>
              </w:rPr>
              <w:t>2</w:t>
            </w:r>
            <w:r>
              <w:rPr>
                <w:rFonts w:hint="eastAsia" w:ascii="Times New Roman" w:cs="Times New Roman"/>
                <w:color w:val="auto"/>
                <w:sz w:val="21"/>
                <w:szCs w:val="21"/>
              </w:rPr>
              <w:t>用于钢化中空节能玻璃生产。每片中空玻璃生产需要2片玻璃原片，本项目年生产钢化节能中空玻璃2</w:t>
            </w:r>
            <w:r>
              <w:rPr>
                <w:rFonts w:ascii="Times New Roman" w:cs="Times New Roman"/>
                <w:color w:val="auto"/>
                <w:sz w:val="21"/>
                <w:szCs w:val="21"/>
              </w:rPr>
              <w:t>0</w:t>
            </w:r>
            <w:r>
              <w:rPr>
                <w:rFonts w:hint="eastAsia" w:ascii="Times New Roman" w:cs="Times New Roman"/>
                <w:color w:val="auto"/>
                <w:sz w:val="21"/>
                <w:szCs w:val="21"/>
              </w:rPr>
              <w:t>万m</w:t>
            </w:r>
            <w:r>
              <w:rPr>
                <w:rFonts w:ascii="Times New Roman" w:cs="Times New Roman"/>
                <w:color w:val="auto"/>
                <w:sz w:val="21"/>
                <w:szCs w:val="21"/>
                <w:vertAlign w:val="superscript"/>
              </w:rPr>
              <w:t>2</w:t>
            </w:r>
            <w:r>
              <w:rPr>
                <w:rFonts w:hint="eastAsia" w:ascii="Times New Roman" w:cs="Times New Roman"/>
                <w:color w:val="auto"/>
                <w:sz w:val="21"/>
                <w:szCs w:val="21"/>
              </w:rPr>
              <w:t>。</w:t>
            </w:r>
          </w:p>
          <w:p>
            <w:pPr>
              <w:adjustRightInd w:val="0"/>
              <w:snapToGrid w:val="0"/>
              <w:jc w:val="center"/>
              <w:rPr>
                <w:b/>
                <w:bCs/>
                <w:szCs w:val="21"/>
              </w:rPr>
            </w:pPr>
            <w:r>
              <w:rPr>
                <w:rFonts w:hAnsi="宋体"/>
                <w:b/>
                <w:bCs/>
                <w:szCs w:val="21"/>
              </w:rPr>
              <w:t>表</w:t>
            </w:r>
            <w:r>
              <w:rPr>
                <w:b/>
                <w:bCs/>
                <w:szCs w:val="21"/>
              </w:rPr>
              <w:t xml:space="preserve">2-2    </w:t>
            </w:r>
            <w:r>
              <w:rPr>
                <w:rFonts w:hAnsi="宋体"/>
                <w:b/>
                <w:bCs/>
                <w:szCs w:val="21"/>
              </w:rPr>
              <w:t>产品方案</w:t>
            </w:r>
          </w:p>
          <w:tbl>
            <w:tblPr>
              <w:tblStyle w:val="23"/>
              <w:tblW w:w="78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3150"/>
              <w:gridCol w:w="1752"/>
              <w:gridCol w:w="1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993" w:type="dxa"/>
                  <w:vAlign w:val="center"/>
                </w:tcPr>
                <w:p>
                  <w:pPr>
                    <w:jc w:val="center"/>
                    <w:rPr>
                      <w:szCs w:val="21"/>
                    </w:rPr>
                  </w:pPr>
                  <w:r>
                    <w:rPr>
                      <w:szCs w:val="21"/>
                    </w:rPr>
                    <w:t>序号</w:t>
                  </w:r>
                </w:p>
              </w:tc>
              <w:tc>
                <w:tcPr>
                  <w:tcW w:w="3150" w:type="dxa"/>
                  <w:vAlign w:val="center"/>
                </w:tcPr>
                <w:p>
                  <w:pPr>
                    <w:jc w:val="center"/>
                    <w:rPr>
                      <w:szCs w:val="21"/>
                    </w:rPr>
                  </w:pPr>
                  <w:r>
                    <w:rPr>
                      <w:rFonts w:hint="eastAsia"/>
                      <w:szCs w:val="21"/>
                    </w:rPr>
                    <w:t>产品名称</w:t>
                  </w:r>
                </w:p>
              </w:tc>
              <w:tc>
                <w:tcPr>
                  <w:tcW w:w="1752" w:type="dxa"/>
                  <w:vAlign w:val="center"/>
                </w:tcPr>
                <w:p>
                  <w:pPr>
                    <w:jc w:val="center"/>
                    <w:rPr>
                      <w:szCs w:val="21"/>
                    </w:rPr>
                  </w:pPr>
                  <w:r>
                    <w:rPr>
                      <w:rFonts w:hint="eastAsia"/>
                      <w:szCs w:val="21"/>
                    </w:rPr>
                    <w:t>产能</w:t>
                  </w:r>
                </w:p>
              </w:tc>
              <w:tc>
                <w:tcPr>
                  <w:tcW w:w="1993" w:type="dxa"/>
                  <w:vAlign w:val="center"/>
                </w:tcPr>
                <w:p>
                  <w:pPr>
                    <w:jc w:val="center"/>
                    <w:rPr>
                      <w:szCs w:val="21"/>
                    </w:rPr>
                  </w:pPr>
                  <w:r>
                    <w:rPr>
                      <w:rFonts w:hint="eastAsia"/>
                      <w:szCs w:val="21"/>
                    </w:rPr>
                    <w:t>设计年生产时间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993" w:type="dxa"/>
                  <w:vAlign w:val="center"/>
                </w:tcPr>
                <w:p>
                  <w:pPr>
                    <w:jc w:val="center"/>
                    <w:rPr>
                      <w:szCs w:val="21"/>
                    </w:rPr>
                  </w:pPr>
                  <w:r>
                    <w:rPr>
                      <w:rFonts w:hint="eastAsia"/>
                      <w:szCs w:val="21"/>
                    </w:rPr>
                    <w:t>1</w:t>
                  </w:r>
                </w:p>
              </w:tc>
              <w:tc>
                <w:tcPr>
                  <w:tcW w:w="3150" w:type="dxa"/>
                  <w:vAlign w:val="center"/>
                </w:tcPr>
                <w:p>
                  <w:pPr>
                    <w:jc w:val="center"/>
                    <w:rPr>
                      <w:szCs w:val="21"/>
                    </w:rPr>
                  </w:pPr>
                  <w:r>
                    <w:rPr>
                      <w:rFonts w:hint="eastAsia"/>
                      <w:szCs w:val="21"/>
                    </w:rPr>
                    <w:t>钢化功能玻璃</w:t>
                  </w:r>
                </w:p>
              </w:tc>
              <w:tc>
                <w:tcPr>
                  <w:tcW w:w="1752" w:type="dxa"/>
                  <w:vAlign w:val="center"/>
                </w:tcPr>
                <w:p>
                  <w:pPr>
                    <w:jc w:val="center"/>
                    <w:rPr>
                      <w:szCs w:val="21"/>
                    </w:rPr>
                  </w:pPr>
                  <w:r>
                    <w:rPr>
                      <w:rFonts w:hint="eastAsia"/>
                      <w:szCs w:val="21"/>
                    </w:rPr>
                    <w:t>4</w:t>
                  </w:r>
                  <w:r>
                    <w:rPr>
                      <w:szCs w:val="21"/>
                    </w:rPr>
                    <w:t>0</w:t>
                  </w:r>
                  <w:r>
                    <w:rPr>
                      <w:rFonts w:hint="eastAsia"/>
                      <w:szCs w:val="21"/>
                    </w:rPr>
                    <w:t>万m</w:t>
                  </w:r>
                  <w:r>
                    <w:rPr>
                      <w:szCs w:val="21"/>
                      <w:vertAlign w:val="superscript"/>
                    </w:rPr>
                    <w:t>2</w:t>
                  </w:r>
                </w:p>
              </w:tc>
              <w:tc>
                <w:tcPr>
                  <w:tcW w:w="1993" w:type="dxa"/>
                  <w:vAlign w:val="center"/>
                </w:tcPr>
                <w:p>
                  <w:pPr>
                    <w:jc w:val="center"/>
                    <w:rPr>
                      <w:szCs w:val="21"/>
                    </w:rPr>
                  </w:pPr>
                  <w:r>
                    <w:rPr>
                      <w:rFonts w:hint="eastAsia"/>
                      <w:szCs w:val="21"/>
                    </w:rPr>
                    <w:t>2</w:t>
                  </w:r>
                  <w:r>
                    <w:rPr>
                      <w:szCs w:val="21"/>
                    </w:rPr>
                    <w:t>400h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993" w:type="dxa"/>
                  <w:vAlign w:val="center"/>
                </w:tcPr>
                <w:p>
                  <w:pPr>
                    <w:jc w:val="center"/>
                    <w:rPr>
                      <w:szCs w:val="21"/>
                    </w:rPr>
                  </w:pPr>
                  <w:r>
                    <w:rPr>
                      <w:rFonts w:hint="eastAsia"/>
                      <w:szCs w:val="21"/>
                    </w:rPr>
                    <w:t>2</w:t>
                  </w:r>
                </w:p>
              </w:tc>
              <w:tc>
                <w:tcPr>
                  <w:tcW w:w="3150" w:type="dxa"/>
                  <w:vAlign w:val="center"/>
                </w:tcPr>
                <w:p>
                  <w:pPr>
                    <w:jc w:val="center"/>
                    <w:rPr>
                      <w:szCs w:val="21"/>
                    </w:rPr>
                  </w:pPr>
                  <w:r>
                    <w:rPr>
                      <w:rFonts w:hint="eastAsia"/>
                      <w:szCs w:val="21"/>
                    </w:rPr>
                    <w:t>钢化节能中空玻璃</w:t>
                  </w:r>
                </w:p>
              </w:tc>
              <w:tc>
                <w:tcPr>
                  <w:tcW w:w="1752" w:type="dxa"/>
                  <w:vAlign w:val="center"/>
                </w:tcPr>
                <w:p>
                  <w:pPr>
                    <w:jc w:val="center"/>
                    <w:rPr>
                      <w:szCs w:val="21"/>
                    </w:rPr>
                  </w:pPr>
                  <w:r>
                    <w:rPr>
                      <w:szCs w:val="21"/>
                    </w:rPr>
                    <w:t>20</w:t>
                  </w:r>
                  <w:r>
                    <w:rPr>
                      <w:rFonts w:hint="eastAsia"/>
                      <w:szCs w:val="21"/>
                    </w:rPr>
                    <w:t>万m</w:t>
                  </w:r>
                  <w:r>
                    <w:rPr>
                      <w:szCs w:val="21"/>
                      <w:vertAlign w:val="superscript"/>
                    </w:rPr>
                    <w:t>2</w:t>
                  </w:r>
                </w:p>
              </w:tc>
              <w:tc>
                <w:tcPr>
                  <w:tcW w:w="1993" w:type="dxa"/>
                  <w:vAlign w:val="center"/>
                </w:tcPr>
                <w:p>
                  <w:pPr>
                    <w:jc w:val="center"/>
                    <w:rPr>
                      <w:szCs w:val="21"/>
                    </w:rPr>
                  </w:pPr>
                  <w:r>
                    <w:rPr>
                      <w:rFonts w:hint="eastAsia"/>
                      <w:szCs w:val="21"/>
                    </w:rPr>
                    <w:t>2</w:t>
                  </w:r>
                  <w:r>
                    <w:rPr>
                      <w:szCs w:val="21"/>
                    </w:rPr>
                    <w:t>400h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4143" w:type="dxa"/>
                  <w:gridSpan w:val="2"/>
                  <w:vAlign w:val="center"/>
                </w:tcPr>
                <w:p>
                  <w:pPr>
                    <w:jc w:val="center"/>
                    <w:rPr>
                      <w:szCs w:val="21"/>
                    </w:rPr>
                  </w:pPr>
                  <w:r>
                    <w:rPr>
                      <w:rFonts w:hint="eastAsia"/>
                      <w:szCs w:val="21"/>
                    </w:rPr>
                    <w:t>合计</w:t>
                  </w:r>
                </w:p>
              </w:tc>
              <w:tc>
                <w:tcPr>
                  <w:tcW w:w="1752" w:type="dxa"/>
                  <w:vAlign w:val="center"/>
                </w:tcPr>
                <w:p>
                  <w:pPr>
                    <w:jc w:val="center"/>
                    <w:rPr>
                      <w:szCs w:val="21"/>
                    </w:rPr>
                  </w:pPr>
                  <w:r>
                    <w:rPr>
                      <w:szCs w:val="21"/>
                    </w:rPr>
                    <w:t>60</w:t>
                  </w:r>
                  <w:r>
                    <w:rPr>
                      <w:rFonts w:hint="eastAsia"/>
                      <w:szCs w:val="21"/>
                    </w:rPr>
                    <w:t>万m</w:t>
                  </w:r>
                  <w:r>
                    <w:rPr>
                      <w:szCs w:val="21"/>
                      <w:vertAlign w:val="superscript"/>
                    </w:rPr>
                    <w:t>2</w:t>
                  </w:r>
                </w:p>
              </w:tc>
              <w:tc>
                <w:tcPr>
                  <w:tcW w:w="1993" w:type="dxa"/>
                  <w:vAlign w:val="center"/>
                </w:tcPr>
                <w:p>
                  <w:pPr>
                    <w:jc w:val="center"/>
                    <w:rPr>
                      <w:szCs w:val="21"/>
                    </w:rPr>
                  </w:pPr>
                  <w:r>
                    <w:rPr>
                      <w:rFonts w:hint="eastAsia"/>
                      <w:szCs w:val="21"/>
                    </w:rPr>
                    <w:t>2</w:t>
                  </w:r>
                  <w:r>
                    <w:rPr>
                      <w:szCs w:val="21"/>
                    </w:rPr>
                    <w:t>400</w:t>
                  </w:r>
                  <w:r>
                    <w:rPr>
                      <w:rFonts w:hint="eastAsia"/>
                      <w:szCs w:val="21"/>
                    </w:rPr>
                    <w:t>h</w:t>
                  </w:r>
                </w:p>
              </w:tc>
            </w:tr>
          </w:tbl>
          <w:p>
            <w:pPr>
              <w:pStyle w:val="2"/>
              <w:spacing w:line="360" w:lineRule="auto"/>
              <w:ind w:firstLine="415" w:firstLineChars="198"/>
              <w:rPr>
                <w:rFonts w:ascii="Times New Roman" w:cs="Times New Roman"/>
                <w:color w:val="auto"/>
                <w:sz w:val="21"/>
                <w:szCs w:val="21"/>
              </w:rPr>
            </w:pPr>
            <w:r>
              <w:rPr>
                <w:rFonts w:ascii="Times New Roman" w:cs="Times New Roman"/>
                <w:color w:val="auto"/>
                <w:sz w:val="21"/>
                <w:szCs w:val="21"/>
              </w:rPr>
              <w:t>产品介绍：</w:t>
            </w:r>
          </w:p>
          <w:p>
            <w:pPr>
              <w:widowControl/>
              <w:spacing w:line="360" w:lineRule="auto"/>
              <w:ind w:firstLine="420" w:firstLineChars="200"/>
              <w:rPr>
                <w:kern w:val="0"/>
                <w:szCs w:val="21"/>
              </w:rPr>
            </w:pPr>
            <w:r>
              <w:rPr>
                <w:szCs w:val="21"/>
              </w:rPr>
              <w:t>钢化功能玻璃：</w:t>
            </w:r>
            <w:r>
              <w:rPr>
                <w:kern w:val="0"/>
                <w:szCs w:val="21"/>
              </w:rPr>
              <w:t>属于安全玻璃，是通过改变玻璃化学成分或采取适当的工艺和加工方法，将一定的物理性质、化学性质和生物性质等赋予玻璃体，使其获得所需的功能，作为高技术产业，功能玻璃行业具有很强的产业辐射性。</w:t>
            </w:r>
          </w:p>
          <w:p>
            <w:pPr>
              <w:widowControl/>
              <w:spacing w:line="360" w:lineRule="auto"/>
              <w:ind w:firstLine="420" w:firstLineChars="200"/>
              <w:rPr>
                <w:szCs w:val="21"/>
              </w:rPr>
            </w:pPr>
            <w:r>
              <w:rPr>
                <w:rFonts w:hint="eastAsia"/>
                <w:szCs w:val="21"/>
              </w:rPr>
              <w:t>钢化节能中空玻璃：节能中空玻璃是一种大众化的节能产品，除了具有节能效果之外，还可阻隔室外噪音，有利于提高居民居住环境水平，是一种良好的隔热、隔音、美观适用、并可降低建筑物自重的新型建筑材料，它是用两片或三片玻璃，使用高强度高气密性符合粘结剂，将玻璃片与内含干燥剂的铝合金框架粘结，职称的高效能隔音隔热玻璃。节能中空玻璃多种性能优于普通双层玻璃，因此得到了世界各国的认可。</w:t>
            </w:r>
          </w:p>
          <w:p>
            <w:pPr>
              <w:widowControl/>
              <w:spacing w:line="360" w:lineRule="auto"/>
              <w:ind w:firstLine="420" w:firstLineChars="200"/>
              <w:rPr>
                <w:szCs w:val="21"/>
              </w:rPr>
            </w:pPr>
            <w:r>
              <w:rPr>
                <w:rFonts w:hint="eastAsia"/>
                <w:szCs w:val="21"/>
              </w:rPr>
              <w:t>本项目产品流向见图2</w:t>
            </w:r>
            <w:r>
              <w:rPr>
                <w:szCs w:val="21"/>
              </w:rPr>
              <w:t>-1</w:t>
            </w:r>
            <w:r>
              <w:rPr>
                <w:rFonts w:hint="eastAsia"/>
                <w:szCs w:val="21"/>
              </w:rPr>
              <w:t>。</w:t>
            </w:r>
          </w:p>
          <w:p>
            <w:pPr>
              <w:widowControl/>
              <w:spacing w:line="360" w:lineRule="auto"/>
              <w:jc w:val="center"/>
              <w:rPr>
                <w:szCs w:val="21"/>
              </w:rPr>
            </w:pPr>
            <w:r>
              <w:drawing>
                <wp:inline distT="0" distB="0" distL="0" distR="0">
                  <wp:extent cx="3943350" cy="3571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43350" cy="3571875"/>
                          </a:xfrm>
                          <a:prstGeom prst="rect">
                            <a:avLst/>
                          </a:prstGeom>
                          <a:noFill/>
                          <a:ln>
                            <a:noFill/>
                          </a:ln>
                        </pic:spPr>
                      </pic:pic>
                    </a:graphicData>
                  </a:graphic>
                </wp:inline>
              </w:drawing>
            </w:r>
          </w:p>
          <w:p>
            <w:pPr>
              <w:pStyle w:val="2"/>
              <w:spacing w:line="360" w:lineRule="auto"/>
              <w:jc w:val="center"/>
              <w:rPr>
                <w:rFonts w:ascii="Times New Roman" w:cs="Times New Roman"/>
                <w:b/>
                <w:color w:val="auto"/>
                <w:sz w:val="21"/>
                <w:szCs w:val="21"/>
              </w:rPr>
            </w:pPr>
            <w:r>
              <w:rPr>
                <w:rFonts w:ascii="Times New Roman" w:cs="Times New Roman"/>
                <w:b/>
                <w:color w:val="auto"/>
                <w:sz w:val="21"/>
                <w:szCs w:val="21"/>
              </w:rPr>
              <w:t xml:space="preserve">图2-1    </w:t>
            </w:r>
            <w:r>
              <w:rPr>
                <w:rFonts w:hint="eastAsia" w:ascii="Times New Roman" w:cs="Times New Roman"/>
                <w:b/>
                <w:color w:val="auto"/>
                <w:sz w:val="21"/>
                <w:szCs w:val="21"/>
              </w:rPr>
              <w:t xml:space="preserve">产品流向示意图 </w:t>
            </w:r>
            <w:r>
              <w:rPr>
                <w:rFonts w:ascii="Times New Roman" w:cs="Times New Roman"/>
                <w:b/>
                <w:color w:val="auto"/>
                <w:sz w:val="21"/>
                <w:szCs w:val="21"/>
              </w:rPr>
              <w:t xml:space="preserve">   </w:t>
            </w:r>
            <w:r>
              <w:rPr>
                <w:rFonts w:hint="eastAsia" w:ascii="Times New Roman" w:cs="Times New Roman"/>
                <w:b/>
                <w:color w:val="auto"/>
                <w:sz w:val="21"/>
                <w:szCs w:val="21"/>
              </w:rPr>
              <w:t>单位：万m</w:t>
            </w:r>
            <w:r>
              <w:rPr>
                <w:rFonts w:ascii="Times New Roman" w:cs="Times New Roman"/>
                <w:b/>
                <w:color w:val="auto"/>
                <w:sz w:val="21"/>
                <w:szCs w:val="21"/>
                <w:vertAlign w:val="superscript"/>
              </w:rPr>
              <w:t>2</w:t>
            </w:r>
            <w:r>
              <w:rPr>
                <w:rFonts w:hint="eastAsia" w:ascii="Times New Roman" w:cs="Times New Roman"/>
                <w:b/>
                <w:color w:val="auto"/>
                <w:sz w:val="21"/>
                <w:szCs w:val="21"/>
              </w:rPr>
              <w:t>/</w:t>
            </w:r>
            <w:r>
              <w:rPr>
                <w:rFonts w:ascii="Times New Roman" w:cs="Times New Roman"/>
                <w:b/>
                <w:color w:val="auto"/>
                <w:sz w:val="21"/>
                <w:szCs w:val="21"/>
              </w:rPr>
              <w:t>a</w:t>
            </w:r>
          </w:p>
          <w:p>
            <w:pPr>
              <w:pStyle w:val="2"/>
              <w:spacing w:line="360" w:lineRule="auto"/>
              <w:ind w:firstLine="417" w:firstLineChars="198"/>
              <w:rPr>
                <w:rFonts w:ascii="Times New Roman" w:cs="Times New Roman"/>
                <w:b/>
                <w:color w:val="auto"/>
                <w:sz w:val="21"/>
                <w:szCs w:val="21"/>
              </w:rPr>
            </w:pPr>
            <w:r>
              <w:rPr>
                <w:rFonts w:hint="eastAsia" w:ascii="Times New Roman" w:cs="Times New Roman"/>
                <w:b/>
                <w:color w:val="auto"/>
                <w:sz w:val="21"/>
                <w:szCs w:val="21"/>
              </w:rPr>
              <w:t>3</w:t>
            </w:r>
            <w:r>
              <w:rPr>
                <w:rFonts w:ascii="Times New Roman" w:cs="Times New Roman"/>
                <w:b/>
                <w:color w:val="auto"/>
                <w:sz w:val="21"/>
                <w:szCs w:val="21"/>
              </w:rPr>
              <w:t>、主要生产设备</w:t>
            </w:r>
          </w:p>
          <w:p>
            <w:pPr>
              <w:jc w:val="center"/>
              <w:rPr>
                <w:b/>
                <w:szCs w:val="21"/>
              </w:rPr>
            </w:pPr>
            <w:r>
              <w:rPr>
                <w:rFonts w:hAnsi="宋体"/>
                <w:b/>
                <w:szCs w:val="21"/>
              </w:rPr>
              <w:t>表</w:t>
            </w:r>
            <w:r>
              <w:rPr>
                <w:b/>
                <w:szCs w:val="21"/>
              </w:rPr>
              <w:t xml:space="preserve">2-3     </w:t>
            </w:r>
            <w:r>
              <w:rPr>
                <w:rFonts w:hAnsi="宋体"/>
                <w:b/>
                <w:szCs w:val="21"/>
              </w:rPr>
              <w:t>主要生产设备一览表</w:t>
            </w:r>
          </w:p>
          <w:tbl>
            <w:tblPr>
              <w:tblStyle w:val="23"/>
              <w:tblW w:w="78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45"/>
              <w:gridCol w:w="1542"/>
              <w:gridCol w:w="1538"/>
              <w:gridCol w:w="973"/>
              <w:gridCol w:w="1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Align w:val="center"/>
                </w:tcPr>
                <w:p>
                  <w:pPr>
                    <w:jc w:val="center"/>
                    <w:rPr>
                      <w:szCs w:val="21"/>
                    </w:rPr>
                  </w:pPr>
                  <w:r>
                    <w:rPr>
                      <w:rFonts w:hint="eastAsia"/>
                      <w:szCs w:val="21"/>
                    </w:rPr>
                    <w:t>生产单元</w:t>
                  </w:r>
                </w:p>
              </w:tc>
              <w:tc>
                <w:tcPr>
                  <w:tcW w:w="1542" w:type="dxa"/>
                  <w:vAlign w:val="center"/>
                </w:tcPr>
                <w:p>
                  <w:pPr>
                    <w:jc w:val="center"/>
                    <w:rPr>
                      <w:szCs w:val="21"/>
                    </w:rPr>
                  </w:pPr>
                  <w:r>
                    <w:rPr>
                      <w:rFonts w:hint="eastAsia"/>
                      <w:szCs w:val="21"/>
                    </w:rPr>
                    <w:t>工艺</w:t>
                  </w:r>
                </w:p>
              </w:tc>
              <w:tc>
                <w:tcPr>
                  <w:tcW w:w="1538" w:type="dxa"/>
                  <w:vAlign w:val="center"/>
                </w:tcPr>
                <w:p>
                  <w:pPr>
                    <w:jc w:val="center"/>
                    <w:rPr>
                      <w:szCs w:val="21"/>
                    </w:rPr>
                  </w:pPr>
                  <w:r>
                    <w:rPr>
                      <w:rFonts w:hint="eastAsia"/>
                      <w:szCs w:val="21"/>
                    </w:rPr>
                    <w:t>生产设备</w:t>
                  </w:r>
                </w:p>
              </w:tc>
              <w:tc>
                <w:tcPr>
                  <w:tcW w:w="973" w:type="dxa"/>
                  <w:vAlign w:val="center"/>
                </w:tcPr>
                <w:p>
                  <w:pPr>
                    <w:jc w:val="center"/>
                    <w:rPr>
                      <w:szCs w:val="21"/>
                    </w:rPr>
                  </w:pPr>
                  <w:r>
                    <w:rPr>
                      <w:rFonts w:hint="eastAsia"/>
                      <w:szCs w:val="21"/>
                    </w:rPr>
                    <w:t>数量</w:t>
                  </w:r>
                </w:p>
              </w:tc>
              <w:tc>
                <w:tcPr>
                  <w:tcW w:w="1590" w:type="dxa"/>
                  <w:vAlign w:val="center"/>
                </w:tcPr>
                <w:p>
                  <w:pPr>
                    <w:jc w:val="center"/>
                    <w:rPr>
                      <w:szCs w:val="21"/>
                    </w:rPr>
                  </w:pPr>
                  <w:r>
                    <w:rPr>
                      <w:rFonts w:hint="eastAsia"/>
                      <w:szCs w:val="21"/>
                    </w:rPr>
                    <w:t>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restart"/>
                  <w:vAlign w:val="center"/>
                </w:tcPr>
                <w:p>
                  <w:pPr>
                    <w:jc w:val="center"/>
                    <w:rPr>
                      <w:szCs w:val="21"/>
                    </w:rPr>
                  </w:pPr>
                  <w:r>
                    <w:rPr>
                      <w:rFonts w:hint="eastAsia"/>
                      <w:szCs w:val="21"/>
                    </w:rPr>
                    <w:t>预处理单元</w:t>
                  </w:r>
                </w:p>
              </w:tc>
              <w:tc>
                <w:tcPr>
                  <w:tcW w:w="1542" w:type="dxa"/>
                  <w:vAlign w:val="center"/>
                </w:tcPr>
                <w:p>
                  <w:pPr>
                    <w:jc w:val="center"/>
                    <w:rPr>
                      <w:szCs w:val="21"/>
                    </w:rPr>
                  </w:pPr>
                  <w:r>
                    <w:rPr>
                      <w:rFonts w:hint="eastAsia"/>
                      <w:szCs w:val="21"/>
                    </w:rPr>
                    <w:t>切割</w:t>
                  </w:r>
                </w:p>
              </w:tc>
              <w:tc>
                <w:tcPr>
                  <w:tcW w:w="1538" w:type="dxa"/>
                  <w:vAlign w:val="center"/>
                </w:tcPr>
                <w:p>
                  <w:pPr>
                    <w:jc w:val="center"/>
                    <w:rPr>
                      <w:szCs w:val="21"/>
                    </w:rPr>
                  </w:pPr>
                  <w:r>
                    <w:rPr>
                      <w:rFonts w:hint="eastAsia"/>
                      <w:szCs w:val="21"/>
                    </w:rPr>
                    <w:t>切割机</w:t>
                  </w:r>
                </w:p>
              </w:tc>
              <w:tc>
                <w:tcPr>
                  <w:tcW w:w="973" w:type="dxa"/>
                  <w:vAlign w:val="center"/>
                </w:tcPr>
                <w:p>
                  <w:pPr>
                    <w:jc w:val="center"/>
                    <w:rPr>
                      <w:szCs w:val="21"/>
                    </w:rPr>
                  </w:pPr>
                  <w:r>
                    <w:rPr>
                      <w:rFonts w:hint="eastAsia"/>
                      <w:szCs w:val="21"/>
                    </w:rPr>
                    <w:t>1台</w:t>
                  </w:r>
                </w:p>
              </w:tc>
              <w:tc>
                <w:tcPr>
                  <w:tcW w:w="1590" w:type="dxa"/>
                  <w:vAlign w:val="center"/>
                </w:tcPr>
                <w:p>
                  <w:pPr>
                    <w:jc w:val="center"/>
                    <w:rPr>
                      <w:szCs w:val="21"/>
                    </w:rPr>
                  </w:pPr>
                  <w:r>
                    <w:rPr>
                      <w:rFonts w:hint="eastAsia"/>
                      <w:sz w:val="18"/>
                      <w:szCs w:val="18"/>
                    </w:rPr>
                    <w:t>2600*4200</w:t>
                  </w:r>
                  <w:r>
                    <w:rPr>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continue"/>
                  <w:vAlign w:val="center"/>
                </w:tcPr>
                <w:p>
                  <w:pPr>
                    <w:jc w:val="center"/>
                    <w:rPr>
                      <w:szCs w:val="21"/>
                    </w:rPr>
                  </w:pPr>
                </w:p>
              </w:tc>
              <w:tc>
                <w:tcPr>
                  <w:tcW w:w="1542" w:type="dxa"/>
                  <w:vMerge w:val="restart"/>
                  <w:vAlign w:val="center"/>
                </w:tcPr>
                <w:p>
                  <w:pPr>
                    <w:jc w:val="center"/>
                    <w:rPr>
                      <w:szCs w:val="21"/>
                    </w:rPr>
                  </w:pPr>
                  <w:r>
                    <w:rPr>
                      <w:rFonts w:hint="eastAsia"/>
                      <w:szCs w:val="21"/>
                    </w:rPr>
                    <w:t>磨边</w:t>
                  </w:r>
                </w:p>
              </w:tc>
              <w:tc>
                <w:tcPr>
                  <w:tcW w:w="1538" w:type="dxa"/>
                  <w:vAlign w:val="center"/>
                </w:tcPr>
                <w:p>
                  <w:pPr>
                    <w:jc w:val="center"/>
                    <w:rPr>
                      <w:szCs w:val="21"/>
                    </w:rPr>
                  </w:pPr>
                  <w:r>
                    <w:rPr>
                      <w:rFonts w:hint="eastAsia"/>
                      <w:szCs w:val="21"/>
                    </w:rPr>
                    <w:t>四边磨</w:t>
                  </w:r>
                </w:p>
              </w:tc>
              <w:tc>
                <w:tcPr>
                  <w:tcW w:w="973" w:type="dxa"/>
                  <w:vAlign w:val="center"/>
                </w:tcPr>
                <w:p>
                  <w:pPr>
                    <w:jc w:val="center"/>
                    <w:rPr>
                      <w:szCs w:val="21"/>
                    </w:rPr>
                  </w:pPr>
                  <w:r>
                    <w:rPr>
                      <w:rFonts w:hint="eastAsia"/>
                      <w:szCs w:val="21"/>
                    </w:rPr>
                    <w:t>1台</w:t>
                  </w:r>
                </w:p>
              </w:tc>
              <w:tc>
                <w:tcPr>
                  <w:tcW w:w="1590" w:type="dxa"/>
                  <w:vAlign w:val="center"/>
                </w:tcPr>
                <w:p>
                  <w:pPr>
                    <w:jc w:val="center"/>
                    <w:rPr>
                      <w:szCs w:val="21"/>
                    </w:rPr>
                  </w:pPr>
                  <w:r>
                    <w:rPr>
                      <w:rFonts w:hint="eastAsia"/>
                      <w:sz w:val="18"/>
                      <w:szCs w:val="18"/>
                    </w:rPr>
                    <w:t>2000*2000</w:t>
                  </w:r>
                  <w:r>
                    <w:rPr>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continue"/>
                  <w:vAlign w:val="center"/>
                </w:tcPr>
                <w:p>
                  <w:pPr>
                    <w:jc w:val="center"/>
                    <w:rPr>
                      <w:szCs w:val="21"/>
                    </w:rPr>
                  </w:pPr>
                </w:p>
              </w:tc>
              <w:tc>
                <w:tcPr>
                  <w:tcW w:w="1542" w:type="dxa"/>
                  <w:vMerge w:val="continue"/>
                  <w:vAlign w:val="center"/>
                </w:tcPr>
                <w:p>
                  <w:pPr>
                    <w:jc w:val="center"/>
                    <w:rPr>
                      <w:szCs w:val="21"/>
                    </w:rPr>
                  </w:pPr>
                </w:p>
              </w:tc>
              <w:tc>
                <w:tcPr>
                  <w:tcW w:w="1538" w:type="dxa"/>
                  <w:vAlign w:val="center"/>
                </w:tcPr>
                <w:p>
                  <w:pPr>
                    <w:jc w:val="center"/>
                    <w:rPr>
                      <w:szCs w:val="21"/>
                    </w:rPr>
                  </w:pPr>
                  <w:r>
                    <w:rPr>
                      <w:rFonts w:hint="eastAsia"/>
                      <w:szCs w:val="21"/>
                    </w:rPr>
                    <w:t>直边机</w:t>
                  </w:r>
                </w:p>
              </w:tc>
              <w:tc>
                <w:tcPr>
                  <w:tcW w:w="973" w:type="dxa"/>
                  <w:vAlign w:val="center"/>
                </w:tcPr>
                <w:p>
                  <w:pPr>
                    <w:jc w:val="center"/>
                    <w:rPr>
                      <w:szCs w:val="21"/>
                    </w:rPr>
                  </w:pPr>
                  <w:r>
                    <w:rPr>
                      <w:rFonts w:hint="eastAsia"/>
                      <w:szCs w:val="21"/>
                    </w:rPr>
                    <w:t>2台</w:t>
                  </w:r>
                </w:p>
              </w:tc>
              <w:tc>
                <w:tcPr>
                  <w:tcW w:w="1590" w:type="dxa"/>
                  <w:vAlign w:val="center"/>
                </w:tcPr>
                <w:p>
                  <w:pPr>
                    <w:jc w:val="center"/>
                    <w:rPr>
                      <w:szCs w:val="21"/>
                    </w:rPr>
                  </w:pPr>
                  <w:r>
                    <w:rPr>
                      <w:rFonts w:hint="eastAsia"/>
                      <w:sz w:val="18"/>
                      <w:szCs w:val="18"/>
                    </w:rPr>
                    <w:t>9325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continue"/>
                  <w:vAlign w:val="center"/>
                </w:tcPr>
                <w:p>
                  <w:pPr>
                    <w:jc w:val="center"/>
                    <w:rPr>
                      <w:szCs w:val="21"/>
                    </w:rPr>
                  </w:pPr>
                </w:p>
              </w:tc>
              <w:tc>
                <w:tcPr>
                  <w:tcW w:w="1542" w:type="dxa"/>
                  <w:vAlign w:val="center"/>
                </w:tcPr>
                <w:p>
                  <w:pPr>
                    <w:jc w:val="center"/>
                    <w:rPr>
                      <w:szCs w:val="21"/>
                    </w:rPr>
                  </w:pPr>
                  <w:r>
                    <w:rPr>
                      <w:rFonts w:hint="eastAsia"/>
                      <w:szCs w:val="21"/>
                    </w:rPr>
                    <w:t>清洗</w:t>
                  </w:r>
                </w:p>
              </w:tc>
              <w:tc>
                <w:tcPr>
                  <w:tcW w:w="1538" w:type="dxa"/>
                  <w:vAlign w:val="center"/>
                </w:tcPr>
                <w:p>
                  <w:pPr>
                    <w:jc w:val="center"/>
                    <w:rPr>
                      <w:szCs w:val="21"/>
                    </w:rPr>
                  </w:pPr>
                  <w:r>
                    <w:rPr>
                      <w:rFonts w:hint="eastAsia"/>
                      <w:szCs w:val="21"/>
                    </w:rPr>
                    <w:t>清洗机</w:t>
                  </w:r>
                </w:p>
              </w:tc>
              <w:tc>
                <w:tcPr>
                  <w:tcW w:w="973" w:type="dxa"/>
                  <w:vAlign w:val="center"/>
                </w:tcPr>
                <w:p>
                  <w:pPr>
                    <w:jc w:val="center"/>
                    <w:rPr>
                      <w:szCs w:val="21"/>
                    </w:rPr>
                  </w:pPr>
                  <w:r>
                    <w:rPr>
                      <w:rFonts w:hint="eastAsia"/>
                      <w:szCs w:val="21"/>
                    </w:rPr>
                    <w:t>1台</w:t>
                  </w:r>
                </w:p>
              </w:tc>
              <w:tc>
                <w:tcPr>
                  <w:tcW w:w="1590" w:type="dxa"/>
                  <w:vAlign w:val="center"/>
                </w:tcPr>
                <w:p>
                  <w:pPr>
                    <w:jc w:val="center"/>
                    <w:rPr>
                      <w:szCs w:val="21"/>
                    </w:rPr>
                  </w:pPr>
                  <w:r>
                    <w:rPr>
                      <w:rFonts w:hint="eastAsia"/>
                      <w:sz w:val="18"/>
                      <w:szCs w:val="18"/>
                    </w:rPr>
                    <w:t>2000*2500</w:t>
                  </w:r>
                  <w:r>
                    <w:rPr>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Align w:val="center"/>
                </w:tcPr>
                <w:p>
                  <w:pPr>
                    <w:jc w:val="center"/>
                    <w:rPr>
                      <w:szCs w:val="21"/>
                    </w:rPr>
                  </w:pPr>
                  <w:r>
                    <w:rPr>
                      <w:rFonts w:hint="eastAsia"/>
                      <w:szCs w:val="21"/>
                    </w:rPr>
                    <w:t>钢化功能玻璃生产线</w:t>
                  </w:r>
                </w:p>
              </w:tc>
              <w:tc>
                <w:tcPr>
                  <w:tcW w:w="1542" w:type="dxa"/>
                  <w:vAlign w:val="center"/>
                </w:tcPr>
                <w:p>
                  <w:pPr>
                    <w:jc w:val="center"/>
                    <w:rPr>
                      <w:szCs w:val="21"/>
                    </w:rPr>
                  </w:pPr>
                  <w:r>
                    <w:rPr>
                      <w:rFonts w:hint="eastAsia"/>
                      <w:szCs w:val="21"/>
                    </w:rPr>
                    <w:t>钢化</w:t>
                  </w:r>
                </w:p>
              </w:tc>
              <w:tc>
                <w:tcPr>
                  <w:tcW w:w="1538" w:type="dxa"/>
                  <w:vAlign w:val="center"/>
                </w:tcPr>
                <w:p>
                  <w:pPr>
                    <w:jc w:val="center"/>
                    <w:rPr>
                      <w:szCs w:val="21"/>
                    </w:rPr>
                  </w:pPr>
                  <w:r>
                    <w:rPr>
                      <w:rFonts w:hint="eastAsia"/>
                      <w:szCs w:val="21"/>
                    </w:rPr>
                    <w:t>钢化炉</w:t>
                  </w:r>
                </w:p>
              </w:tc>
              <w:tc>
                <w:tcPr>
                  <w:tcW w:w="973" w:type="dxa"/>
                  <w:vAlign w:val="center"/>
                </w:tcPr>
                <w:p>
                  <w:pPr>
                    <w:jc w:val="center"/>
                    <w:rPr>
                      <w:szCs w:val="21"/>
                    </w:rPr>
                  </w:pPr>
                  <w:r>
                    <w:rPr>
                      <w:rFonts w:hint="eastAsia"/>
                      <w:szCs w:val="21"/>
                    </w:rPr>
                    <w:t>1台</w:t>
                  </w:r>
                </w:p>
              </w:tc>
              <w:tc>
                <w:tcPr>
                  <w:tcW w:w="1590" w:type="dxa"/>
                  <w:vAlign w:val="center"/>
                </w:tcPr>
                <w:p>
                  <w:pPr>
                    <w:jc w:val="center"/>
                    <w:rPr>
                      <w:szCs w:val="21"/>
                    </w:rPr>
                  </w:pPr>
                  <w:r>
                    <w:rPr>
                      <w:rFonts w:hint="eastAsia"/>
                      <w:sz w:val="18"/>
                      <w:szCs w:val="18"/>
                    </w:rPr>
                    <w:t>2440*4200</w:t>
                  </w:r>
                  <w:r>
                    <w:rPr>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restart"/>
                  <w:vAlign w:val="center"/>
                </w:tcPr>
                <w:p>
                  <w:pPr>
                    <w:jc w:val="center"/>
                    <w:rPr>
                      <w:szCs w:val="21"/>
                    </w:rPr>
                  </w:pPr>
                  <w:r>
                    <w:rPr>
                      <w:rFonts w:hint="eastAsia"/>
                      <w:szCs w:val="21"/>
                    </w:rPr>
                    <w:t>节能中空玻璃生产线</w:t>
                  </w:r>
                </w:p>
                <w:p>
                  <w:pPr>
                    <w:jc w:val="center"/>
                    <w:rPr>
                      <w:szCs w:val="21"/>
                    </w:rPr>
                  </w:pPr>
                  <w:r>
                    <w:rPr>
                      <w:rFonts w:hint="eastAsia"/>
                      <w:szCs w:val="21"/>
                    </w:rPr>
                    <w:t>2条</w:t>
                  </w:r>
                </w:p>
              </w:tc>
              <w:tc>
                <w:tcPr>
                  <w:tcW w:w="1542" w:type="dxa"/>
                  <w:vAlign w:val="center"/>
                </w:tcPr>
                <w:p>
                  <w:pPr>
                    <w:jc w:val="center"/>
                    <w:rPr>
                      <w:szCs w:val="21"/>
                    </w:rPr>
                  </w:pPr>
                  <w:r>
                    <w:rPr>
                      <w:rFonts w:hint="eastAsia"/>
                      <w:szCs w:val="21"/>
                    </w:rPr>
                    <w:t>涂胶</w:t>
                  </w:r>
                </w:p>
              </w:tc>
              <w:tc>
                <w:tcPr>
                  <w:tcW w:w="1538" w:type="dxa"/>
                  <w:vAlign w:val="center"/>
                </w:tcPr>
                <w:p>
                  <w:pPr>
                    <w:jc w:val="center"/>
                    <w:rPr>
                      <w:szCs w:val="21"/>
                    </w:rPr>
                  </w:pPr>
                  <w:r>
                    <w:rPr>
                      <w:rFonts w:hint="eastAsia"/>
                      <w:szCs w:val="21"/>
                    </w:rPr>
                    <w:t>丁基胶涂布机</w:t>
                  </w:r>
                </w:p>
              </w:tc>
              <w:tc>
                <w:tcPr>
                  <w:tcW w:w="973" w:type="dxa"/>
                  <w:vAlign w:val="center"/>
                </w:tcPr>
                <w:p>
                  <w:pPr>
                    <w:jc w:val="center"/>
                    <w:rPr>
                      <w:szCs w:val="21"/>
                    </w:rPr>
                  </w:pPr>
                  <w:r>
                    <w:rPr>
                      <w:rFonts w:hint="eastAsia"/>
                      <w:szCs w:val="21"/>
                    </w:rPr>
                    <w:t>2台</w:t>
                  </w:r>
                </w:p>
              </w:tc>
              <w:tc>
                <w:tcPr>
                  <w:tcW w:w="1590" w:type="dxa"/>
                  <w:vMerge w:val="restart"/>
                  <w:vAlign w:val="center"/>
                </w:tcPr>
                <w:p>
                  <w:pPr>
                    <w:jc w:val="center"/>
                    <w:rPr>
                      <w:szCs w:val="21"/>
                    </w:rPr>
                  </w:pPr>
                  <w:r>
                    <w:rPr>
                      <w:rFonts w:hint="eastAsia"/>
                      <w:sz w:val="18"/>
                      <w:szCs w:val="18"/>
                    </w:rPr>
                    <w:t>2025*2500</w:t>
                  </w:r>
                  <w:r>
                    <w:rPr>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continue"/>
                  <w:vAlign w:val="center"/>
                </w:tcPr>
                <w:p>
                  <w:pPr>
                    <w:jc w:val="center"/>
                    <w:rPr>
                      <w:szCs w:val="21"/>
                    </w:rPr>
                  </w:pPr>
                </w:p>
              </w:tc>
              <w:tc>
                <w:tcPr>
                  <w:tcW w:w="1542" w:type="dxa"/>
                  <w:vMerge w:val="restart"/>
                  <w:vAlign w:val="center"/>
                </w:tcPr>
                <w:p>
                  <w:pPr>
                    <w:jc w:val="center"/>
                    <w:rPr>
                      <w:szCs w:val="21"/>
                    </w:rPr>
                  </w:pPr>
                  <w:r>
                    <w:rPr>
                      <w:rFonts w:hint="eastAsia"/>
                      <w:szCs w:val="21"/>
                    </w:rPr>
                    <w:t>合片、板压</w:t>
                  </w:r>
                </w:p>
              </w:tc>
              <w:tc>
                <w:tcPr>
                  <w:tcW w:w="1538" w:type="dxa"/>
                  <w:vAlign w:val="center"/>
                </w:tcPr>
                <w:p>
                  <w:pPr>
                    <w:jc w:val="center"/>
                    <w:rPr>
                      <w:szCs w:val="21"/>
                    </w:rPr>
                  </w:pPr>
                  <w:r>
                    <w:rPr>
                      <w:rFonts w:hint="eastAsia"/>
                      <w:szCs w:val="21"/>
                    </w:rPr>
                    <w:t>下片机</w:t>
                  </w:r>
                </w:p>
              </w:tc>
              <w:tc>
                <w:tcPr>
                  <w:tcW w:w="973" w:type="dxa"/>
                  <w:vAlign w:val="center"/>
                </w:tcPr>
                <w:p>
                  <w:pPr>
                    <w:jc w:val="center"/>
                    <w:rPr>
                      <w:szCs w:val="21"/>
                    </w:rPr>
                  </w:pPr>
                  <w:r>
                    <w:rPr>
                      <w:rFonts w:hint="eastAsia"/>
                      <w:szCs w:val="21"/>
                    </w:rPr>
                    <w:t>2台</w:t>
                  </w:r>
                </w:p>
              </w:tc>
              <w:tc>
                <w:tcPr>
                  <w:tcW w:w="1590"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continue"/>
                  <w:vAlign w:val="center"/>
                </w:tcPr>
                <w:p>
                  <w:pPr>
                    <w:jc w:val="center"/>
                    <w:rPr>
                      <w:szCs w:val="21"/>
                    </w:rPr>
                  </w:pPr>
                </w:p>
              </w:tc>
              <w:tc>
                <w:tcPr>
                  <w:tcW w:w="1542" w:type="dxa"/>
                  <w:vMerge w:val="continue"/>
                  <w:vAlign w:val="center"/>
                </w:tcPr>
                <w:p>
                  <w:pPr>
                    <w:jc w:val="center"/>
                    <w:rPr>
                      <w:szCs w:val="21"/>
                    </w:rPr>
                  </w:pPr>
                </w:p>
              </w:tc>
              <w:tc>
                <w:tcPr>
                  <w:tcW w:w="1538" w:type="dxa"/>
                  <w:vAlign w:val="center"/>
                </w:tcPr>
                <w:p>
                  <w:pPr>
                    <w:jc w:val="center"/>
                    <w:rPr>
                      <w:szCs w:val="21"/>
                    </w:rPr>
                  </w:pPr>
                  <w:r>
                    <w:rPr>
                      <w:rFonts w:hint="eastAsia"/>
                      <w:szCs w:val="21"/>
                    </w:rPr>
                    <w:t>铝条输送机</w:t>
                  </w:r>
                </w:p>
              </w:tc>
              <w:tc>
                <w:tcPr>
                  <w:tcW w:w="973" w:type="dxa"/>
                  <w:vAlign w:val="center"/>
                </w:tcPr>
                <w:p>
                  <w:pPr>
                    <w:jc w:val="center"/>
                    <w:rPr>
                      <w:szCs w:val="21"/>
                    </w:rPr>
                  </w:pPr>
                  <w:r>
                    <w:rPr>
                      <w:rFonts w:hint="eastAsia"/>
                      <w:szCs w:val="21"/>
                    </w:rPr>
                    <w:t>2台</w:t>
                  </w:r>
                </w:p>
              </w:tc>
              <w:tc>
                <w:tcPr>
                  <w:tcW w:w="1590"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Merge w:val="continue"/>
                  <w:vAlign w:val="center"/>
                </w:tcPr>
                <w:p>
                  <w:pPr>
                    <w:jc w:val="center"/>
                    <w:rPr>
                      <w:szCs w:val="21"/>
                    </w:rPr>
                  </w:pPr>
                </w:p>
              </w:tc>
              <w:tc>
                <w:tcPr>
                  <w:tcW w:w="1542" w:type="dxa"/>
                  <w:vAlign w:val="center"/>
                </w:tcPr>
                <w:p>
                  <w:pPr>
                    <w:jc w:val="center"/>
                    <w:rPr>
                      <w:szCs w:val="21"/>
                    </w:rPr>
                  </w:pPr>
                  <w:r>
                    <w:rPr>
                      <w:rFonts w:hint="eastAsia"/>
                      <w:szCs w:val="21"/>
                    </w:rPr>
                    <w:t>打胶</w:t>
                  </w:r>
                </w:p>
              </w:tc>
              <w:tc>
                <w:tcPr>
                  <w:tcW w:w="1538" w:type="dxa"/>
                  <w:vAlign w:val="center"/>
                </w:tcPr>
                <w:p>
                  <w:pPr>
                    <w:jc w:val="center"/>
                    <w:rPr>
                      <w:szCs w:val="21"/>
                    </w:rPr>
                  </w:pPr>
                  <w:r>
                    <w:rPr>
                      <w:rFonts w:hint="eastAsia"/>
                      <w:szCs w:val="21"/>
                    </w:rPr>
                    <w:t>全自动涂胶机</w:t>
                  </w:r>
                </w:p>
              </w:tc>
              <w:tc>
                <w:tcPr>
                  <w:tcW w:w="973" w:type="dxa"/>
                  <w:vAlign w:val="center"/>
                </w:tcPr>
                <w:p>
                  <w:pPr>
                    <w:jc w:val="center"/>
                    <w:rPr>
                      <w:szCs w:val="21"/>
                    </w:rPr>
                  </w:pPr>
                  <w:r>
                    <w:rPr>
                      <w:rFonts w:hint="eastAsia"/>
                      <w:szCs w:val="21"/>
                    </w:rPr>
                    <w:t>2台</w:t>
                  </w:r>
                </w:p>
              </w:tc>
              <w:tc>
                <w:tcPr>
                  <w:tcW w:w="1590"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2245" w:type="dxa"/>
                  <w:vAlign w:val="center"/>
                </w:tcPr>
                <w:p>
                  <w:pPr>
                    <w:jc w:val="center"/>
                    <w:rPr>
                      <w:szCs w:val="21"/>
                    </w:rPr>
                  </w:pPr>
                  <w:r>
                    <w:rPr>
                      <w:rFonts w:hint="eastAsia"/>
                      <w:szCs w:val="21"/>
                    </w:rPr>
                    <w:t>其他</w:t>
                  </w:r>
                </w:p>
              </w:tc>
              <w:tc>
                <w:tcPr>
                  <w:tcW w:w="1542" w:type="dxa"/>
                  <w:vAlign w:val="center"/>
                </w:tcPr>
                <w:p>
                  <w:pPr>
                    <w:jc w:val="center"/>
                    <w:rPr>
                      <w:szCs w:val="21"/>
                    </w:rPr>
                  </w:pPr>
                  <w:r>
                    <w:rPr>
                      <w:rFonts w:hint="eastAsia"/>
                      <w:szCs w:val="21"/>
                    </w:rPr>
                    <w:t>/</w:t>
                  </w:r>
                </w:p>
              </w:tc>
              <w:tc>
                <w:tcPr>
                  <w:tcW w:w="1538" w:type="dxa"/>
                  <w:vAlign w:val="center"/>
                </w:tcPr>
                <w:p>
                  <w:pPr>
                    <w:jc w:val="center"/>
                    <w:rPr>
                      <w:szCs w:val="21"/>
                    </w:rPr>
                  </w:pPr>
                  <w:r>
                    <w:rPr>
                      <w:rFonts w:hint="eastAsia"/>
                      <w:szCs w:val="21"/>
                    </w:rPr>
                    <w:t>航吊</w:t>
                  </w:r>
                </w:p>
              </w:tc>
              <w:tc>
                <w:tcPr>
                  <w:tcW w:w="973" w:type="dxa"/>
                  <w:vAlign w:val="center"/>
                </w:tcPr>
                <w:p>
                  <w:pPr>
                    <w:jc w:val="center"/>
                    <w:rPr>
                      <w:szCs w:val="21"/>
                    </w:rPr>
                  </w:pPr>
                  <w:r>
                    <w:rPr>
                      <w:rFonts w:hint="eastAsia"/>
                      <w:szCs w:val="21"/>
                    </w:rPr>
                    <w:t>1台</w:t>
                  </w:r>
                </w:p>
              </w:tc>
              <w:tc>
                <w:tcPr>
                  <w:tcW w:w="1590" w:type="dxa"/>
                  <w:vAlign w:val="center"/>
                </w:tcPr>
                <w:p>
                  <w:pPr>
                    <w:jc w:val="center"/>
                    <w:rPr>
                      <w:szCs w:val="21"/>
                    </w:rPr>
                  </w:pPr>
                  <w:r>
                    <w:rPr>
                      <w:rFonts w:hint="eastAsia"/>
                      <w:szCs w:val="21"/>
                    </w:rPr>
                    <w:t>/</w:t>
                  </w:r>
                </w:p>
              </w:tc>
            </w:tr>
          </w:tbl>
          <w:p>
            <w:pPr>
              <w:spacing w:line="360" w:lineRule="auto"/>
              <w:ind w:firstLine="422" w:firstLineChars="200"/>
              <w:rPr>
                <w:rFonts w:hAnsi="宋体"/>
                <w:b/>
                <w:bCs/>
              </w:rPr>
            </w:pPr>
            <w:r>
              <w:rPr>
                <w:rFonts w:hint="eastAsia" w:hAnsi="宋体"/>
                <w:b/>
                <w:bCs/>
              </w:rPr>
              <w:t>4、原辅材料及能源消耗</w:t>
            </w:r>
          </w:p>
          <w:p>
            <w:pPr>
              <w:jc w:val="center"/>
              <w:rPr>
                <w:rFonts w:hAnsi="宋体"/>
                <w:b/>
                <w:szCs w:val="21"/>
              </w:rPr>
            </w:pPr>
            <w:r>
              <w:rPr>
                <w:rFonts w:hAnsi="宋体"/>
                <w:b/>
                <w:szCs w:val="21"/>
              </w:rPr>
              <w:t>表</w:t>
            </w:r>
            <w:r>
              <w:rPr>
                <w:b/>
                <w:szCs w:val="21"/>
              </w:rPr>
              <w:t xml:space="preserve">2-4  </w:t>
            </w:r>
            <w:r>
              <w:rPr>
                <w:rFonts w:hint="eastAsia"/>
                <w:b/>
                <w:szCs w:val="21"/>
              </w:rPr>
              <w:t xml:space="preserve">  主要</w:t>
            </w:r>
            <w:r>
              <w:rPr>
                <w:rFonts w:hAnsi="宋体"/>
                <w:b/>
                <w:szCs w:val="21"/>
              </w:rPr>
              <w:t>原辅材料及能源消耗消耗一览表</w:t>
            </w:r>
          </w:p>
          <w:tbl>
            <w:tblPr>
              <w:tblStyle w:val="23"/>
              <w:tblW w:w="78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1"/>
              <w:gridCol w:w="1536"/>
              <w:gridCol w:w="1006"/>
              <w:gridCol w:w="952"/>
              <w:gridCol w:w="957"/>
              <w:gridCol w:w="974"/>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rFonts w:hint="eastAsia"/>
                      <w:szCs w:val="21"/>
                    </w:rPr>
                    <w:t>序号</w:t>
                  </w:r>
                </w:p>
              </w:tc>
              <w:tc>
                <w:tcPr>
                  <w:tcW w:w="1536" w:type="dxa"/>
                  <w:vAlign w:val="center"/>
                </w:tcPr>
                <w:p>
                  <w:pPr>
                    <w:jc w:val="center"/>
                    <w:rPr>
                      <w:szCs w:val="21"/>
                    </w:rPr>
                  </w:pPr>
                  <w:r>
                    <w:rPr>
                      <w:rFonts w:hint="eastAsia"/>
                      <w:szCs w:val="21"/>
                    </w:rPr>
                    <w:t>名称</w:t>
                  </w:r>
                </w:p>
              </w:tc>
              <w:tc>
                <w:tcPr>
                  <w:tcW w:w="1006" w:type="dxa"/>
                  <w:vAlign w:val="center"/>
                </w:tcPr>
                <w:p>
                  <w:pPr>
                    <w:jc w:val="center"/>
                    <w:rPr>
                      <w:szCs w:val="21"/>
                    </w:rPr>
                  </w:pPr>
                  <w:r>
                    <w:rPr>
                      <w:rFonts w:hint="eastAsia"/>
                      <w:szCs w:val="21"/>
                    </w:rPr>
                    <w:t>年使用量</w:t>
                  </w:r>
                </w:p>
              </w:tc>
              <w:tc>
                <w:tcPr>
                  <w:tcW w:w="952" w:type="dxa"/>
                  <w:vAlign w:val="center"/>
                </w:tcPr>
                <w:p>
                  <w:pPr>
                    <w:jc w:val="center"/>
                    <w:rPr>
                      <w:szCs w:val="21"/>
                    </w:rPr>
                  </w:pPr>
                  <w:r>
                    <w:rPr>
                      <w:rFonts w:hint="eastAsia"/>
                      <w:szCs w:val="21"/>
                    </w:rPr>
                    <w:t>最大存放量</w:t>
                  </w:r>
                </w:p>
              </w:tc>
              <w:tc>
                <w:tcPr>
                  <w:tcW w:w="957" w:type="dxa"/>
                  <w:vAlign w:val="center"/>
                </w:tcPr>
                <w:p>
                  <w:pPr>
                    <w:jc w:val="center"/>
                    <w:rPr>
                      <w:szCs w:val="21"/>
                    </w:rPr>
                  </w:pPr>
                  <w:r>
                    <w:rPr>
                      <w:rFonts w:hint="eastAsia"/>
                      <w:szCs w:val="21"/>
                    </w:rPr>
                    <w:t>存储方式</w:t>
                  </w:r>
                </w:p>
              </w:tc>
              <w:tc>
                <w:tcPr>
                  <w:tcW w:w="974" w:type="dxa"/>
                  <w:vAlign w:val="center"/>
                </w:tcPr>
                <w:p>
                  <w:pPr>
                    <w:jc w:val="center"/>
                    <w:rPr>
                      <w:szCs w:val="21"/>
                    </w:rPr>
                  </w:pPr>
                  <w:r>
                    <w:rPr>
                      <w:rFonts w:hint="eastAsia"/>
                      <w:szCs w:val="21"/>
                    </w:rPr>
                    <w:t>主要成分</w:t>
                  </w:r>
                </w:p>
              </w:tc>
              <w:tc>
                <w:tcPr>
                  <w:tcW w:w="1842" w:type="dxa"/>
                  <w:vAlign w:val="center"/>
                </w:tcPr>
                <w:p>
                  <w:pPr>
                    <w:jc w:val="center"/>
                    <w:rPr>
                      <w:szCs w:val="21"/>
                    </w:rPr>
                  </w:pPr>
                  <w:r>
                    <w:rPr>
                      <w:rFonts w:hint="eastAsia"/>
                      <w:szCs w:val="21"/>
                    </w:rPr>
                    <w:t>形状规格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rFonts w:hint="eastAsia"/>
                      <w:szCs w:val="21"/>
                    </w:rPr>
                    <w:t>1</w:t>
                  </w:r>
                </w:p>
              </w:tc>
              <w:tc>
                <w:tcPr>
                  <w:tcW w:w="1536" w:type="dxa"/>
                  <w:vAlign w:val="center"/>
                </w:tcPr>
                <w:p>
                  <w:pPr>
                    <w:jc w:val="center"/>
                    <w:rPr>
                      <w:szCs w:val="21"/>
                    </w:rPr>
                  </w:pPr>
                  <w:r>
                    <w:rPr>
                      <w:rFonts w:hint="eastAsia"/>
                      <w:szCs w:val="21"/>
                    </w:rPr>
                    <w:t>玻璃原片</w:t>
                  </w:r>
                </w:p>
              </w:tc>
              <w:tc>
                <w:tcPr>
                  <w:tcW w:w="1006" w:type="dxa"/>
                  <w:vAlign w:val="center"/>
                </w:tcPr>
                <w:p>
                  <w:pPr>
                    <w:jc w:val="center"/>
                    <w:rPr>
                      <w:szCs w:val="21"/>
                    </w:rPr>
                  </w:pPr>
                  <w:r>
                    <w:rPr>
                      <w:rFonts w:hint="eastAsia"/>
                      <w:szCs w:val="21"/>
                    </w:rPr>
                    <w:t>8</w:t>
                  </w:r>
                  <w:r>
                    <w:rPr>
                      <w:szCs w:val="21"/>
                    </w:rPr>
                    <w:t>5</w:t>
                  </w:r>
                  <w:r>
                    <w:rPr>
                      <w:rFonts w:hint="eastAsia"/>
                      <w:szCs w:val="21"/>
                    </w:rPr>
                    <w:t>万m</w:t>
                  </w:r>
                  <w:r>
                    <w:rPr>
                      <w:szCs w:val="21"/>
                      <w:vertAlign w:val="superscript"/>
                    </w:rPr>
                    <w:t>2</w:t>
                  </w:r>
                </w:p>
              </w:tc>
              <w:tc>
                <w:tcPr>
                  <w:tcW w:w="952" w:type="dxa"/>
                  <w:vAlign w:val="center"/>
                </w:tcPr>
                <w:p>
                  <w:pPr>
                    <w:jc w:val="center"/>
                    <w:rPr>
                      <w:szCs w:val="21"/>
                    </w:rPr>
                  </w:pPr>
                  <w:r>
                    <w:rPr>
                      <w:rFonts w:hint="eastAsia"/>
                      <w:szCs w:val="21"/>
                    </w:rPr>
                    <w:t>1</w:t>
                  </w:r>
                  <w:r>
                    <w:rPr>
                      <w:szCs w:val="21"/>
                    </w:rPr>
                    <w:t>0</w:t>
                  </w:r>
                  <w:r>
                    <w:rPr>
                      <w:rFonts w:hint="eastAsia"/>
                      <w:szCs w:val="21"/>
                    </w:rPr>
                    <w:t>万m</w:t>
                  </w:r>
                  <w:r>
                    <w:rPr>
                      <w:szCs w:val="21"/>
                      <w:vertAlign w:val="superscript"/>
                    </w:rPr>
                    <w:t>2</w:t>
                  </w:r>
                </w:p>
              </w:tc>
              <w:tc>
                <w:tcPr>
                  <w:tcW w:w="957" w:type="dxa"/>
                  <w:vAlign w:val="center"/>
                </w:tcPr>
                <w:p>
                  <w:pPr>
                    <w:jc w:val="center"/>
                    <w:rPr>
                      <w:szCs w:val="21"/>
                    </w:rPr>
                  </w:pPr>
                  <w:r>
                    <w:rPr>
                      <w:rFonts w:hint="eastAsia"/>
                      <w:szCs w:val="21"/>
                    </w:rPr>
                    <w:t>原包装，库房</w:t>
                  </w:r>
                </w:p>
              </w:tc>
              <w:tc>
                <w:tcPr>
                  <w:tcW w:w="974" w:type="dxa"/>
                  <w:vAlign w:val="center"/>
                </w:tcPr>
                <w:p>
                  <w:pPr>
                    <w:jc w:val="center"/>
                    <w:rPr>
                      <w:szCs w:val="21"/>
                    </w:rPr>
                  </w:pPr>
                  <w:r>
                    <w:rPr>
                      <w:rFonts w:hint="eastAsia"/>
                      <w:szCs w:val="21"/>
                    </w:rPr>
                    <w:t>白玻</w:t>
                  </w:r>
                </w:p>
              </w:tc>
              <w:tc>
                <w:tcPr>
                  <w:tcW w:w="1842" w:type="dxa"/>
                  <w:vAlign w:val="center"/>
                </w:tcPr>
                <w:p>
                  <w:pPr>
                    <w:adjustRightInd w:val="0"/>
                    <w:jc w:val="center"/>
                    <w:rPr>
                      <w:szCs w:val="21"/>
                    </w:rPr>
                  </w:pPr>
                  <w:r>
                    <w:rPr>
                      <w:rFonts w:hint="eastAsia"/>
                      <w:szCs w:val="21"/>
                    </w:rPr>
                    <w:t>2</w:t>
                  </w:r>
                  <w:r>
                    <w:rPr>
                      <w:szCs w:val="21"/>
                    </w:rPr>
                    <w:t>000×244</w:t>
                  </w:r>
                  <w:r>
                    <w:rPr>
                      <w:rFonts w:hint="eastAsia"/>
                      <w:szCs w:val="21"/>
                    </w:rPr>
                    <w:t>0mm 2440</w:t>
                  </w:r>
                  <w:r>
                    <w:rPr>
                      <w:szCs w:val="21"/>
                    </w:rPr>
                    <w:t>×</w:t>
                  </w:r>
                  <w:r>
                    <w:rPr>
                      <w:rFonts w:hint="eastAsia"/>
                      <w:szCs w:val="21"/>
                    </w:rPr>
                    <w:t>3</w:t>
                  </w:r>
                  <w:r>
                    <w:rPr>
                      <w:szCs w:val="21"/>
                    </w:rPr>
                    <w:t>66</w:t>
                  </w:r>
                  <w:r>
                    <w:rPr>
                      <w:rFonts w:hint="eastAsia"/>
                      <w:szCs w:val="21"/>
                    </w:rPr>
                    <w:t>0mm</w:t>
                  </w:r>
                </w:p>
                <w:p>
                  <w:pPr>
                    <w:adjustRightInd w:val="0"/>
                    <w:jc w:val="center"/>
                    <w:rPr>
                      <w:szCs w:val="21"/>
                    </w:rPr>
                  </w:pPr>
                  <w:r>
                    <w:rPr>
                      <w:rFonts w:hint="eastAsia"/>
                      <w:szCs w:val="21"/>
                    </w:rPr>
                    <w:t>2</w:t>
                  </w:r>
                  <w:r>
                    <w:rPr>
                      <w:szCs w:val="21"/>
                    </w:rPr>
                    <w:t>600×</w:t>
                  </w:r>
                  <w:r>
                    <w:rPr>
                      <w:rFonts w:hint="eastAsia"/>
                      <w:szCs w:val="21"/>
                    </w:rPr>
                    <w:t>3</w:t>
                  </w:r>
                  <w:r>
                    <w:rPr>
                      <w:szCs w:val="21"/>
                    </w:rPr>
                    <w:t>66</w:t>
                  </w:r>
                  <w:r>
                    <w:rPr>
                      <w:rFonts w:hint="eastAsia"/>
                      <w:szCs w:val="21"/>
                    </w:rPr>
                    <w:t>0mm</w:t>
                  </w:r>
                </w:p>
                <w:p>
                  <w:pPr>
                    <w:jc w:val="center"/>
                    <w:rPr>
                      <w:szCs w:val="21"/>
                    </w:rPr>
                  </w:pPr>
                  <w:r>
                    <w:rPr>
                      <w:rFonts w:hint="eastAsia"/>
                      <w:szCs w:val="21"/>
                    </w:rPr>
                    <w:t>2</w:t>
                  </w:r>
                  <w:r>
                    <w:rPr>
                      <w:szCs w:val="21"/>
                    </w:rPr>
                    <w:t>800×</w:t>
                  </w:r>
                  <w:r>
                    <w:rPr>
                      <w:rFonts w:hint="eastAsia"/>
                      <w:szCs w:val="21"/>
                    </w:rPr>
                    <w:t>3</w:t>
                  </w:r>
                  <w:r>
                    <w:rPr>
                      <w:szCs w:val="21"/>
                    </w:rPr>
                    <w:t>66</w:t>
                  </w:r>
                  <w:r>
                    <w:rPr>
                      <w:rFonts w:hint="eastAsia"/>
                      <w:szCs w:val="21"/>
                    </w:rPr>
                    <w:t>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rFonts w:hint="eastAsia"/>
                      <w:szCs w:val="21"/>
                    </w:rPr>
                    <w:t>2</w:t>
                  </w:r>
                </w:p>
              </w:tc>
              <w:tc>
                <w:tcPr>
                  <w:tcW w:w="1536" w:type="dxa"/>
                  <w:vAlign w:val="center"/>
                </w:tcPr>
                <w:p>
                  <w:pPr>
                    <w:jc w:val="center"/>
                    <w:rPr>
                      <w:szCs w:val="21"/>
                    </w:rPr>
                  </w:pPr>
                  <w:r>
                    <w:rPr>
                      <w:rFonts w:hint="eastAsia"/>
                      <w:szCs w:val="21"/>
                    </w:rPr>
                    <w:t>丁基密封胶</w:t>
                  </w:r>
                </w:p>
              </w:tc>
              <w:tc>
                <w:tcPr>
                  <w:tcW w:w="1006" w:type="dxa"/>
                  <w:vAlign w:val="center"/>
                </w:tcPr>
                <w:p>
                  <w:pPr>
                    <w:jc w:val="center"/>
                    <w:rPr>
                      <w:szCs w:val="21"/>
                    </w:rPr>
                  </w:pPr>
                  <w:r>
                    <w:rPr>
                      <w:rFonts w:hint="eastAsia"/>
                      <w:szCs w:val="21"/>
                    </w:rPr>
                    <w:t>6</w:t>
                  </w:r>
                  <w:r>
                    <w:rPr>
                      <w:szCs w:val="21"/>
                    </w:rPr>
                    <w:t>.5t/a</w:t>
                  </w:r>
                </w:p>
              </w:tc>
              <w:tc>
                <w:tcPr>
                  <w:tcW w:w="952" w:type="dxa"/>
                  <w:vAlign w:val="center"/>
                </w:tcPr>
                <w:p>
                  <w:pPr>
                    <w:jc w:val="center"/>
                    <w:rPr>
                      <w:szCs w:val="21"/>
                    </w:rPr>
                  </w:pPr>
                  <w:r>
                    <w:rPr>
                      <w:rFonts w:hint="eastAsia"/>
                      <w:szCs w:val="21"/>
                    </w:rPr>
                    <w:t>2</w:t>
                  </w:r>
                  <w:r>
                    <w:rPr>
                      <w:szCs w:val="21"/>
                    </w:rPr>
                    <w:t>t/a</w:t>
                  </w:r>
                </w:p>
              </w:tc>
              <w:tc>
                <w:tcPr>
                  <w:tcW w:w="957" w:type="dxa"/>
                  <w:vAlign w:val="center"/>
                </w:tcPr>
                <w:p>
                  <w:pPr>
                    <w:jc w:val="center"/>
                    <w:rPr>
                      <w:szCs w:val="21"/>
                    </w:rPr>
                  </w:pPr>
                  <w:r>
                    <w:rPr>
                      <w:rFonts w:hint="eastAsia"/>
                      <w:szCs w:val="21"/>
                    </w:rPr>
                    <w:t>桶装，库房</w:t>
                  </w:r>
                </w:p>
              </w:tc>
              <w:tc>
                <w:tcPr>
                  <w:tcW w:w="974" w:type="dxa"/>
                  <w:vAlign w:val="center"/>
                </w:tcPr>
                <w:p>
                  <w:pPr>
                    <w:jc w:val="center"/>
                    <w:rPr>
                      <w:szCs w:val="21"/>
                    </w:rPr>
                  </w:pPr>
                  <w:r>
                    <w:rPr>
                      <w:rFonts w:hint="eastAsia"/>
                      <w:bCs/>
                      <w:szCs w:val="21"/>
                    </w:rPr>
                    <w:t>聚异丁烯</w:t>
                  </w:r>
                </w:p>
              </w:tc>
              <w:tc>
                <w:tcPr>
                  <w:tcW w:w="1842" w:type="dxa"/>
                  <w:vAlign w:val="center"/>
                </w:tcPr>
                <w:p>
                  <w:pPr>
                    <w:adjustRightInd w:val="0"/>
                    <w:jc w:val="center"/>
                    <w:rPr>
                      <w:szCs w:val="21"/>
                    </w:rPr>
                  </w:pPr>
                  <w:r>
                    <w:rPr>
                      <w:rFonts w:hint="eastAsia"/>
                      <w:szCs w:val="21"/>
                    </w:rPr>
                    <w:t>黑色粘稠状</w:t>
                  </w:r>
                </w:p>
                <w:p>
                  <w:pPr>
                    <w:jc w:val="center"/>
                    <w:rPr>
                      <w:szCs w:val="21"/>
                    </w:rPr>
                  </w:pPr>
                  <w:r>
                    <w:rPr>
                      <w:szCs w:val="21"/>
                    </w:rPr>
                    <w:t>15</w:t>
                  </w:r>
                  <w:r>
                    <w:rPr>
                      <w:rFonts w:hint="eastAsia"/>
                      <w:szCs w:val="21"/>
                    </w:rPr>
                    <w:t>kg/桶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rFonts w:hint="eastAsia"/>
                      <w:szCs w:val="21"/>
                    </w:rPr>
                    <w:t>3</w:t>
                  </w:r>
                </w:p>
              </w:tc>
              <w:tc>
                <w:tcPr>
                  <w:tcW w:w="1536" w:type="dxa"/>
                  <w:vAlign w:val="center"/>
                </w:tcPr>
                <w:p>
                  <w:pPr>
                    <w:jc w:val="center"/>
                    <w:rPr>
                      <w:szCs w:val="21"/>
                    </w:rPr>
                  </w:pPr>
                  <w:r>
                    <w:rPr>
                      <w:rFonts w:hint="eastAsia"/>
                      <w:szCs w:val="21"/>
                    </w:rPr>
                    <w:t>硅酮密封胶</w:t>
                  </w:r>
                </w:p>
              </w:tc>
              <w:tc>
                <w:tcPr>
                  <w:tcW w:w="1006" w:type="dxa"/>
                  <w:vAlign w:val="center"/>
                </w:tcPr>
                <w:p>
                  <w:pPr>
                    <w:jc w:val="center"/>
                    <w:rPr>
                      <w:szCs w:val="21"/>
                    </w:rPr>
                  </w:pPr>
                  <w:r>
                    <w:rPr>
                      <w:rFonts w:hint="eastAsia"/>
                      <w:szCs w:val="21"/>
                    </w:rPr>
                    <w:t>1</w:t>
                  </w:r>
                  <w:r>
                    <w:rPr>
                      <w:szCs w:val="21"/>
                    </w:rPr>
                    <w:t>3t/a</w:t>
                  </w:r>
                </w:p>
              </w:tc>
              <w:tc>
                <w:tcPr>
                  <w:tcW w:w="952" w:type="dxa"/>
                  <w:vAlign w:val="center"/>
                </w:tcPr>
                <w:p>
                  <w:pPr>
                    <w:jc w:val="center"/>
                    <w:rPr>
                      <w:szCs w:val="21"/>
                    </w:rPr>
                  </w:pPr>
                  <w:r>
                    <w:rPr>
                      <w:szCs w:val="21"/>
                    </w:rPr>
                    <w:t>3t/a</w:t>
                  </w:r>
                </w:p>
              </w:tc>
              <w:tc>
                <w:tcPr>
                  <w:tcW w:w="957" w:type="dxa"/>
                  <w:vAlign w:val="center"/>
                </w:tcPr>
                <w:p>
                  <w:pPr>
                    <w:jc w:val="center"/>
                    <w:rPr>
                      <w:szCs w:val="21"/>
                    </w:rPr>
                  </w:pPr>
                  <w:r>
                    <w:rPr>
                      <w:rFonts w:hint="eastAsia"/>
                      <w:szCs w:val="21"/>
                    </w:rPr>
                    <w:t>桶装，库房</w:t>
                  </w:r>
                </w:p>
              </w:tc>
              <w:tc>
                <w:tcPr>
                  <w:tcW w:w="974" w:type="dxa"/>
                  <w:vAlign w:val="center"/>
                </w:tcPr>
                <w:p>
                  <w:pPr>
                    <w:adjustRightInd w:val="0"/>
                    <w:jc w:val="center"/>
                    <w:rPr>
                      <w:bCs/>
                      <w:szCs w:val="21"/>
                    </w:rPr>
                  </w:pPr>
                  <w:r>
                    <w:rPr>
                      <w:rFonts w:hint="eastAsia"/>
                      <w:bCs/>
                      <w:szCs w:val="21"/>
                    </w:rPr>
                    <w:t>AB</w:t>
                  </w:r>
                </w:p>
                <w:p>
                  <w:pPr>
                    <w:jc w:val="center"/>
                    <w:rPr>
                      <w:szCs w:val="21"/>
                    </w:rPr>
                  </w:pPr>
                  <w:r>
                    <w:rPr>
                      <w:rFonts w:hint="eastAsia"/>
                      <w:bCs/>
                      <w:szCs w:val="21"/>
                    </w:rPr>
                    <w:t>双组份</w:t>
                  </w:r>
                </w:p>
              </w:tc>
              <w:tc>
                <w:tcPr>
                  <w:tcW w:w="1842" w:type="dxa"/>
                  <w:vAlign w:val="center"/>
                </w:tcPr>
                <w:p>
                  <w:pPr>
                    <w:widowControl/>
                    <w:adjustRightInd w:val="0"/>
                    <w:snapToGrid w:val="0"/>
                    <w:jc w:val="center"/>
                    <w:rPr>
                      <w:szCs w:val="21"/>
                    </w:rPr>
                  </w:pPr>
                  <w:r>
                    <w:rPr>
                      <w:rFonts w:hint="eastAsia"/>
                      <w:szCs w:val="21"/>
                    </w:rPr>
                    <w:t>A组分：黑色固态，2</w:t>
                  </w:r>
                  <w:r>
                    <w:rPr>
                      <w:szCs w:val="21"/>
                    </w:rPr>
                    <w:t>00</w:t>
                  </w:r>
                  <w:r>
                    <w:rPr>
                      <w:rFonts w:hint="eastAsia"/>
                      <w:szCs w:val="21"/>
                    </w:rPr>
                    <w:t>L</w:t>
                  </w:r>
                  <w:r>
                    <w:rPr>
                      <w:szCs w:val="21"/>
                    </w:rPr>
                    <w:t>/</w:t>
                  </w:r>
                  <w:r>
                    <w:rPr>
                      <w:rFonts w:hint="eastAsia"/>
                      <w:szCs w:val="21"/>
                    </w:rPr>
                    <w:t>桶</w:t>
                  </w:r>
                </w:p>
                <w:p>
                  <w:pPr>
                    <w:jc w:val="center"/>
                    <w:rPr>
                      <w:szCs w:val="21"/>
                    </w:rPr>
                  </w:pPr>
                  <w:r>
                    <w:rPr>
                      <w:rFonts w:hint="eastAsia"/>
                    </w:rPr>
                    <w:t>B组分：固化剂，白色液态，</w:t>
                  </w:r>
                  <w:r>
                    <w:rPr>
                      <w:rFonts w:hint="eastAsia"/>
                      <w:szCs w:val="21"/>
                    </w:rPr>
                    <w:t>2</w:t>
                  </w:r>
                  <w:r>
                    <w:rPr>
                      <w:szCs w:val="21"/>
                    </w:rPr>
                    <w:t>0</w:t>
                  </w:r>
                  <w:r>
                    <w:rPr>
                      <w:rFonts w:hint="eastAsia"/>
                      <w:szCs w:val="21"/>
                    </w:rPr>
                    <w:t>L</w:t>
                  </w:r>
                  <w:r>
                    <w:rPr>
                      <w:szCs w:val="21"/>
                    </w:rPr>
                    <w:t>/</w:t>
                  </w:r>
                  <w:r>
                    <w:rPr>
                      <w:rFonts w:hint="eastAsia"/>
                      <w:szCs w:val="21"/>
                    </w:rPr>
                    <w:t>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rFonts w:hint="eastAsia"/>
                      <w:szCs w:val="21"/>
                    </w:rPr>
                    <w:t>4</w:t>
                  </w:r>
                </w:p>
              </w:tc>
              <w:tc>
                <w:tcPr>
                  <w:tcW w:w="1536" w:type="dxa"/>
                  <w:vAlign w:val="center"/>
                </w:tcPr>
                <w:p>
                  <w:pPr>
                    <w:jc w:val="center"/>
                    <w:rPr>
                      <w:szCs w:val="21"/>
                    </w:rPr>
                  </w:pPr>
                  <w:r>
                    <w:rPr>
                      <w:rFonts w:hint="eastAsia"/>
                      <w:szCs w:val="21"/>
                    </w:rPr>
                    <w:t>分子筛干燥剂</w:t>
                  </w:r>
                </w:p>
              </w:tc>
              <w:tc>
                <w:tcPr>
                  <w:tcW w:w="1006" w:type="dxa"/>
                  <w:vAlign w:val="center"/>
                </w:tcPr>
                <w:p>
                  <w:pPr>
                    <w:jc w:val="center"/>
                    <w:rPr>
                      <w:szCs w:val="21"/>
                    </w:rPr>
                  </w:pPr>
                  <w:r>
                    <w:rPr>
                      <w:rFonts w:hint="eastAsia"/>
                      <w:szCs w:val="21"/>
                    </w:rPr>
                    <w:t>2</w:t>
                  </w:r>
                  <w:r>
                    <w:rPr>
                      <w:szCs w:val="21"/>
                    </w:rPr>
                    <w:t>.5t/a</w:t>
                  </w:r>
                </w:p>
              </w:tc>
              <w:tc>
                <w:tcPr>
                  <w:tcW w:w="952" w:type="dxa"/>
                  <w:vAlign w:val="center"/>
                </w:tcPr>
                <w:p>
                  <w:pPr>
                    <w:jc w:val="center"/>
                    <w:rPr>
                      <w:szCs w:val="21"/>
                    </w:rPr>
                  </w:pPr>
                  <w:r>
                    <w:rPr>
                      <w:rFonts w:hint="eastAsia"/>
                      <w:szCs w:val="21"/>
                    </w:rPr>
                    <w:t>0</w:t>
                  </w:r>
                  <w:r>
                    <w:rPr>
                      <w:szCs w:val="21"/>
                    </w:rPr>
                    <w:t>.5t/a</w:t>
                  </w:r>
                </w:p>
              </w:tc>
              <w:tc>
                <w:tcPr>
                  <w:tcW w:w="957" w:type="dxa"/>
                  <w:vAlign w:val="center"/>
                </w:tcPr>
                <w:p>
                  <w:pPr>
                    <w:jc w:val="center"/>
                    <w:rPr>
                      <w:szCs w:val="21"/>
                    </w:rPr>
                  </w:pPr>
                  <w:r>
                    <w:rPr>
                      <w:rFonts w:hint="eastAsia"/>
                      <w:szCs w:val="21"/>
                    </w:rPr>
                    <w:t>箱装，库房</w:t>
                  </w:r>
                </w:p>
              </w:tc>
              <w:tc>
                <w:tcPr>
                  <w:tcW w:w="974" w:type="dxa"/>
                  <w:vAlign w:val="center"/>
                </w:tcPr>
                <w:p>
                  <w:pPr>
                    <w:jc w:val="center"/>
                    <w:rPr>
                      <w:szCs w:val="21"/>
                    </w:rPr>
                  </w:pPr>
                  <w:r>
                    <w:rPr>
                      <w:rFonts w:hint="eastAsia"/>
                      <w:szCs w:val="21"/>
                    </w:rPr>
                    <w:t>硅铝酸盐化合物</w:t>
                  </w:r>
                </w:p>
              </w:tc>
              <w:tc>
                <w:tcPr>
                  <w:tcW w:w="1842" w:type="dxa"/>
                  <w:vAlign w:val="center"/>
                </w:tcPr>
                <w:p>
                  <w:pPr>
                    <w:jc w:val="center"/>
                    <w:rPr>
                      <w:szCs w:val="21"/>
                    </w:rPr>
                  </w:pPr>
                  <w:r>
                    <w:rPr>
                      <w:rFonts w:hint="eastAsia"/>
                      <w:szCs w:val="21"/>
                    </w:rPr>
                    <w:t>颗粒状，5kg/箱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rFonts w:hint="eastAsia"/>
                      <w:szCs w:val="21"/>
                    </w:rPr>
                    <w:t>5</w:t>
                  </w:r>
                </w:p>
              </w:tc>
              <w:tc>
                <w:tcPr>
                  <w:tcW w:w="1536" w:type="dxa"/>
                  <w:vAlign w:val="center"/>
                </w:tcPr>
                <w:p>
                  <w:pPr>
                    <w:jc w:val="center"/>
                    <w:rPr>
                      <w:szCs w:val="21"/>
                    </w:rPr>
                  </w:pPr>
                  <w:r>
                    <w:rPr>
                      <w:rFonts w:hint="eastAsia"/>
                      <w:szCs w:val="21"/>
                    </w:rPr>
                    <w:t>铝合金封边条</w:t>
                  </w:r>
                </w:p>
              </w:tc>
              <w:tc>
                <w:tcPr>
                  <w:tcW w:w="1006" w:type="dxa"/>
                  <w:vAlign w:val="center"/>
                </w:tcPr>
                <w:p>
                  <w:pPr>
                    <w:jc w:val="center"/>
                    <w:rPr>
                      <w:szCs w:val="21"/>
                    </w:rPr>
                  </w:pPr>
                  <w:r>
                    <w:rPr>
                      <w:rFonts w:hint="eastAsia"/>
                      <w:szCs w:val="21"/>
                    </w:rPr>
                    <w:t>2</w:t>
                  </w:r>
                  <w:r>
                    <w:rPr>
                      <w:szCs w:val="21"/>
                    </w:rPr>
                    <w:t>50t/a</w:t>
                  </w:r>
                </w:p>
              </w:tc>
              <w:tc>
                <w:tcPr>
                  <w:tcW w:w="952" w:type="dxa"/>
                  <w:vAlign w:val="center"/>
                </w:tcPr>
                <w:p>
                  <w:pPr>
                    <w:jc w:val="center"/>
                    <w:rPr>
                      <w:szCs w:val="21"/>
                    </w:rPr>
                  </w:pPr>
                  <w:r>
                    <w:rPr>
                      <w:rFonts w:hint="eastAsia"/>
                      <w:szCs w:val="21"/>
                    </w:rPr>
                    <w:t>2</w:t>
                  </w:r>
                  <w:r>
                    <w:rPr>
                      <w:szCs w:val="21"/>
                    </w:rPr>
                    <w:t>0t/a</w:t>
                  </w:r>
                </w:p>
              </w:tc>
              <w:tc>
                <w:tcPr>
                  <w:tcW w:w="957" w:type="dxa"/>
                  <w:vAlign w:val="center"/>
                </w:tcPr>
                <w:p>
                  <w:pPr>
                    <w:jc w:val="center"/>
                    <w:rPr>
                      <w:szCs w:val="21"/>
                    </w:rPr>
                  </w:pPr>
                  <w:r>
                    <w:rPr>
                      <w:rFonts w:hint="eastAsia"/>
                      <w:szCs w:val="21"/>
                    </w:rPr>
                    <w:t>原包装，库房</w:t>
                  </w:r>
                </w:p>
              </w:tc>
              <w:tc>
                <w:tcPr>
                  <w:tcW w:w="974" w:type="dxa"/>
                  <w:vAlign w:val="center"/>
                </w:tcPr>
                <w:p>
                  <w:pPr>
                    <w:jc w:val="center"/>
                    <w:rPr>
                      <w:szCs w:val="21"/>
                    </w:rPr>
                  </w:pPr>
                  <w:r>
                    <w:rPr>
                      <w:rFonts w:hint="eastAsia"/>
                      <w:szCs w:val="21"/>
                    </w:rPr>
                    <w:t>铝</w:t>
                  </w:r>
                </w:p>
              </w:tc>
              <w:tc>
                <w:tcPr>
                  <w:tcW w:w="1842" w:type="dxa"/>
                  <w:vAlign w:val="center"/>
                </w:tcPr>
                <w:p>
                  <w:pPr>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rFonts w:hint="eastAsia"/>
                      <w:color w:val="0000FF"/>
                      <w:szCs w:val="21"/>
                    </w:rPr>
                  </w:pPr>
                  <w:r>
                    <w:rPr>
                      <w:rFonts w:hint="eastAsia"/>
                      <w:color w:val="0000FF"/>
                      <w:szCs w:val="21"/>
                    </w:rPr>
                    <w:t>6</w:t>
                  </w:r>
                </w:p>
              </w:tc>
              <w:tc>
                <w:tcPr>
                  <w:tcW w:w="1536" w:type="dxa"/>
                  <w:vAlign w:val="center"/>
                </w:tcPr>
                <w:p>
                  <w:pPr>
                    <w:jc w:val="center"/>
                    <w:rPr>
                      <w:rFonts w:hint="eastAsia"/>
                      <w:color w:val="0000FF"/>
                      <w:szCs w:val="21"/>
                    </w:rPr>
                  </w:pPr>
                  <w:r>
                    <w:rPr>
                      <w:rFonts w:hint="eastAsia"/>
                      <w:color w:val="0000FF"/>
                      <w:szCs w:val="21"/>
                    </w:rPr>
                    <w:t>活性炭</w:t>
                  </w:r>
                </w:p>
              </w:tc>
              <w:tc>
                <w:tcPr>
                  <w:tcW w:w="1006" w:type="dxa"/>
                  <w:vAlign w:val="center"/>
                </w:tcPr>
                <w:p>
                  <w:pPr>
                    <w:jc w:val="center"/>
                    <w:rPr>
                      <w:rFonts w:hint="eastAsia"/>
                      <w:color w:val="0000FF"/>
                      <w:szCs w:val="21"/>
                    </w:rPr>
                  </w:pPr>
                  <w:r>
                    <w:rPr>
                      <w:color w:val="0000FF"/>
                      <w:szCs w:val="21"/>
                    </w:rPr>
                    <w:t>1.3</w:t>
                  </w:r>
                  <w:r>
                    <w:rPr>
                      <w:rFonts w:hint="eastAsia"/>
                      <w:color w:val="0000FF"/>
                      <w:szCs w:val="21"/>
                    </w:rPr>
                    <w:t>t/a</w:t>
                  </w:r>
                </w:p>
              </w:tc>
              <w:tc>
                <w:tcPr>
                  <w:tcW w:w="952" w:type="dxa"/>
                  <w:vAlign w:val="center"/>
                </w:tcPr>
                <w:p>
                  <w:pPr>
                    <w:jc w:val="center"/>
                    <w:rPr>
                      <w:rFonts w:hint="eastAsia"/>
                      <w:color w:val="0000FF"/>
                      <w:szCs w:val="21"/>
                    </w:rPr>
                  </w:pPr>
                  <w:r>
                    <w:rPr>
                      <w:rFonts w:hint="eastAsia"/>
                      <w:color w:val="0000FF"/>
                      <w:szCs w:val="21"/>
                    </w:rPr>
                    <w:t>/</w:t>
                  </w:r>
                </w:p>
              </w:tc>
              <w:tc>
                <w:tcPr>
                  <w:tcW w:w="957" w:type="dxa"/>
                  <w:vAlign w:val="center"/>
                </w:tcPr>
                <w:p>
                  <w:pPr>
                    <w:jc w:val="center"/>
                    <w:rPr>
                      <w:rFonts w:hint="eastAsia"/>
                      <w:color w:val="0000FF"/>
                      <w:szCs w:val="21"/>
                    </w:rPr>
                  </w:pPr>
                  <w:r>
                    <w:rPr>
                      <w:rFonts w:hint="eastAsia"/>
                      <w:color w:val="0000FF"/>
                      <w:szCs w:val="21"/>
                    </w:rPr>
                    <w:t>/</w:t>
                  </w:r>
                </w:p>
              </w:tc>
              <w:tc>
                <w:tcPr>
                  <w:tcW w:w="974" w:type="dxa"/>
                  <w:vAlign w:val="center"/>
                </w:tcPr>
                <w:p>
                  <w:pPr>
                    <w:jc w:val="center"/>
                    <w:rPr>
                      <w:rFonts w:hint="eastAsia"/>
                      <w:color w:val="0000FF"/>
                      <w:szCs w:val="21"/>
                    </w:rPr>
                  </w:pPr>
                  <w:r>
                    <w:rPr>
                      <w:rFonts w:hint="eastAsia"/>
                      <w:color w:val="0000FF"/>
                      <w:szCs w:val="21"/>
                    </w:rPr>
                    <w:t>活性炭</w:t>
                  </w:r>
                </w:p>
              </w:tc>
              <w:tc>
                <w:tcPr>
                  <w:tcW w:w="1842" w:type="dxa"/>
                  <w:vAlign w:val="center"/>
                </w:tcPr>
                <w:p>
                  <w:pPr>
                    <w:jc w:val="center"/>
                    <w:rPr>
                      <w:rFonts w:hint="eastAsia"/>
                      <w:color w:val="0000FF"/>
                      <w:szCs w:val="21"/>
                    </w:rPr>
                  </w:pPr>
                  <w:r>
                    <w:rPr>
                      <w:rFonts w:hint="eastAsia"/>
                      <w:color w:val="0000FF"/>
                      <w:szCs w:val="21"/>
                    </w:rPr>
                    <w:t>黑色多孔炭质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szCs w:val="21"/>
                    </w:rPr>
                    <w:t>7</w:t>
                  </w:r>
                </w:p>
              </w:tc>
              <w:tc>
                <w:tcPr>
                  <w:tcW w:w="1536" w:type="dxa"/>
                  <w:vAlign w:val="center"/>
                </w:tcPr>
                <w:p>
                  <w:pPr>
                    <w:jc w:val="center"/>
                    <w:rPr>
                      <w:szCs w:val="21"/>
                    </w:rPr>
                  </w:pPr>
                  <w:r>
                    <w:rPr>
                      <w:rFonts w:hint="eastAsia"/>
                      <w:szCs w:val="21"/>
                    </w:rPr>
                    <w:t>水</w:t>
                  </w:r>
                </w:p>
              </w:tc>
              <w:tc>
                <w:tcPr>
                  <w:tcW w:w="1006" w:type="dxa"/>
                  <w:vAlign w:val="center"/>
                </w:tcPr>
                <w:p>
                  <w:pPr>
                    <w:jc w:val="center"/>
                    <w:rPr>
                      <w:szCs w:val="21"/>
                    </w:rPr>
                  </w:pPr>
                  <w:r>
                    <w:rPr>
                      <w:rFonts w:hint="eastAsia"/>
                      <w:szCs w:val="21"/>
                    </w:rPr>
                    <w:t>1</w:t>
                  </w:r>
                  <w:r>
                    <w:rPr>
                      <w:szCs w:val="21"/>
                    </w:rPr>
                    <w:t>110m</w:t>
                  </w:r>
                  <w:r>
                    <w:rPr>
                      <w:szCs w:val="21"/>
                      <w:vertAlign w:val="superscript"/>
                    </w:rPr>
                    <w:t>3</w:t>
                  </w:r>
                  <w:r>
                    <w:rPr>
                      <w:szCs w:val="21"/>
                    </w:rPr>
                    <w:t>/a</w:t>
                  </w:r>
                </w:p>
              </w:tc>
              <w:tc>
                <w:tcPr>
                  <w:tcW w:w="952" w:type="dxa"/>
                  <w:vAlign w:val="center"/>
                </w:tcPr>
                <w:p>
                  <w:pPr>
                    <w:jc w:val="center"/>
                    <w:rPr>
                      <w:szCs w:val="21"/>
                    </w:rPr>
                  </w:pPr>
                  <w:r>
                    <w:rPr>
                      <w:rFonts w:hint="eastAsia"/>
                      <w:szCs w:val="21"/>
                    </w:rPr>
                    <w:t>/</w:t>
                  </w:r>
                </w:p>
              </w:tc>
              <w:tc>
                <w:tcPr>
                  <w:tcW w:w="957" w:type="dxa"/>
                  <w:vAlign w:val="center"/>
                </w:tcPr>
                <w:p>
                  <w:pPr>
                    <w:jc w:val="center"/>
                    <w:rPr>
                      <w:szCs w:val="21"/>
                    </w:rPr>
                  </w:pPr>
                  <w:r>
                    <w:rPr>
                      <w:rFonts w:hint="eastAsia"/>
                      <w:szCs w:val="21"/>
                    </w:rPr>
                    <w:t>/</w:t>
                  </w:r>
                </w:p>
              </w:tc>
              <w:tc>
                <w:tcPr>
                  <w:tcW w:w="974" w:type="dxa"/>
                  <w:vAlign w:val="center"/>
                </w:tcPr>
                <w:p>
                  <w:pPr>
                    <w:jc w:val="center"/>
                    <w:rPr>
                      <w:szCs w:val="21"/>
                    </w:rPr>
                  </w:pPr>
                  <w:r>
                    <w:rPr>
                      <w:rFonts w:hint="eastAsia"/>
                      <w:szCs w:val="21"/>
                    </w:rPr>
                    <w:t>/</w:t>
                  </w:r>
                </w:p>
              </w:tc>
              <w:tc>
                <w:tcPr>
                  <w:tcW w:w="1842" w:type="dxa"/>
                  <w:vAlign w:val="center"/>
                </w:tcPr>
                <w:p>
                  <w:pPr>
                    <w:jc w:val="center"/>
                    <w:rPr>
                      <w:szCs w:val="21"/>
                    </w:rPr>
                  </w:pPr>
                  <w:r>
                    <w:rPr>
                      <w:rFonts w:hint="eastAsia"/>
                      <w:szCs w:val="21"/>
                    </w:rPr>
                    <w:t>市政供水管网引入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621" w:type="dxa"/>
                  <w:vAlign w:val="center"/>
                </w:tcPr>
                <w:p>
                  <w:pPr>
                    <w:jc w:val="center"/>
                    <w:rPr>
                      <w:szCs w:val="21"/>
                    </w:rPr>
                  </w:pPr>
                  <w:r>
                    <w:rPr>
                      <w:szCs w:val="21"/>
                    </w:rPr>
                    <w:t>8</w:t>
                  </w:r>
                </w:p>
              </w:tc>
              <w:tc>
                <w:tcPr>
                  <w:tcW w:w="1536" w:type="dxa"/>
                  <w:vAlign w:val="center"/>
                </w:tcPr>
                <w:p>
                  <w:pPr>
                    <w:jc w:val="center"/>
                    <w:rPr>
                      <w:szCs w:val="21"/>
                    </w:rPr>
                  </w:pPr>
                  <w:r>
                    <w:rPr>
                      <w:rFonts w:hint="eastAsia"/>
                      <w:szCs w:val="21"/>
                    </w:rPr>
                    <w:t>电</w:t>
                  </w:r>
                </w:p>
              </w:tc>
              <w:tc>
                <w:tcPr>
                  <w:tcW w:w="1006" w:type="dxa"/>
                  <w:vAlign w:val="center"/>
                </w:tcPr>
                <w:p>
                  <w:pPr>
                    <w:jc w:val="center"/>
                    <w:rPr>
                      <w:szCs w:val="21"/>
                    </w:rPr>
                  </w:pPr>
                  <w:r>
                    <w:rPr>
                      <w:rFonts w:hint="eastAsia"/>
                      <w:szCs w:val="21"/>
                    </w:rPr>
                    <w:t>3</w:t>
                  </w:r>
                  <w:r>
                    <w:rPr>
                      <w:szCs w:val="21"/>
                    </w:rPr>
                    <w:t>0</w:t>
                  </w:r>
                  <w:r>
                    <w:rPr>
                      <w:rFonts w:hint="eastAsia"/>
                      <w:szCs w:val="21"/>
                    </w:rPr>
                    <w:t>万度/</w:t>
                  </w:r>
                  <w:r>
                    <w:rPr>
                      <w:szCs w:val="21"/>
                    </w:rPr>
                    <w:t>a</w:t>
                  </w:r>
                </w:p>
              </w:tc>
              <w:tc>
                <w:tcPr>
                  <w:tcW w:w="952" w:type="dxa"/>
                  <w:vAlign w:val="center"/>
                </w:tcPr>
                <w:p>
                  <w:pPr>
                    <w:jc w:val="center"/>
                    <w:rPr>
                      <w:szCs w:val="21"/>
                    </w:rPr>
                  </w:pPr>
                  <w:r>
                    <w:rPr>
                      <w:rFonts w:hint="eastAsia"/>
                      <w:szCs w:val="21"/>
                    </w:rPr>
                    <w:t>/</w:t>
                  </w:r>
                </w:p>
              </w:tc>
              <w:tc>
                <w:tcPr>
                  <w:tcW w:w="957" w:type="dxa"/>
                  <w:vAlign w:val="center"/>
                </w:tcPr>
                <w:p>
                  <w:pPr>
                    <w:jc w:val="center"/>
                    <w:rPr>
                      <w:szCs w:val="21"/>
                    </w:rPr>
                  </w:pPr>
                  <w:r>
                    <w:rPr>
                      <w:rFonts w:hint="eastAsia"/>
                      <w:szCs w:val="21"/>
                    </w:rPr>
                    <w:t>/</w:t>
                  </w:r>
                </w:p>
              </w:tc>
              <w:tc>
                <w:tcPr>
                  <w:tcW w:w="974" w:type="dxa"/>
                  <w:vAlign w:val="center"/>
                </w:tcPr>
                <w:p>
                  <w:pPr>
                    <w:jc w:val="center"/>
                    <w:rPr>
                      <w:szCs w:val="21"/>
                    </w:rPr>
                  </w:pPr>
                  <w:r>
                    <w:rPr>
                      <w:rFonts w:hint="eastAsia"/>
                      <w:szCs w:val="21"/>
                    </w:rPr>
                    <w:t>/</w:t>
                  </w:r>
                </w:p>
              </w:tc>
              <w:tc>
                <w:tcPr>
                  <w:tcW w:w="1842" w:type="dxa"/>
                  <w:vAlign w:val="center"/>
                </w:tcPr>
                <w:p>
                  <w:pPr>
                    <w:jc w:val="center"/>
                    <w:rPr>
                      <w:szCs w:val="21"/>
                    </w:rPr>
                  </w:pPr>
                  <w:r>
                    <w:rPr>
                      <w:rFonts w:hint="eastAsia"/>
                      <w:szCs w:val="21"/>
                    </w:rPr>
                    <w:t>当地城乡电网引入</w:t>
                  </w:r>
                </w:p>
              </w:tc>
            </w:tr>
          </w:tbl>
          <w:p>
            <w:pPr>
              <w:spacing w:line="360" w:lineRule="auto"/>
              <w:ind w:firstLine="422" w:firstLineChars="200"/>
              <w:rPr>
                <w:rFonts w:hAnsi="宋体"/>
                <w:b/>
                <w:snapToGrid w:val="0"/>
                <w:szCs w:val="21"/>
              </w:rPr>
            </w:pPr>
            <w:r>
              <w:rPr>
                <w:rFonts w:hint="eastAsia" w:hAnsi="宋体"/>
                <w:b/>
                <w:snapToGrid w:val="0"/>
                <w:szCs w:val="21"/>
              </w:rPr>
              <w:t>主要原辅材料介绍：</w:t>
            </w:r>
          </w:p>
          <w:p>
            <w:pPr>
              <w:spacing w:line="360" w:lineRule="auto"/>
              <w:ind w:firstLine="420"/>
              <w:rPr>
                <w:rFonts w:hAnsi="宋体"/>
                <w:snapToGrid w:val="0"/>
                <w:szCs w:val="21"/>
              </w:rPr>
            </w:pPr>
            <w:r>
              <w:rPr>
                <w:rFonts w:hint="eastAsia" w:hAnsi="宋体"/>
                <w:snapToGrid w:val="0"/>
                <w:szCs w:val="21"/>
              </w:rPr>
              <w:t>（1）丁基密封胶</w:t>
            </w:r>
          </w:p>
          <w:p>
            <w:pPr>
              <w:spacing w:line="360" w:lineRule="auto"/>
              <w:ind w:firstLine="420"/>
              <w:rPr>
                <w:rFonts w:hAnsi="宋体"/>
                <w:snapToGrid w:val="0"/>
                <w:szCs w:val="21"/>
              </w:rPr>
            </w:pPr>
            <w:r>
              <w:rPr>
                <w:rFonts w:hint="eastAsia" w:hAnsi="宋体"/>
                <w:snapToGrid w:val="0"/>
                <w:szCs w:val="21"/>
              </w:rPr>
              <w:t>是以聚异丁烯为主要基料的单组分、无溶剂密封胶，具有良好的气密性，优良的抗紫外线性能，在较宽温度范围内保持永久粘性，用于节能中空玻璃第一次封边。丁基密封胶由于其较低的水汽透过率，可以与弹性密封剂一起构成一个优异的抗湿气系统。特点：密封效果好，无需固化期，节省占地面积，属于环保产品。</w:t>
            </w:r>
          </w:p>
          <w:p>
            <w:pPr>
              <w:spacing w:line="360" w:lineRule="auto"/>
              <w:ind w:firstLine="420" w:firstLineChars="200"/>
              <w:rPr>
                <w:rFonts w:hAnsi="宋体"/>
                <w:snapToGrid w:val="0"/>
                <w:szCs w:val="21"/>
              </w:rPr>
            </w:pPr>
            <w:r>
              <w:rPr>
                <w:rFonts w:hint="eastAsia" w:hAnsi="宋体"/>
                <w:snapToGrid w:val="0"/>
                <w:szCs w:val="21"/>
              </w:rPr>
              <w:t>（2）硅酮胶</w:t>
            </w:r>
          </w:p>
          <w:p>
            <w:pPr>
              <w:spacing w:line="360" w:lineRule="auto"/>
              <w:ind w:firstLine="420" w:firstLineChars="200"/>
              <w:rPr>
                <w:rFonts w:hAnsi="宋体"/>
                <w:snapToGrid w:val="0"/>
                <w:szCs w:val="21"/>
              </w:rPr>
            </w:pPr>
            <w:r>
              <w:rPr>
                <w:rFonts w:hint="eastAsia" w:hAnsi="宋体"/>
                <w:snapToGrid w:val="0"/>
                <w:szCs w:val="21"/>
              </w:rPr>
              <w:t>是一种无溶剂双组份室温硫化专用玻璃密封剂，以硅橡胶为主要原料，加入补强剂、交联剂、抗氧剂、促进剂、增塑剂等；双组分硅酮密封胶是指硅酮胶分成A、B两组，A、B组分重量比例为1</w:t>
            </w:r>
            <w:r>
              <w:rPr>
                <w:rFonts w:hAnsi="宋体"/>
                <w:snapToGrid w:val="0"/>
                <w:szCs w:val="21"/>
              </w:rPr>
              <w:t>0</w:t>
            </w:r>
            <w:r>
              <w:rPr>
                <w:rFonts w:hint="eastAsia" w:hAnsi="宋体"/>
                <w:snapToGrid w:val="0"/>
                <w:szCs w:val="21"/>
              </w:rPr>
              <w:t>:</w:t>
            </w:r>
            <w:r>
              <w:rPr>
                <w:rFonts w:hAnsi="宋体"/>
                <w:snapToGrid w:val="0"/>
                <w:szCs w:val="21"/>
              </w:rPr>
              <w:t>1</w:t>
            </w:r>
            <w:r>
              <w:rPr>
                <w:rFonts w:hint="eastAsia" w:hAnsi="宋体"/>
                <w:snapToGrid w:val="0"/>
                <w:szCs w:val="21"/>
              </w:rPr>
              <w:t>，两组分混合产生固化，主要用于节能中空玻璃第二次封边，硅酮密封胶的粘结力强，拉伸强度大，同时又具有耐候性、抗振性和防潮、抗臭气和适应冷热变化大的特点。</w:t>
            </w:r>
          </w:p>
          <w:p>
            <w:pPr>
              <w:spacing w:line="360" w:lineRule="auto"/>
              <w:ind w:firstLine="420" w:firstLineChars="200"/>
              <w:rPr>
                <w:rFonts w:hAnsi="宋体"/>
                <w:snapToGrid w:val="0"/>
                <w:szCs w:val="21"/>
              </w:rPr>
            </w:pPr>
            <w:r>
              <w:rPr>
                <w:rFonts w:hint="eastAsia" w:hAnsi="宋体"/>
                <w:snapToGrid w:val="0"/>
                <w:szCs w:val="21"/>
              </w:rPr>
              <w:t>（3）分子筛干燥剂</w:t>
            </w:r>
          </w:p>
          <w:p>
            <w:pPr>
              <w:spacing w:line="360" w:lineRule="auto"/>
              <w:ind w:firstLine="420" w:firstLineChars="200"/>
              <w:rPr>
                <w:rFonts w:hAnsi="宋体"/>
                <w:snapToGrid w:val="0"/>
                <w:szCs w:val="21"/>
              </w:rPr>
            </w:pPr>
            <w:r>
              <w:rPr>
                <w:rFonts w:hint="eastAsia" w:hAnsi="宋体"/>
                <w:snapToGrid w:val="0"/>
                <w:szCs w:val="21"/>
              </w:rPr>
              <w:t>一种具有立方晶格的硅铝酸盐化合物，主要由硅铝通过氧桥连接组成空旷的骨架结构，在结构中有很多孔径均匀的孔道和排列整齐、内表面积很大的空穴。主要用于节能中空玻璃夹层气体中水分和气体的吸附，避免玻璃结雾，使节能中空玻璃及时在低温度下仍然保持光洁透明，提高节能中空玻璃的保温隔音性能，充分延长节能中空玻璃的使用寿命。</w:t>
            </w:r>
          </w:p>
          <w:p>
            <w:pPr>
              <w:spacing w:line="360" w:lineRule="auto"/>
              <w:ind w:firstLine="422" w:firstLineChars="200"/>
              <w:rPr>
                <w:b/>
                <w:bCs/>
              </w:rPr>
            </w:pPr>
            <w:r>
              <w:rPr>
                <w:rFonts w:hint="eastAsia"/>
                <w:b/>
                <w:bCs/>
              </w:rPr>
              <w:t>5、公用工程</w:t>
            </w:r>
          </w:p>
          <w:p>
            <w:pPr>
              <w:numPr>
                <w:ilvl w:val="0"/>
                <w:numId w:val="2"/>
              </w:numPr>
              <w:spacing w:line="360" w:lineRule="auto"/>
              <w:rPr>
                <w:snapToGrid w:val="0"/>
                <w:szCs w:val="21"/>
              </w:rPr>
            </w:pPr>
            <w:r>
              <w:rPr>
                <w:rFonts w:hAnsi="宋体"/>
                <w:snapToGrid w:val="0"/>
                <w:szCs w:val="21"/>
              </w:rPr>
              <w:t>给水</w:t>
            </w:r>
          </w:p>
          <w:p>
            <w:pPr>
              <w:spacing w:line="360" w:lineRule="auto"/>
              <w:ind w:firstLine="420" w:firstLineChars="200"/>
              <w:rPr>
                <w:snapToGrid w:val="0"/>
                <w:szCs w:val="21"/>
              </w:rPr>
            </w:pPr>
            <w:r>
              <w:rPr>
                <w:rFonts w:hAnsi="宋体"/>
                <w:snapToGrid w:val="0"/>
                <w:szCs w:val="21"/>
              </w:rPr>
              <w:t>生产及生活用水引自市政供水管网。</w:t>
            </w:r>
          </w:p>
          <w:p>
            <w:pPr>
              <w:spacing w:line="360" w:lineRule="auto"/>
              <w:ind w:firstLine="420" w:firstLineChars="200"/>
              <w:rPr>
                <w:snapToGrid w:val="0"/>
                <w:szCs w:val="21"/>
              </w:rPr>
            </w:pPr>
            <w:r>
              <w:rPr>
                <w:rFonts w:hint="eastAsia" w:ascii="宋体" w:hAnsi="宋体" w:cs="宋体"/>
                <w:snapToGrid w:val="0"/>
                <w:szCs w:val="21"/>
              </w:rPr>
              <w:t>①</w:t>
            </w:r>
            <w:r>
              <w:rPr>
                <w:rFonts w:hint="eastAsia" w:hAnsi="宋体"/>
                <w:snapToGrid w:val="0"/>
                <w:szCs w:val="21"/>
              </w:rPr>
              <w:t>生产用水</w:t>
            </w:r>
          </w:p>
          <w:p>
            <w:pPr>
              <w:spacing w:line="360" w:lineRule="auto"/>
              <w:ind w:firstLine="420"/>
              <w:rPr>
                <w:rFonts w:hAnsi="宋体"/>
                <w:snapToGrid w:val="0"/>
                <w:color w:val="0000FF"/>
                <w:szCs w:val="21"/>
              </w:rPr>
            </w:pPr>
            <w:r>
              <w:rPr>
                <w:rFonts w:hint="eastAsia" w:hAnsi="宋体"/>
                <w:snapToGrid w:val="0"/>
                <w:color w:val="0000FF"/>
                <w:szCs w:val="21"/>
              </w:rPr>
              <w:t>本项目生产用水主要包括磨边用水和清洗用水。</w:t>
            </w:r>
          </w:p>
          <w:p>
            <w:pPr>
              <w:spacing w:line="360" w:lineRule="auto"/>
              <w:ind w:firstLine="420"/>
              <w:rPr>
                <w:rFonts w:hAnsi="宋体"/>
                <w:snapToGrid w:val="0"/>
                <w:szCs w:val="21"/>
              </w:rPr>
            </w:pPr>
            <w:r>
              <w:rPr>
                <w:rFonts w:hint="eastAsia" w:hAnsi="宋体"/>
                <w:snapToGrid w:val="0"/>
                <w:szCs w:val="21"/>
              </w:rPr>
              <w:t>磨边工序采取湿法加工，在砂轮与玻璃接触部位冲水以避免产生玻璃粉尘，同时起到冷却磨轮的作用。磨边工序拟设</w:t>
            </w:r>
            <w:r>
              <w:rPr>
                <w:rFonts w:hAnsi="宋体"/>
                <w:snapToGrid w:val="0"/>
                <w:szCs w:val="21"/>
              </w:rPr>
              <w:t>5m</w:t>
            </w:r>
            <w:r>
              <w:rPr>
                <w:rFonts w:hAnsi="宋体"/>
                <w:snapToGrid w:val="0"/>
                <w:szCs w:val="21"/>
                <w:vertAlign w:val="superscript"/>
              </w:rPr>
              <w:t>3</w:t>
            </w:r>
            <w:r>
              <w:rPr>
                <w:rFonts w:hint="eastAsia" w:hAnsi="宋体"/>
                <w:snapToGrid w:val="0"/>
                <w:szCs w:val="21"/>
              </w:rPr>
              <w:t>循环水箱一个，磨边废水经循环水箱沉淀后上清液回用，定期补充新水。日补充新鲜水量约为水箱容量2</w:t>
            </w:r>
            <w:r>
              <w:rPr>
                <w:rFonts w:hAnsi="宋体"/>
                <w:snapToGrid w:val="0"/>
                <w:szCs w:val="21"/>
              </w:rPr>
              <w:t>0%</w:t>
            </w:r>
            <w:r>
              <w:rPr>
                <w:rFonts w:hint="eastAsia" w:hAnsi="宋体"/>
                <w:snapToGrid w:val="0"/>
                <w:szCs w:val="21"/>
              </w:rPr>
              <w:t>，经计算，磨边工序补充新水量1</w:t>
            </w:r>
            <w:r>
              <w:rPr>
                <w:rFonts w:hAnsi="宋体"/>
                <w:snapToGrid w:val="0"/>
                <w:szCs w:val="21"/>
              </w:rPr>
              <w:t>m</w:t>
            </w:r>
            <w:r>
              <w:rPr>
                <w:rFonts w:hAnsi="宋体"/>
                <w:snapToGrid w:val="0"/>
                <w:szCs w:val="21"/>
                <w:vertAlign w:val="superscript"/>
              </w:rPr>
              <w:t>3</w:t>
            </w:r>
            <w:r>
              <w:rPr>
                <w:rFonts w:hAnsi="宋体"/>
                <w:snapToGrid w:val="0"/>
                <w:szCs w:val="21"/>
              </w:rPr>
              <w:t>/d</w:t>
            </w:r>
            <w:r>
              <w:rPr>
                <w:rFonts w:hint="eastAsia" w:hAnsi="宋体"/>
                <w:snapToGrid w:val="0"/>
                <w:szCs w:val="21"/>
              </w:rPr>
              <w:t>（即3</w:t>
            </w:r>
            <w:r>
              <w:rPr>
                <w:rFonts w:hAnsi="宋体"/>
                <w:snapToGrid w:val="0"/>
                <w:szCs w:val="21"/>
              </w:rPr>
              <w:t>00m</w:t>
            </w:r>
            <w:r>
              <w:rPr>
                <w:rFonts w:hAnsi="宋体"/>
                <w:snapToGrid w:val="0"/>
                <w:szCs w:val="21"/>
                <w:vertAlign w:val="superscript"/>
              </w:rPr>
              <w:t>3</w:t>
            </w:r>
            <w:r>
              <w:rPr>
                <w:rFonts w:hAnsi="宋体"/>
                <w:snapToGrid w:val="0"/>
                <w:szCs w:val="21"/>
              </w:rPr>
              <w:t>/a</w:t>
            </w:r>
            <w:r>
              <w:rPr>
                <w:rFonts w:hint="eastAsia" w:hAnsi="宋体"/>
                <w:snapToGrid w:val="0"/>
                <w:szCs w:val="21"/>
              </w:rPr>
              <w:t>）。</w:t>
            </w:r>
          </w:p>
          <w:p>
            <w:pPr>
              <w:spacing w:line="360" w:lineRule="auto"/>
              <w:ind w:firstLine="420"/>
              <w:rPr>
                <w:rFonts w:hAnsi="宋体"/>
                <w:snapToGrid w:val="0"/>
                <w:szCs w:val="21"/>
              </w:rPr>
            </w:pPr>
            <w:r>
              <w:rPr>
                <w:rFonts w:hint="eastAsia" w:hAnsi="宋体"/>
                <w:snapToGrid w:val="0"/>
                <w:szCs w:val="21"/>
              </w:rPr>
              <w:t>本项目设清洗机一台，在钢化工序前清洗掉玻璃表面灰尘和杂质，清洗过程中不使用任何洗涤剂，清洗工序拟配套1</w:t>
            </w:r>
            <w:r>
              <w:rPr>
                <w:rFonts w:hAnsi="宋体"/>
                <w:snapToGrid w:val="0"/>
                <w:szCs w:val="21"/>
              </w:rPr>
              <w:t>0m</w:t>
            </w:r>
            <w:r>
              <w:rPr>
                <w:rFonts w:hAnsi="宋体"/>
                <w:snapToGrid w:val="0"/>
                <w:szCs w:val="21"/>
                <w:vertAlign w:val="superscript"/>
              </w:rPr>
              <w:t>3</w:t>
            </w:r>
            <w:r>
              <w:rPr>
                <w:rFonts w:hint="eastAsia" w:hAnsi="宋体"/>
                <w:snapToGrid w:val="0"/>
                <w:szCs w:val="21"/>
              </w:rPr>
              <w:t>循环水箱一个，清洗废水经清洗机底部的废水收集槽收集流入循环水箱，经沉淀后上清液回用，定期补充新水。日补充新水量约为水箱容量的2</w:t>
            </w:r>
            <w:r>
              <w:rPr>
                <w:rFonts w:hAnsi="宋体"/>
                <w:snapToGrid w:val="0"/>
                <w:szCs w:val="21"/>
              </w:rPr>
              <w:t>0%</w:t>
            </w:r>
            <w:r>
              <w:rPr>
                <w:rFonts w:hint="eastAsia" w:hAnsi="宋体"/>
                <w:snapToGrid w:val="0"/>
                <w:szCs w:val="21"/>
              </w:rPr>
              <w:t>，经计算，清洗工序补充新水量2</w:t>
            </w:r>
            <w:r>
              <w:rPr>
                <w:rFonts w:hAnsi="宋体"/>
                <w:snapToGrid w:val="0"/>
                <w:szCs w:val="21"/>
              </w:rPr>
              <w:t>m</w:t>
            </w:r>
            <w:r>
              <w:rPr>
                <w:rFonts w:hAnsi="宋体"/>
                <w:snapToGrid w:val="0"/>
                <w:szCs w:val="21"/>
                <w:vertAlign w:val="superscript"/>
              </w:rPr>
              <w:t>3</w:t>
            </w:r>
            <w:r>
              <w:rPr>
                <w:rFonts w:hAnsi="宋体"/>
                <w:snapToGrid w:val="0"/>
                <w:szCs w:val="21"/>
              </w:rPr>
              <w:t>/d</w:t>
            </w:r>
            <w:r>
              <w:rPr>
                <w:rFonts w:hint="eastAsia" w:hAnsi="宋体"/>
                <w:snapToGrid w:val="0"/>
                <w:szCs w:val="21"/>
              </w:rPr>
              <w:t>（即6</w:t>
            </w:r>
            <w:r>
              <w:rPr>
                <w:rFonts w:hAnsi="宋体"/>
                <w:snapToGrid w:val="0"/>
                <w:szCs w:val="21"/>
              </w:rPr>
              <w:t>00m</w:t>
            </w:r>
            <w:r>
              <w:rPr>
                <w:rFonts w:hAnsi="宋体"/>
                <w:snapToGrid w:val="0"/>
                <w:szCs w:val="21"/>
                <w:vertAlign w:val="superscript"/>
              </w:rPr>
              <w:t>3</w:t>
            </w:r>
            <w:r>
              <w:rPr>
                <w:rFonts w:hAnsi="宋体"/>
                <w:snapToGrid w:val="0"/>
                <w:szCs w:val="21"/>
              </w:rPr>
              <w:t>/a</w:t>
            </w:r>
            <w:r>
              <w:rPr>
                <w:rFonts w:hint="eastAsia" w:hAnsi="宋体"/>
                <w:snapToGrid w:val="0"/>
                <w:szCs w:val="21"/>
              </w:rPr>
              <w:t>）。</w:t>
            </w:r>
          </w:p>
          <w:p>
            <w:pPr>
              <w:spacing w:line="360" w:lineRule="auto"/>
              <w:ind w:firstLine="420"/>
              <w:rPr>
                <w:rFonts w:hAnsi="宋体"/>
                <w:snapToGrid w:val="0"/>
                <w:szCs w:val="21"/>
              </w:rPr>
            </w:pPr>
            <w:r>
              <w:rPr>
                <w:rFonts w:hint="eastAsia" w:hAnsi="宋体"/>
                <w:snapToGrid w:val="0"/>
                <w:szCs w:val="21"/>
              </w:rPr>
              <w:t>本项目生产用水总年用量9</w:t>
            </w:r>
            <w:r>
              <w:rPr>
                <w:rFonts w:hAnsi="宋体"/>
                <w:snapToGrid w:val="0"/>
                <w:szCs w:val="21"/>
              </w:rPr>
              <w:t>15m</w:t>
            </w:r>
            <w:r>
              <w:rPr>
                <w:rFonts w:hAnsi="宋体"/>
                <w:snapToGrid w:val="0"/>
                <w:szCs w:val="21"/>
                <w:vertAlign w:val="superscript"/>
              </w:rPr>
              <w:t>3</w:t>
            </w:r>
            <w:r>
              <w:rPr>
                <w:rFonts w:hAnsi="宋体"/>
                <w:snapToGrid w:val="0"/>
                <w:szCs w:val="21"/>
              </w:rPr>
              <w:t>/a</w:t>
            </w:r>
            <w:r>
              <w:rPr>
                <w:rFonts w:hint="eastAsia" w:hAnsi="宋体"/>
                <w:snapToGrid w:val="0"/>
                <w:szCs w:val="21"/>
              </w:rPr>
              <w:t>（含循环用水量）。</w:t>
            </w:r>
          </w:p>
          <w:p>
            <w:pPr>
              <w:spacing w:line="360" w:lineRule="auto"/>
              <w:ind w:firstLine="420" w:firstLineChars="200"/>
              <w:rPr>
                <w:rFonts w:hAnsi="宋体"/>
                <w:snapToGrid w:val="0"/>
                <w:szCs w:val="21"/>
              </w:rPr>
            </w:pPr>
            <w:r>
              <w:rPr>
                <w:rFonts w:hint="eastAsia" w:ascii="宋体" w:hAnsi="宋体" w:cs="宋体"/>
                <w:snapToGrid w:val="0"/>
                <w:szCs w:val="21"/>
              </w:rPr>
              <w:t>②</w:t>
            </w:r>
            <w:r>
              <w:rPr>
                <w:rFonts w:hint="eastAsia" w:hAnsi="宋体"/>
                <w:snapToGrid w:val="0"/>
                <w:szCs w:val="21"/>
              </w:rPr>
              <w:t>生活用水</w:t>
            </w:r>
          </w:p>
          <w:p>
            <w:pPr>
              <w:spacing w:line="360" w:lineRule="auto"/>
              <w:ind w:firstLine="420" w:firstLineChars="200"/>
              <w:rPr>
                <w:szCs w:val="21"/>
              </w:rPr>
            </w:pPr>
            <w:r>
              <w:rPr>
                <w:szCs w:val="21"/>
              </w:rPr>
              <w:t>本项目劳动定员10人，实行1班工作制度</w:t>
            </w:r>
            <w:r>
              <w:rPr>
                <w:rFonts w:hint="eastAsia"/>
                <w:szCs w:val="21"/>
              </w:rPr>
              <w:t>，厂区不提供食宿。根据《陕西省行业用水定额》（2</w:t>
            </w:r>
            <w:r>
              <w:rPr>
                <w:szCs w:val="21"/>
              </w:rPr>
              <w:t>020</w:t>
            </w:r>
            <w:r>
              <w:rPr>
                <w:rFonts w:hint="eastAsia"/>
                <w:szCs w:val="21"/>
              </w:rPr>
              <w:t>年）结合项目所在地实际用水情况，厂区内职工生活用水按6</w:t>
            </w:r>
            <w:r>
              <w:rPr>
                <w:szCs w:val="21"/>
              </w:rPr>
              <w:t>5L/d</w:t>
            </w:r>
            <w:r>
              <w:rPr>
                <w:rFonts w:hint="eastAsia"/>
                <w:szCs w:val="21"/>
              </w:rPr>
              <w:t>·人计算，生活用水量0</w:t>
            </w:r>
            <w:r>
              <w:rPr>
                <w:szCs w:val="21"/>
              </w:rPr>
              <w:t>.65m</w:t>
            </w:r>
            <w:r>
              <w:rPr>
                <w:szCs w:val="21"/>
                <w:vertAlign w:val="superscript"/>
              </w:rPr>
              <w:t>3</w:t>
            </w:r>
            <w:r>
              <w:rPr>
                <w:szCs w:val="21"/>
              </w:rPr>
              <w:t>/d</w:t>
            </w:r>
            <w:r>
              <w:rPr>
                <w:rFonts w:hint="eastAsia"/>
                <w:szCs w:val="21"/>
              </w:rPr>
              <w:t>（1</w:t>
            </w:r>
            <w:r>
              <w:rPr>
                <w:szCs w:val="21"/>
              </w:rPr>
              <w:t>95m</w:t>
            </w:r>
            <w:r>
              <w:rPr>
                <w:szCs w:val="21"/>
                <w:vertAlign w:val="superscript"/>
              </w:rPr>
              <w:t>3</w:t>
            </w:r>
            <w:r>
              <w:rPr>
                <w:szCs w:val="21"/>
              </w:rPr>
              <w:t>/a</w:t>
            </w:r>
            <w:r>
              <w:rPr>
                <w:rFonts w:hint="eastAsia"/>
                <w:szCs w:val="21"/>
              </w:rPr>
              <w:t>）。</w:t>
            </w:r>
          </w:p>
          <w:p>
            <w:pPr>
              <w:spacing w:line="360" w:lineRule="auto"/>
              <w:ind w:firstLine="420" w:firstLineChars="200"/>
              <w:rPr>
                <w:rFonts w:hAnsi="宋体"/>
                <w:snapToGrid w:val="0"/>
                <w:szCs w:val="21"/>
              </w:rPr>
            </w:pPr>
            <w:r>
              <w:rPr>
                <w:rFonts w:hint="eastAsia" w:hAnsi="宋体"/>
                <w:snapToGrid w:val="0"/>
                <w:szCs w:val="21"/>
              </w:rPr>
              <w:t>综上，本项目年用水量1</w:t>
            </w:r>
            <w:r>
              <w:rPr>
                <w:rFonts w:hAnsi="宋体"/>
                <w:snapToGrid w:val="0"/>
                <w:szCs w:val="21"/>
              </w:rPr>
              <w:t>110m</w:t>
            </w:r>
            <w:r>
              <w:rPr>
                <w:rFonts w:hAnsi="宋体"/>
                <w:snapToGrid w:val="0"/>
                <w:szCs w:val="21"/>
                <w:vertAlign w:val="superscript"/>
              </w:rPr>
              <w:t>3</w:t>
            </w:r>
            <w:r>
              <w:rPr>
                <w:rFonts w:hAnsi="宋体"/>
                <w:snapToGrid w:val="0"/>
                <w:szCs w:val="21"/>
              </w:rPr>
              <w:t>/a</w:t>
            </w:r>
            <w:r>
              <w:rPr>
                <w:rFonts w:hint="eastAsia" w:hAnsi="宋体"/>
                <w:snapToGrid w:val="0"/>
                <w:szCs w:val="21"/>
              </w:rPr>
              <w:t>（含循环用水量）。</w:t>
            </w:r>
          </w:p>
          <w:p>
            <w:pPr>
              <w:spacing w:line="360" w:lineRule="auto"/>
              <w:ind w:firstLine="420" w:firstLineChars="200"/>
              <w:rPr>
                <w:snapToGrid w:val="0"/>
                <w:szCs w:val="21"/>
              </w:rPr>
            </w:pPr>
            <w:r>
              <w:rPr>
                <w:rFonts w:hAnsi="宋体"/>
                <w:snapToGrid w:val="0"/>
                <w:szCs w:val="21"/>
              </w:rPr>
              <w:t>（</w:t>
            </w:r>
            <w:r>
              <w:rPr>
                <w:snapToGrid w:val="0"/>
                <w:szCs w:val="21"/>
              </w:rPr>
              <w:t>2</w:t>
            </w:r>
            <w:r>
              <w:rPr>
                <w:rFonts w:hAnsi="宋体"/>
                <w:snapToGrid w:val="0"/>
                <w:szCs w:val="21"/>
              </w:rPr>
              <w:t>）排水</w:t>
            </w:r>
          </w:p>
          <w:p>
            <w:pPr>
              <w:spacing w:line="360" w:lineRule="auto"/>
              <w:ind w:firstLine="420" w:firstLineChars="200"/>
              <w:rPr>
                <w:rFonts w:hAnsi="宋体"/>
                <w:snapToGrid w:val="0"/>
                <w:szCs w:val="21"/>
              </w:rPr>
            </w:pPr>
            <w:r>
              <w:rPr>
                <w:rFonts w:hAnsi="宋体"/>
                <w:snapToGrid w:val="0"/>
                <w:szCs w:val="21"/>
              </w:rPr>
              <w:t>本项目采用雨污分流，无生产废水排放。</w:t>
            </w:r>
          </w:p>
          <w:p>
            <w:pPr>
              <w:spacing w:line="360" w:lineRule="auto"/>
              <w:ind w:firstLine="420" w:firstLineChars="200"/>
              <w:rPr>
                <w:rFonts w:hAnsi="宋体"/>
                <w:snapToGrid w:val="0"/>
                <w:color w:val="0000FF"/>
                <w:szCs w:val="21"/>
              </w:rPr>
            </w:pPr>
            <w:r>
              <w:rPr>
                <w:rFonts w:hAnsi="宋体"/>
                <w:snapToGrid w:val="0"/>
                <w:color w:val="0000FF"/>
                <w:szCs w:val="21"/>
              </w:rPr>
              <w:t>本项目污水主要为厂区职工生活污水。</w:t>
            </w:r>
            <w:r>
              <w:rPr>
                <w:rFonts w:hint="eastAsia" w:hAnsi="宋体"/>
                <w:snapToGrid w:val="0"/>
                <w:color w:val="0000FF"/>
                <w:szCs w:val="21"/>
              </w:rPr>
              <w:t>经调查，项目建设地污水管网已接通，生活污水产生量按使用量的8</w:t>
            </w:r>
            <w:r>
              <w:rPr>
                <w:rFonts w:hAnsi="宋体"/>
                <w:snapToGrid w:val="0"/>
                <w:color w:val="0000FF"/>
                <w:szCs w:val="21"/>
              </w:rPr>
              <w:t>0%</w:t>
            </w:r>
            <w:r>
              <w:rPr>
                <w:rFonts w:hint="eastAsia" w:hAnsi="宋体"/>
                <w:snapToGrid w:val="0"/>
                <w:color w:val="0000FF"/>
                <w:szCs w:val="21"/>
              </w:rPr>
              <w:t>计算，厂区日产生生活污水0</w:t>
            </w:r>
            <w:r>
              <w:rPr>
                <w:rFonts w:hAnsi="宋体"/>
                <w:snapToGrid w:val="0"/>
                <w:color w:val="0000FF"/>
                <w:szCs w:val="21"/>
              </w:rPr>
              <w:t>.52m</w:t>
            </w:r>
            <w:r>
              <w:rPr>
                <w:rFonts w:hAnsi="宋体"/>
                <w:snapToGrid w:val="0"/>
                <w:color w:val="0000FF"/>
                <w:szCs w:val="21"/>
                <w:vertAlign w:val="superscript"/>
              </w:rPr>
              <w:t>3</w:t>
            </w:r>
            <w:r>
              <w:rPr>
                <w:rFonts w:hAnsi="宋体"/>
                <w:snapToGrid w:val="0"/>
                <w:color w:val="0000FF"/>
                <w:szCs w:val="21"/>
              </w:rPr>
              <w:t>/d</w:t>
            </w:r>
            <w:r>
              <w:rPr>
                <w:rFonts w:hint="eastAsia" w:hAnsi="宋体"/>
                <w:snapToGrid w:val="0"/>
                <w:color w:val="0000FF"/>
                <w:szCs w:val="21"/>
              </w:rPr>
              <w:t>（1</w:t>
            </w:r>
            <w:r>
              <w:rPr>
                <w:rFonts w:hAnsi="宋体"/>
                <w:snapToGrid w:val="0"/>
                <w:color w:val="0000FF"/>
                <w:szCs w:val="21"/>
              </w:rPr>
              <w:t>56</w:t>
            </w:r>
            <w:r>
              <w:rPr>
                <w:rFonts w:hint="eastAsia" w:hAnsi="宋体"/>
                <w:snapToGrid w:val="0"/>
                <w:color w:val="0000FF"/>
                <w:szCs w:val="21"/>
              </w:rPr>
              <w:t>m</w:t>
            </w:r>
            <w:r>
              <w:rPr>
                <w:rFonts w:hAnsi="宋体"/>
                <w:snapToGrid w:val="0"/>
                <w:color w:val="0000FF"/>
                <w:szCs w:val="21"/>
                <w:vertAlign w:val="superscript"/>
              </w:rPr>
              <w:t>3</w:t>
            </w:r>
            <w:r>
              <w:rPr>
                <w:rFonts w:hAnsi="宋体"/>
                <w:snapToGrid w:val="0"/>
                <w:color w:val="0000FF"/>
                <w:szCs w:val="21"/>
              </w:rPr>
              <w:t>/a</w:t>
            </w:r>
            <w:r>
              <w:rPr>
                <w:rFonts w:hint="eastAsia" w:hAnsi="宋体"/>
                <w:snapToGrid w:val="0"/>
                <w:color w:val="0000FF"/>
                <w:szCs w:val="21"/>
              </w:rPr>
              <w:t>）。生活污水经厂区化粪池预处理排入园区污水管网，最终进入汉滨区五里镇污水处理厂。</w:t>
            </w:r>
          </w:p>
          <w:p>
            <w:pPr>
              <w:pStyle w:val="2"/>
              <w:jc w:val="center"/>
              <w:rPr>
                <w:rFonts w:ascii="Times New Roman" w:hAnsi="宋体" w:cs="Times New Roman"/>
                <w:b/>
                <w:color w:val="auto"/>
                <w:sz w:val="21"/>
                <w:szCs w:val="21"/>
              </w:rPr>
            </w:pPr>
            <w:r>
              <w:rPr>
                <w:color w:val="auto"/>
              </w:rPr>
              <w:drawing>
                <wp:inline distT="0" distB="0" distL="0" distR="0">
                  <wp:extent cx="4943475" cy="27908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43475" cy="2790825"/>
                          </a:xfrm>
                          <a:prstGeom prst="rect">
                            <a:avLst/>
                          </a:prstGeom>
                          <a:noFill/>
                          <a:ln>
                            <a:noFill/>
                          </a:ln>
                        </pic:spPr>
                      </pic:pic>
                    </a:graphicData>
                  </a:graphic>
                </wp:inline>
              </w:drawing>
            </w:r>
          </w:p>
          <w:p>
            <w:pPr>
              <w:pStyle w:val="2"/>
              <w:spacing w:line="360" w:lineRule="auto"/>
              <w:jc w:val="center"/>
              <w:rPr>
                <w:rFonts w:ascii="Times New Roman" w:hAnsi="宋体" w:cs="Times New Roman"/>
                <w:b/>
                <w:color w:val="auto"/>
                <w:sz w:val="21"/>
                <w:szCs w:val="21"/>
              </w:rPr>
            </w:pPr>
            <w:r>
              <w:rPr>
                <w:rFonts w:hint="eastAsia" w:ascii="Times New Roman" w:hAnsi="宋体" w:cs="Times New Roman"/>
                <w:b/>
                <w:color w:val="auto"/>
                <w:sz w:val="21"/>
                <w:szCs w:val="21"/>
              </w:rPr>
              <w:t>图2</w:t>
            </w:r>
            <w:r>
              <w:rPr>
                <w:rFonts w:ascii="Times New Roman" w:hAnsi="宋体" w:cs="Times New Roman"/>
                <w:b/>
                <w:color w:val="auto"/>
                <w:sz w:val="21"/>
                <w:szCs w:val="21"/>
              </w:rPr>
              <w:t xml:space="preserve">-2    </w:t>
            </w:r>
            <w:r>
              <w:rPr>
                <w:rFonts w:hint="eastAsia" w:ascii="Times New Roman" w:hAnsi="宋体" w:cs="Times New Roman"/>
                <w:b/>
                <w:color w:val="auto"/>
                <w:sz w:val="21"/>
                <w:szCs w:val="21"/>
              </w:rPr>
              <w:t xml:space="preserve">运营期水平衡图 </w:t>
            </w:r>
            <w:r>
              <w:rPr>
                <w:rFonts w:ascii="Times New Roman" w:hAnsi="宋体" w:cs="Times New Roman"/>
                <w:b/>
                <w:color w:val="auto"/>
                <w:sz w:val="21"/>
                <w:szCs w:val="21"/>
              </w:rPr>
              <w:t xml:space="preserve">   </w:t>
            </w:r>
            <w:r>
              <w:rPr>
                <w:rFonts w:hint="eastAsia" w:ascii="Times New Roman" w:hAnsi="宋体" w:cs="Times New Roman"/>
                <w:b/>
                <w:color w:val="auto"/>
                <w:sz w:val="21"/>
                <w:szCs w:val="21"/>
              </w:rPr>
              <w:t>单位：m</w:t>
            </w:r>
            <w:r>
              <w:rPr>
                <w:rFonts w:ascii="Times New Roman" w:hAnsi="宋体" w:cs="Times New Roman"/>
                <w:b/>
                <w:color w:val="auto"/>
                <w:sz w:val="21"/>
                <w:szCs w:val="21"/>
                <w:vertAlign w:val="superscript"/>
              </w:rPr>
              <w:t>3</w:t>
            </w:r>
            <w:r>
              <w:rPr>
                <w:rFonts w:ascii="Times New Roman" w:hAnsi="宋体" w:cs="Times New Roman"/>
                <w:b/>
                <w:color w:val="auto"/>
                <w:sz w:val="21"/>
                <w:szCs w:val="21"/>
              </w:rPr>
              <w:t>/d</w:t>
            </w:r>
          </w:p>
          <w:p>
            <w:pPr>
              <w:jc w:val="center"/>
              <w:rPr>
                <w:rFonts w:hAnsi="宋体"/>
                <w:b/>
                <w:szCs w:val="21"/>
              </w:rPr>
            </w:pPr>
          </w:p>
          <w:p>
            <w:pPr>
              <w:jc w:val="center"/>
              <w:rPr>
                <w:rFonts w:hAnsi="宋体"/>
                <w:b/>
                <w:color w:val="0000FF"/>
                <w:szCs w:val="21"/>
              </w:rPr>
            </w:pPr>
            <w:r>
              <w:rPr>
                <w:rFonts w:hAnsi="宋体"/>
                <w:b/>
                <w:color w:val="0000FF"/>
                <w:szCs w:val="21"/>
              </w:rPr>
              <w:t>表2-5    本项目用、排水一览表</w:t>
            </w:r>
          </w:p>
          <w:tbl>
            <w:tblPr>
              <w:tblStyle w:val="23"/>
              <w:tblW w:w="788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60"/>
              <w:gridCol w:w="950"/>
              <w:gridCol w:w="894"/>
              <w:gridCol w:w="894"/>
              <w:gridCol w:w="894"/>
              <w:gridCol w:w="981"/>
              <w:gridCol w:w="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37" w:type="dxa"/>
                  <w:tcBorders>
                    <w:tl2br w:val="nil"/>
                    <w:tr2bl w:val="nil"/>
                  </w:tcBorders>
                  <w:tcMar>
                    <w:top w:w="0" w:type="dxa"/>
                    <w:left w:w="0" w:type="dxa"/>
                    <w:bottom w:w="0" w:type="dxa"/>
                    <w:right w:w="0" w:type="dxa"/>
                  </w:tcMar>
                  <w:vAlign w:val="center"/>
                </w:tcPr>
                <w:p>
                  <w:pPr>
                    <w:jc w:val="center"/>
                    <w:rPr>
                      <w:color w:val="0000FF"/>
                      <w:szCs w:val="21"/>
                    </w:rPr>
                  </w:pPr>
                  <w:r>
                    <w:rPr>
                      <w:rFonts w:hAnsi="宋体"/>
                      <w:color w:val="0000FF"/>
                      <w:szCs w:val="21"/>
                    </w:rPr>
                    <w:t>序号</w:t>
                  </w:r>
                </w:p>
              </w:tc>
              <w:tc>
                <w:tcPr>
                  <w:tcW w:w="1660" w:type="dxa"/>
                  <w:tcBorders>
                    <w:tl2br w:val="nil"/>
                    <w:tr2bl w:val="nil"/>
                  </w:tcBorders>
                  <w:vAlign w:val="center"/>
                </w:tcPr>
                <w:p>
                  <w:pPr>
                    <w:jc w:val="center"/>
                    <w:rPr>
                      <w:color w:val="0000FF"/>
                      <w:szCs w:val="21"/>
                    </w:rPr>
                  </w:pPr>
                  <w:r>
                    <w:rPr>
                      <w:rFonts w:hAnsi="宋体"/>
                      <w:color w:val="0000FF"/>
                      <w:szCs w:val="21"/>
                    </w:rPr>
                    <w:t>用水点</w:t>
                  </w:r>
                </w:p>
              </w:tc>
              <w:tc>
                <w:tcPr>
                  <w:tcW w:w="950" w:type="dxa"/>
                  <w:tcBorders>
                    <w:tl2br w:val="nil"/>
                    <w:tr2bl w:val="nil"/>
                  </w:tcBorders>
                  <w:vAlign w:val="center"/>
                </w:tcPr>
                <w:p>
                  <w:pPr>
                    <w:jc w:val="center"/>
                    <w:rPr>
                      <w:color w:val="0000FF"/>
                      <w:szCs w:val="21"/>
                    </w:rPr>
                  </w:pPr>
                  <w:r>
                    <w:rPr>
                      <w:rFonts w:hint="eastAsia"/>
                      <w:color w:val="0000FF"/>
                      <w:szCs w:val="21"/>
                    </w:rPr>
                    <w:t>新鲜水量</w:t>
                  </w:r>
                  <w:r>
                    <w:rPr>
                      <w:color w:val="0000FF"/>
                      <w:szCs w:val="21"/>
                    </w:rPr>
                    <w:t>m</w:t>
                  </w:r>
                  <w:r>
                    <w:rPr>
                      <w:color w:val="0000FF"/>
                      <w:szCs w:val="21"/>
                      <w:vertAlign w:val="superscript"/>
                    </w:rPr>
                    <w:t>3</w:t>
                  </w:r>
                  <w:r>
                    <w:rPr>
                      <w:color w:val="0000FF"/>
                      <w:szCs w:val="21"/>
                    </w:rPr>
                    <w:t>/d</w:t>
                  </w:r>
                </w:p>
              </w:tc>
              <w:tc>
                <w:tcPr>
                  <w:tcW w:w="894" w:type="dxa"/>
                  <w:tcBorders>
                    <w:tl2br w:val="nil"/>
                    <w:tr2bl w:val="nil"/>
                  </w:tcBorders>
                  <w:vAlign w:val="center"/>
                </w:tcPr>
                <w:p>
                  <w:pPr>
                    <w:jc w:val="center"/>
                    <w:rPr>
                      <w:color w:val="0000FF"/>
                      <w:szCs w:val="21"/>
                    </w:rPr>
                  </w:pPr>
                  <w:r>
                    <w:rPr>
                      <w:rFonts w:hint="eastAsia"/>
                      <w:color w:val="0000FF"/>
                      <w:szCs w:val="21"/>
                    </w:rPr>
                    <w:t>新鲜水量</w:t>
                  </w:r>
                  <w:r>
                    <w:rPr>
                      <w:color w:val="0000FF"/>
                      <w:szCs w:val="21"/>
                    </w:rPr>
                    <w:t>m</w:t>
                  </w:r>
                  <w:r>
                    <w:rPr>
                      <w:color w:val="0000FF"/>
                      <w:szCs w:val="21"/>
                      <w:vertAlign w:val="superscript"/>
                    </w:rPr>
                    <w:t>3</w:t>
                  </w:r>
                  <w:r>
                    <w:rPr>
                      <w:color w:val="0000FF"/>
                      <w:szCs w:val="21"/>
                    </w:rPr>
                    <w:t>/a</w:t>
                  </w:r>
                </w:p>
              </w:tc>
              <w:tc>
                <w:tcPr>
                  <w:tcW w:w="894" w:type="dxa"/>
                  <w:tcBorders>
                    <w:tl2br w:val="nil"/>
                    <w:tr2bl w:val="nil"/>
                  </w:tcBorders>
                  <w:vAlign w:val="center"/>
                </w:tcPr>
                <w:p>
                  <w:pPr>
                    <w:jc w:val="center"/>
                    <w:rPr>
                      <w:color w:val="0000FF"/>
                      <w:szCs w:val="21"/>
                    </w:rPr>
                  </w:pPr>
                  <w:r>
                    <w:rPr>
                      <w:rFonts w:hint="eastAsia"/>
                      <w:color w:val="0000FF"/>
                      <w:szCs w:val="21"/>
                    </w:rPr>
                    <w:t>损耗水量</w:t>
                  </w:r>
                  <w:r>
                    <w:rPr>
                      <w:color w:val="0000FF"/>
                      <w:szCs w:val="21"/>
                    </w:rPr>
                    <w:t>m</w:t>
                  </w:r>
                  <w:r>
                    <w:rPr>
                      <w:color w:val="0000FF"/>
                      <w:szCs w:val="21"/>
                      <w:vertAlign w:val="superscript"/>
                    </w:rPr>
                    <w:t>3</w:t>
                  </w:r>
                  <w:r>
                    <w:rPr>
                      <w:color w:val="0000FF"/>
                      <w:szCs w:val="21"/>
                    </w:rPr>
                    <w:t>/d</w:t>
                  </w:r>
                </w:p>
              </w:tc>
              <w:tc>
                <w:tcPr>
                  <w:tcW w:w="894" w:type="dxa"/>
                  <w:tcBorders>
                    <w:tl2br w:val="nil"/>
                    <w:tr2bl w:val="nil"/>
                  </w:tcBorders>
                  <w:vAlign w:val="center"/>
                </w:tcPr>
                <w:p>
                  <w:pPr>
                    <w:jc w:val="center"/>
                    <w:rPr>
                      <w:color w:val="0000FF"/>
                      <w:szCs w:val="21"/>
                    </w:rPr>
                  </w:pPr>
                  <w:r>
                    <w:rPr>
                      <w:rFonts w:hint="eastAsia" w:hAnsi="宋体"/>
                      <w:color w:val="0000FF"/>
                      <w:szCs w:val="21"/>
                    </w:rPr>
                    <w:t>循环</w:t>
                  </w:r>
                  <w:r>
                    <w:rPr>
                      <w:rFonts w:hAnsi="宋体"/>
                      <w:color w:val="0000FF"/>
                      <w:szCs w:val="21"/>
                    </w:rPr>
                    <w:t>水量</w:t>
                  </w:r>
                  <w:r>
                    <w:rPr>
                      <w:color w:val="0000FF"/>
                      <w:szCs w:val="21"/>
                    </w:rPr>
                    <w:t>m</w:t>
                  </w:r>
                  <w:r>
                    <w:rPr>
                      <w:color w:val="0000FF"/>
                      <w:szCs w:val="21"/>
                      <w:vertAlign w:val="superscript"/>
                    </w:rPr>
                    <w:t>3</w:t>
                  </w:r>
                  <w:r>
                    <w:rPr>
                      <w:color w:val="0000FF"/>
                      <w:szCs w:val="21"/>
                    </w:rPr>
                    <w:t>/d</w:t>
                  </w:r>
                </w:p>
              </w:tc>
              <w:tc>
                <w:tcPr>
                  <w:tcW w:w="981" w:type="dxa"/>
                  <w:tcBorders>
                    <w:tl2br w:val="nil"/>
                    <w:tr2bl w:val="nil"/>
                  </w:tcBorders>
                  <w:vAlign w:val="center"/>
                </w:tcPr>
                <w:p>
                  <w:pPr>
                    <w:jc w:val="center"/>
                    <w:rPr>
                      <w:color w:val="0000FF"/>
                      <w:szCs w:val="21"/>
                    </w:rPr>
                  </w:pPr>
                  <w:r>
                    <w:rPr>
                      <w:rFonts w:hAnsi="宋体"/>
                      <w:color w:val="0000FF"/>
                      <w:szCs w:val="21"/>
                    </w:rPr>
                    <w:t>废水量</w:t>
                  </w:r>
                </w:p>
                <w:p>
                  <w:pPr>
                    <w:jc w:val="center"/>
                    <w:rPr>
                      <w:color w:val="0000FF"/>
                      <w:szCs w:val="21"/>
                    </w:rPr>
                  </w:pPr>
                  <w:r>
                    <w:rPr>
                      <w:color w:val="0000FF"/>
                      <w:szCs w:val="21"/>
                    </w:rPr>
                    <w:t>m</w:t>
                  </w:r>
                  <w:r>
                    <w:rPr>
                      <w:color w:val="0000FF"/>
                      <w:szCs w:val="21"/>
                      <w:vertAlign w:val="superscript"/>
                    </w:rPr>
                    <w:t>3</w:t>
                  </w:r>
                  <w:r>
                    <w:rPr>
                      <w:color w:val="0000FF"/>
                      <w:szCs w:val="21"/>
                    </w:rPr>
                    <w:t>/d</w:t>
                  </w:r>
                </w:p>
              </w:tc>
              <w:tc>
                <w:tcPr>
                  <w:tcW w:w="978" w:type="dxa"/>
                  <w:tcBorders>
                    <w:tl2br w:val="nil"/>
                    <w:tr2bl w:val="nil"/>
                  </w:tcBorders>
                  <w:vAlign w:val="center"/>
                </w:tcPr>
                <w:p>
                  <w:pPr>
                    <w:jc w:val="center"/>
                    <w:rPr>
                      <w:color w:val="0000FF"/>
                      <w:szCs w:val="21"/>
                    </w:rPr>
                  </w:pPr>
                  <w:r>
                    <w:rPr>
                      <w:rFonts w:hAnsi="宋体"/>
                      <w:color w:val="0000FF"/>
                      <w:szCs w:val="21"/>
                    </w:rPr>
                    <w:t>废水量</w:t>
                  </w:r>
                </w:p>
                <w:p>
                  <w:pPr>
                    <w:jc w:val="center"/>
                    <w:rPr>
                      <w:color w:val="0000FF"/>
                      <w:szCs w:val="21"/>
                    </w:rPr>
                  </w:pPr>
                  <w:r>
                    <w:rPr>
                      <w:color w:val="0000FF"/>
                      <w:szCs w:val="21"/>
                    </w:rPr>
                    <w:t>m</w:t>
                  </w:r>
                  <w:r>
                    <w:rPr>
                      <w:color w:val="0000FF"/>
                      <w:szCs w:val="21"/>
                      <w:vertAlign w:val="superscript"/>
                    </w:rPr>
                    <w:t>3</w:t>
                  </w:r>
                  <w:r>
                    <w:rPr>
                      <w:color w:val="0000FF"/>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637" w:type="dxa"/>
                  <w:tcBorders>
                    <w:tl2br w:val="nil"/>
                    <w:tr2bl w:val="nil"/>
                  </w:tcBorders>
                  <w:tcMar>
                    <w:top w:w="0" w:type="dxa"/>
                    <w:left w:w="0" w:type="dxa"/>
                    <w:bottom w:w="0" w:type="dxa"/>
                    <w:right w:w="0" w:type="dxa"/>
                  </w:tcMar>
                  <w:vAlign w:val="center"/>
                </w:tcPr>
                <w:p>
                  <w:pPr>
                    <w:jc w:val="center"/>
                    <w:rPr>
                      <w:rFonts w:hAnsi="宋体"/>
                      <w:color w:val="0000FF"/>
                      <w:szCs w:val="21"/>
                    </w:rPr>
                  </w:pPr>
                  <w:r>
                    <w:rPr>
                      <w:rFonts w:hint="eastAsia" w:hAnsi="宋体"/>
                      <w:color w:val="0000FF"/>
                      <w:szCs w:val="21"/>
                    </w:rPr>
                    <w:t>1</w:t>
                  </w:r>
                </w:p>
              </w:tc>
              <w:tc>
                <w:tcPr>
                  <w:tcW w:w="1660" w:type="dxa"/>
                  <w:tcBorders>
                    <w:tl2br w:val="nil"/>
                    <w:tr2bl w:val="nil"/>
                  </w:tcBorders>
                  <w:vAlign w:val="center"/>
                </w:tcPr>
                <w:p>
                  <w:pPr>
                    <w:jc w:val="center"/>
                    <w:rPr>
                      <w:rFonts w:hAnsi="宋体"/>
                      <w:color w:val="0000FF"/>
                      <w:szCs w:val="21"/>
                    </w:rPr>
                  </w:pPr>
                  <w:r>
                    <w:rPr>
                      <w:rFonts w:hint="eastAsia" w:hAnsi="宋体"/>
                      <w:color w:val="0000FF"/>
                      <w:szCs w:val="21"/>
                    </w:rPr>
                    <w:t>打磨工序</w:t>
                  </w:r>
                </w:p>
              </w:tc>
              <w:tc>
                <w:tcPr>
                  <w:tcW w:w="950" w:type="dxa"/>
                  <w:tcBorders>
                    <w:tl2br w:val="nil"/>
                    <w:tr2bl w:val="nil"/>
                  </w:tcBorders>
                  <w:vAlign w:val="center"/>
                </w:tcPr>
                <w:p>
                  <w:pPr>
                    <w:jc w:val="center"/>
                    <w:rPr>
                      <w:rFonts w:hAnsi="宋体"/>
                      <w:color w:val="0000FF"/>
                      <w:szCs w:val="21"/>
                    </w:rPr>
                  </w:pPr>
                  <w:r>
                    <w:rPr>
                      <w:rFonts w:hAnsi="宋体"/>
                      <w:color w:val="0000FF"/>
                      <w:szCs w:val="21"/>
                    </w:rPr>
                    <w:t>1</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3</w:t>
                  </w:r>
                  <w:r>
                    <w:rPr>
                      <w:rFonts w:hAnsi="宋体"/>
                      <w:color w:val="0000FF"/>
                      <w:szCs w:val="21"/>
                    </w:rPr>
                    <w:t>00</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1</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5</w:t>
                  </w:r>
                </w:p>
              </w:tc>
              <w:tc>
                <w:tcPr>
                  <w:tcW w:w="981" w:type="dxa"/>
                  <w:tcBorders>
                    <w:tl2br w:val="nil"/>
                    <w:tr2bl w:val="nil"/>
                  </w:tcBorders>
                  <w:vAlign w:val="center"/>
                </w:tcPr>
                <w:p>
                  <w:pPr>
                    <w:jc w:val="center"/>
                    <w:rPr>
                      <w:rFonts w:hAnsi="宋体"/>
                      <w:color w:val="0000FF"/>
                      <w:szCs w:val="21"/>
                    </w:rPr>
                  </w:pPr>
                  <w:r>
                    <w:rPr>
                      <w:rFonts w:hint="eastAsia" w:hAnsi="宋体"/>
                      <w:color w:val="0000FF"/>
                      <w:szCs w:val="21"/>
                    </w:rPr>
                    <w:t>0</w:t>
                  </w:r>
                </w:p>
              </w:tc>
              <w:tc>
                <w:tcPr>
                  <w:tcW w:w="978" w:type="dxa"/>
                  <w:tcBorders>
                    <w:tl2br w:val="nil"/>
                    <w:tr2bl w:val="nil"/>
                  </w:tcBorders>
                  <w:vAlign w:val="center"/>
                </w:tcPr>
                <w:p>
                  <w:pPr>
                    <w:jc w:val="center"/>
                    <w:rPr>
                      <w:rFonts w:hAnsi="宋体"/>
                      <w:color w:val="0000FF"/>
                      <w:szCs w:val="21"/>
                    </w:rPr>
                  </w:pPr>
                  <w:r>
                    <w:rPr>
                      <w:rFonts w:hint="eastAsia" w:hAnsi="宋体"/>
                      <w:color w:val="0000FF"/>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637" w:type="dxa"/>
                  <w:tcBorders>
                    <w:tl2br w:val="nil"/>
                    <w:tr2bl w:val="nil"/>
                  </w:tcBorders>
                  <w:tcMar>
                    <w:top w:w="0" w:type="dxa"/>
                    <w:left w:w="0" w:type="dxa"/>
                    <w:bottom w:w="0" w:type="dxa"/>
                    <w:right w:w="0" w:type="dxa"/>
                  </w:tcMar>
                  <w:vAlign w:val="center"/>
                </w:tcPr>
                <w:p>
                  <w:pPr>
                    <w:jc w:val="center"/>
                    <w:rPr>
                      <w:rFonts w:hAnsi="宋体"/>
                      <w:color w:val="0000FF"/>
                      <w:szCs w:val="21"/>
                    </w:rPr>
                  </w:pPr>
                  <w:r>
                    <w:rPr>
                      <w:rFonts w:hint="eastAsia" w:hAnsi="宋体"/>
                      <w:color w:val="0000FF"/>
                      <w:szCs w:val="21"/>
                    </w:rPr>
                    <w:t>2</w:t>
                  </w:r>
                </w:p>
              </w:tc>
              <w:tc>
                <w:tcPr>
                  <w:tcW w:w="1660" w:type="dxa"/>
                  <w:tcBorders>
                    <w:tl2br w:val="nil"/>
                    <w:tr2bl w:val="nil"/>
                  </w:tcBorders>
                  <w:vAlign w:val="center"/>
                </w:tcPr>
                <w:p>
                  <w:pPr>
                    <w:jc w:val="center"/>
                    <w:rPr>
                      <w:rFonts w:hAnsi="宋体"/>
                      <w:color w:val="0000FF"/>
                      <w:szCs w:val="21"/>
                    </w:rPr>
                  </w:pPr>
                  <w:r>
                    <w:rPr>
                      <w:rFonts w:hint="eastAsia" w:hAnsi="宋体"/>
                      <w:color w:val="0000FF"/>
                      <w:szCs w:val="21"/>
                    </w:rPr>
                    <w:t>清洗工序</w:t>
                  </w:r>
                </w:p>
              </w:tc>
              <w:tc>
                <w:tcPr>
                  <w:tcW w:w="950" w:type="dxa"/>
                  <w:tcBorders>
                    <w:tl2br w:val="nil"/>
                    <w:tr2bl w:val="nil"/>
                  </w:tcBorders>
                  <w:vAlign w:val="center"/>
                </w:tcPr>
                <w:p>
                  <w:pPr>
                    <w:jc w:val="center"/>
                    <w:rPr>
                      <w:rFonts w:hAnsi="宋体"/>
                      <w:color w:val="0000FF"/>
                      <w:szCs w:val="21"/>
                    </w:rPr>
                  </w:pPr>
                  <w:r>
                    <w:rPr>
                      <w:rFonts w:hint="eastAsia" w:hAnsi="宋体"/>
                      <w:color w:val="0000FF"/>
                      <w:szCs w:val="21"/>
                    </w:rPr>
                    <w:t>2</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6</w:t>
                  </w:r>
                  <w:r>
                    <w:rPr>
                      <w:rFonts w:hAnsi="宋体"/>
                      <w:color w:val="0000FF"/>
                      <w:szCs w:val="21"/>
                    </w:rPr>
                    <w:t>00</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2</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1</w:t>
                  </w:r>
                  <w:r>
                    <w:rPr>
                      <w:rFonts w:hAnsi="宋体"/>
                      <w:color w:val="0000FF"/>
                      <w:szCs w:val="21"/>
                    </w:rPr>
                    <w:t>0</w:t>
                  </w:r>
                </w:p>
              </w:tc>
              <w:tc>
                <w:tcPr>
                  <w:tcW w:w="981" w:type="dxa"/>
                  <w:tcBorders>
                    <w:tl2br w:val="nil"/>
                    <w:tr2bl w:val="nil"/>
                  </w:tcBorders>
                  <w:vAlign w:val="center"/>
                </w:tcPr>
                <w:p>
                  <w:pPr>
                    <w:jc w:val="center"/>
                    <w:rPr>
                      <w:rFonts w:hAnsi="宋体"/>
                      <w:color w:val="0000FF"/>
                      <w:szCs w:val="21"/>
                    </w:rPr>
                  </w:pPr>
                  <w:r>
                    <w:rPr>
                      <w:rFonts w:hint="eastAsia" w:hAnsi="宋体"/>
                      <w:color w:val="0000FF"/>
                      <w:szCs w:val="21"/>
                    </w:rPr>
                    <w:t>0</w:t>
                  </w:r>
                </w:p>
              </w:tc>
              <w:tc>
                <w:tcPr>
                  <w:tcW w:w="978" w:type="dxa"/>
                  <w:tcBorders>
                    <w:tl2br w:val="nil"/>
                    <w:tr2bl w:val="nil"/>
                  </w:tcBorders>
                  <w:vAlign w:val="center"/>
                </w:tcPr>
                <w:p>
                  <w:pPr>
                    <w:jc w:val="center"/>
                    <w:rPr>
                      <w:rFonts w:hAnsi="宋体"/>
                      <w:color w:val="0000FF"/>
                      <w:szCs w:val="21"/>
                    </w:rPr>
                  </w:pPr>
                  <w:r>
                    <w:rPr>
                      <w:rFonts w:hint="eastAsia" w:hAnsi="宋体"/>
                      <w:color w:val="0000FF"/>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637" w:type="dxa"/>
                  <w:tcBorders>
                    <w:tl2br w:val="nil"/>
                    <w:tr2bl w:val="nil"/>
                  </w:tcBorders>
                  <w:tcMar>
                    <w:top w:w="0" w:type="dxa"/>
                    <w:left w:w="0" w:type="dxa"/>
                    <w:bottom w:w="0" w:type="dxa"/>
                    <w:right w:w="0" w:type="dxa"/>
                  </w:tcMar>
                  <w:vAlign w:val="center"/>
                </w:tcPr>
                <w:p>
                  <w:pPr>
                    <w:jc w:val="center"/>
                    <w:rPr>
                      <w:rFonts w:hAnsi="宋体"/>
                      <w:color w:val="0000FF"/>
                      <w:szCs w:val="21"/>
                    </w:rPr>
                  </w:pPr>
                  <w:r>
                    <w:rPr>
                      <w:rFonts w:hint="eastAsia" w:hAnsi="宋体"/>
                      <w:color w:val="0000FF"/>
                      <w:szCs w:val="21"/>
                    </w:rPr>
                    <w:t>3</w:t>
                  </w:r>
                </w:p>
              </w:tc>
              <w:tc>
                <w:tcPr>
                  <w:tcW w:w="1660" w:type="dxa"/>
                  <w:tcBorders>
                    <w:tl2br w:val="nil"/>
                    <w:tr2bl w:val="nil"/>
                  </w:tcBorders>
                  <w:vAlign w:val="center"/>
                </w:tcPr>
                <w:p>
                  <w:pPr>
                    <w:jc w:val="center"/>
                    <w:rPr>
                      <w:rFonts w:hAnsi="宋体"/>
                      <w:color w:val="0000FF"/>
                      <w:szCs w:val="21"/>
                    </w:rPr>
                  </w:pPr>
                  <w:r>
                    <w:rPr>
                      <w:rFonts w:hint="eastAsia" w:hAnsi="宋体"/>
                      <w:color w:val="0000FF"/>
                      <w:szCs w:val="21"/>
                    </w:rPr>
                    <w:t>办公、生活</w:t>
                  </w:r>
                </w:p>
              </w:tc>
              <w:tc>
                <w:tcPr>
                  <w:tcW w:w="950" w:type="dxa"/>
                  <w:tcBorders>
                    <w:tl2br w:val="nil"/>
                    <w:tr2bl w:val="nil"/>
                  </w:tcBorders>
                  <w:vAlign w:val="center"/>
                </w:tcPr>
                <w:p>
                  <w:pPr>
                    <w:jc w:val="center"/>
                    <w:rPr>
                      <w:rFonts w:hAnsi="宋体"/>
                      <w:color w:val="0000FF"/>
                      <w:szCs w:val="21"/>
                    </w:rPr>
                  </w:pPr>
                  <w:r>
                    <w:rPr>
                      <w:rFonts w:hint="eastAsia" w:hAnsi="宋体"/>
                      <w:color w:val="0000FF"/>
                      <w:szCs w:val="21"/>
                    </w:rPr>
                    <w:t>0</w:t>
                  </w:r>
                  <w:r>
                    <w:rPr>
                      <w:rFonts w:hAnsi="宋体"/>
                      <w:color w:val="0000FF"/>
                      <w:szCs w:val="21"/>
                    </w:rPr>
                    <w:t>.65</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1</w:t>
                  </w:r>
                  <w:r>
                    <w:rPr>
                      <w:rFonts w:hAnsi="宋体"/>
                      <w:color w:val="0000FF"/>
                      <w:szCs w:val="21"/>
                    </w:rPr>
                    <w:t>95</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0</w:t>
                  </w:r>
                  <w:r>
                    <w:rPr>
                      <w:rFonts w:hAnsi="宋体"/>
                      <w:color w:val="0000FF"/>
                      <w:szCs w:val="21"/>
                    </w:rPr>
                    <w:t>.13</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w:t>
                  </w:r>
                </w:p>
              </w:tc>
              <w:tc>
                <w:tcPr>
                  <w:tcW w:w="981" w:type="dxa"/>
                  <w:tcBorders>
                    <w:tl2br w:val="nil"/>
                    <w:tr2bl w:val="nil"/>
                  </w:tcBorders>
                  <w:vAlign w:val="center"/>
                </w:tcPr>
                <w:p>
                  <w:pPr>
                    <w:jc w:val="center"/>
                    <w:rPr>
                      <w:rFonts w:hAnsi="宋体"/>
                      <w:color w:val="0000FF"/>
                      <w:szCs w:val="21"/>
                    </w:rPr>
                  </w:pPr>
                  <w:r>
                    <w:rPr>
                      <w:rFonts w:hint="eastAsia" w:hAnsi="宋体"/>
                      <w:color w:val="0000FF"/>
                      <w:szCs w:val="21"/>
                    </w:rPr>
                    <w:t>0</w:t>
                  </w:r>
                  <w:r>
                    <w:rPr>
                      <w:rFonts w:hAnsi="宋体"/>
                      <w:color w:val="0000FF"/>
                      <w:szCs w:val="21"/>
                    </w:rPr>
                    <w:t>.52</w:t>
                  </w:r>
                </w:p>
              </w:tc>
              <w:tc>
                <w:tcPr>
                  <w:tcW w:w="978" w:type="dxa"/>
                  <w:tcBorders>
                    <w:tl2br w:val="nil"/>
                    <w:tr2bl w:val="nil"/>
                  </w:tcBorders>
                  <w:vAlign w:val="center"/>
                </w:tcPr>
                <w:p>
                  <w:pPr>
                    <w:jc w:val="center"/>
                    <w:rPr>
                      <w:rFonts w:hAnsi="宋体"/>
                      <w:color w:val="0000FF"/>
                      <w:szCs w:val="21"/>
                    </w:rPr>
                  </w:pPr>
                  <w:r>
                    <w:rPr>
                      <w:rFonts w:hint="eastAsia" w:hAnsi="宋体"/>
                      <w:color w:val="0000FF"/>
                      <w:szCs w:val="21"/>
                    </w:rPr>
                    <w:t>1</w:t>
                  </w:r>
                  <w:r>
                    <w:rPr>
                      <w:rFonts w:hAnsi="宋体"/>
                      <w:color w:val="0000FF"/>
                      <w:szCs w:val="21"/>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297" w:type="dxa"/>
                  <w:gridSpan w:val="2"/>
                  <w:tcBorders>
                    <w:tl2br w:val="nil"/>
                    <w:tr2bl w:val="nil"/>
                  </w:tcBorders>
                  <w:tcMar>
                    <w:top w:w="0" w:type="dxa"/>
                    <w:left w:w="0" w:type="dxa"/>
                    <w:bottom w:w="0" w:type="dxa"/>
                    <w:right w:w="0" w:type="dxa"/>
                  </w:tcMar>
                  <w:vAlign w:val="center"/>
                </w:tcPr>
                <w:p>
                  <w:pPr>
                    <w:jc w:val="center"/>
                    <w:rPr>
                      <w:rFonts w:hAnsi="宋体"/>
                      <w:color w:val="0000FF"/>
                      <w:szCs w:val="21"/>
                    </w:rPr>
                  </w:pPr>
                  <w:r>
                    <w:rPr>
                      <w:rFonts w:hint="eastAsia" w:hAnsi="宋体"/>
                      <w:color w:val="0000FF"/>
                      <w:szCs w:val="21"/>
                    </w:rPr>
                    <w:t>合计</w:t>
                  </w:r>
                </w:p>
              </w:tc>
              <w:tc>
                <w:tcPr>
                  <w:tcW w:w="950" w:type="dxa"/>
                  <w:tcBorders>
                    <w:tl2br w:val="nil"/>
                    <w:tr2bl w:val="nil"/>
                  </w:tcBorders>
                  <w:vAlign w:val="center"/>
                </w:tcPr>
                <w:p>
                  <w:pPr>
                    <w:jc w:val="center"/>
                    <w:rPr>
                      <w:rFonts w:hAnsi="宋体"/>
                      <w:color w:val="0000FF"/>
                      <w:szCs w:val="21"/>
                    </w:rPr>
                  </w:pPr>
                  <w:r>
                    <w:rPr>
                      <w:rFonts w:hint="eastAsia" w:hAnsi="宋体"/>
                      <w:color w:val="0000FF"/>
                      <w:szCs w:val="21"/>
                    </w:rPr>
                    <w:t>3</w:t>
                  </w:r>
                  <w:r>
                    <w:rPr>
                      <w:rFonts w:hAnsi="宋体"/>
                      <w:color w:val="0000FF"/>
                      <w:szCs w:val="21"/>
                    </w:rPr>
                    <w:t>.65</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1</w:t>
                  </w:r>
                  <w:r>
                    <w:rPr>
                      <w:rFonts w:hAnsi="宋体"/>
                      <w:color w:val="0000FF"/>
                      <w:szCs w:val="21"/>
                    </w:rPr>
                    <w:t>095</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3</w:t>
                  </w:r>
                  <w:r>
                    <w:rPr>
                      <w:rFonts w:hAnsi="宋体"/>
                      <w:color w:val="0000FF"/>
                      <w:szCs w:val="21"/>
                    </w:rPr>
                    <w:t>.13</w:t>
                  </w:r>
                </w:p>
              </w:tc>
              <w:tc>
                <w:tcPr>
                  <w:tcW w:w="894" w:type="dxa"/>
                  <w:tcBorders>
                    <w:tl2br w:val="nil"/>
                    <w:tr2bl w:val="nil"/>
                  </w:tcBorders>
                  <w:vAlign w:val="center"/>
                </w:tcPr>
                <w:p>
                  <w:pPr>
                    <w:jc w:val="center"/>
                    <w:rPr>
                      <w:rFonts w:hAnsi="宋体"/>
                      <w:color w:val="0000FF"/>
                      <w:szCs w:val="21"/>
                    </w:rPr>
                  </w:pPr>
                  <w:r>
                    <w:rPr>
                      <w:rFonts w:hint="eastAsia" w:hAnsi="宋体"/>
                      <w:color w:val="0000FF"/>
                      <w:szCs w:val="21"/>
                    </w:rPr>
                    <w:t>1</w:t>
                  </w:r>
                  <w:r>
                    <w:rPr>
                      <w:rFonts w:hAnsi="宋体"/>
                      <w:color w:val="0000FF"/>
                      <w:szCs w:val="21"/>
                    </w:rPr>
                    <w:t>5</w:t>
                  </w:r>
                </w:p>
              </w:tc>
              <w:tc>
                <w:tcPr>
                  <w:tcW w:w="981" w:type="dxa"/>
                  <w:tcBorders>
                    <w:tl2br w:val="nil"/>
                    <w:tr2bl w:val="nil"/>
                  </w:tcBorders>
                  <w:vAlign w:val="center"/>
                </w:tcPr>
                <w:p>
                  <w:pPr>
                    <w:jc w:val="center"/>
                    <w:rPr>
                      <w:rFonts w:hAnsi="宋体"/>
                      <w:color w:val="0000FF"/>
                      <w:szCs w:val="21"/>
                    </w:rPr>
                  </w:pPr>
                  <w:r>
                    <w:rPr>
                      <w:rFonts w:hint="eastAsia" w:hAnsi="宋体"/>
                      <w:color w:val="0000FF"/>
                      <w:szCs w:val="21"/>
                    </w:rPr>
                    <w:t>0</w:t>
                  </w:r>
                  <w:r>
                    <w:rPr>
                      <w:rFonts w:hAnsi="宋体"/>
                      <w:color w:val="0000FF"/>
                      <w:szCs w:val="21"/>
                    </w:rPr>
                    <w:t>.52</w:t>
                  </w:r>
                </w:p>
              </w:tc>
              <w:tc>
                <w:tcPr>
                  <w:tcW w:w="978" w:type="dxa"/>
                  <w:tcBorders>
                    <w:tl2br w:val="nil"/>
                    <w:tr2bl w:val="nil"/>
                  </w:tcBorders>
                  <w:vAlign w:val="center"/>
                </w:tcPr>
                <w:p>
                  <w:pPr>
                    <w:jc w:val="center"/>
                    <w:rPr>
                      <w:rFonts w:hAnsi="宋体"/>
                      <w:color w:val="0000FF"/>
                      <w:szCs w:val="21"/>
                    </w:rPr>
                  </w:pPr>
                  <w:r>
                    <w:rPr>
                      <w:rFonts w:hint="eastAsia" w:hAnsi="宋体"/>
                      <w:color w:val="0000FF"/>
                      <w:szCs w:val="21"/>
                    </w:rPr>
                    <w:t>1</w:t>
                  </w:r>
                  <w:r>
                    <w:rPr>
                      <w:rFonts w:hAnsi="宋体"/>
                      <w:color w:val="0000FF"/>
                      <w:szCs w:val="21"/>
                    </w:rPr>
                    <w:t>56</w:t>
                  </w:r>
                </w:p>
              </w:tc>
            </w:tr>
          </w:tbl>
          <w:p>
            <w:pPr>
              <w:spacing w:line="360" w:lineRule="auto"/>
              <w:ind w:firstLine="420" w:firstLineChars="200"/>
              <w:rPr>
                <w:snapToGrid w:val="0"/>
                <w:szCs w:val="21"/>
              </w:rPr>
            </w:pPr>
            <w:r>
              <w:rPr>
                <w:rFonts w:hAnsi="宋体"/>
                <w:snapToGrid w:val="0"/>
                <w:szCs w:val="21"/>
              </w:rPr>
              <w:t>（</w:t>
            </w:r>
            <w:r>
              <w:rPr>
                <w:snapToGrid w:val="0"/>
                <w:szCs w:val="21"/>
              </w:rPr>
              <w:t>3</w:t>
            </w:r>
            <w:r>
              <w:rPr>
                <w:rFonts w:hAnsi="宋体"/>
                <w:snapToGrid w:val="0"/>
                <w:szCs w:val="21"/>
              </w:rPr>
              <w:t>）供电</w:t>
            </w:r>
          </w:p>
          <w:p>
            <w:pPr>
              <w:spacing w:line="360" w:lineRule="auto"/>
              <w:ind w:firstLine="420" w:firstLineChars="200"/>
              <w:rPr>
                <w:snapToGrid w:val="0"/>
                <w:szCs w:val="21"/>
              </w:rPr>
            </w:pPr>
            <w:r>
              <w:rPr>
                <w:rFonts w:hAnsi="宋体"/>
                <w:snapToGrid w:val="0"/>
                <w:szCs w:val="21"/>
              </w:rPr>
              <w:t>当地城乡电网引入。</w:t>
            </w:r>
          </w:p>
          <w:p>
            <w:pPr>
              <w:spacing w:line="360" w:lineRule="auto"/>
              <w:ind w:firstLine="420" w:firstLineChars="200"/>
              <w:rPr>
                <w:snapToGrid w:val="0"/>
                <w:szCs w:val="21"/>
              </w:rPr>
            </w:pPr>
            <w:r>
              <w:rPr>
                <w:rFonts w:hAnsi="宋体"/>
                <w:snapToGrid w:val="0"/>
                <w:szCs w:val="21"/>
              </w:rPr>
              <w:t>（</w:t>
            </w:r>
            <w:r>
              <w:rPr>
                <w:snapToGrid w:val="0"/>
                <w:szCs w:val="21"/>
              </w:rPr>
              <w:t>4</w:t>
            </w:r>
            <w:r>
              <w:rPr>
                <w:rFonts w:hAnsi="宋体"/>
                <w:snapToGrid w:val="0"/>
                <w:szCs w:val="21"/>
              </w:rPr>
              <w:t>）采暖、制冷</w:t>
            </w:r>
          </w:p>
          <w:p>
            <w:pPr>
              <w:spacing w:line="360" w:lineRule="auto"/>
              <w:ind w:firstLine="420" w:firstLineChars="200"/>
              <w:rPr>
                <w:snapToGrid w:val="0"/>
                <w:szCs w:val="21"/>
              </w:rPr>
            </w:pPr>
            <w:r>
              <w:rPr>
                <w:rFonts w:hAnsi="宋体"/>
                <w:snapToGrid w:val="0"/>
                <w:szCs w:val="21"/>
              </w:rPr>
              <w:t>办公区域采用空调制冷，电暖气采暖。</w:t>
            </w:r>
          </w:p>
          <w:p>
            <w:pPr>
              <w:spacing w:line="360" w:lineRule="auto"/>
              <w:ind w:firstLine="420" w:firstLineChars="200"/>
              <w:rPr>
                <w:snapToGrid w:val="0"/>
                <w:szCs w:val="21"/>
              </w:rPr>
            </w:pPr>
            <w:r>
              <w:rPr>
                <w:rFonts w:hAnsi="宋体"/>
                <w:snapToGrid w:val="0"/>
                <w:szCs w:val="21"/>
              </w:rPr>
              <w:t>（</w:t>
            </w:r>
            <w:r>
              <w:rPr>
                <w:snapToGrid w:val="0"/>
                <w:szCs w:val="21"/>
              </w:rPr>
              <w:t>5</w:t>
            </w:r>
            <w:r>
              <w:rPr>
                <w:rFonts w:hAnsi="宋体"/>
                <w:snapToGrid w:val="0"/>
                <w:szCs w:val="21"/>
              </w:rPr>
              <w:t>）交通</w:t>
            </w:r>
          </w:p>
          <w:p>
            <w:pPr>
              <w:spacing w:line="360" w:lineRule="auto"/>
              <w:ind w:firstLine="420" w:firstLineChars="200"/>
              <w:rPr>
                <w:snapToGrid w:val="0"/>
                <w:szCs w:val="21"/>
              </w:rPr>
            </w:pPr>
            <w:r>
              <w:rPr>
                <w:rFonts w:hAnsi="宋体"/>
                <w:snapToGrid w:val="0"/>
                <w:szCs w:val="21"/>
              </w:rPr>
              <w:t>①厂外运输：主要包括生产所需的原辅材料及产品外运，采用供需联运或委托社会运输车辆承运方式解决。</w:t>
            </w:r>
          </w:p>
          <w:p>
            <w:pPr>
              <w:spacing w:line="360" w:lineRule="auto"/>
              <w:ind w:firstLine="420" w:firstLineChars="200"/>
              <w:rPr>
                <w:snapToGrid w:val="0"/>
                <w:szCs w:val="21"/>
              </w:rPr>
            </w:pPr>
            <w:r>
              <w:rPr>
                <w:rFonts w:hAnsi="宋体"/>
                <w:snapToGrid w:val="0"/>
                <w:szCs w:val="21"/>
              </w:rPr>
              <w:t>②厂内运输：主要为原料库至各生产单元间的输送，</w:t>
            </w:r>
            <w:r>
              <w:rPr>
                <w:rFonts w:hint="eastAsia" w:hAnsi="宋体"/>
                <w:snapToGrid w:val="0"/>
                <w:szCs w:val="21"/>
              </w:rPr>
              <w:t>主要采用电动叉车，</w:t>
            </w:r>
            <w:r>
              <w:rPr>
                <w:rFonts w:hAnsi="宋体"/>
                <w:snapToGrid w:val="0"/>
                <w:szCs w:val="21"/>
              </w:rPr>
              <w:t>可满足厂内生产运输需要。</w:t>
            </w:r>
          </w:p>
          <w:p>
            <w:pPr>
              <w:spacing w:line="360" w:lineRule="auto"/>
              <w:ind w:firstLine="422" w:firstLineChars="200"/>
              <w:rPr>
                <w:b/>
                <w:bCs/>
              </w:rPr>
            </w:pPr>
            <w:r>
              <w:rPr>
                <w:rFonts w:hint="eastAsia"/>
                <w:b/>
                <w:bCs/>
              </w:rPr>
              <w:t>6</w:t>
            </w:r>
            <w:r>
              <w:rPr>
                <w:rFonts w:hAnsi="宋体"/>
                <w:b/>
                <w:bCs/>
              </w:rPr>
              <w:t>、劳动定员及工作制度</w:t>
            </w:r>
          </w:p>
          <w:p>
            <w:pPr>
              <w:spacing w:line="360" w:lineRule="auto"/>
              <w:ind w:firstLine="420" w:firstLineChars="200"/>
              <w:rPr>
                <w:rFonts w:hAnsi="宋体"/>
                <w:bCs/>
              </w:rPr>
            </w:pPr>
            <w:r>
              <w:rPr>
                <w:rFonts w:hAnsi="宋体"/>
                <w:bCs/>
              </w:rPr>
              <w:t>本项目劳动定员</w:t>
            </w:r>
            <w:r>
              <w:rPr>
                <w:bCs/>
              </w:rPr>
              <w:t>10</w:t>
            </w:r>
            <w:r>
              <w:rPr>
                <w:rFonts w:hAnsi="宋体"/>
                <w:bCs/>
              </w:rPr>
              <w:t>人，工作采用昼间单班制，年工作</w:t>
            </w:r>
            <w:r>
              <w:rPr>
                <w:rFonts w:hint="eastAsia"/>
                <w:bCs/>
              </w:rPr>
              <w:t>300</w:t>
            </w:r>
            <w:r>
              <w:rPr>
                <w:rFonts w:hAnsi="宋体"/>
                <w:bCs/>
              </w:rPr>
              <w:t>天，每天工作</w:t>
            </w:r>
            <w:r>
              <w:rPr>
                <w:bCs/>
              </w:rPr>
              <w:t>8</w:t>
            </w:r>
            <w:r>
              <w:rPr>
                <w:rFonts w:hAnsi="宋体"/>
                <w:bCs/>
              </w:rPr>
              <w:t>小时。厂内</w:t>
            </w:r>
            <w:r>
              <w:rPr>
                <w:rFonts w:hint="eastAsia" w:hAnsi="宋体"/>
                <w:bCs/>
              </w:rPr>
              <w:t>不提供食宿。</w:t>
            </w:r>
          </w:p>
          <w:p>
            <w:pPr>
              <w:spacing w:line="360" w:lineRule="auto"/>
              <w:ind w:firstLine="422" w:firstLineChars="200"/>
              <w:rPr>
                <w:b/>
                <w:bCs/>
              </w:rPr>
            </w:pPr>
            <w:r>
              <w:rPr>
                <w:b/>
                <w:bCs/>
              </w:rPr>
              <w:t>7</w:t>
            </w:r>
            <w:r>
              <w:rPr>
                <w:rFonts w:hAnsi="宋体"/>
                <w:b/>
                <w:bCs/>
              </w:rPr>
              <w:t>、平面布置</w:t>
            </w:r>
          </w:p>
          <w:p>
            <w:pPr>
              <w:spacing w:line="360" w:lineRule="auto"/>
              <w:ind w:firstLine="420" w:firstLineChars="200"/>
              <w:rPr>
                <w:rFonts w:hAnsi="宋体"/>
                <w:bCs/>
              </w:rPr>
            </w:pPr>
            <w:r>
              <w:rPr>
                <w:rFonts w:hint="eastAsia" w:hAnsi="宋体"/>
                <w:bCs/>
              </w:rPr>
              <w:t>本项目租用</w:t>
            </w:r>
            <w:r>
              <w:rPr>
                <w:rFonts w:hAnsi="宋体"/>
                <w:bCs/>
              </w:rPr>
              <w:t>1#</w:t>
            </w:r>
            <w:r>
              <w:rPr>
                <w:rFonts w:hint="eastAsia" w:hAnsi="宋体"/>
                <w:bCs/>
              </w:rPr>
              <w:t>、2</w:t>
            </w:r>
            <w:r>
              <w:rPr>
                <w:rFonts w:hAnsi="宋体"/>
                <w:bCs/>
              </w:rPr>
              <w:t>#</w:t>
            </w:r>
            <w:r>
              <w:rPr>
                <w:rFonts w:hint="eastAsia" w:hAnsi="宋体"/>
                <w:bCs/>
              </w:rPr>
              <w:t>生产厂房进行生产，根据产品方案、生产规模和场地现状，在整体功能上分为生产区和办公及辅助用房。其中：1</w:t>
            </w:r>
            <w:r>
              <w:rPr>
                <w:rFonts w:hAnsi="宋体"/>
                <w:bCs/>
              </w:rPr>
              <w:t>#</w:t>
            </w:r>
            <w:r>
              <w:rPr>
                <w:rFonts w:hint="eastAsia" w:hAnsi="宋体"/>
                <w:bCs/>
              </w:rPr>
              <w:t>车间西部和中部为依次为预生产区、钢化玻璃生产区、中空玻璃生产区，东部为办公用房、辅料库；2</w:t>
            </w:r>
            <w:r>
              <w:rPr>
                <w:rFonts w:hAnsi="宋体"/>
                <w:bCs/>
              </w:rPr>
              <w:t>#</w:t>
            </w:r>
            <w:r>
              <w:rPr>
                <w:rFonts w:hint="eastAsia" w:hAnsi="宋体"/>
                <w:bCs/>
              </w:rPr>
              <w:t>车间主要为原料存放区、产品存放区和一般固废堆存区，东部设</w:t>
            </w:r>
            <w:r>
              <w:rPr>
                <w:rFonts w:hint="eastAsia" w:hAnsi="宋体"/>
                <w:bCs/>
                <w:color w:val="0000FF"/>
              </w:rPr>
              <w:t>危废贮存库</w:t>
            </w:r>
            <w:r>
              <w:rPr>
                <w:rFonts w:hint="eastAsia" w:hAnsi="宋体"/>
                <w:bCs/>
              </w:rPr>
              <w:t>。</w:t>
            </w:r>
          </w:p>
          <w:p>
            <w:pPr>
              <w:spacing w:line="360" w:lineRule="auto"/>
              <w:ind w:firstLine="420" w:firstLineChars="200"/>
              <w:rPr>
                <w:rFonts w:hAnsi="宋体"/>
                <w:bCs/>
              </w:rPr>
            </w:pPr>
            <w:r>
              <w:rPr>
                <w:rFonts w:hint="eastAsia" w:hAnsi="宋体"/>
                <w:bCs/>
              </w:rPr>
              <w:t>项目</w:t>
            </w:r>
            <w:r>
              <w:rPr>
                <w:rFonts w:hAnsi="宋体"/>
                <w:bCs/>
              </w:rPr>
              <w:t>总体布置比较整齐，功能分区明确，生产、办公、辅助设施较为齐全。</w:t>
            </w:r>
            <w:r>
              <w:rPr>
                <w:rFonts w:hint="eastAsia" w:hAnsi="宋体"/>
                <w:bCs/>
              </w:rPr>
              <w:t>车间</w:t>
            </w:r>
            <w:r>
              <w:rPr>
                <w:rFonts w:hAnsi="宋体"/>
                <w:bCs/>
              </w:rPr>
              <w:t>总平面布置遵循</w:t>
            </w:r>
            <w:r>
              <w:rPr>
                <w:bCs/>
              </w:rPr>
              <w:t>“</w:t>
            </w:r>
            <w:r>
              <w:rPr>
                <w:rFonts w:hAnsi="宋体"/>
                <w:bCs/>
              </w:rPr>
              <w:t>以生产系统为核心、按功能分区、物流优化</w:t>
            </w:r>
            <w:r>
              <w:rPr>
                <w:bCs/>
              </w:rPr>
              <w:t>”</w:t>
            </w:r>
            <w:r>
              <w:rPr>
                <w:rFonts w:hAnsi="宋体"/>
                <w:bCs/>
              </w:rPr>
              <w:t>的原则进行布置，结合场地周边环境，公司项目生产、运输、发展、安全、经济、卫生等的要求，本项目的总平面布置基本合理。</w:t>
            </w:r>
            <w:r>
              <w:rPr>
                <w:rFonts w:hint="eastAsia" w:hAnsi="宋体"/>
                <w:bCs/>
              </w:rPr>
              <w:t>项目</w:t>
            </w:r>
            <w:r>
              <w:rPr>
                <w:rFonts w:hAnsi="宋体"/>
                <w:bCs/>
              </w:rPr>
              <w:t>总平面布置见附图</w:t>
            </w:r>
            <w:r>
              <w:rPr>
                <w:bCs/>
              </w:rPr>
              <w:t>4</w:t>
            </w:r>
            <w:r>
              <w:rPr>
                <w:rFonts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jc w:val="center"/>
        </w:trPr>
        <w:tc>
          <w:tcPr>
            <w:tcW w:w="680" w:type="dxa"/>
            <w:vAlign w:val="center"/>
          </w:tcPr>
          <w:p>
            <w:pPr>
              <w:pStyle w:val="19"/>
              <w:adjustRightInd w:val="0"/>
              <w:snapToGrid w:val="0"/>
              <w:spacing w:before="0" w:beforeAutospacing="0" w:after="0" w:afterAutospacing="0"/>
              <w:jc w:val="center"/>
              <w:rPr>
                <w:rFonts w:cs="宋体"/>
                <w:sz w:val="21"/>
                <w:szCs w:val="21"/>
                <w:lang w:val="en-US" w:eastAsia="zh-CN"/>
              </w:rPr>
            </w:pPr>
            <w:r>
              <w:rPr>
                <w:rFonts w:hint="eastAsia" w:cs="宋体"/>
                <w:sz w:val="21"/>
                <w:szCs w:val="21"/>
                <w:lang w:val="en-US" w:eastAsia="zh-CN"/>
              </w:rPr>
              <w:t>工艺流程和产排污环节</w:t>
            </w:r>
          </w:p>
        </w:tc>
        <w:tc>
          <w:tcPr>
            <w:tcW w:w="8134" w:type="dxa"/>
          </w:tcPr>
          <w:p>
            <w:pPr>
              <w:autoSpaceDE w:val="0"/>
              <w:autoSpaceDN w:val="0"/>
              <w:adjustRightInd w:val="0"/>
              <w:spacing w:line="360" w:lineRule="auto"/>
              <w:ind w:firstLine="422" w:firstLineChars="200"/>
              <w:jc w:val="left"/>
              <w:rPr>
                <w:b/>
              </w:rPr>
            </w:pPr>
            <w:r>
              <w:rPr>
                <w:b/>
              </w:rPr>
              <w:t>1</w:t>
            </w:r>
            <w:r>
              <w:rPr>
                <w:rFonts w:hAnsi="宋体"/>
                <w:b/>
              </w:rPr>
              <w:t>、施工期</w:t>
            </w:r>
          </w:p>
          <w:p>
            <w:pPr>
              <w:autoSpaceDE w:val="0"/>
              <w:autoSpaceDN w:val="0"/>
              <w:adjustRightInd w:val="0"/>
              <w:spacing w:line="360" w:lineRule="auto"/>
              <w:ind w:firstLine="420" w:firstLineChars="200"/>
              <w:jc w:val="left"/>
            </w:pPr>
            <w:r>
              <w:rPr>
                <w:rFonts w:hint="eastAsia"/>
              </w:rPr>
              <w:t>本项目租用已建秦东魔芋食品公司现有生产厂房进行生产，施工期仅涉及少量装修及设备安装，会</w:t>
            </w:r>
            <w:r>
              <w:t>产生少量扬尘、噪声、</w:t>
            </w:r>
            <w:r>
              <w:rPr>
                <w:rFonts w:hint="eastAsia"/>
              </w:rPr>
              <w:t>施工</w:t>
            </w:r>
            <w:r>
              <w:t>建筑垃圾及</w:t>
            </w:r>
            <w:r>
              <w:rPr>
                <w:rFonts w:hint="eastAsia"/>
              </w:rPr>
              <w:t>施工</w:t>
            </w:r>
            <w:r>
              <w:t>人员生活污水。</w:t>
            </w:r>
          </w:p>
          <w:p>
            <w:pPr>
              <w:autoSpaceDE w:val="0"/>
              <w:autoSpaceDN w:val="0"/>
              <w:adjustRightInd w:val="0"/>
              <w:spacing w:line="360" w:lineRule="auto"/>
              <w:ind w:firstLine="10" w:firstLineChars="5"/>
              <w:jc w:val="center"/>
            </w:pPr>
            <w:r>
              <w:drawing>
                <wp:inline distT="0" distB="0" distL="0" distR="0">
                  <wp:extent cx="3686175" cy="12096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86175" cy="1209675"/>
                          </a:xfrm>
                          <a:prstGeom prst="rect">
                            <a:avLst/>
                          </a:prstGeom>
                          <a:noFill/>
                          <a:ln>
                            <a:noFill/>
                          </a:ln>
                        </pic:spPr>
                      </pic:pic>
                    </a:graphicData>
                  </a:graphic>
                </wp:inline>
              </w:drawing>
            </w:r>
          </w:p>
          <w:p>
            <w:pPr>
              <w:autoSpaceDE w:val="0"/>
              <w:autoSpaceDN w:val="0"/>
              <w:adjustRightInd w:val="0"/>
              <w:spacing w:line="360" w:lineRule="auto"/>
              <w:jc w:val="center"/>
              <w:rPr>
                <w:b/>
              </w:rPr>
            </w:pPr>
            <w:r>
              <w:rPr>
                <w:rFonts w:hint="eastAsia"/>
                <w:b/>
              </w:rPr>
              <w:t>图2</w:t>
            </w:r>
            <w:r>
              <w:rPr>
                <w:b/>
              </w:rPr>
              <w:t xml:space="preserve">-2    </w:t>
            </w:r>
            <w:r>
              <w:rPr>
                <w:rFonts w:hint="eastAsia"/>
                <w:b/>
              </w:rPr>
              <w:t>施工期工艺流程及产污环节</w:t>
            </w:r>
          </w:p>
          <w:p>
            <w:pPr>
              <w:autoSpaceDE w:val="0"/>
              <w:autoSpaceDN w:val="0"/>
              <w:adjustRightInd w:val="0"/>
              <w:spacing w:line="360" w:lineRule="auto"/>
              <w:ind w:firstLine="422" w:firstLineChars="200"/>
              <w:jc w:val="left"/>
              <w:rPr>
                <w:b/>
              </w:rPr>
            </w:pPr>
            <w:r>
              <w:rPr>
                <w:b/>
              </w:rPr>
              <w:t>2</w:t>
            </w:r>
            <w:r>
              <w:rPr>
                <w:rFonts w:hAnsi="宋体"/>
                <w:b/>
              </w:rPr>
              <w:t>、运营期</w:t>
            </w:r>
          </w:p>
          <w:p>
            <w:pPr>
              <w:autoSpaceDE w:val="0"/>
              <w:autoSpaceDN w:val="0"/>
              <w:adjustRightInd w:val="0"/>
              <w:spacing w:line="360" w:lineRule="auto"/>
              <w:ind w:firstLine="420" w:firstLineChars="200"/>
              <w:jc w:val="left"/>
              <w:rPr>
                <w:rFonts w:hAnsi="宋体"/>
              </w:rPr>
            </w:pPr>
            <w:r>
              <w:rPr>
                <w:rFonts w:hint="eastAsia" w:hAnsi="宋体"/>
              </w:rPr>
              <w:t>本项目主要生产钢化功能玻璃、节能中空玻璃，具体工艺流程及产污环节如下：</w:t>
            </w:r>
          </w:p>
          <w:p>
            <w:pPr>
              <w:autoSpaceDE w:val="0"/>
              <w:autoSpaceDN w:val="0"/>
              <w:adjustRightInd w:val="0"/>
              <w:spacing w:line="360" w:lineRule="auto"/>
              <w:ind w:firstLine="420" w:firstLineChars="200"/>
              <w:jc w:val="left"/>
              <w:rPr>
                <w:rFonts w:hAnsi="宋体"/>
              </w:rPr>
            </w:pPr>
            <w:r>
              <w:rPr>
                <w:rFonts w:hint="eastAsia" w:hAnsi="宋体"/>
              </w:rPr>
              <w:t>（1）预处理生产线</w:t>
            </w:r>
          </w:p>
          <w:p>
            <w:pPr>
              <w:autoSpaceDE w:val="0"/>
              <w:autoSpaceDN w:val="0"/>
              <w:adjustRightInd w:val="0"/>
              <w:spacing w:line="360" w:lineRule="auto"/>
              <w:ind w:firstLine="420" w:firstLineChars="200"/>
              <w:jc w:val="left"/>
              <w:rPr>
                <w:rFonts w:hAnsi="宋体"/>
              </w:rPr>
            </w:pPr>
            <w:r>
              <w:rPr>
                <w:rFonts w:hint="eastAsia" w:hAnsi="宋体"/>
              </w:rPr>
              <w:t>预处理生产线包括切割、磨边、清洗，经预处理后的玻璃用于钢化功能玻璃、节能中空玻璃的生产。预处理工艺流程及产污环节见图2</w:t>
            </w:r>
            <w:r>
              <w:rPr>
                <w:rFonts w:hAnsi="宋体"/>
              </w:rPr>
              <w:t>-3</w:t>
            </w:r>
            <w:r>
              <w:rPr>
                <w:rFonts w:hint="eastAsia" w:hAnsi="宋体"/>
              </w:rPr>
              <w:t>。</w:t>
            </w:r>
          </w:p>
          <w:p>
            <w:pPr>
              <w:autoSpaceDE w:val="0"/>
              <w:autoSpaceDN w:val="0"/>
              <w:adjustRightInd w:val="0"/>
              <w:spacing w:line="360" w:lineRule="auto"/>
              <w:jc w:val="center"/>
            </w:pPr>
            <w:r>
              <w:drawing>
                <wp:inline distT="0" distB="0" distL="0" distR="0">
                  <wp:extent cx="3733800" cy="27432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33800" cy="2743200"/>
                          </a:xfrm>
                          <a:prstGeom prst="rect">
                            <a:avLst/>
                          </a:prstGeom>
                          <a:noFill/>
                          <a:ln>
                            <a:noFill/>
                          </a:ln>
                        </pic:spPr>
                      </pic:pic>
                    </a:graphicData>
                  </a:graphic>
                </wp:inline>
              </w:drawing>
            </w:r>
          </w:p>
          <w:p>
            <w:pPr>
              <w:pStyle w:val="2"/>
              <w:spacing w:line="360" w:lineRule="auto"/>
              <w:jc w:val="center"/>
              <w:rPr>
                <w:rFonts w:ascii="Times New Roman" w:cs="Times New Roman"/>
                <w:b/>
                <w:color w:val="auto"/>
                <w:sz w:val="21"/>
                <w:szCs w:val="21"/>
              </w:rPr>
            </w:pPr>
            <w:r>
              <w:rPr>
                <w:rFonts w:ascii="Times New Roman" w:cs="Times New Roman"/>
                <w:b/>
                <w:color w:val="auto"/>
                <w:sz w:val="21"/>
                <w:szCs w:val="21"/>
              </w:rPr>
              <w:t>图2-3    预处理生产线工艺流程及产污环节</w:t>
            </w:r>
          </w:p>
          <w:p>
            <w:pPr>
              <w:autoSpaceDE w:val="0"/>
              <w:autoSpaceDN w:val="0"/>
              <w:adjustRightInd w:val="0"/>
              <w:spacing w:line="360" w:lineRule="auto"/>
              <w:ind w:firstLine="420" w:firstLineChars="200"/>
              <w:jc w:val="left"/>
              <w:rPr>
                <w:rFonts w:hAnsi="宋体"/>
              </w:rPr>
            </w:pPr>
            <w:r>
              <w:rPr>
                <w:rFonts w:hint="eastAsia" w:hAnsi="宋体"/>
              </w:rPr>
              <w:t>生产工艺流程简述：</w:t>
            </w:r>
          </w:p>
          <w:p>
            <w:pPr>
              <w:autoSpaceDE w:val="0"/>
              <w:autoSpaceDN w:val="0"/>
              <w:adjustRightInd w:val="0"/>
              <w:spacing w:line="360" w:lineRule="auto"/>
              <w:ind w:firstLine="420" w:firstLineChars="200"/>
              <w:jc w:val="left"/>
              <w:rPr>
                <w:rFonts w:hAnsi="宋体"/>
              </w:rPr>
            </w:pPr>
            <w:r>
              <w:rPr>
                <w:rFonts w:hint="eastAsia" w:ascii="宋体" w:hAnsi="宋体" w:cs="宋体"/>
              </w:rPr>
              <w:t>①</w:t>
            </w:r>
            <w:r>
              <w:rPr>
                <w:rFonts w:hint="eastAsia" w:hAnsi="宋体"/>
              </w:rPr>
              <w:t>切割</w:t>
            </w:r>
          </w:p>
          <w:p>
            <w:pPr>
              <w:autoSpaceDE w:val="0"/>
              <w:autoSpaceDN w:val="0"/>
              <w:adjustRightInd w:val="0"/>
              <w:spacing w:line="360" w:lineRule="auto"/>
              <w:ind w:firstLine="420" w:firstLineChars="200"/>
              <w:jc w:val="left"/>
              <w:rPr>
                <w:rFonts w:hAnsi="宋体"/>
              </w:rPr>
            </w:pPr>
            <w:r>
              <w:rPr>
                <w:rFonts w:hAnsi="宋体"/>
              </w:rPr>
              <w:t>项目原料为外购玻璃原片，将外购的玻璃原片放入自动玻璃切割机，按要求切割成所需的尺寸。玻璃切割原理是在一个工作平面上，用三轴控制切割头动作，XY两向移动来确定机器的行走，同C轴旋转控制转刀角度，利用气压与弹簧并用控制下刀。刀具为合金刀轮，在玻璃上切除划痕，然后由于玻璃是脆性材料，按刀纹施加压力可将玻璃顶开，此工段有固体废物边角料S1</w:t>
            </w:r>
            <w:r>
              <w:rPr>
                <w:rFonts w:hint="eastAsia" w:hAnsi="宋体"/>
              </w:rPr>
              <w:t>和设备噪声N</w:t>
            </w:r>
            <w:r>
              <w:rPr>
                <w:rFonts w:hAnsi="宋体"/>
              </w:rPr>
              <w:t>1</w:t>
            </w:r>
            <w:r>
              <w:rPr>
                <w:rFonts w:hint="eastAsia" w:hAnsi="宋体"/>
              </w:rPr>
              <w:t>产生。</w:t>
            </w:r>
          </w:p>
          <w:p>
            <w:pPr>
              <w:autoSpaceDE w:val="0"/>
              <w:autoSpaceDN w:val="0"/>
              <w:adjustRightInd w:val="0"/>
              <w:spacing w:line="360" w:lineRule="auto"/>
              <w:ind w:firstLine="420" w:firstLineChars="200"/>
              <w:jc w:val="left"/>
              <w:rPr>
                <w:rFonts w:hAnsi="宋体"/>
              </w:rPr>
            </w:pPr>
            <w:r>
              <w:rPr>
                <w:rFonts w:hint="eastAsia" w:ascii="宋体" w:hAnsi="宋体" w:cs="宋体"/>
              </w:rPr>
              <w:t>②</w:t>
            </w:r>
            <w:r>
              <w:rPr>
                <w:rFonts w:hint="eastAsia" w:hAnsi="宋体"/>
              </w:rPr>
              <w:t>磨边</w:t>
            </w:r>
          </w:p>
          <w:p>
            <w:pPr>
              <w:autoSpaceDE w:val="0"/>
              <w:autoSpaceDN w:val="0"/>
              <w:adjustRightInd w:val="0"/>
              <w:spacing w:line="360" w:lineRule="auto"/>
              <w:ind w:firstLine="420" w:firstLineChars="200"/>
              <w:jc w:val="left"/>
              <w:rPr>
                <w:rFonts w:hAnsi="宋体"/>
              </w:rPr>
            </w:pPr>
            <w:r>
              <w:rPr>
                <w:rFonts w:hAnsi="宋体"/>
              </w:rPr>
              <w:t>切割后的玻璃边角比较尖锐，需使用磨边机进行打磨，采用水磨法带水加工，在砂轮与玻璃接触部位冲水，以避免产生玻璃粉尘（废水排入三级沉淀池处理后循环使用，定期更换）；此工段会产生玻璃沉渣S2、噪声N2、磨边废水W1</w:t>
            </w:r>
            <w:r>
              <w:rPr>
                <w:rFonts w:hint="eastAsia" w:hAnsi="宋体"/>
              </w:rPr>
              <w:t>。</w:t>
            </w:r>
          </w:p>
          <w:p>
            <w:pPr>
              <w:autoSpaceDE w:val="0"/>
              <w:autoSpaceDN w:val="0"/>
              <w:adjustRightInd w:val="0"/>
              <w:spacing w:line="360" w:lineRule="auto"/>
              <w:ind w:firstLine="420" w:firstLineChars="200"/>
              <w:jc w:val="left"/>
              <w:rPr>
                <w:rFonts w:hAnsi="宋体"/>
              </w:rPr>
            </w:pPr>
            <w:r>
              <w:rPr>
                <w:rFonts w:hint="eastAsia" w:hAnsi="宋体"/>
              </w:rPr>
              <w:t>（3）清洗</w:t>
            </w:r>
          </w:p>
          <w:p>
            <w:pPr>
              <w:autoSpaceDE w:val="0"/>
              <w:autoSpaceDN w:val="0"/>
              <w:adjustRightInd w:val="0"/>
              <w:spacing w:line="360" w:lineRule="auto"/>
              <w:ind w:firstLine="420" w:firstLineChars="200"/>
              <w:jc w:val="left"/>
              <w:rPr>
                <w:rFonts w:hAnsi="宋体"/>
              </w:rPr>
            </w:pPr>
            <w:r>
              <w:rPr>
                <w:rFonts w:hAnsi="宋体"/>
              </w:rPr>
              <w:t>使用清洗机利用水冲洗玻璃，去除加工过程留在玻璃表面的磨渣，清洗无需添加洗涤剂，清洗过程自带1m</w:t>
            </w:r>
            <w:r>
              <w:rPr>
                <w:rFonts w:hAnsi="宋体"/>
                <w:vertAlign w:val="superscript"/>
              </w:rPr>
              <w:t>3</w:t>
            </w:r>
            <w:r>
              <w:rPr>
                <w:rFonts w:hAnsi="宋体"/>
              </w:rPr>
              <w:t>水箱（水箱自带水泵，需要时可开启水泵排水或抽水），废水排入三级沉淀池处理后循环使用，定期更换；此工段会产生玻璃沉渣S3</w:t>
            </w:r>
            <w:r>
              <w:rPr>
                <w:rFonts w:hint="eastAsia" w:hAnsi="宋体"/>
              </w:rPr>
              <w:t>、</w:t>
            </w:r>
            <w:r>
              <w:rPr>
                <w:rFonts w:hAnsi="宋体"/>
              </w:rPr>
              <w:t>清洗废水W2</w:t>
            </w:r>
            <w:r>
              <w:rPr>
                <w:rFonts w:hint="eastAsia" w:hAnsi="宋体"/>
              </w:rPr>
              <w:t>和设备噪声N</w:t>
            </w:r>
            <w:r>
              <w:rPr>
                <w:rFonts w:hAnsi="宋体"/>
              </w:rPr>
              <w:t>3</w:t>
            </w:r>
            <w:r>
              <w:rPr>
                <w:rFonts w:hint="eastAsia" w:hAnsi="宋体"/>
              </w:rPr>
              <w:t>。</w:t>
            </w:r>
          </w:p>
          <w:p>
            <w:pPr>
              <w:adjustRightInd w:val="0"/>
              <w:snapToGrid w:val="0"/>
              <w:spacing w:line="360" w:lineRule="auto"/>
              <w:ind w:firstLine="420" w:firstLineChars="200"/>
              <w:rPr>
                <w:rFonts w:ascii="宋体" w:hAnsi="宋体"/>
                <w:szCs w:val="21"/>
              </w:rPr>
            </w:pPr>
            <w:r>
              <w:rPr>
                <w:rFonts w:ascii="宋体" w:hAnsi="宋体"/>
                <w:szCs w:val="21"/>
              </w:rPr>
              <w:t>用玻璃清洗机将玻璃表面和周边清洗干净，清洗时边用清水冲洗边用清洗机自带的毛刷进行刷洗，清洗玻璃通过设备自带风刀风干，不添加清洗剂。</w:t>
            </w:r>
          </w:p>
          <w:p>
            <w:pPr>
              <w:autoSpaceDE w:val="0"/>
              <w:autoSpaceDN w:val="0"/>
              <w:adjustRightInd w:val="0"/>
              <w:spacing w:line="360" w:lineRule="auto"/>
              <w:ind w:firstLine="420" w:firstLineChars="200"/>
              <w:jc w:val="left"/>
              <w:rPr>
                <w:rFonts w:hAnsi="宋体"/>
              </w:rPr>
            </w:pPr>
            <w:r>
              <w:rPr>
                <w:rFonts w:hint="eastAsia" w:hAnsi="宋体"/>
              </w:rPr>
              <w:t>（2）钢化功能玻璃生产线</w:t>
            </w:r>
          </w:p>
          <w:p>
            <w:pPr>
              <w:autoSpaceDE w:val="0"/>
              <w:autoSpaceDN w:val="0"/>
              <w:adjustRightInd w:val="0"/>
              <w:spacing w:line="360" w:lineRule="auto"/>
              <w:jc w:val="center"/>
              <w:rPr>
                <w:rFonts w:hAnsi="宋体"/>
              </w:rPr>
            </w:pPr>
            <w:r>
              <w:drawing>
                <wp:inline distT="0" distB="0" distL="0" distR="0">
                  <wp:extent cx="3524250" cy="22860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24250" cy="2286000"/>
                          </a:xfrm>
                          <a:prstGeom prst="rect">
                            <a:avLst/>
                          </a:prstGeom>
                          <a:noFill/>
                          <a:ln>
                            <a:noFill/>
                          </a:ln>
                        </pic:spPr>
                      </pic:pic>
                    </a:graphicData>
                  </a:graphic>
                </wp:inline>
              </w:drawing>
            </w:r>
          </w:p>
          <w:p>
            <w:pPr>
              <w:pStyle w:val="2"/>
              <w:spacing w:line="360" w:lineRule="auto"/>
              <w:jc w:val="center"/>
              <w:rPr>
                <w:rFonts w:ascii="Times New Roman" w:cs="Times New Roman"/>
                <w:b/>
                <w:color w:val="auto"/>
                <w:sz w:val="21"/>
                <w:szCs w:val="21"/>
              </w:rPr>
            </w:pPr>
            <w:r>
              <w:rPr>
                <w:rFonts w:ascii="Times New Roman" w:cs="Times New Roman"/>
                <w:b/>
                <w:color w:val="auto"/>
                <w:sz w:val="21"/>
                <w:szCs w:val="21"/>
              </w:rPr>
              <w:t>图2-4    钢化玻璃生产线工艺流程及产污环节</w:t>
            </w:r>
          </w:p>
          <w:p>
            <w:pPr>
              <w:spacing w:line="360" w:lineRule="auto"/>
              <w:ind w:firstLine="420" w:firstLineChars="200"/>
              <w:rPr>
                <w:szCs w:val="21"/>
              </w:rPr>
            </w:pPr>
            <w:r>
              <w:rPr>
                <w:szCs w:val="21"/>
              </w:rPr>
              <w:t>钢化玻璃的原理：将玻璃加热到软化点附（650℃左右），这时玻璃仍能保持原来的形状，但玻璃中粒子已有一定的迁移能力，进行结构调整，以使内部存在的应力很快清理，然后将钢化玻璃进行吹风骤冷，当温度平衡后玻璃表面产生了压应力，内层产生了张应力，即玻璃产生了一种均匀而有规律分布的内应力，提高了玻璃作为脆性材料的抗张强度，从而使玻璃抗弯曲和抗冲击强度得到提高。同时，由于玻璃内部均匀应力的存在，一旦玻璃局部受到超过其强度能承受的冲击发生破裂时，在内部应力的作用下爆开为小颗粒，提高了其安全性。</w:t>
            </w:r>
          </w:p>
          <w:p>
            <w:pPr>
              <w:autoSpaceDE w:val="0"/>
              <w:autoSpaceDN w:val="0"/>
              <w:adjustRightInd w:val="0"/>
              <w:spacing w:line="360" w:lineRule="auto"/>
              <w:ind w:firstLine="420" w:firstLineChars="200"/>
              <w:jc w:val="left"/>
              <w:rPr>
                <w:rFonts w:hAnsi="宋体"/>
              </w:rPr>
            </w:pPr>
            <w:r>
              <w:rPr>
                <w:rFonts w:hint="eastAsia" w:hAnsi="宋体"/>
              </w:rPr>
              <w:t>生产工艺流程简述：</w:t>
            </w:r>
          </w:p>
          <w:p>
            <w:pPr>
              <w:autoSpaceDE w:val="0"/>
              <w:autoSpaceDN w:val="0"/>
              <w:adjustRightInd w:val="0"/>
              <w:spacing w:line="360" w:lineRule="auto"/>
              <w:ind w:firstLine="420" w:firstLineChars="200"/>
              <w:jc w:val="left"/>
              <w:rPr>
                <w:rFonts w:hAnsi="宋体"/>
              </w:rPr>
            </w:pPr>
            <w:r>
              <w:rPr>
                <w:rFonts w:hint="eastAsia" w:ascii="宋体" w:hAnsi="宋体" w:cs="宋体"/>
              </w:rPr>
              <w:t>④</w:t>
            </w:r>
            <w:r>
              <w:rPr>
                <w:rFonts w:hint="eastAsia" w:hAnsi="宋体"/>
              </w:rPr>
              <w:t>钢化</w:t>
            </w:r>
          </w:p>
          <w:p>
            <w:pPr>
              <w:autoSpaceDE w:val="0"/>
              <w:autoSpaceDN w:val="0"/>
              <w:adjustRightInd w:val="0"/>
              <w:spacing w:line="360" w:lineRule="auto"/>
              <w:ind w:firstLine="420" w:firstLineChars="200"/>
              <w:jc w:val="left"/>
              <w:rPr>
                <w:szCs w:val="21"/>
              </w:rPr>
            </w:pPr>
            <w:r>
              <w:rPr>
                <w:szCs w:val="21"/>
              </w:rPr>
              <w:t>干燥后的玻璃送入钢化炉，电加热600℃，停留时间5~10min，采用电加热，玻璃到达软化点时，送出炉外同时使用多头喷嘴向两面吹拂空气，使之迅速、均匀地冷却降温，从而使玻璃表面瞬间形成张力，有较高的机械强度，较好的热稳定性和安全性能，当冷却至室温后，制得钢化玻璃；此工段会产生噪声N4</w:t>
            </w:r>
            <w:r>
              <w:rPr>
                <w:rFonts w:hint="eastAsia"/>
                <w:szCs w:val="21"/>
              </w:rPr>
              <w:t>。</w:t>
            </w:r>
          </w:p>
          <w:p>
            <w:pPr>
              <w:autoSpaceDE w:val="0"/>
              <w:autoSpaceDN w:val="0"/>
              <w:adjustRightInd w:val="0"/>
              <w:spacing w:line="360" w:lineRule="auto"/>
              <w:ind w:firstLine="420" w:firstLineChars="200"/>
              <w:jc w:val="left"/>
              <w:rPr>
                <w:rFonts w:hAnsi="宋体"/>
              </w:rPr>
            </w:pPr>
            <w:r>
              <w:rPr>
                <w:rFonts w:hint="eastAsia" w:hAnsi="宋体"/>
              </w:rPr>
              <w:t>（3）中空节能玻璃生产线</w:t>
            </w:r>
          </w:p>
          <w:p>
            <w:pPr>
              <w:autoSpaceDE w:val="0"/>
              <w:autoSpaceDN w:val="0"/>
              <w:adjustRightInd w:val="0"/>
              <w:spacing w:line="360" w:lineRule="auto"/>
              <w:jc w:val="center"/>
              <w:rPr>
                <w:rFonts w:hAnsi="宋体"/>
              </w:rPr>
            </w:pPr>
            <w:r>
              <w:drawing>
                <wp:inline distT="0" distB="0" distL="0" distR="0">
                  <wp:extent cx="4019550" cy="41338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19550" cy="4133850"/>
                          </a:xfrm>
                          <a:prstGeom prst="rect">
                            <a:avLst/>
                          </a:prstGeom>
                          <a:noFill/>
                          <a:ln>
                            <a:noFill/>
                          </a:ln>
                        </pic:spPr>
                      </pic:pic>
                    </a:graphicData>
                  </a:graphic>
                </wp:inline>
              </w:drawing>
            </w:r>
          </w:p>
          <w:p>
            <w:pPr>
              <w:autoSpaceDE w:val="0"/>
              <w:autoSpaceDN w:val="0"/>
              <w:adjustRightInd w:val="0"/>
              <w:spacing w:line="360" w:lineRule="auto"/>
              <w:jc w:val="center"/>
              <w:rPr>
                <w:rFonts w:hAnsi="宋体"/>
                <w:b/>
              </w:rPr>
            </w:pPr>
            <w:r>
              <w:rPr>
                <w:rFonts w:hint="eastAsia" w:hAnsi="宋体"/>
                <w:b/>
              </w:rPr>
              <w:t>图2</w:t>
            </w:r>
            <w:r>
              <w:rPr>
                <w:rFonts w:hAnsi="宋体"/>
                <w:b/>
              </w:rPr>
              <w:t xml:space="preserve">-5    </w:t>
            </w:r>
            <w:r>
              <w:rPr>
                <w:rFonts w:hint="eastAsia" w:hAnsi="宋体"/>
                <w:b/>
              </w:rPr>
              <w:t>中空节能玻璃生产线工艺流程及产污环节</w:t>
            </w:r>
          </w:p>
          <w:p>
            <w:pPr>
              <w:autoSpaceDE w:val="0"/>
              <w:autoSpaceDN w:val="0"/>
              <w:adjustRightInd w:val="0"/>
              <w:spacing w:line="360" w:lineRule="auto"/>
              <w:ind w:firstLine="420" w:firstLineChars="200"/>
              <w:jc w:val="left"/>
              <w:rPr>
                <w:rFonts w:hAnsi="宋体"/>
              </w:rPr>
            </w:pPr>
            <w:r>
              <w:rPr>
                <w:rFonts w:hint="eastAsia" w:hAnsi="宋体"/>
              </w:rPr>
              <w:t>工艺流程简述：</w:t>
            </w:r>
          </w:p>
          <w:p>
            <w:pPr>
              <w:autoSpaceDE w:val="0"/>
              <w:autoSpaceDN w:val="0"/>
              <w:adjustRightInd w:val="0"/>
              <w:spacing w:line="360" w:lineRule="auto"/>
              <w:ind w:firstLine="420" w:firstLineChars="200"/>
              <w:jc w:val="left"/>
              <w:rPr>
                <w:rFonts w:hAnsi="宋体"/>
              </w:rPr>
            </w:pPr>
            <w:r>
              <w:rPr>
                <w:rFonts w:hint="eastAsia" w:hAnsi="宋体"/>
              </w:rPr>
              <w:t>根据客户要求，利用中空线将合格的钢化玻璃进行深加工，得到中空玻璃。</w:t>
            </w:r>
          </w:p>
          <w:p>
            <w:pPr>
              <w:autoSpaceDE w:val="0"/>
              <w:autoSpaceDN w:val="0"/>
              <w:adjustRightInd w:val="0"/>
              <w:spacing w:line="360" w:lineRule="auto"/>
              <w:ind w:firstLine="420" w:firstLineChars="200"/>
              <w:jc w:val="left"/>
              <w:rPr>
                <w:rFonts w:hAnsi="宋体"/>
              </w:rPr>
            </w:pPr>
            <w:r>
              <w:rPr>
                <w:rFonts w:hint="eastAsia" w:ascii="宋体" w:hAnsi="宋体" w:cs="宋体"/>
              </w:rPr>
              <w:t>⑤</w:t>
            </w:r>
            <w:r>
              <w:rPr>
                <w:rFonts w:hint="eastAsia" w:hAnsi="宋体"/>
              </w:rPr>
              <w:t>灌装、涂胶、合片、板压</w:t>
            </w:r>
          </w:p>
          <w:p>
            <w:pPr>
              <w:autoSpaceDE w:val="0"/>
              <w:autoSpaceDN w:val="0"/>
              <w:adjustRightInd w:val="0"/>
              <w:spacing w:line="360" w:lineRule="auto"/>
              <w:ind w:firstLine="420" w:firstLineChars="200"/>
              <w:jc w:val="left"/>
              <w:rPr>
                <w:rFonts w:hAnsi="宋体"/>
              </w:rPr>
            </w:pPr>
            <w:r>
              <w:rPr>
                <w:rFonts w:hint="eastAsia" w:hAnsi="宋体"/>
              </w:rPr>
              <w:t>外购铝框经折弯机折弯后，人工在铝条空隙间灌装分子筛干燥剂（用于吸收玻璃间空气水分），然后在铝框内侧涂布丁基密封胶进进行第一道密封。然后将干燥的两片玻璃置于铝框的两面，使其两层玻璃间含有一空气层，玻璃与铝框上的丁基密封胶接触，经设备控制一定压力进行压合。涂胶工序会产生少量有机废气G</w:t>
            </w:r>
            <w:r>
              <w:rPr>
                <w:rFonts w:hAnsi="宋体"/>
              </w:rPr>
              <w:t>1</w:t>
            </w:r>
            <w:r>
              <w:rPr>
                <w:rFonts w:hint="eastAsia" w:hAnsi="宋体"/>
              </w:rPr>
              <w:t>，以非甲烷总烃计。此外涂胶、合片、板压工序会有设备噪声N</w:t>
            </w:r>
            <w:r>
              <w:rPr>
                <w:rFonts w:hAnsi="宋体"/>
              </w:rPr>
              <w:t>4</w:t>
            </w:r>
            <w:r>
              <w:rPr>
                <w:rFonts w:hint="eastAsia" w:hAnsi="宋体"/>
              </w:rPr>
              <w:t>、N</w:t>
            </w:r>
            <w:r>
              <w:rPr>
                <w:rFonts w:hAnsi="宋体"/>
              </w:rPr>
              <w:t>5</w:t>
            </w:r>
            <w:r>
              <w:rPr>
                <w:rFonts w:hint="eastAsia" w:hAnsi="宋体"/>
              </w:rPr>
              <w:t>、</w:t>
            </w:r>
            <w:r>
              <w:rPr>
                <w:rFonts w:hAnsi="宋体"/>
              </w:rPr>
              <w:t>N6</w:t>
            </w:r>
            <w:r>
              <w:rPr>
                <w:rFonts w:hint="eastAsia" w:hAnsi="宋体"/>
              </w:rPr>
              <w:t>产生。</w:t>
            </w:r>
          </w:p>
          <w:p>
            <w:pPr>
              <w:autoSpaceDE w:val="0"/>
              <w:autoSpaceDN w:val="0"/>
              <w:adjustRightInd w:val="0"/>
              <w:spacing w:line="360" w:lineRule="auto"/>
              <w:ind w:firstLine="420" w:firstLineChars="200"/>
              <w:jc w:val="left"/>
              <w:rPr>
                <w:rFonts w:hAnsi="宋体"/>
              </w:rPr>
            </w:pPr>
            <w:r>
              <w:rPr>
                <w:rFonts w:hint="eastAsia" w:ascii="宋体" w:hAnsi="宋体" w:cs="宋体"/>
              </w:rPr>
              <w:t>⑥</w:t>
            </w:r>
            <w:r>
              <w:rPr>
                <w:rFonts w:hint="eastAsia" w:hAnsi="宋体"/>
              </w:rPr>
              <w:t>打胶</w:t>
            </w:r>
          </w:p>
          <w:p>
            <w:pPr>
              <w:autoSpaceDE w:val="0"/>
              <w:autoSpaceDN w:val="0"/>
              <w:adjustRightInd w:val="0"/>
              <w:spacing w:line="360" w:lineRule="auto"/>
              <w:ind w:firstLine="420" w:firstLineChars="200"/>
              <w:jc w:val="left"/>
              <w:rPr>
                <w:rFonts w:hAnsi="宋体"/>
              </w:rPr>
            </w:pPr>
            <w:r>
              <w:rPr>
                <w:rFonts w:hint="eastAsia" w:hAnsi="宋体"/>
              </w:rPr>
              <w:t>采用打胶机在节能中空玻璃四周密封第二道丙酮密封胶，打胶过程在封闭车间内进行，丙酮密封胶需被加热到140℃，加热后会有部分单体逸散形成废气G</w:t>
            </w:r>
            <w:r>
              <w:rPr>
                <w:rFonts w:hAnsi="宋体"/>
              </w:rPr>
              <w:t>2</w:t>
            </w:r>
            <w:r>
              <w:rPr>
                <w:rFonts w:hint="eastAsia" w:hAnsi="宋体"/>
              </w:rPr>
              <w:t>，以非甲烷总烃计。此外还会有设备噪声N</w:t>
            </w:r>
            <w:r>
              <w:rPr>
                <w:rFonts w:hAnsi="宋体"/>
              </w:rPr>
              <w:t>7</w:t>
            </w:r>
            <w:r>
              <w:rPr>
                <w:rFonts w:hint="eastAsia" w:hAnsi="宋体"/>
              </w:rPr>
              <w:t>产生。涂胶废气、打胶废气经集气罩收集后进入活性炭吸附装置，经处理达标后经1根1</w:t>
            </w:r>
            <w:r>
              <w:rPr>
                <w:rFonts w:hAnsi="宋体"/>
              </w:rPr>
              <w:t>5m</w:t>
            </w:r>
            <w:r>
              <w:rPr>
                <w:rFonts w:hint="eastAsia" w:hAnsi="宋体"/>
              </w:rPr>
              <w:t>排气筒（D</w:t>
            </w:r>
            <w:r>
              <w:rPr>
                <w:rFonts w:hAnsi="宋体"/>
              </w:rPr>
              <w:t>A001</w:t>
            </w:r>
            <w:r>
              <w:rPr>
                <w:rFonts w:hint="eastAsia" w:hAnsi="宋体"/>
              </w:rPr>
              <w:t>）排放。</w:t>
            </w:r>
          </w:p>
          <w:p>
            <w:pPr>
              <w:autoSpaceDE w:val="0"/>
              <w:autoSpaceDN w:val="0"/>
              <w:adjustRightInd w:val="0"/>
              <w:spacing w:line="360" w:lineRule="auto"/>
              <w:ind w:firstLine="420" w:firstLineChars="200"/>
              <w:jc w:val="left"/>
            </w:pPr>
            <w:r>
              <w:t>（4）产污环节分析</w:t>
            </w:r>
          </w:p>
          <w:p>
            <w:pPr>
              <w:autoSpaceDE w:val="0"/>
              <w:autoSpaceDN w:val="0"/>
              <w:adjustRightInd w:val="0"/>
              <w:spacing w:line="360" w:lineRule="auto"/>
              <w:ind w:firstLine="420" w:firstLineChars="200"/>
              <w:jc w:val="left"/>
            </w:pPr>
            <w:r>
              <w:t>运营期主要污染物及</w:t>
            </w:r>
            <w:r>
              <w:rPr>
                <w:rFonts w:hint="eastAsia"/>
              </w:rPr>
              <w:t>污染因子见表2</w:t>
            </w:r>
            <w:r>
              <w:t>-6</w:t>
            </w:r>
            <w:r>
              <w:rPr>
                <w:rFonts w:hint="eastAsia"/>
              </w:rPr>
              <w:t>。</w:t>
            </w:r>
          </w:p>
          <w:p>
            <w:pPr>
              <w:jc w:val="center"/>
              <w:rPr>
                <w:rFonts w:hAnsi="宋体"/>
                <w:b/>
                <w:szCs w:val="21"/>
              </w:rPr>
            </w:pPr>
            <w:r>
              <w:rPr>
                <w:rFonts w:hAnsi="宋体"/>
                <w:b/>
                <w:szCs w:val="21"/>
              </w:rPr>
              <w:t>表2-6    运营期主要污染物及污染因子一览</w:t>
            </w:r>
          </w:p>
          <w:tbl>
            <w:tblPr>
              <w:tblStyle w:val="23"/>
              <w:tblW w:w="78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4"/>
              <w:gridCol w:w="582"/>
              <w:gridCol w:w="1098"/>
              <w:gridCol w:w="1404"/>
              <w:gridCol w:w="1543"/>
              <w:gridCol w:w="2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Align w:val="center"/>
                </w:tcPr>
                <w:p>
                  <w:pPr>
                    <w:jc w:val="center"/>
                    <w:rPr>
                      <w:rFonts w:hAnsi="宋体"/>
                      <w:szCs w:val="21"/>
                    </w:rPr>
                  </w:pPr>
                  <w:r>
                    <w:rPr>
                      <w:rFonts w:hint="eastAsia" w:hAnsi="宋体"/>
                      <w:szCs w:val="21"/>
                    </w:rPr>
                    <w:t>分类</w:t>
                  </w:r>
                </w:p>
              </w:tc>
              <w:tc>
                <w:tcPr>
                  <w:tcW w:w="1680" w:type="dxa"/>
                  <w:gridSpan w:val="2"/>
                  <w:vAlign w:val="center"/>
                </w:tcPr>
                <w:p>
                  <w:pPr>
                    <w:jc w:val="center"/>
                    <w:rPr>
                      <w:rFonts w:hAnsi="宋体"/>
                      <w:szCs w:val="21"/>
                    </w:rPr>
                  </w:pPr>
                  <w:r>
                    <w:rPr>
                      <w:rFonts w:hint="eastAsia" w:hAnsi="宋体"/>
                      <w:szCs w:val="21"/>
                    </w:rPr>
                    <w:t>污染</w:t>
                  </w:r>
                  <w:r>
                    <w:rPr>
                      <w:rFonts w:hAnsi="宋体"/>
                      <w:szCs w:val="21"/>
                    </w:rPr>
                    <w:t>工序</w:t>
                  </w:r>
                </w:p>
              </w:tc>
              <w:tc>
                <w:tcPr>
                  <w:tcW w:w="1404" w:type="dxa"/>
                  <w:vAlign w:val="center"/>
                </w:tcPr>
                <w:p>
                  <w:pPr>
                    <w:jc w:val="center"/>
                    <w:rPr>
                      <w:rFonts w:hAnsi="宋体"/>
                      <w:szCs w:val="21"/>
                    </w:rPr>
                  </w:pPr>
                  <w:r>
                    <w:rPr>
                      <w:rFonts w:hint="eastAsia" w:hAnsi="宋体"/>
                      <w:szCs w:val="21"/>
                    </w:rPr>
                    <w:t>性质编号</w:t>
                  </w:r>
                </w:p>
              </w:tc>
              <w:tc>
                <w:tcPr>
                  <w:tcW w:w="1543" w:type="dxa"/>
                  <w:vAlign w:val="center"/>
                </w:tcPr>
                <w:p>
                  <w:pPr>
                    <w:jc w:val="center"/>
                    <w:rPr>
                      <w:rFonts w:hAnsi="宋体"/>
                      <w:szCs w:val="21"/>
                    </w:rPr>
                  </w:pPr>
                  <w:r>
                    <w:rPr>
                      <w:rFonts w:hint="eastAsia" w:hAnsi="宋体"/>
                      <w:szCs w:val="21"/>
                    </w:rPr>
                    <w:t>污染物名称</w:t>
                  </w:r>
                </w:p>
              </w:tc>
              <w:tc>
                <w:tcPr>
                  <w:tcW w:w="2267" w:type="dxa"/>
                  <w:vAlign w:val="center"/>
                </w:tcPr>
                <w:p>
                  <w:pPr>
                    <w:jc w:val="center"/>
                    <w:rPr>
                      <w:rFonts w:hAnsi="宋体"/>
                      <w:szCs w:val="21"/>
                    </w:rPr>
                  </w:pPr>
                  <w:r>
                    <w:rPr>
                      <w:rFonts w:hint="eastAsia" w:hAnsi="宋体"/>
                      <w:szCs w:val="21"/>
                    </w:rPr>
                    <w:t>污染因子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restart"/>
                  <w:vAlign w:val="center"/>
                </w:tcPr>
                <w:p>
                  <w:pPr>
                    <w:jc w:val="center"/>
                    <w:rPr>
                      <w:rFonts w:hAnsi="宋体"/>
                      <w:szCs w:val="21"/>
                    </w:rPr>
                  </w:pPr>
                  <w:r>
                    <w:rPr>
                      <w:rFonts w:hint="eastAsia" w:hAnsi="宋体"/>
                      <w:szCs w:val="21"/>
                    </w:rPr>
                    <w:t>生产</w:t>
                  </w:r>
                </w:p>
              </w:tc>
              <w:tc>
                <w:tcPr>
                  <w:tcW w:w="1680" w:type="dxa"/>
                  <w:gridSpan w:val="2"/>
                  <w:vMerge w:val="restart"/>
                  <w:vAlign w:val="center"/>
                </w:tcPr>
                <w:p>
                  <w:pPr>
                    <w:jc w:val="center"/>
                    <w:rPr>
                      <w:rFonts w:hAnsi="宋体"/>
                      <w:szCs w:val="21"/>
                    </w:rPr>
                  </w:pPr>
                  <w:r>
                    <w:rPr>
                      <w:rFonts w:hint="eastAsia" w:hAnsi="宋体"/>
                      <w:szCs w:val="21"/>
                    </w:rPr>
                    <w:t>预处理生产线</w:t>
                  </w:r>
                </w:p>
              </w:tc>
              <w:tc>
                <w:tcPr>
                  <w:tcW w:w="1404" w:type="dxa"/>
                  <w:vAlign w:val="center"/>
                </w:tcPr>
                <w:p>
                  <w:pPr>
                    <w:jc w:val="center"/>
                    <w:rPr>
                      <w:rFonts w:hAnsi="宋体"/>
                      <w:szCs w:val="21"/>
                    </w:rPr>
                  </w:pPr>
                  <w:r>
                    <w:rPr>
                      <w:rFonts w:hAnsi="宋体"/>
                      <w:szCs w:val="21"/>
                    </w:rPr>
                    <w:t>W1</w:t>
                  </w:r>
                </w:p>
              </w:tc>
              <w:tc>
                <w:tcPr>
                  <w:tcW w:w="1543" w:type="dxa"/>
                  <w:vAlign w:val="center"/>
                </w:tcPr>
                <w:p>
                  <w:pPr>
                    <w:jc w:val="center"/>
                    <w:rPr>
                      <w:rFonts w:hAnsi="宋体"/>
                      <w:szCs w:val="21"/>
                    </w:rPr>
                  </w:pPr>
                  <w:r>
                    <w:rPr>
                      <w:rFonts w:hint="eastAsia" w:hAnsi="宋体"/>
                      <w:szCs w:val="21"/>
                    </w:rPr>
                    <w:t>打磨废水</w:t>
                  </w:r>
                </w:p>
              </w:tc>
              <w:tc>
                <w:tcPr>
                  <w:tcW w:w="2267" w:type="dxa"/>
                  <w:vAlign w:val="center"/>
                </w:tcPr>
                <w:p>
                  <w:pPr>
                    <w:jc w:val="center"/>
                    <w:rPr>
                      <w:rFonts w:hAnsi="宋体"/>
                      <w:szCs w:val="21"/>
                    </w:rPr>
                  </w:pPr>
                  <w:r>
                    <w:rPr>
                      <w:rFonts w:hint="eastAsia" w:hAnsi="宋体"/>
                      <w:szCs w:val="21"/>
                    </w:rPr>
                    <w:t>S</w:t>
                  </w:r>
                  <w:r>
                    <w:rPr>
                      <w:rFonts w:hAnsi="宋体"/>
                      <w:szCs w:val="21"/>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continue"/>
                  <w:vAlign w:val="center"/>
                </w:tcPr>
                <w:p>
                  <w:pPr>
                    <w:jc w:val="center"/>
                    <w:rPr>
                      <w:rFonts w:hAnsi="宋体"/>
                      <w:szCs w:val="21"/>
                    </w:rPr>
                  </w:pPr>
                </w:p>
              </w:tc>
              <w:tc>
                <w:tcPr>
                  <w:tcW w:w="1404" w:type="dxa"/>
                  <w:vAlign w:val="center"/>
                </w:tcPr>
                <w:p>
                  <w:pPr>
                    <w:jc w:val="center"/>
                    <w:rPr>
                      <w:rFonts w:hAnsi="宋体"/>
                      <w:szCs w:val="21"/>
                    </w:rPr>
                  </w:pPr>
                  <w:r>
                    <w:rPr>
                      <w:rFonts w:hAnsi="宋体"/>
                      <w:szCs w:val="21"/>
                    </w:rPr>
                    <w:t>W2</w:t>
                  </w:r>
                </w:p>
              </w:tc>
              <w:tc>
                <w:tcPr>
                  <w:tcW w:w="1543" w:type="dxa"/>
                  <w:vAlign w:val="center"/>
                </w:tcPr>
                <w:p>
                  <w:pPr>
                    <w:jc w:val="center"/>
                    <w:rPr>
                      <w:rFonts w:hAnsi="宋体"/>
                      <w:szCs w:val="21"/>
                    </w:rPr>
                  </w:pPr>
                  <w:r>
                    <w:rPr>
                      <w:rFonts w:hint="eastAsia" w:hAnsi="宋体"/>
                      <w:szCs w:val="21"/>
                    </w:rPr>
                    <w:t>清洗废水</w:t>
                  </w:r>
                </w:p>
              </w:tc>
              <w:tc>
                <w:tcPr>
                  <w:tcW w:w="2267" w:type="dxa"/>
                  <w:vAlign w:val="center"/>
                </w:tcPr>
                <w:p>
                  <w:pPr>
                    <w:jc w:val="center"/>
                    <w:rPr>
                      <w:rFonts w:hAnsi="宋体"/>
                      <w:szCs w:val="21"/>
                    </w:rPr>
                  </w:pPr>
                  <w:r>
                    <w:rPr>
                      <w:rFonts w:hint="eastAsia" w:hAnsi="宋体"/>
                      <w:szCs w:val="21"/>
                    </w:rPr>
                    <w:t>S</w:t>
                  </w:r>
                  <w:r>
                    <w:rPr>
                      <w:rFonts w:hAnsi="宋体"/>
                      <w:szCs w:val="21"/>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continue"/>
                  <w:vAlign w:val="center"/>
                </w:tcPr>
                <w:p>
                  <w:pPr>
                    <w:jc w:val="center"/>
                    <w:rPr>
                      <w:rFonts w:hAnsi="宋体"/>
                      <w:szCs w:val="21"/>
                    </w:rPr>
                  </w:pPr>
                </w:p>
              </w:tc>
              <w:tc>
                <w:tcPr>
                  <w:tcW w:w="1404" w:type="dxa"/>
                  <w:vAlign w:val="center"/>
                </w:tcPr>
                <w:p>
                  <w:pPr>
                    <w:jc w:val="center"/>
                    <w:rPr>
                      <w:rFonts w:hAnsi="宋体"/>
                      <w:szCs w:val="21"/>
                    </w:rPr>
                  </w:pPr>
                  <w:r>
                    <w:rPr>
                      <w:rFonts w:hAnsi="宋体"/>
                      <w:szCs w:val="21"/>
                    </w:rPr>
                    <w:t>N1</w:t>
                  </w:r>
                  <w:r>
                    <w:rPr>
                      <w:rFonts w:hint="eastAsia" w:hAnsi="宋体"/>
                      <w:szCs w:val="21"/>
                    </w:rPr>
                    <w:t xml:space="preserve"> 、N</w:t>
                  </w:r>
                  <w:r>
                    <w:rPr>
                      <w:rFonts w:hAnsi="宋体"/>
                      <w:szCs w:val="21"/>
                    </w:rPr>
                    <w:t>2</w:t>
                  </w:r>
                  <w:r>
                    <w:rPr>
                      <w:rFonts w:hint="eastAsia" w:hAnsi="宋体"/>
                      <w:szCs w:val="21"/>
                    </w:rPr>
                    <w:t>、 N</w:t>
                  </w:r>
                  <w:r>
                    <w:rPr>
                      <w:rFonts w:hAnsi="宋体"/>
                      <w:szCs w:val="21"/>
                    </w:rPr>
                    <w:t>3</w:t>
                  </w:r>
                </w:p>
              </w:tc>
              <w:tc>
                <w:tcPr>
                  <w:tcW w:w="1543" w:type="dxa"/>
                  <w:vAlign w:val="center"/>
                </w:tcPr>
                <w:p>
                  <w:pPr>
                    <w:jc w:val="center"/>
                    <w:rPr>
                      <w:rFonts w:hAnsi="宋体"/>
                      <w:szCs w:val="21"/>
                    </w:rPr>
                  </w:pPr>
                  <w:r>
                    <w:rPr>
                      <w:rFonts w:hint="eastAsia" w:hAnsi="宋体"/>
                      <w:szCs w:val="21"/>
                    </w:rPr>
                    <w:t>设备噪声</w:t>
                  </w:r>
                </w:p>
              </w:tc>
              <w:tc>
                <w:tcPr>
                  <w:tcW w:w="2267" w:type="dxa"/>
                  <w:vAlign w:val="center"/>
                </w:tcPr>
                <w:p>
                  <w:pPr>
                    <w:jc w:val="center"/>
                    <w:rPr>
                      <w:rFonts w:hAnsi="宋体"/>
                      <w:szCs w:val="21"/>
                    </w:rPr>
                  </w:pPr>
                  <w:r>
                    <w:rPr>
                      <w:rFonts w:hint="eastAsia"/>
                      <w:szCs w:val="21"/>
                    </w:rPr>
                    <w:t>Leq（A）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continue"/>
                  <w:vAlign w:val="center"/>
                </w:tcPr>
                <w:p>
                  <w:pPr>
                    <w:jc w:val="center"/>
                    <w:rPr>
                      <w:rFonts w:hAnsi="宋体"/>
                      <w:szCs w:val="21"/>
                    </w:rPr>
                  </w:pPr>
                </w:p>
              </w:tc>
              <w:tc>
                <w:tcPr>
                  <w:tcW w:w="1404" w:type="dxa"/>
                  <w:vAlign w:val="center"/>
                </w:tcPr>
                <w:p>
                  <w:pPr>
                    <w:jc w:val="center"/>
                    <w:rPr>
                      <w:rFonts w:hAnsi="宋体"/>
                      <w:szCs w:val="21"/>
                    </w:rPr>
                  </w:pPr>
                  <w:r>
                    <w:rPr>
                      <w:rFonts w:hint="eastAsia" w:hAnsi="宋体"/>
                      <w:szCs w:val="21"/>
                    </w:rPr>
                    <w:t>S</w:t>
                  </w:r>
                  <w:r>
                    <w:rPr>
                      <w:rFonts w:hAnsi="宋体"/>
                      <w:szCs w:val="21"/>
                    </w:rPr>
                    <w:t>1</w:t>
                  </w:r>
                </w:p>
              </w:tc>
              <w:tc>
                <w:tcPr>
                  <w:tcW w:w="1543" w:type="dxa"/>
                  <w:vAlign w:val="center"/>
                </w:tcPr>
                <w:p>
                  <w:pPr>
                    <w:jc w:val="center"/>
                    <w:rPr>
                      <w:rFonts w:hAnsi="宋体"/>
                      <w:szCs w:val="21"/>
                    </w:rPr>
                  </w:pPr>
                  <w:r>
                    <w:rPr>
                      <w:rFonts w:hint="eastAsia" w:hAnsi="宋体"/>
                      <w:szCs w:val="21"/>
                    </w:rPr>
                    <w:t>一般固废</w:t>
                  </w:r>
                </w:p>
              </w:tc>
              <w:tc>
                <w:tcPr>
                  <w:tcW w:w="2267" w:type="dxa"/>
                  <w:vAlign w:val="center"/>
                </w:tcPr>
                <w:p>
                  <w:pPr>
                    <w:jc w:val="center"/>
                    <w:rPr>
                      <w:rFonts w:hAnsi="宋体"/>
                      <w:szCs w:val="21"/>
                    </w:rPr>
                  </w:pPr>
                  <w:r>
                    <w:rPr>
                      <w:rFonts w:hint="eastAsia" w:hAnsi="宋体"/>
                      <w:szCs w:val="21"/>
                    </w:rPr>
                    <w:t>玻璃边角料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continue"/>
                  <w:vAlign w:val="center"/>
                </w:tcPr>
                <w:p>
                  <w:pPr>
                    <w:jc w:val="center"/>
                    <w:rPr>
                      <w:rFonts w:hAnsi="宋体"/>
                      <w:szCs w:val="21"/>
                    </w:rPr>
                  </w:pPr>
                </w:p>
              </w:tc>
              <w:tc>
                <w:tcPr>
                  <w:tcW w:w="1404" w:type="dxa"/>
                  <w:vAlign w:val="center"/>
                </w:tcPr>
                <w:p>
                  <w:pPr>
                    <w:jc w:val="center"/>
                    <w:rPr>
                      <w:rFonts w:hAnsi="宋体"/>
                      <w:szCs w:val="21"/>
                    </w:rPr>
                  </w:pPr>
                  <w:r>
                    <w:rPr>
                      <w:rFonts w:hint="eastAsia" w:hAnsi="宋体"/>
                      <w:szCs w:val="21"/>
                    </w:rPr>
                    <w:t>S</w:t>
                  </w:r>
                  <w:r>
                    <w:rPr>
                      <w:rFonts w:hAnsi="宋体"/>
                      <w:szCs w:val="21"/>
                    </w:rPr>
                    <w:t>2</w:t>
                  </w:r>
                  <w:r>
                    <w:rPr>
                      <w:rFonts w:hint="eastAsia" w:hAnsi="宋体"/>
                      <w:szCs w:val="21"/>
                    </w:rPr>
                    <w:t>、S</w:t>
                  </w:r>
                  <w:r>
                    <w:rPr>
                      <w:rFonts w:hAnsi="宋体"/>
                      <w:szCs w:val="21"/>
                    </w:rPr>
                    <w:t>3</w:t>
                  </w:r>
                </w:p>
              </w:tc>
              <w:tc>
                <w:tcPr>
                  <w:tcW w:w="1543" w:type="dxa"/>
                  <w:vAlign w:val="center"/>
                </w:tcPr>
                <w:p>
                  <w:pPr>
                    <w:jc w:val="center"/>
                    <w:rPr>
                      <w:rFonts w:hAnsi="宋体"/>
                      <w:szCs w:val="21"/>
                    </w:rPr>
                  </w:pPr>
                  <w:r>
                    <w:rPr>
                      <w:rFonts w:hint="eastAsia" w:hAnsi="宋体"/>
                      <w:szCs w:val="21"/>
                    </w:rPr>
                    <w:t>一般固废</w:t>
                  </w:r>
                </w:p>
              </w:tc>
              <w:tc>
                <w:tcPr>
                  <w:tcW w:w="2267" w:type="dxa"/>
                  <w:vAlign w:val="center"/>
                </w:tcPr>
                <w:p>
                  <w:pPr>
                    <w:jc w:val="center"/>
                    <w:rPr>
                      <w:rFonts w:hAnsi="宋体"/>
                      <w:szCs w:val="21"/>
                    </w:rPr>
                  </w:pPr>
                  <w:r>
                    <w:rPr>
                      <w:rFonts w:hint="eastAsia" w:hAnsi="宋体"/>
                      <w:szCs w:val="21"/>
                    </w:rPr>
                    <w:t>玻璃沉渣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Align w:val="center"/>
                </w:tcPr>
                <w:p>
                  <w:pPr>
                    <w:jc w:val="center"/>
                    <w:rPr>
                      <w:rFonts w:hAnsi="宋体"/>
                      <w:szCs w:val="21"/>
                    </w:rPr>
                  </w:pPr>
                  <w:r>
                    <w:rPr>
                      <w:rFonts w:hint="eastAsia" w:hAnsi="宋体"/>
                      <w:szCs w:val="21"/>
                    </w:rPr>
                    <w:t>钢化玻璃生产线</w:t>
                  </w:r>
                </w:p>
              </w:tc>
              <w:tc>
                <w:tcPr>
                  <w:tcW w:w="1404" w:type="dxa"/>
                  <w:vAlign w:val="center"/>
                </w:tcPr>
                <w:p>
                  <w:pPr>
                    <w:jc w:val="center"/>
                    <w:rPr>
                      <w:rFonts w:hAnsi="宋体"/>
                      <w:szCs w:val="21"/>
                    </w:rPr>
                  </w:pPr>
                  <w:r>
                    <w:rPr>
                      <w:rFonts w:hint="eastAsia" w:hAnsi="宋体"/>
                      <w:szCs w:val="21"/>
                    </w:rPr>
                    <w:t>N</w:t>
                  </w:r>
                  <w:r>
                    <w:rPr>
                      <w:rFonts w:hAnsi="宋体"/>
                      <w:szCs w:val="21"/>
                    </w:rPr>
                    <w:t>4</w:t>
                  </w:r>
                </w:p>
              </w:tc>
              <w:tc>
                <w:tcPr>
                  <w:tcW w:w="1543" w:type="dxa"/>
                  <w:vAlign w:val="center"/>
                </w:tcPr>
                <w:p>
                  <w:pPr>
                    <w:jc w:val="center"/>
                    <w:rPr>
                      <w:rFonts w:hAnsi="宋体"/>
                      <w:szCs w:val="21"/>
                    </w:rPr>
                  </w:pPr>
                  <w:r>
                    <w:rPr>
                      <w:rFonts w:hint="eastAsia" w:hAnsi="宋体"/>
                      <w:szCs w:val="21"/>
                    </w:rPr>
                    <w:t>设备噪声</w:t>
                  </w:r>
                </w:p>
              </w:tc>
              <w:tc>
                <w:tcPr>
                  <w:tcW w:w="2267" w:type="dxa"/>
                  <w:vAlign w:val="center"/>
                </w:tcPr>
                <w:p>
                  <w:pPr>
                    <w:jc w:val="center"/>
                    <w:rPr>
                      <w:rFonts w:hAnsi="宋体"/>
                      <w:szCs w:val="21"/>
                    </w:rPr>
                  </w:pPr>
                  <w:r>
                    <w:rPr>
                      <w:rFonts w:hint="eastAsia"/>
                      <w:szCs w:val="21"/>
                    </w:rPr>
                    <w:t>Leq（A）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restart"/>
                  <w:vAlign w:val="center"/>
                </w:tcPr>
                <w:p>
                  <w:pPr>
                    <w:jc w:val="center"/>
                    <w:rPr>
                      <w:rFonts w:hAnsi="宋体"/>
                      <w:szCs w:val="21"/>
                    </w:rPr>
                  </w:pPr>
                  <w:r>
                    <w:rPr>
                      <w:rFonts w:hint="eastAsia" w:hAnsi="宋体"/>
                      <w:szCs w:val="21"/>
                    </w:rPr>
                    <w:t>中空节能玻璃生产线</w:t>
                  </w:r>
                </w:p>
              </w:tc>
              <w:tc>
                <w:tcPr>
                  <w:tcW w:w="1404" w:type="dxa"/>
                  <w:vAlign w:val="center"/>
                </w:tcPr>
                <w:p>
                  <w:pPr>
                    <w:jc w:val="center"/>
                    <w:rPr>
                      <w:rFonts w:hAnsi="宋体"/>
                      <w:szCs w:val="21"/>
                    </w:rPr>
                  </w:pPr>
                  <w:r>
                    <w:rPr>
                      <w:rFonts w:hint="eastAsia" w:hAnsi="宋体"/>
                      <w:szCs w:val="21"/>
                    </w:rPr>
                    <w:t>G</w:t>
                  </w:r>
                  <w:r>
                    <w:rPr>
                      <w:rFonts w:hAnsi="宋体"/>
                      <w:szCs w:val="21"/>
                    </w:rPr>
                    <w:t>1</w:t>
                  </w:r>
                </w:p>
              </w:tc>
              <w:tc>
                <w:tcPr>
                  <w:tcW w:w="1543" w:type="dxa"/>
                  <w:vAlign w:val="center"/>
                </w:tcPr>
                <w:p>
                  <w:pPr>
                    <w:jc w:val="center"/>
                    <w:rPr>
                      <w:rFonts w:hAnsi="宋体"/>
                      <w:szCs w:val="21"/>
                    </w:rPr>
                  </w:pPr>
                  <w:r>
                    <w:rPr>
                      <w:rFonts w:hint="eastAsia" w:hAnsi="宋体"/>
                      <w:szCs w:val="21"/>
                    </w:rPr>
                    <w:t>涂胶废气</w:t>
                  </w:r>
                </w:p>
              </w:tc>
              <w:tc>
                <w:tcPr>
                  <w:tcW w:w="2267" w:type="dxa"/>
                  <w:vAlign w:val="center"/>
                </w:tcPr>
                <w:p>
                  <w:pPr>
                    <w:jc w:val="center"/>
                    <w:rPr>
                      <w:rFonts w:hAnsi="宋体"/>
                      <w:szCs w:val="21"/>
                    </w:rPr>
                  </w:pPr>
                  <w:r>
                    <w:rPr>
                      <w:rFonts w:hint="eastAsia" w:hAnsi="宋体"/>
                      <w:szCs w:val="21"/>
                    </w:rPr>
                    <w:t>非甲烷总烃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continue"/>
                  <w:vAlign w:val="center"/>
                </w:tcPr>
                <w:p>
                  <w:pPr>
                    <w:jc w:val="center"/>
                    <w:rPr>
                      <w:rFonts w:hAnsi="宋体"/>
                      <w:szCs w:val="21"/>
                    </w:rPr>
                  </w:pPr>
                </w:p>
              </w:tc>
              <w:tc>
                <w:tcPr>
                  <w:tcW w:w="1404" w:type="dxa"/>
                  <w:vAlign w:val="center"/>
                </w:tcPr>
                <w:p>
                  <w:pPr>
                    <w:jc w:val="center"/>
                    <w:rPr>
                      <w:rFonts w:hAnsi="宋体"/>
                      <w:szCs w:val="21"/>
                    </w:rPr>
                  </w:pPr>
                  <w:r>
                    <w:rPr>
                      <w:rFonts w:hint="eastAsia" w:hAnsi="宋体"/>
                      <w:szCs w:val="21"/>
                    </w:rPr>
                    <w:t>G</w:t>
                  </w:r>
                  <w:r>
                    <w:rPr>
                      <w:rFonts w:hAnsi="宋体"/>
                      <w:szCs w:val="21"/>
                    </w:rPr>
                    <w:t>2</w:t>
                  </w:r>
                </w:p>
              </w:tc>
              <w:tc>
                <w:tcPr>
                  <w:tcW w:w="1543" w:type="dxa"/>
                  <w:vAlign w:val="center"/>
                </w:tcPr>
                <w:p>
                  <w:pPr>
                    <w:jc w:val="center"/>
                    <w:rPr>
                      <w:rFonts w:hAnsi="宋体"/>
                      <w:szCs w:val="21"/>
                    </w:rPr>
                  </w:pPr>
                  <w:r>
                    <w:rPr>
                      <w:rFonts w:hint="eastAsia" w:hAnsi="宋体"/>
                      <w:szCs w:val="21"/>
                    </w:rPr>
                    <w:t>打胶废气</w:t>
                  </w:r>
                </w:p>
              </w:tc>
              <w:tc>
                <w:tcPr>
                  <w:tcW w:w="2267" w:type="dxa"/>
                  <w:vAlign w:val="center"/>
                </w:tcPr>
                <w:p>
                  <w:pPr>
                    <w:jc w:val="center"/>
                    <w:rPr>
                      <w:rFonts w:hAnsi="宋体"/>
                      <w:szCs w:val="21"/>
                    </w:rPr>
                  </w:pPr>
                  <w:r>
                    <w:rPr>
                      <w:rFonts w:hint="eastAsia" w:hAnsi="宋体"/>
                      <w:szCs w:val="21"/>
                    </w:rPr>
                    <w:t>非甲烷总烃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1680" w:type="dxa"/>
                  <w:gridSpan w:val="2"/>
                  <w:vMerge w:val="continue"/>
                  <w:vAlign w:val="center"/>
                </w:tcPr>
                <w:p>
                  <w:pPr>
                    <w:jc w:val="center"/>
                    <w:rPr>
                      <w:rFonts w:hAnsi="宋体"/>
                      <w:szCs w:val="21"/>
                    </w:rPr>
                  </w:pPr>
                </w:p>
              </w:tc>
              <w:tc>
                <w:tcPr>
                  <w:tcW w:w="1404" w:type="dxa"/>
                  <w:vAlign w:val="center"/>
                </w:tcPr>
                <w:p>
                  <w:pPr>
                    <w:jc w:val="center"/>
                    <w:rPr>
                      <w:rFonts w:hAnsi="宋体"/>
                      <w:szCs w:val="21"/>
                    </w:rPr>
                  </w:pPr>
                  <w:r>
                    <w:rPr>
                      <w:rFonts w:hint="eastAsia" w:hAnsi="宋体"/>
                      <w:szCs w:val="21"/>
                    </w:rPr>
                    <w:t>N</w:t>
                  </w:r>
                  <w:r>
                    <w:rPr>
                      <w:rFonts w:hAnsi="宋体"/>
                      <w:szCs w:val="21"/>
                    </w:rPr>
                    <w:t>5</w:t>
                  </w:r>
                  <w:r>
                    <w:rPr>
                      <w:rFonts w:hint="eastAsia" w:hAnsi="宋体"/>
                      <w:szCs w:val="21"/>
                    </w:rPr>
                    <w:t>、</w:t>
                  </w:r>
                  <w:r>
                    <w:rPr>
                      <w:rFonts w:hAnsi="宋体"/>
                      <w:szCs w:val="21"/>
                    </w:rPr>
                    <w:t>N6</w:t>
                  </w:r>
                  <w:r>
                    <w:rPr>
                      <w:rFonts w:hint="eastAsia" w:hAnsi="宋体"/>
                      <w:szCs w:val="21"/>
                    </w:rPr>
                    <w:t>、</w:t>
                  </w:r>
                </w:p>
                <w:p>
                  <w:pPr>
                    <w:jc w:val="center"/>
                    <w:rPr>
                      <w:rFonts w:hAnsi="宋体"/>
                      <w:szCs w:val="21"/>
                    </w:rPr>
                  </w:pPr>
                  <w:r>
                    <w:rPr>
                      <w:rFonts w:hAnsi="宋体"/>
                      <w:szCs w:val="21"/>
                    </w:rPr>
                    <w:t>N7</w:t>
                  </w:r>
                  <w:r>
                    <w:rPr>
                      <w:rFonts w:hint="eastAsia" w:hAnsi="宋体"/>
                      <w:szCs w:val="21"/>
                    </w:rPr>
                    <w:t>、</w:t>
                  </w:r>
                  <w:r>
                    <w:rPr>
                      <w:rFonts w:hAnsi="宋体"/>
                      <w:szCs w:val="21"/>
                    </w:rPr>
                    <w:t>N8</w:t>
                  </w:r>
                </w:p>
              </w:tc>
              <w:tc>
                <w:tcPr>
                  <w:tcW w:w="1543" w:type="dxa"/>
                  <w:vAlign w:val="center"/>
                </w:tcPr>
                <w:p>
                  <w:pPr>
                    <w:jc w:val="center"/>
                    <w:rPr>
                      <w:rFonts w:hAnsi="宋体"/>
                      <w:szCs w:val="21"/>
                    </w:rPr>
                  </w:pPr>
                  <w:r>
                    <w:rPr>
                      <w:rFonts w:hint="eastAsia" w:hAnsi="宋体"/>
                      <w:szCs w:val="21"/>
                    </w:rPr>
                    <w:t>设备噪声</w:t>
                  </w:r>
                </w:p>
              </w:tc>
              <w:tc>
                <w:tcPr>
                  <w:tcW w:w="2267" w:type="dxa"/>
                  <w:vAlign w:val="center"/>
                </w:tcPr>
                <w:p>
                  <w:pPr>
                    <w:jc w:val="center"/>
                    <w:rPr>
                      <w:rFonts w:hAnsi="宋体"/>
                      <w:szCs w:val="21"/>
                    </w:rPr>
                  </w:pPr>
                  <w:r>
                    <w:rPr>
                      <w:rFonts w:hint="eastAsia"/>
                      <w:szCs w:val="21"/>
                    </w:rPr>
                    <w:t>Leq（A）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582" w:type="dxa"/>
                  <w:vMerge w:val="restart"/>
                  <w:vAlign w:val="center"/>
                </w:tcPr>
                <w:p>
                  <w:pPr>
                    <w:jc w:val="center"/>
                    <w:rPr>
                      <w:rFonts w:hAnsi="宋体"/>
                      <w:szCs w:val="21"/>
                    </w:rPr>
                  </w:pPr>
                  <w:r>
                    <w:rPr>
                      <w:rFonts w:hint="eastAsia" w:hAnsi="宋体"/>
                      <w:szCs w:val="21"/>
                    </w:rPr>
                    <w:t>其他</w:t>
                  </w:r>
                </w:p>
              </w:tc>
              <w:tc>
                <w:tcPr>
                  <w:tcW w:w="1098" w:type="dxa"/>
                  <w:vAlign w:val="center"/>
                </w:tcPr>
                <w:p>
                  <w:pPr>
                    <w:jc w:val="center"/>
                    <w:rPr>
                      <w:rFonts w:hAnsi="宋体"/>
                      <w:szCs w:val="21"/>
                    </w:rPr>
                  </w:pPr>
                  <w:r>
                    <w:rPr>
                      <w:rFonts w:hint="eastAsia" w:hAnsi="宋体"/>
                      <w:szCs w:val="21"/>
                    </w:rPr>
                    <w:t>包装</w:t>
                  </w:r>
                </w:p>
              </w:tc>
              <w:tc>
                <w:tcPr>
                  <w:tcW w:w="1404" w:type="dxa"/>
                  <w:vAlign w:val="center"/>
                </w:tcPr>
                <w:p>
                  <w:pPr>
                    <w:jc w:val="center"/>
                    <w:rPr>
                      <w:rFonts w:hAnsi="宋体"/>
                      <w:szCs w:val="21"/>
                    </w:rPr>
                  </w:pPr>
                  <w:r>
                    <w:rPr>
                      <w:rFonts w:hint="eastAsia" w:hAnsi="宋体"/>
                      <w:szCs w:val="21"/>
                    </w:rPr>
                    <w:t>S</w:t>
                  </w:r>
                  <w:r>
                    <w:rPr>
                      <w:rFonts w:hAnsi="宋体"/>
                      <w:szCs w:val="21"/>
                    </w:rPr>
                    <w:t>4</w:t>
                  </w:r>
                </w:p>
              </w:tc>
              <w:tc>
                <w:tcPr>
                  <w:tcW w:w="1543" w:type="dxa"/>
                  <w:vAlign w:val="center"/>
                </w:tcPr>
                <w:p>
                  <w:pPr>
                    <w:jc w:val="center"/>
                    <w:rPr>
                      <w:rFonts w:hAnsi="宋体"/>
                      <w:szCs w:val="21"/>
                    </w:rPr>
                  </w:pPr>
                  <w:r>
                    <w:rPr>
                      <w:rFonts w:hint="eastAsia" w:hAnsi="宋体"/>
                      <w:szCs w:val="21"/>
                    </w:rPr>
                    <w:t>一般固废</w:t>
                  </w:r>
                </w:p>
              </w:tc>
              <w:tc>
                <w:tcPr>
                  <w:tcW w:w="2267" w:type="dxa"/>
                  <w:vAlign w:val="center"/>
                </w:tcPr>
                <w:p>
                  <w:pPr>
                    <w:jc w:val="center"/>
                    <w:rPr>
                      <w:rFonts w:hAnsi="宋体"/>
                      <w:szCs w:val="21"/>
                    </w:rPr>
                  </w:pPr>
                  <w:r>
                    <w:rPr>
                      <w:rFonts w:hint="eastAsia" w:hAnsi="宋体"/>
                      <w:szCs w:val="21"/>
                    </w:rPr>
                    <w:t>废包装物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582" w:type="dxa"/>
                  <w:vMerge w:val="continue"/>
                  <w:vAlign w:val="center"/>
                </w:tcPr>
                <w:p>
                  <w:pPr>
                    <w:jc w:val="center"/>
                    <w:rPr>
                      <w:rFonts w:hAnsi="宋体"/>
                      <w:szCs w:val="21"/>
                    </w:rPr>
                  </w:pPr>
                </w:p>
              </w:tc>
              <w:tc>
                <w:tcPr>
                  <w:tcW w:w="1098" w:type="dxa"/>
                  <w:vAlign w:val="center"/>
                </w:tcPr>
                <w:p>
                  <w:pPr>
                    <w:jc w:val="center"/>
                    <w:rPr>
                      <w:rFonts w:hAnsi="宋体"/>
                      <w:szCs w:val="21"/>
                    </w:rPr>
                  </w:pPr>
                  <w:r>
                    <w:rPr>
                      <w:rFonts w:hint="eastAsia" w:hAnsi="宋体"/>
                      <w:szCs w:val="21"/>
                    </w:rPr>
                    <w:t>包装</w:t>
                  </w:r>
                </w:p>
              </w:tc>
              <w:tc>
                <w:tcPr>
                  <w:tcW w:w="1404" w:type="dxa"/>
                  <w:vAlign w:val="center"/>
                </w:tcPr>
                <w:p>
                  <w:pPr>
                    <w:jc w:val="center"/>
                    <w:rPr>
                      <w:rFonts w:hAnsi="宋体"/>
                      <w:szCs w:val="21"/>
                    </w:rPr>
                  </w:pPr>
                  <w:r>
                    <w:rPr>
                      <w:rFonts w:hint="eastAsia" w:hAnsi="宋体"/>
                      <w:szCs w:val="21"/>
                    </w:rPr>
                    <w:t>S</w:t>
                  </w:r>
                  <w:r>
                    <w:rPr>
                      <w:rFonts w:hAnsi="宋体"/>
                      <w:szCs w:val="21"/>
                    </w:rPr>
                    <w:t>5</w:t>
                  </w:r>
                </w:p>
              </w:tc>
              <w:tc>
                <w:tcPr>
                  <w:tcW w:w="1543" w:type="dxa"/>
                  <w:vAlign w:val="center"/>
                </w:tcPr>
                <w:p>
                  <w:pPr>
                    <w:jc w:val="center"/>
                    <w:rPr>
                      <w:rFonts w:hAnsi="宋体"/>
                      <w:szCs w:val="21"/>
                    </w:rPr>
                  </w:pPr>
                  <w:r>
                    <w:rPr>
                      <w:rFonts w:hint="eastAsia" w:hAnsi="宋体"/>
                      <w:szCs w:val="21"/>
                    </w:rPr>
                    <w:t>危险废物</w:t>
                  </w:r>
                </w:p>
              </w:tc>
              <w:tc>
                <w:tcPr>
                  <w:tcW w:w="2267" w:type="dxa"/>
                  <w:vAlign w:val="center"/>
                </w:tcPr>
                <w:p>
                  <w:pPr>
                    <w:jc w:val="center"/>
                    <w:rPr>
                      <w:rFonts w:hAnsi="宋体"/>
                      <w:szCs w:val="21"/>
                    </w:rPr>
                  </w:pPr>
                  <w:r>
                    <w:rPr>
                      <w:rFonts w:hint="eastAsia" w:hAnsi="宋体"/>
                      <w:szCs w:val="21"/>
                    </w:rPr>
                    <w:t>废胶桶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582" w:type="dxa"/>
                  <w:vMerge w:val="continue"/>
                  <w:vAlign w:val="center"/>
                </w:tcPr>
                <w:p>
                  <w:pPr>
                    <w:jc w:val="center"/>
                    <w:rPr>
                      <w:rFonts w:hAnsi="宋体"/>
                      <w:szCs w:val="21"/>
                    </w:rPr>
                  </w:pPr>
                </w:p>
              </w:tc>
              <w:tc>
                <w:tcPr>
                  <w:tcW w:w="1098" w:type="dxa"/>
                  <w:vAlign w:val="center"/>
                </w:tcPr>
                <w:p>
                  <w:pPr>
                    <w:jc w:val="center"/>
                    <w:rPr>
                      <w:rFonts w:hAnsi="宋体"/>
                      <w:szCs w:val="21"/>
                    </w:rPr>
                  </w:pPr>
                  <w:r>
                    <w:rPr>
                      <w:rFonts w:hint="eastAsia" w:hAnsi="宋体"/>
                      <w:szCs w:val="21"/>
                    </w:rPr>
                    <w:t>废气处理</w:t>
                  </w:r>
                </w:p>
              </w:tc>
              <w:tc>
                <w:tcPr>
                  <w:tcW w:w="1404" w:type="dxa"/>
                  <w:vAlign w:val="center"/>
                </w:tcPr>
                <w:p>
                  <w:pPr>
                    <w:jc w:val="center"/>
                    <w:rPr>
                      <w:rFonts w:hAnsi="宋体"/>
                      <w:szCs w:val="21"/>
                    </w:rPr>
                  </w:pPr>
                  <w:r>
                    <w:rPr>
                      <w:rFonts w:hint="eastAsia" w:hAnsi="宋体"/>
                      <w:szCs w:val="21"/>
                    </w:rPr>
                    <w:t>S</w:t>
                  </w:r>
                  <w:r>
                    <w:rPr>
                      <w:rFonts w:hAnsi="宋体"/>
                      <w:szCs w:val="21"/>
                    </w:rPr>
                    <w:t>6</w:t>
                  </w:r>
                </w:p>
              </w:tc>
              <w:tc>
                <w:tcPr>
                  <w:tcW w:w="1543" w:type="dxa"/>
                  <w:vAlign w:val="center"/>
                </w:tcPr>
                <w:p>
                  <w:pPr>
                    <w:jc w:val="center"/>
                    <w:rPr>
                      <w:rFonts w:hAnsi="宋体"/>
                      <w:szCs w:val="21"/>
                    </w:rPr>
                  </w:pPr>
                  <w:r>
                    <w:rPr>
                      <w:rFonts w:hint="eastAsia" w:hAnsi="宋体"/>
                      <w:szCs w:val="21"/>
                    </w:rPr>
                    <w:t>危险废物</w:t>
                  </w:r>
                </w:p>
              </w:tc>
              <w:tc>
                <w:tcPr>
                  <w:tcW w:w="2267" w:type="dxa"/>
                  <w:vAlign w:val="center"/>
                </w:tcPr>
                <w:p>
                  <w:pPr>
                    <w:jc w:val="center"/>
                    <w:rPr>
                      <w:rFonts w:hAnsi="宋体"/>
                      <w:szCs w:val="21"/>
                    </w:rPr>
                  </w:pPr>
                  <w:r>
                    <w:rPr>
                      <w:rFonts w:hint="eastAsia" w:hAnsi="宋体"/>
                      <w:szCs w:val="21"/>
                    </w:rPr>
                    <w:t>废活性炭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Merge w:val="continue"/>
                  <w:vAlign w:val="center"/>
                </w:tcPr>
                <w:p>
                  <w:pPr>
                    <w:jc w:val="center"/>
                    <w:rPr>
                      <w:rFonts w:hAnsi="宋体"/>
                      <w:szCs w:val="21"/>
                    </w:rPr>
                  </w:pPr>
                </w:p>
              </w:tc>
              <w:tc>
                <w:tcPr>
                  <w:tcW w:w="582" w:type="dxa"/>
                  <w:vMerge w:val="continue"/>
                  <w:vAlign w:val="center"/>
                </w:tcPr>
                <w:p>
                  <w:pPr>
                    <w:jc w:val="center"/>
                    <w:rPr>
                      <w:rFonts w:hAnsi="宋体"/>
                      <w:szCs w:val="21"/>
                    </w:rPr>
                  </w:pPr>
                </w:p>
              </w:tc>
              <w:tc>
                <w:tcPr>
                  <w:tcW w:w="1098" w:type="dxa"/>
                  <w:vAlign w:val="center"/>
                </w:tcPr>
                <w:p>
                  <w:pPr>
                    <w:jc w:val="center"/>
                    <w:rPr>
                      <w:rFonts w:hAnsi="宋体"/>
                      <w:szCs w:val="21"/>
                    </w:rPr>
                  </w:pPr>
                  <w:r>
                    <w:rPr>
                      <w:rFonts w:hint="eastAsia" w:hAnsi="宋体"/>
                      <w:szCs w:val="21"/>
                    </w:rPr>
                    <w:t>设备维护</w:t>
                  </w:r>
                </w:p>
              </w:tc>
              <w:tc>
                <w:tcPr>
                  <w:tcW w:w="1404" w:type="dxa"/>
                  <w:vAlign w:val="center"/>
                </w:tcPr>
                <w:p>
                  <w:pPr>
                    <w:jc w:val="center"/>
                    <w:rPr>
                      <w:rFonts w:hAnsi="宋体"/>
                      <w:szCs w:val="21"/>
                    </w:rPr>
                  </w:pPr>
                  <w:r>
                    <w:rPr>
                      <w:rFonts w:hint="eastAsia" w:hAnsi="宋体"/>
                      <w:szCs w:val="21"/>
                    </w:rPr>
                    <w:t>S</w:t>
                  </w:r>
                  <w:r>
                    <w:rPr>
                      <w:rFonts w:hAnsi="宋体"/>
                      <w:szCs w:val="21"/>
                    </w:rPr>
                    <w:t>7</w:t>
                  </w:r>
                </w:p>
              </w:tc>
              <w:tc>
                <w:tcPr>
                  <w:tcW w:w="1543" w:type="dxa"/>
                  <w:vAlign w:val="center"/>
                </w:tcPr>
                <w:p>
                  <w:pPr>
                    <w:jc w:val="center"/>
                    <w:rPr>
                      <w:rFonts w:hAnsi="宋体"/>
                      <w:szCs w:val="21"/>
                    </w:rPr>
                  </w:pPr>
                  <w:r>
                    <w:rPr>
                      <w:rFonts w:hint="eastAsia" w:hAnsi="宋体"/>
                      <w:szCs w:val="21"/>
                    </w:rPr>
                    <w:t>危险废物</w:t>
                  </w:r>
                </w:p>
              </w:tc>
              <w:tc>
                <w:tcPr>
                  <w:tcW w:w="2267" w:type="dxa"/>
                  <w:vAlign w:val="center"/>
                </w:tcPr>
                <w:p>
                  <w:pPr>
                    <w:jc w:val="center"/>
                    <w:rPr>
                      <w:rFonts w:hAnsi="宋体"/>
                      <w:szCs w:val="21"/>
                    </w:rPr>
                  </w:pPr>
                  <w:r>
                    <w:rPr>
                      <w:rFonts w:hint="eastAsia" w:hAnsi="宋体"/>
                      <w:szCs w:val="21"/>
                    </w:rPr>
                    <w:t>废机油、含油棉纱等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994" w:type="dxa"/>
                  <w:vAlign w:val="center"/>
                </w:tcPr>
                <w:p>
                  <w:pPr>
                    <w:jc w:val="center"/>
                    <w:rPr>
                      <w:rFonts w:hAnsi="宋体"/>
                      <w:szCs w:val="21"/>
                    </w:rPr>
                  </w:pPr>
                  <w:r>
                    <w:rPr>
                      <w:rFonts w:hint="eastAsia" w:hAnsi="宋体"/>
                      <w:szCs w:val="21"/>
                    </w:rPr>
                    <w:t>生活</w:t>
                  </w:r>
                </w:p>
              </w:tc>
              <w:tc>
                <w:tcPr>
                  <w:tcW w:w="1680" w:type="dxa"/>
                  <w:gridSpan w:val="2"/>
                  <w:vAlign w:val="center"/>
                </w:tcPr>
                <w:p>
                  <w:pPr>
                    <w:jc w:val="center"/>
                    <w:rPr>
                      <w:rFonts w:hAnsi="宋体"/>
                      <w:szCs w:val="21"/>
                    </w:rPr>
                  </w:pPr>
                  <w:r>
                    <w:rPr>
                      <w:rFonts w:hint="eastAsia" w:hAnsi="宋体"/>
                      <w:szCs w:val="21"/>
                    </w:rPr>
                    <w:t>办公生活</w:t>
                  </w:r>
                </w:p>
              </w:tc>
              <w:tc>
                <w:tcPr>
                  <w:tcW w:w="1404" w:type="dxa"/>
                  <w:vAlign w:val="center"/>
                </w:tcPr>
                <w:p>
                  <w:pPr>
                    <w:jc w:val="center"/>
                    <w:rPr>
                      <w:rFonts w:hAnsi="宋体"/>
                      <w:szCs w:val="21"/>
                    </w:rPr>
                  </w:pPr>
                  <w:r>
                    <w:rPr>
                      <w:rFonts w:hint="eastAsia" w:hAnsi="宋体"/>
                      <w:szCs w:val="21"/>
                    </w:rPr>
                    <w:t>W</w:t>
                  </w:r>
                  <w:r>
                    <w:rPr>
                      <w:rFonts w:hAnsi="宋体"/>
                      <w:szCs w:val="21"/>
                    </w:rPr>
                    <w:t>3</w:t>
                  </w:r>
                </w:p>
              </w:tc>
              <w:tc>
                <w:tcPr>
                  <w:tcW w:w="1543" w:type="dxa"/>
                  <w:vAlign w:val="center"/>
                </w:tcPr>
                <w:p>
                  <w:pPr>
                    <w:jc w:val="center"/>
                    <w:rPr>
                      <w:rFonts w:hAnsi="宋体"/>
                      <w:szCs w:val="21"/>
                    </w:rPr>
                  </w:pPr>
                  <w:r>
                    <w:rPr>
                      <w:rFonts w:hint="eastAsia" w:hAnsi="宋体"/>
                      <w:szCs w:val="21"/>
                    </w:rPr>
                    <w:t>生活污水</w:t>
                  </w:r>
                </w:p>
              </w:tc>
              <w:tc>
                <w:tcPr>
                  <w:tcW w:w="2267" w:type="dxa"/>
                  <w:vAlign w:val="center"/>
                </w:tcPr>
                <w:p>
                  <w:pPr>
                    <w:jc w:val="center"/>
                    <w:rPr>
                      <w:rFonts w:hAnsi="宋体"/>
                      <w:szCs w:val="21"/>
                    </w:rPr>
                  </w:pPr>
                  <w:r>
                    <w:rPr>
                      <w:rFonts w:hint="eastAsia" w:hAnsi="宋体"/>
                      <w:szCs w:val="21"/>
                    </w:rPr>
                    <w:t>C</w:t>
                  </w:r>
                  <w:r>
                    <w:rPr>
                      <w:rFonts w:hAnsi="宋体"/>
                      <w:szCs w:val="21"/>
                    </w:rPr>
                    <w:t>OD</w:t>
                  </w:r>
                  <w:r>
                    <w:rPr>
                      <w:rFonts w:hint="eastAsia" w:hAnsi="宋体"/>
                      <w:szCs w:val="21"/>
                    </w:rPr>
                    <w:t>、</w:t>
                  </w:r>
                  <w:r>
                    <w:rPr>
                      <w:rFonts w:hint="eastAsia"/>
                      <w:szCs w:val="21"/>
                    </w:rPr>
                    <w:t>BOD</w:t>
                  </w:r>
                  <w:r>
                    <w:rPr>
                      <w:szCs w:val="21"/>
                      <w:vertAlign w:val="subscript"/>
                    </w:rPr>
                    <w:t>5</w:t>
                  </w:r>
                  <w:r>
                    <w:rPr>
                      <w:rFonts w:hint="eastAsia"/>
                      <w:szCs w:val="21"/>
                    </w:rPr>
                    <w:t>、SS、氨氮、总磷、总氮等</w:t>
                  </w:r>
                </w:p>
              </w:tc>
            </w:tr>
          </w:tbl>
          <w:p>
            <w:pPr>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65" w:hRule="atLeast"/>
          <w:jc w:val="center"/>
        </w:trPr>
        <w:tc>
          <w:tcPr>
            <w:tcW w:w="680" w:type="dxa"/>
            <w:vAlign w:val="center"/>
          </w:tcPr>
          <w:p>
            <w:pPr>
              <w:pStyle w:val="19"/>
              <w:adjustRightInd w:val="0"/>
              <w:snapToGrid w:val="0"/>
              <w:spacing w:before="0" w:beforeAutospacing="0" w:after="0" w:afterAutospacing="0"/>
              <w:jc w:val="center"/>
              <w:rPr>
                <w:rFonts w:cs="宋体"/>
                <w:sz w:val="21"/>
                <w:szCs w:val="21"/>
                <w:lang w:val="en-US" w:eastAsia="zh-CN"/>
              </w:rPr>
            </w:pPr>
            <w:r>
              <w:rPr>
                <w:rFonts w:hint="eastAsia" w:cs="宋体"/>
                <w:bCs/>
                <w:kern w:val="2"/>
                <w:sz w:val="21"/>
                <w:szCs w:val="21"/>
                <w:lang w:val="en-US" w:eastAsia="zh-CN"/>
              </w:rPr>
              <w:t>与项目有关的原有环境污染问题</w:t>
            </w:r>
          </w:p>
        </w:tc>
        <w:tc>
          <w:tcPr>
            <w:tcW w:w="8134" w:type="dxa"/>
          </w:tcPr>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r>
              <w:rPr>
                <w:rFonts w:hint="eastAsia" w:ascii="宋体" w:hAnsi="宋体" w:cs="宋体"/>
                <w:bCs/>
                <w:sz w:val="21"/>
                <w:szCs w:val="21"/>
                <w:lang w:val="en-US" w:eastAsia="zh-CN"/>
              </w:rPr>
              <w:t>本项目为新建项目，租赁安康秦东魔芋食品公司现有空置厂房进行生产，不存在与项目有关的原有环境污染问题。</w:t>
            </w: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firstLine="420" w:firstLineChars="200"/>
              <w:jc w:val="left"/>
              <w:rPr>
                <w:rFonts w:ascii="宋体" w:hAnsi="宋体" w:cs="宋体"/>
                <w:bCs/>
                <w:sz w:val="21"/>
                <w:szCs w:val="21"/>
                <w:lang w:val="en-US" w:eastAsia="zh-CN"/>
              </w:rPr>
            </w:pPr>
          </w:p>
          <w:p>
            <w:pPr>
              <w:pStyle w:val="10"/>
              <w:spacing w:before="0" w:after="0" w:line="360" w:lineRule="auto"/>
              <w:ind w:right="308"/>
              <w:jc w:val="left"/>
              <w:rPr>
                <w:rFonts w:ascii="宋体" w:hAnsi="宋体" w:cs="宋体"/>
                <w:bCs/>
                <w:szCs w:val="21"/>
                <w:lang w:val="en-US" w:eastAsia="zh-CN"/>
              </w:rPr>
            </w:pPr>
          </w:p>
        </w:tc>
      </w:tr>
    </w:tbl>
    <w:p>
      <w:pPr>
        <w:sectPr>
          <w:pgSz w:w="11906" w:h="16838"/>
          <w:pgMar w:top="1701" w:right="1531" w:bottom="1418" w:left="1531" w:header="1134" w:footer="1134" w:gutter="0"/>
          <w:cols w:space="720" w:num="1"/>
          <w:docGrid w:linePitch="312" w:charSpace="0"/>
        </w:sectPr>
      </w:pPr>
    </w:p>
    <w:p>
      <w:pPr>
        <w:pStyle w:val="19"/>
        <w:adjustRightInd w:val="0"/>
        <w:snapToGrid w:val="0"/>
        <w:spacing w:before="0" w:beforeAutospacing="0" w:after="0" w:afterAutospacing="0" w:line="14" w:lineRule="auto"/>
        <w:jc w:val="center"/>
        <w:outlineLvl w:val="0"/>
        <w:rPr>
          <w:rFonts w:ascii="黑体" w:hAnsi="黑体" w:eastAsia="黑体"/>
          <w:snapToGrid w:val="0"/>
          <w:sz w:val="30"/>
          <w:szCs w:val="30"/>
        </w:r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3"/>
        <w:tblW w:w="88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57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243" w:type="dxa"/>
            <w:vAlign w:val="center"/>
          </w:tcPr>
          <w:p>
            <w:pPr>
              <w:spacing w:line="360" w:lineRule="auto"/>
              <w:ind w:firstLine="422" w:firstLineChars="200"/>
              <w:rPr>
                <w:rFonts w:ascii="宋体" w:hAnsi="宋体" w:cs="宋体"/>
                <w:b/>
              </w:rPr>
            </w:pPr>
            <w:r>
              <w:rPr>
                <w:rFonts w:hint="eastAsia" w:ascii="宋体" w:hAnsi="宋体" w:cs="宋体"/>
                <w:b/>
              </w:rPr>
              <w:t>1、大气环境</w:t>
            </w:r>
          </w:p>
          <w:p>
            <w:pPr>
              <w:spacing w:line="360" w:lineRule="auto"/>
              <w:ind w:firstLine="420" w:firstLineChars="200"/>
              <w:rPr>
                <w:szCs w:val="21"/>
              </w:rPr>
            </w:pPr>
            <w:r>
              <w:rPr>
                <w:rFonts w:hAnsi="宋体"/>
                <w:szCs w:val="21"/>
              </w:rPr>
              <w:t>（</w:t>
            </w:r>
            <w:r>
              <w:rPr>
                <w:szCs w:val="21"/>
              </w:rPr>
              <w:t>1</w:t>
            </w:r>
            <w:r>
              <w:rPr>
                <w:rFonts w:hAnsi="宋体"/>
                <w:szCs w:val="21"/>
              </w:rPr>
              <w:t>）空气质量达标区判定</w:t>
            </w:r>
          </w:p>
          <w:p>
            <w:pPr>
              <w:spacing w:line="360" w:lineRule="auto"/>
              <w:ind w:firstLine="420" w:firstLineChars="200"/>
              <w:rPr>
                <w:szCs w:val="21"/>
              </w:rPr>
            </w:pPr>
            <w:r>
              <w:rPr>
                <w:szCs w:val="21"/>
              </w:rPr>
              <w:t>本项目位于</w:t>
            </w:r>
            <w:r>
              <w:rPr>
                <w:rFonts w:hint="eastAsia"/>
                <w:szCs w:val="21"/>
              </w:rPr>
              <w:t>安康市汉滨区，</w:t>
            </w:r>
            <w:r>
              <w:rPr>
                <w:szCs w:val="21"/>
              </w:rPr>
              <w:t>据大气功能区划，本项目所在地为二类功能区，环境空气质量标准执行《环境空气质量标准》（GB3095-2012）二级标准要求。为了解</w:t>
            </w:r>
            <w:r>
              <w:rPr>
                <w:rFonts w:hint="eastAsia"/>
                <w:szCs w:val="21"/>
              </w:rPr>
              <w:t>项目</w:t>
            </w:r>
            <w:r>
              <w:rPr>
                <w:szCs w:val="21"/>
              </w:rPr>
              <w:t>区域的环境空气质量现状，常规污染物本次环评引用陕西省</w:t>
            </w:r>
            <w:r>
              <w:rPr>
                <w:rFonts w:hint="eastAsia"/>
                <w:szCs w:val="21"/>
              </w:rPr>
              <w:t>生态环境厅办公室2</w:t>
            </w:r>
            <w:r>
              <w:rPr>
                <w:szCs w:val="21"/>
              </w:rPr>
              <w:t>023</w:t>
            </w:r>
            <w:r>
              <w:rPr>
                <w:rFonts w:hint="eastAsia"/>
                <w:szCs w:val="21"/>
              </w:rPr>
              <w:t>年1月1</w:t>
            </w:r>
            <w:r>
              <w:rPr>
                <w:szCs w:val="21"/>
              </w:rPr>
              <w:t>8</w:t>
            </w:r>
            <w:r>
              <w:rPr>
                <w:rFonts w:hint="eastAsia"/>
                <w:szCs w:val="21"/>
              </w:rPr>
              <w:t>日发布的《环保快报》“2</w:t>
            </w:r>
            <w:r>
              <w:rPr>
                <w:szCs w:val="21"/>
              </w:rPr>
              <w:t>022</w:t>
            </w:r>
            <w:r>
              <w:rPr>
                <w:rFonts w:hint="eastAsia"/>
                <w:szCs w:val="21"/>
              </w:rPr>
              <w:t>年1</w:t>
            </w:r>
            <w:r>
              <w:rPr>
                <w:szCs w:val="21"/>
              </w:rPr>
              <w:t>2</w:t>
            </w:r>
            <w:r>
              <w:rPr>
                <w:rFonts w:hint="eastAsia"/>
                <w:szCs w:val="21"/>
              </w:rPr>
              <w:t>月及1</w:t>
            </w:r>
            <w:r>
              <w:rPr>
                <w:szCs w:val="21"/>
              </w:rPr>
              <w:t>-12</w:t>
            </w:r>
            <w:r>
              <w:rPr>
                <w:rFonts w:hint="eastAsia"/>
                <w:szCs w:val="21"/>
              </w:rPr>
              <w:t>月全省环境质量状况”</w:t>
            </w:r>
            <w:r>
              <w:rPr>
                <w:szCs w:val="21"/>
              </w:rPr>
              <w:t>。</w:t>
            </w:r>
          </w:p>
          <w:p>
            <w:pPr>
              <w:spacing w:line="360" w:lineRule="auto"/>
              <w:ind w:firstLine="420" w:firstLineChars="200"/>
              <w:rPr>
                <w:szCs w:val="21"/>
              </w:rPr>
            </w:pPr>
            <w:r>
              <w:rPr>
                <w:rFonts w:hint="eastAsia"/>
                <w:szCs w:val="21"/>
              </w:rPr>
              <w:t>20</w:t>
            </w:r>
            <w:r>
              <w:rPr>
                <w:szCs w:val="21"/>
              </w:rPr>
              <w:t>22年1-12月</w:t>
            </w:r>
            <w:r>
              <w:rPr>
                <w:rFonts w:hint="eastAsia"/>
                <w:szCs w:val="21"/>
              </w:rPr>
              <w:t>安康市汉滨区</w:t>
            </w:r>
            <w:r>
              <w:rPr>
                <w:szCs w:val="21"/>
              </w:rPr>
              <w:t>的优良天数为340天，优良率为93.2%，重度及以上污染天数为0天，空气质量综合指数为3.38。</w:t>
            </w:r>
          </w:p>
          <w:p>
            <w:pPr>
              <w:spacing w:line="360" w:lineRule="auto"/>
              <w:ind w:firstLine="420" w:firstLineChars="200"/>
              <w:rPr>
                <w:szCs w:val="21"/>
              </w:rPr>
            </w:pPr>
            <w:r>
              <w:rPr>
                <w:rFonts w:hint="eastAsia"/>
                <w:szCs w:val="21"/>
              </w:rPr>
              <w:t>汉滨区2</w:t>
            </w:r>
            <w:r>
              <w:rPr>
                <w:szCs w:val="21"/>
              </w:rPr>
              <w:t>023</w:t>
            </w:r>
            <w:r>
              <w:rPr>
                <w:rFonts w:hint="eastAsia"/>
                <w:szCs w:val="21"/>
              </w:rPr>
              <w:t>年环境质量状况</w:t>
            </w:r>
            <w:r>
              <w:rPr>
                <w:szCs w:val="21"/>
              </w:rPr>
              <w:t>统计结果见表3-1。</w:t>
            </w:r>
          </w:p>
          <w:p>
            <w:pPr>
              <w:jc w:val="center"/>
              <w:rPr>
                <w:b/>
                <w:bCs/>
                <w:szCs w:val="21"/>
              </w:rPr>
            </w:pPr>
            <w:r>
              <w:rPr>
                <w:b/>
                <w:bCs/>
                <w:szCs w:val="21"/>
              </w:rPr>
              <w:t xml:space="preserve">表3-1    </w:t>
            </w:r>
            <w:r>
              <w:rPr>
                <w:rFonts w:hint="eastAsia"/>
                <w:b/>
                <w:bCs/>
                <w:szCs w:val="21"/>
              </w:rPr>
              <w:t>安康市汉滨区</w:t>
            </w:r>
            <w:r>
              <w:rPr>
                <w:b/>
                <w:bCs/>
                <w:szCs w:val="21"/>
              </w:rPr>
              <w:t>2022年1-12月环境质量状况数据统计结果表</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5"/>
              <w:gridCol w:w="2638"/>
              <w:gridCol w:w="1147"/>
              <w:gridCol w:w="1440"/>
              <w:gridCol w:w="1052"/>
              <w:gridCol w:w="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bCs/>
                      <w:szCs w:val="21"/>
                    </w:rPr>
                  </w:pPr>
                  <w:r>
                    <w:rPr>
                      <w:bCs/>
                      <w:szCs w:val="21"/>
                    </w:rPr>
                    <w:t>污染物</w:t>
                  </w:r>
                </w:p>
              </w:tc>
              <w:tc>
                <w:tcPr>
                  <w:tcW w:w="2638" w:type="dxa"/>
                  <w:vAlign w:val="center"/>
                </w:tcPr>
                <w:p>
                  <w:pPr>
                    <w:jc w:val="center"/>
                    <w:rPr>
                      <w:bCs/>
                      <w:szCs w:val="21"/>
                    </w:rPr>
                  </w:pPr>
                  <w:r>
                    <w:rPr>
                      <w:bCs/>
                      <w:szCs w:val="21"/>
                    </w:rPr>
                    <w:t>年评价指标</w:t>
                  </w:r>
                </w:p>
              </w:tc>
              <w:tc>
                <w:tcPr>
                  <w:tcW w:w="1147" w:type="dxa"/>
                  <w:vAlign w:val="center"/>
                </w:tcPr>
                <w:p>
                  <w:pPr>
                    <w:jc w:val="center"/>
                    <w:rPr>
                      <w:bCs/>
                      <w:szCs w:val="21"/>
                    </w:rPr>
                  </w:pPr>
                  <w:r>
                    <w:rPr>
                      <w:bCs/>
                      <w:szCs w:val="21"/>
                    </w:rPr>
                    <w:t>现状浓度µg/m</w:t>
                  </w:r>
                  <w:r>
                    <w:rPr>
                      <w:bCs/>
                      <w:szCs w:val="21"/>
                      <w:vertAlign w:val="superscript"/>
                    </w:rPr>
                    <w:t>3</w:t>
                  </w:r>
                </w:p>
              </w:tc>
              <w:tc>
                <w:tcPr>
                  <w:tcW w:w="1440" w:type="dxa"/>
                  <w:vAlign w:val="center"/>
                </w:tcPr>
                <w:p>
                  <w:pPr>
                    <w:jc w:val="center"/>
                    <w:rPr>
                      <w:bCs/>
                      <w:szCs w:val="21"/>
                    </w:rPr>
                  </w:pPr>
                  <w:r>
                    <w:rPr>
                      <w:bCs/>
                      <w:szCs w:val="21"/>
                    </w:rPr>
                    <w:t>标准值</w:t>
                  </w:r>
                </w:p>
                <w:p>
                  <w:pPr>
                    <w:jc w:val="center"/>
                    <w:rPr>
                      <w:bCs/>
                      <w:szCs w:val="21"/>
                    </w:rPr>
                  </w:pPr>
                  <w:r>
                    <w:rPr>
                      <w:bCs/>
                      <w:szCs w:val="21"/>
                    </w:rPr>
                    <w:t>µg/m</w:t>
                  </w:r>
                  <w:r>
                    <w:rPr>
                      <w:bCs/>
                      <w:szCs w:val="21"/>
                      <w:vertAlign w:val="superscript"/>
                    </w:rPr>
                    <w:t>3</w:t>
                  </w:r>
                </w:p>
              </w:tc>
              <w:tc>
                <w:tcPr>
                  <w:tcW w:w="1052" w:type="dxa"/>
                  <w:vAlign w:val="center"/>
                </w:tcPr>
                <w:p>
                  <w:pPr>
                    <w:jc w:val="center"/>
                    <w:rPr>
                      <w:bCs/>
                      <w:szCs w:val="21"/>
                    </w:rPr>
                  </w:pPr>
                  <w:r>
                    <w:rPr>
                      <w:bCs/>
                      <w:szCs w:val="21"/>
                    </w:rPr>
                    <w:t>占标率%</w:t>
                  </w:r>
                </w:p>
              </w:tc>
              <w:tc>
                <w:tcPr>
                  <w:tcW w:w="955" w:type="dxa"/>
                  <w:vAlign w:val="center"/>
                </w:tcPr>
                <w:p>
                  <w:pPr>
                    <w:jc w:val="center"/>
                    <w:rPr>
                      <w:bCs/>
                      <w:szCs w:val="21"/>
                    </w:rPr>
                  </w:pPr>
                  <w:r>
                    <w:rPr>
                      <w:bCs/>
                      <w:szCs w:val="21"/>
                    </w:rPr>
                    <w:t>达标</w:t>
                  </w:r>
                </w:p>
                <w:p>
                  <w:pPr>
                    <w:jc w:val="center"/>
                    <w:rPr>
                      <w:bCs/>
                      <w:szCs w:val="21"/>
                    </w:rPr>
                  </w:pPr>
                  <w:r>
                    <w:rPr>
                      <w:bCs/>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szCs w:val="21"/>
                    </w:rPr>
                  </w:pPr>
                  <w:r>
                    <w:rPr>
                      <w:szCs w:val="21"/>
                    </w:rPr>
                    <w:t>PM</w:t>
                  </w:r>
                  <w:r>
                    <w:rPr>
                      <w:szCs w:val="21"/>
                      <w:vertAlign w:val="subscript"/>
                    </w:rPr>
                    <w:t>10</w:t>
                  </w:r>
                </w:p>
              </w:tc>
              <w:tc>
                <w:tcPr>
                  <w:tcW w:w="2638" w:type="dxa"/>
                  <w:vAlign w:val="center"/>
                </w:tcPr>
                <w:p>
                  <w:pPr>
                    <w:jc w:val="center"/>
                    <w:rPr>
                      <w:szCs w:val="21"/>
                    </w:rPr>
                  </w:pPr>
                  <w:r>
                    <w:rPr>
                      <w:szCs w:val="21"/>
                    </w:rPr>
                    <w:t>年平均质量浓度</w:t>
                  </w:r>
                </w:p>
              </w:tc>
              <w:tc>
                <w:tcPr>
                  <w:tcW w:w="1147" w:type="dxa"/>
                  <w:vAlign w:val="center"/>
                </w:tcPr>
                <w:p>
                  <w:pPr>
                    <w:jc w:val="center"/>
                    <w:rPr>
                      <w:szCs w:val="21"/>
                    </w:rPr>
                  </w:pPr>
                  <w:r>
                    <w:rPr>
                      <w:szCs w:val="21"/>
                    </w:rPr>
                    <w:t>52</w:t>
                  </w:r>
                </w:p>
              </w:tc>
              <w:tc>
                <w:tcPr>
                  <w:tcW w:w="1440" w:type="dxa"/>
                  <w:vAlign w:val="center"/>
                </w:tcPr>
                <w:p>
                  <w:pPr>
                    <w:jc w:val="center"/>
                    <w:rPr>
                      <w:szCs w:val="21"/>
                    </w:rPr>
                  </w:pPr>
                  <w:r>
                    <w:rPr>
                      <w:szCs w:val="21"/>
                    </w:rPr>
                    <w:t>70</w:t>
                  </w:r>
                </w:p>
              </w:tc>
              <w:tc>
                <w:tcPr>
                  <w:tcW w:w="1052" w:type="dxa"/>
                  <w:vAlign w:val="center"/>
                </w:tcPr>
                <w:p>
                  <w:pPr>
                    <w:jc w:val="center"/>
                    <w:rPr>
                      <w:szCs w:val="21"/>
                    </w:rPr>
                  </w:pPr>
                  <w:r>
                    <w:rPr>
                      <w:rFonts w:hint="eastAsia"/>
                      <w:szCs w:val="21"/>
                    </w:rPr>
                    <w:t>7</w:t>
                  </w:r>
                  <w:r>
                    <w:rPr>
                      <w:szCs w:val="21"/>
                    </w:rPr>
                    <w:t>4.3</w:t>
                  </w:r>
                </w:p>
              </w:tc>
              <w:tc>
                <w:tcPr>
                  <w:tcW w:w="955" w:type="dxa"/>
                  <w:vAlign w:val="center"/>
                </w:tcPr>
                <w:p>
                  <w:pPr>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szCs w:val="21"/>
                    </w:rPr>
                  </w:pPr>
                  <w:r>
                    <w:rPr>
                      <w:szCs w:val="21"/>
                    </w:rPr>
                    <w:t>PM</w:t>
                  </w:r>
                  <w:r>
                    <w:rPr>
                      <w:szCs w:val="21"/>
                      <w:vertAlign w:val="subscript"/>
                    </w:rPr>
                    <w:t>2.5</w:t>
                  </w:r>
                </w:p>
              </w:tc>
              <w:tc>
                <w:tcPr>
                  <w:tcW w:w="2638" w:type="dxa"/>
                  <w:vAlign w:val="center"/>
                </w:tcPr>
                <w:p>
                  <w:pPr>
                    <w:jc w:val="center"/>
                    <w:rPr>
                      <w:szCs w:val="21"/>
                    </w:rPr>
                  </w:pPr>
                  <w:r>
                    <w:rPr>
                      <w:szCs w:val="21"/>
                    </w:rPr>
                    <w:t>年平均质量浓度</w:t>
                  </w:r>
                </w:p>
              </w:tc>
              <w:tc>
                <w:tcPr>
                  <w:tcW w:w="1147" w:type="dxa"/>
                  <w:vAlign w:val="center"/>
                </w:tcPr>
                <w:p>
                  <w:pPr>
                    <w:jc w:val="center"/>
                    <w:rPr>
                      <w:szCs w:val="21"/>
                    </w:rPr>
                  </w:pPr>
                  <w:r>
                    <w:rPr>
                      <w:szCs w:val="21"/>
                    </w:rPr>
                    <w:t>32</w:t>
                  </w:r>
                </w:p>
              </w:tc>
              <w:tc>
                <w:tcPr>
                  <w:tcW w:w="1440" w:type="dxa"/>
                  <w:vAlign w:val="center"/>
                </w:tcPr>
                <w:p>
                  <w:pPr>
                    <w:jc w:val="center"/>
                    <w:rPr>
                      <w:szCs w:val="21"/>
                    </w:rPr>
                  </w:pPr>
                  <w:r>
                    <w:rPr>
                      <w:szCs w:val="21"/>
                    </w:rPr>
                    <w:t>35</w:t>
                  </w:r>
                </w:p>
              </w:tc>
              <w:tc>
                <w:tcPr>
                  <w:tcW w:w="1052" w:type="dxa"/>
                  <w:vAlign w:val="center"/>
                </w:tcPr>
                <w:p>
                  <w:pPr>
                    <w:jc w:val="center"/>
                    <w:rPr>
                      <w:szCs w:val="21"/>
                    </w:rPr>
                  </w:pPr>
                  <w:r>
                    <w:rPr>
                      <w:rFonts w:hint="eastAsia"/>
                      <w:szCs w:val="21"/>
                    </w:rPr>
                    <w:t>9</w:t>
                  </w:r>
                  <w:r>
                    <w:rPr>
                      <w:szCs w:val="21"/>
                    </w:rPr>
                    <w:t>1.4</w:t>
                  </w:r>
                </w:p>
              </w:tc>
              <w:tc>
                <w:tcPr>
                  <w:tcW w:w="955" w:type="dxa"/>
                  <w:vAlign w:val="center"/>
                </w:tcPr>
                <w:p>
                  <w:pPr>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szCs w:val="21"/>
                    </w:rPr>
                  </w:pPr>
                  <w:r>
                    <w:rPr>
                      <w:szCs w:val="21"/>
                    </w:rPr>
                    <w:t>SO</w:t>
                  </w:r>
                  <w:r>
                    <w:rPr>
                      <w:szCs w:val="21"/>
                      <w:vertAlign w:val="subscript"/>
                    </w:rPr>
                    <w:t>2</w:t>
                  </w:r>
                </w:p>
              </w:tc>
              <w:tc>
                <w:tcPr>
                  <w:tcW w:w="2638" w:type="dxa"/>
                  <w:vAlign w:val="center"/>
                </w:tcPr>
                <w:p>
                  <w:pPr>
                    <w:jc w:val="center"/>
                    <w:rPr>
                      <w:szCs w:val="21"/>
                    </w:rPr>
                  </w:pPr>
                  <w:r>
                    <w:rPr>
                      <w:szCs w:val="21"/>
                    </w:rPr>
                    <w:t>年平均质量浓度</w:t>
                  </w:r>
                </w:p>
              </w:tc>
              <w:tc>
                <w:tcPr>
                  <w:tcW w:w="1147" w:type="dxa"/>
                  <w:vAlign w:val="center"/>
                </w:tcPr>
                <w:p>
                  <w:pPr>
                    <w:jc w:val="center"/>
                    <w:rPr>
                      <w:szCs w:val="21"/>
                    </w:rPr>
                  </w:pPr>
                  <w:r>
                    <w:rPr>
                      <w:szCs w:val="21"/>
                    </w:rPr>
                    <w:t>11</w:t>
                  </w:r>
                </w:p>
              </w:tc>
              <w:tc>
                <w:tcPr>
                  <w:tcW w:w="1440" w:type="dxa"/>
                  <w:vAlign w:val="center"/>
                </w:tcPr>
                <w:p>
                  <w:pPr>
                    <w:jc w:val="center"/>
                    <w:rPr>
                      <w:szCs w:val="21"/>
                    </w:rPr>
                  </w:pPr>
                  <w:r>
                    <w:rPr>
                      <w:szCs w:val="21"/>
                    </w:rPr>
                    <w:t>60</w:t>
                  </w:r>
                </w:p>
              </w:tc>
              <w:tc>
                <w:tcPr>
                  <w:tcW w:w="1052" w:type="dxa"/>
                  <w:vAlign w:val="center"/>
                </w:tcPr>
                <w:p>
                  <w:pPr>
                    <w:jc w:val="center"/>
                    <w:rPr>
                      <w:szCs w:val="21"/>
                    </w:rPr>
                  </w:pPr>
                  <w:r>
                    <w:rPr>
                      <w:rFonts w:hint="eastAsia"/>
                      <w:szCs w:val="21"/>
                    </w:rPr>
                    <w:t>1</w:t>
                  </w:r>
                  <w:r>
                    <w:rPr>
                      <w:szCs w:val="21"/>
                    </w:rPr>
                    <w:t>8.3</w:t>
                  </w:r>
                </w:p>
              </w:tc>
              <w:tc>
                <w:tcPr>
                  <w:tcW w:w="955" w:type="dxa"/>
                  <w:vAlign w:val="center"/>
                </w:tcPr>
                <w:p>
                  <w:pPr>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szCs w:val="21"/>
                    </w:rPr>
                  </w:pPr>
                  <w:r>
                    <w:rPr>
                      <w:szCs w:val="21"/>
                    </w:rPr>
                    <w:t>NO</w:t>
                  </w:r>
                  <w:r>
                    <w:rPr>
                      <w:szCs w:val="21"/>
                      <w:vertAlign w:val="subscript"/>
                    </w:rPr>
                    <w:t>2</w:t>
                  </w:r>
                </w:p>
              </w:tc>
              <w:tc>
                <w:tcPr>
                  <w:tcW w:w="2638" w:type="dxa"/>
                  <w:vAlign w:val="center"/>
                </w:tcPr>
                <w:p>
                  <w:pPr>
                    <w:jc w:val="center"/>
                    <w:rPr>
                      <w:szCs w:val="21"/>
                    </w:rPr>
                  </w:pPr>
                  <w:r>
                    <w:rPr>
                      <w:szCs w:val="21"/>
                    </w:rPr>
                    <w:t>年平均质量浓度</w:t>
                  </w:r>
                </w:p>
              </w:tc>
              <w:tc>
                <w:tcPr>
                  <w:tcW w:w="1147" w:type="dxa"/>
                  <w:vAlign w:val="center"/>
                </w:tcPr>
                <w:p>
                  <w:pPr>
                    <w:jc w:val="center"/>
                    <w:rPr>
                      <w:szCs w:val="21"/>
                    </w:rPr>
                  </w:pPr>
                  <w:r>
                    <w:rPr>
                      <w:szCs w:val="21"/>
                    </w:rPr>
                    <w:t>19</w:t>
                  </w:r>
                </w:p>
              </w:tc>
              <w:tc>
                <w:tcPr>
                  <w:tcW w:w="1440" w:type="dxa"/>
                  <w:vAlign w:val="center"/>
                </w:tcPr>
                <w:p>
                  <w:pPr>
                    <w:jc w:val="center"/>
                    <w:rPr>
                      <w:szCs w:val="21"/>
                    </w:rPr>
                  </w:pPr>
                  <w:r>
                    <w:rPr>
                      <w:rFonts w:hint="eastAsia"/>
                      <w:szCs w:val="21"/>
                    </w:rPr>
                    <w:t>40</w:t>
                  </w:r>
                </w:p>
              </w:tc>
              <w:tc>
                <w:tcPr>
                  <w:tcW w:w="1052" w:type="dxa"/>
                  <w:vAlign w:val="center"/>
                </w:tcPr>
                <w:p>
                  <w:pPr>
                    <w:jc w:val="center"/>
                    <w:rPr>
                      <w:szCs w:val="21"/>
                    </w:rPr>
                  </w:pPr>
                  <w:r>
                    <w:rPr>
                      <w:rFonts w:hint="eastAsia"/>
                      <w:szCs w:val="21"/>
                    </w:rPr>
                    <w:t>4</w:t>
                  </w:r>
                  <w:r>
                    <w:rPr>
                      <w:szCs w:val="21"/>
                    </w:rPr>
                    <w:t>7.5</w:t>
                  </w:r>
                </w:p>
              </w:tc>
              <w:tc>
                <w:tcPr>
                  <w:tcW w:w="955" w:type="dxa"/>
                  <w:vAlign w:val="center"/>
                </w:tcPr>
                <w:p>
                  <w:pPr>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szCs w:val="21"/>
                    </w:rPr>
                  </w:pPr>
                  <w:r>
                    <w:rPr>
                      <w:szCs w:val="21"/>
                    </w:rPr>
                    <w:t>CO</w:t>
                  </w:r>
                </w:p>
              </w:tc>
              <w:tc>
                <w:tcPr>
                  <w:tcW w:w="2638" w:type="dxa"/>
                  <w:vAlign w:val="center"/>
                </w:tcPr>
                <w:p>
                  <w:pPr>
                    <w:jc w:val="center"/>
                    <w:rPr>
                      <w:szCs w:val="21"/>
                    </w:rPr>
                  </w:pPr>
                  <w:r>
                    <w:rPr>
                      <w:szCs w:val="21"/>
                    </w:rPr>
                    <w:t>95%顺位24小时平均浓度</w:t>
                  </w:r>
                </w:p>
              </w:tc>
              <w:tc>
                <w:tcPr>
                  <w:tcW w:w="1147" w:type="dxa"/>
                  <w:vAlign w:val="center"/>
                </w:tcPr>
                <w:p>
                  <w:pPr>
                    <w:jc w:val="center"/>
                    <w:rPr>
                      <w:szCs w:val="21"/>
                    </w:rPr>
                  </w:pPr>
                  <w:r>
                    <w:rPr>
                      <w:szCs w:val="21"/>
                    </w:rPr>
                    <w:t>1100</w:t>
                  </w:r>
                </w:p>
              </w:tc>
              <w:tc>
                <w:tcPr>
                  <w:tcW w:w="1440" w:type="dxa"/>
                  <w:vAlign w:val="center"/>
                </w:tcPr>
                <w:p>
                  <w:pPr>
                    <w:jc w:val="center"/>
                    <w:rPr>
                      <w:szCs w:val="21"/>
                    </w:rPr>
                  </w:pPr>
                  <w:r>
                    <w:rPr>
                      <w:szCs w:val="21"/>
                    </w:rPr>
                    <w:t>4000</w:t>
                  </w:r>
                </w:p>
              </w:tc>
              <w:tc>
                <w:tcPr>
                  <w:tcW w:w="1052" w:type="dxa"/>
                  <w:vAlign w:val="center"/>
                </w:tcPr>
                <w:p>
                  <w:pPr>
                    <w:jc w:val="center"/>
                    <w:rPr>
                      <w:szCs w:val="21"/>
                    </w:rPr>
                  </w:pPr>
                  <w:r>
                    <w:rPr>
                      <w:rFonts w:hint="eastAsia"/>
                      <w:szCs w:val="21"/>
                    </w:rPr>
                    <w:t>2</w:t>
                  </w:r>
                  <w:r>
                    <w:rPr>
                      <w:szCs w:val="21"/>
                    </w:rPr>
                    <w:t>7.5</w:t>
                  </w:r>
                </w:p>
              </w:tc>
              <w:tc>
                <w:tcPr>
                  <w:tcW w:w="955" w:type="dxa"/>
                  <w:vAlign w:val="center"/>
                </w:tcPr>
                <w:p>
                  <w:pPr>
                    <w:jc w:val="center"/>
                    <w:rPr>
                      <w:szCs w:val="21"/>
                    </w:rPr>
                  </w:pPr>
                  <w:r>
                    <w:rPr>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5" w:type="dxa"/>
                  <w:vAlign w:val="center"/>
                </w:tcPr>
                <w:p>
                  <w:pPr>
                    <w:jc w:val="center"/>
                    <w:rPr>
                      <w:szCs w:val="21"/>
                    </w:rPr>
                  </w:pPr>
                  <w:r>
                    <w:rPr>
                      <w:szCs w:val="21"/>
                    </w:rPr>
                    <w:t>O</w:t>
                  </w:r>
                  <w:r>
                    <w:rPr>
                      <w:szCs w:val="21"/>
                      <w:vertAlign w:val="subscript"/>
                    </w:rPr>
                    <w:t>3</w:t>
                  </w:r>
                </w:p>
              </w:tc>
              <w:tc>
                <w:tcPr>
                  <w:tcW w:w="2638" w:type="dxa"/>
                  <w:vAlign w:val="center"/>
                </w:tcPr>
                <w:p>
                  <w:pPr>
                    <w:jc w:val="center"/>
                    <w:rPr>
                      <w:szCs w:val="21"/>
                    </w:rPr>
                  </w:pPr>
                  <w:r>
                    <w:rPr>
                      <w:szCs w:val="21"/>
                    </w:rPr>
                    <w:t>90%顺位8小时平均浓度</w:t>
                  </w:r>
                </w:p>
              </w:tc>
              <w:tc>
                <w:tcPr>
                  <w:tcW w:w="1147" w:type="dxa"/>
                  <w:vAlign w:val="center"/>
                </w:tcPr>
                <w:p>
                  <w:pPr>
                    <w:jc w:val="center"/>
                    <w:rPr>
                      <w:szCs w:val="21"/>
                    </w:rPr>
                  </w:pPr>
                  <w:r>
                    <w:rPr>
                      <w:szCs w:val="21"/>
                    </w:rPr>
                    <w:t>127</w:t>
                  </w:r>
                </w:p>
              </w:tc>
              <w:tc>
                <w:tcPr>
                  <w:tcW w:w="1440" w:type="dxa"/>
                  <w:vAlign w:val="center"/>
                </w:tcPr>
                <w:p>
                  <w:pPr>
                    <w:jc w:val="center"/>
                    <w:rPr>
                      <w:szCs w:val="21"/>
                    </w:rPr>
                  </w:pPr>
                  <w:r>
                    <w:rPr>
                      <w:szCs w:val="21"/>
                    </w:rPr>
                    <w:t>160</w:t>
                  </w:r>
                </w:p>
              </w:tc>
              <w:tc>
                <w:tcPr>
                  <w:tcW w:w="1052" w:type="dxa"/>
                  <w:vAlign w:val="center"/>
                </w:tcPr>
                <w:p>
                  <w:pPr>
                    <w:jc w:val="center"/>
                    <w:rPr>
                      <w:szCs w:val="21"/>
                    </w:rPr>
                  </w:pPr>
                  <w:r>
                    <w:rPr>
                      <w:rFonts w:hint="eastAsia"/>
                      <w:szCs w:val="21"/>
                    </w:rPr>
                    <w:t>7</w:t>
                  </w:r>
                  <w:r>
                    <w:rPr>
                      <w:szCs w:val="21"/>
                    </w:rPr>
                    <w:t>9.4</w:t>
                  </w:r>
                </w:p>
              </w:tc>
              <w:tc>
                <w:tcPr>
                  <w:tcW w:w="955" w:type="dxa"/>
                  <w:vAlign w:val="center"/>
                </w:tcPr>
                <w:p>
                  <w:pPr>
                    <w:jc w:val="center"/>
                    <w:rPr>
                      <w:szCs w:val="21"/>
                    </w:rPr>
                  </w:pPr>
                  <w:r>
                    <w:rPr>
                      <w:szCs w:val="21"/>
                    </w:rPr>
                    <w:t>达标</w:t>
                  </w:r>
                </w:p>
              </w:tc>
            </w:tr>
          </w:tbl>
          <w:p>
            <w:pPr>
              <w:snapToGrid w:val="0"/>
              <w:spacing w:line="360" w:lineRule="auto"/>
              <w:ind w:firstLine="420" w:firstLineChars="200"/>
              <w:rPr>
                <w:szCs w:val="21"/>
              </w:rPr>
            </w:pPr>
            <w:r>
              <w:rPr>
                <w:szCs w:val="21"/>
              </w:rPr>
              <w:t>根据统计结果可以看出，项目所在地环境空气基本污染物监测项目</w:t>
            </w:r>
            <w:r>
              <w:rPr>
                <w:rFonts w:hint="eastAsia"/>
                <w:szCs w:val="21"/>
              </w:rPr>
              <w:t>P</w:t>
            </w:r>
            <w:r>
              <w:rPr>
                <w:szCs w:val="21"/>
              </w:rPr>
              <w:t>M</w:t>
            </w:r>
            <w:r>
              <w:rPr>
                <w:szCs w:val="21"/>
                <w:vertAlign w:val="subscript"/>
              </w:rPr>
              <w:t>10</w:t>
            </w:r>
            <w:r>
              <w:rPr>
                <w:rFonts w:hint="eastAsia"/>
                <w:szCs w:val="21"/>
              </w:rPr>
              <w:t>年平均质量浓度、P</w:t>
            </w:r>
            <w:r>
              <w:rPr>
                <w:szCs w:val="21"/>
              </w:rPr>
              <w:t>M</w:t>
            </w:r>
            <w:r>
              <w:rPr>
                <w:szCs w:val="21"/>
                <w:vertAlign w:val="subscript"/>
              </w:rPr>
              <w:t>2.5</w:t>
            </w:r>
            <w:r>
              <w:rPr>
                <w:rFonts w:hint="eastAsia"/>
                <w:szCs w:val="21"/>
              </w:rPr>
              <w:t>年平均质量浓度、</w:t>
            </w:r>
            <w:r>
              <w:rPr>
                <w:szCs w:val="21"/>
              </w:rPr>
              <w:t>SO</w:t>
            </w:r>
            <w:r>
              <w:rPr>
                <w:szCs w:val="21"/>
                <w:vertAlign w:val="subscript"/>
              </w:rPr>
              <w:t>2</w:t>
            </w:r>
            <w:r>
              <w:rPr>
                <w:rFonts w:hint="eastAsia"/>
                <w:szCs w:val="21"/>
              </w:rPr>
              <w:t>年平均质量浓度、N</w:t>
            </w:r>
            <w:r>
              <w:rPr>
                <w:szCs w:val="21"/>
              </w:rPr>
              <w:t>O</w:t>
            </w:r>
            <w:r>
              <w:rPr>
                <w:szCs w:val="21"/>
                <w:vertAlign w:val="subscript"/>
              </w:rPr>
              <w:t>2</w:t>
            </w:r>
            <w:r>
              <w:rPr>
                <w:rFonts w:hint="eastAsia"/>
                <w:szCs w:val="21"/>
              </w:rPr>
              <w:t>年平均质量浓度、C</w:t>
            </w:r>
            <w:r>
              <w:rPr>
                <w:szCs w:val="21"/>
              </w:rPr>
              <w:t>O日均第95百分位数浓度</w:t>
            </w:r>
            <w:r>
              <w:rPr>
                <w:rFonts w:hint="eastAsia"/>
                <w:szCs w:val="21"/>
              </w:rPr>
              <w:t>、</w:t>
            </w:r>
            <w:r>
              <w:rPr>
                <w:szCs w:val="21"/>
              </w:rPr>
              <w:t>O</w:t>
            </w:r>
            <w:r>
              <w:rPr>
                <w:szCs w:val="21"/>
                <w:vertAlign w:val="subscript"/>
              </w:rPr>
              <w:t>3</w:t>
            </w:r>
            <w:r>
              <w:rPr>
                <w:szCs w:val="21"/>
              </w:rPr>
              <w:t>日均第90百分位数浓度</w:t>
            </w:r>
            <w:r>
              <w:rPr>
                <w:rFonts w:hint="eastAsia"/>
                <w:szCs w:val="21"/>
              </w:rPr>
              <w:t>均</w:t>
            </w:r>
            <w:r>
              <w:rPr>
                <w:szCs w:val="21"/>
              </w:rPr>
              <w:t>满足《环境空气质量标准》（GB3095-2012）中的二级标准</w:t>
            </w:r>
            <w:r>
              <w:rPr>
                <w:rFonts w:hAnsi="宋体"/>
                <w:szCs w:val="21"/>
              </w:rPr>
              <w:t>。综上所述，本项目所在区域环境空气质量为达标区。</w:t>
            </w:r>
          </w:p>
          <w:p>
            <w:pPr>
              <w:snapToGrid w:val="0"/>
              <w:spacing w:line="360" w:lineRule="auto"/>
              <w:ind w:firstLine="420" w:firstLineChars="200"/>
              <w:rPr>
                <w:szCs w:val="21"/>
              </w:rPr>
            </w:pPr>
            <w:r>
              <w:rPr>
                <w:rFonts w:hAnsi="宋体"/>
                <w:szCs w:val="21"/>
              </w:rPr>
              <w:t>（</w:t>
            </w:r>
            <w:r>
              <w:rPr>
                <w:szCs w:val="21"/>
              </w:rPr>
              <w:t>2</w:t>
            </w:r>
            <w:r>
              <w:rPr>
                <w:rFonts w:hAnsi="宋体"/>
                <w:szCs w:val="21"/>
              </w:rPr>
              <w:t>）</w:t>
            </w:r>
            <w:r>
              <w:rPr>
                <w:rFonts w:hint="eastAsia" w:hAnsi="宋体"/>
                <w:szCs w:val="21"/>
              </w:rPr>
              <w:t>其他污染因子环境质量现状</w:t>
            </w:r>
          </w:p>
          <w:p>
            <w:pPr>
              <w:spacing w:line="360" w:lineRule="auto"/>
              <w:ind w:firstLine="420" w:firstLineChars="200"/>
              <w:rPr>
                <w:rFonts w:hAnsi="宋体"/>
                <w:szCs w:val="21"/>
              </w:rPr>
            </w:pPr>
            <w:r>
              <w:rPr>
                <w:rFonts w:hint="eastAsia" w:hAnsi="宋体"/>
                <w:szCs w:val="21"/>
              </w:rPr>
              <w:t>本项目特征污染物为非甲烷总烃。2</w:t>
            </w:r>
            <w:r>
              <w:rPr>
                <w:rFonts w:hAnsi="宋体"/>
                <w:szCs w:val="21"/>
              </w:rPr>
              <w:t>023</w:t>
            </w:r>
            <w:r>
              <w:rPr>
                <w:rFonts w:hint="eastAsia" w:hAnsi="宋体"/>
                <w:szCs w:val="21"/>
              </w:rPr>
              <w:t>年5月5日-</w:t>
            </w:r>
            <w:r>
              <w:rPr>
                <w:rFonts w:hAnsi="宋体"/>
                <w:szCs w:val="21"/>
              </w:rPr>
              <w:t>7</w:t>
            </w:r>
            <w:r>
              <w:rPr>
                <w:rFonts w:hint="eastAsia" w:hAnsi="宋体"/>
                <w:szCs w:val="21"/>
              </w:rPr>
              <w:t>日，建设单位委托陕西华淮通检测技术有限公司对项目地非甲烷总烃环境质量现状进行了监测。共布设1个监测点，位于项目建设地下风向（西南）2</w:t>
            </w:r>
            <w:r>
              <w:rPr>
                <w:rFonts w:hAnsi="宋体"/>
                <w:szCs w:val="21"/>
              </w:rPr>
              <w:t>50m</w:t>
            </w:r>
            <w:r>
              <w:rPr>
                <w:rFonts w:hint="eastAsia" w:hAnsi="宋体"/>
                <w:szCs w:val="21"/>
              </w:rPr>
              <w:t>。监测结果见表3</w:t>
            </w:r>
            <w:r>
              <w:rPr>
                <w:rFonts w:hAnsi="宋体"/>
                <w:szCs w:val="21"/>
              </w:rPr>
              <w:t>-2</w:t>
            </w:r>
            <w:r>
              <w:rPr>
                <w:rFonts w:hint="eastAsia" w:hAnsi="宋体"/>
                <w:szCs w:val="21"/>
              </w:rPr>
              <w:t>。</w:t>
            </w:r>
          </w:p>
          <w:p>
            <w:pPr>
              <w:jc w:val="center"/>
              <w:rPr>
                <w:b/>
                <w:bCs/>
                <w:szCs w:val="21"/>
              </w:rPr>
            </w:pPr>
            <w:r>
              <w:rPr>
                <w:rFonts w:hint="eastAsia"/>
                <w:b/>
                <w:bCs/>
                <w:szCs w:val="21"/>
              </w:rPr>
              <w:t>表3</w:t>
            </w:r>
            <w:r>
              <w:rPr>
                <w:b/>
                <w:bCs/>
                <w:szCs w:val="21"/>
              </w:rPr>
              <w:t xml:space="preserve">-2    </w:t>
            </w:r>
            <w:r>
              <w:rPr>
                <w:rFonts w:hint="eastAsia"/>
                <w:b/>
                <w:bCs/>
                <w:szCs w:val="21"/>
              </w:rPr>
              <w:t>环境</w:t>
            </w:r>
            <w:r>
              <w:rPr>
                <w:b/>
                <w:bCs/>
                <w:szCs w:val="21"/>
              </w:rPr>
              <w:t>空气质量监测结果</w:t>
            </w:r>
            <w:r>
              <w:rPr>
                <w:rFonts w:hint="eastAsia"/>
                <w:b/>
                <w:bCs/>
                <w:szCs w:val="21"/>
              </w:rPr>
              <w:t xml:space="preserve">    单位</w:t>
            </w:r>
            <w:r>
              <w:rPr>
                <w:b/>
                <w:bCs/>
                <w:szCs w:val="21"/>
              </w:rPr>
              <w:t>：</w:t>
            </w:r>
            <w:r>
              <w:rPr>
                <w:rFonts w:hint="eastAsia"/>
                <w:b/>
                <w:bCs/>
                <w:szCs w:val="21"/>
              </w:rPr>
              <w:t>mg/m</w:t>
            </w:r>
            <w:r>
              <w:rPr>
                <w:rFonts w:hint="eastAsia"/>
                <w:b/>
                <w:bCs/>
                <w:szCs w:val="21"/>
                <w:vertAlign w:val="superscript"/>
              </w:rPr>
              <w:t>3</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8"/>
              <w:gridCol w:w="768"/>
              <w:gridCol w:w="771"/>
              <w:gridCol w:w="791"/>
              <w:gridCol w:w="768"/>
              <w:gridCol w:w="1021"/>
              <w:gridCol w:w="771"/>
              <w:gridCol w:w="782"/>
              <w:gridCol w:w="789"/>
              <w:gridCol w:w="7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8" w:type="dxa"/>
                  <w:vAlign w:val="center"/>
                </w:tcPr>
                <w:p>
                  <w:pPr>
                    <w:jc w:val="center"/>
                    <w:rPr>
                      <w:szCs w:val="21"/>
                    </w:rPr>
                  </w:pPr>
                  <w:r>
                    <w:rPr>
                      <w:rFonts w:hint="eastAsia"/>
                      <w:szCs w:val="21"/>
                    </w:rPr>
                    <w:t>监测</w:t>
                  </w:r>
                </w:p>
                <w:p>
                  <w:pPr>
                    <w:jc w:val="center"/>
                    <w:rPr>
                      <w:szCs w:val="21"/>
                    </w:rPr>
                  </w:pPr>
                  <w:r>
                    <w:rPr>
                      <w:szCs w:val="21"/>
                    </w:rPr>
                    <w:t>因子</w:t>
                  </w:r>
                </w:p>
              </w:tc>
              <w:tc>
                <w:tcPr>
                  <w:tcW w:w="768" w:type="dxa"/>
                  <w:tcBorders>
                    <w:right w:val="single" w:color="auto" w:sz="4" w:space="0"/>
                  </w:tcBorders>
                  <w:vAlign w:val="center"/>
                </w:tcPr>
                <w:p>
                  <w:pPr>
                    <w:jc w:val="center"/>
                    <w:rPr>
                      <w:szCs w:val="21"/>
                    </w:rPr>
                  </w:pPr>
                  <w:r>
                    <w:rPr>
                      <w:rFonts w:hint="eastAsia"/>
                      <w:szCs w:val="21"/>
                    </w:rPr>
                    <w:t>监测</w:t>
                  </w:r>
                </w:p>
                <w:p>
                  <w:pPr>
                    <w:jc w:val="center"/>
                    <w:rPr>
                      <w:szCs w:val="21"/>
                    </w:rPr>
                  </w:pPr>
                  <w:r>
                    <w:rPr>
                      <w:szCs w:val="21"/>
                    </w:rPr>
                    <w:t>点位</w:t>
                  </w:r>
                </w:p>
              </w:tc>
              <w:tc>
                <w:tcPr>
                  <w:tcW w:w="771" w:type="dxa"/>
                  <w:tcBorders>
                    <w:left w:val="single" w:color="auto" w:sz="4" w:space="0"/>
                    <w:right w:val="single" w:color="auto" w:sz="4" w:space="0"/>
                  </w:tcBorders>
                  <w:vAlign w:val="center"/>
                </w:tcPr>
                <w:p>
                  <w:pPr>
                    <w:jc w:val="center"/>
                    <w:rPr>
                      <w:szCs w:val="21"/>
                    </w:rPr>
                  </w:pPr>
                  <w:r>
                    <w:rPr>
                      <w:rFonts w:hint="eastAsia"/>
                      <w:szCs w:val="21"/>
                    </w:rPr>
                    <w:t>与</w:t>
                  </w:r>
                  <w:r>
                    <w:rPr>
                      <w:szCs w:val="21"/>
                    </w:rPr>
                    <w:t>本项目方位</w:t>
                  </w:r>
                </w:p>
              </w:tc>
              <w:tc>
                <w:tcPr>
                  <w:tcW w:w="791" w:type="dxa"/>
                  <w:tcBorders>
                    <w:left w:val="single" w:color="auto" w:sz="4" w:space="0"/>
                  </w:tcBorders>
                  <w:vAlign w:val="center"/>
                </w:tcPr>
                <w:p>
                  <w:pPr>
                    <w:jc w:val="center"/>
                    <w:rPr>
                      <w:szCs w:val="21"/>
                    </w:rPr>
                  </w:pPr>
                  <w:r>
                    <w:rPr>
                      <w:rFonts w:hint="eastAsia"/>
                      <w:szCs w:val="21"/>
                    </w:rPr>
                    <w:t>与</w:t>
                  </w:r>
                  <w:r>
                    <w:rPr>
                      <w:szCs w:val="21"/>
                    </w:rPr>
                    <w:t>本项目</w:t>
                  </w:r>
                  <w:r>
                    <w:rPr>
                      <w:rFonts w:hint="eastAsia"/>
                      <w:szCs w:val="21"/>
                    </w:rPr>
                    <w:t>距离</w:t>
                  </w:r>
                </w:p>
              </w:tc>
              <w:tc>
                <w:tcPr>
                  <w:tcW w:w="768" w:type="dxa"/>
                  <w:tcBorders>
                    <w:right w:val="single" w:color="auto" w:sz="4" w:space="0"/>
                  </w:tcBorders>
                  <w:vAlign w:val="center"/>
                </w:tcPr>
                <w:p>
                  <w:pPr>
                    <w:jc w:val="center"/>
                    <w:rPr>
                      <w:szCs w:val="21"/>
                    </w:rPr>
                  </w:pPr>
                  <w:r>
                    <w:rPr>
                      <w:rFonts w:hint="eastAsia"/>
                      <w:szCs w:val="21"/>
                    </w:rPr>
                    <w:t>监测时段</w:t>
                  </w:r>
                </w:p>
              </w:tc>
              <w:tc>
                <w:tcPr>
                  <w:tcW w:w="1021" w:type="dxa"/>
                  <w:tcBorders>
                    <w:left w:val="single" w:color="auto" w:sz="4" w:space="0"/>
                  </w:tcBorders>
                  <w:vAlign w:val="center"/>
                </w:tcPr>
                <w:p>
                  <w:pPr>
                    <w:jc w:val="center"/>
                    <w:rPr>
                      <w:szCs w:val="21"/>
                    </w:rPr>
                  </w:pPr>
                  <w:r>
                    <w:rPr>
                      <w:rFonts w:hint="eastAsia"/>
                      <w:szCs w:val="21"/>
                    </w:rPr>
                    <w:t>浓度</w:t>
                  </w:r>
                  <w:r>
                    <w:rPr>
                      <w:szCs w:val="21"/>
                    </w:rPr>
                    <w:t>范围</w:t>
                  </w:r>
                </w:p>
              </w:tc>
              <w:tc>
                <w:tcPr>
                  <w:tcW w:w="771" w:type="dxa"/>
                  <w:tcBorders>
                    <w:right w:val="single" w:color="auto" w:sz="4" w:space="0"/>
                  </w:tcBorders>
                  <w:vAlign w:val="center"/>
                </w:tcPr>
                <w:p>
                  <w:pPr>
                    <w:jc w:val="center"/>
                    <w:rPr>
                      <w:szCs w:val="21"/>
                    </w:rPr>
                  </w:pPr>
                  <w:r>
                    <w:rPr>
                      <w:rFonts w:hint="eastAsia"/>
                      <w:szCs w:val="21"/>
                    </w:rPr>
                    <w:t>浓度</w:t>
                  </w:r>
                  <w:r>
                    <w:rPr>
                      <w:szCs w:val="21"/>
                    </w:rPr>
                    <w:t>限值</w:t>
                  </w:r>
                </w:p>
              </w:tc>
              <w:tc>
                <w:tcPr>
                  <w:tcW w:w="782" w:type="dxa"/>
                  <w:tcBorders>
                    <w:left w:val="single" w:color="auto" w:sz="4" w:space="0"/>
                  </w:tcBorders>
                  <w:vAlign w:val="center"/>
                </w:tcPr>
                <w:p>
                  <w:pPr>
                    <w:jc w:val="center"/>
                    <w:rPr>
                      <w:szCs w:val="21"/>
                    </w:rPr>
                  </w:pPr>
                  <w:r>
                    <w:rPr>
                      <w:rFonts w:hint="eastAsia"/>
                      <w:szCs w:val="21"/>
                    </w:rPr>
                    <w:t>超标率</w:t>
                  </w:r>
                  <w:r>
                    <w:rPr>
                      <w:szCs w:val="21"/>
                    </w:rPr>
                    <w:t>%</w:t>
                  </w:r>
                </w:p>
              </w:tc>
              <w:tc>
                <w:tcPr>
                  <w:tcW w:w="789" w:type="dxa"/>
                  <w:vAlign w:val="center"/>
                </w:tcPr>
                <w:p>
                  <w:pPr>
                    <w:jc w:val="center"/>
                    <w:rPr>
                      <w:szCs w:val="21"/>
                    </w:rPr>
                  </w:pPr>
                  <w:r>
                    <w:rPr>
                      <w:rFonts w:hint="eastAsia"/>
                      <w:szCs w:val="21"/>
                    </w:rPr>
                    <w:t>最大</w:t>
                  </w:r>
                  <w:r>
                    <w:rPr>
                      <w:szCs w:val="21"/>
                    </w:rPr>
                    <w:t>占标率</w:t>
                  </w:r>
                </w:p>
              </w:tc>
              <w:tc>
                <w:tcPr>
                  <w:tcW w:w="768" w:type="dxa"/>
                  <w:vAlign w:val="center"/>
                </w:tcPr>
                <w:p>
                  <w:pPr>
                    <w:jc w:val="center"/>
                    <w:rPr>
                      <w:szCs w:val="21"/>
                    </w:rPr>
                  </w:pPr>
                  <w:r>
                    <w:rPr>
                      <w:rFonts w:hint="eastAsia"/>
                      <w:szCs w:val="21"/>
                    </w:rPr>
                    <w:t>达标</w:t>
                  </w:r>
                </w:p>
                <w:p>
                  <w:pPr>
                    <w:jc w:val="center"/>
                    <w:rPr>
                      <w:szCs w:val="21"/>
                    </w:rPr>
                  </w:pPr>
                  <w:r>
                    <w:rPr>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68" w:type="dxa"/>
                  <w:vAlign w:val="center"/>
                </w:tcPr>
                <w:p>
                  <w:pPr>
                    <w:jc w:val="center"/>
                    <w:rPr>
                      <w:szCs w:val="21"/>
                    </w:rPr>
                  </w:pPr>
                  <w:r>
                    <w:rPr>
                      <w:rFonts w:hint="eastAsia"/>
                      <w:szCs w:val="21"/>
                    </w:rPr>
                    <w:t>非甲烷</w:t>
                  </w:r>
                  <w:r>
                    <w:rPr>
                      <w:szCs w:val="21"/>
                    </w:rPr>
                    <w:t>总烃</w:t>
                  </w:r>
                </w:p>
              </w:tc>
              <w:tc>
                <w:tcPr>
                  <w:tcW w:w="768" w:type="dxa"/>
                  <w:tcBorders>
                    <w:right w:val="single" w:color="auto" w:sz="4" w:space="0"/>
                  </w:tcBorders>
                  <w:vAlign w:val="center"/>
                </w:tcPr>
                <w:p>
                  <w:pPr>
                    <w:jc w:val="center"/>
                    <w:rPr>
                      <w:szCs w:val="21"/>
                    </w:rPr>
                  </w:pPr>
                  <w:r>
                    <w:rPr>
                      <w:rFonts w:hint="eastAsia"/>
                      <w:szCs w:val="21"/>
                    </w:rPr>
                    <w:t>民兴村</w:t>
                  </w:r>
                </w:p>
              </w:tc>
              <w:tc>
                <w:tcPr>
                  <w:tcW w:w="771" w:type="dxa"/>
                  <w:tcBorders>
                    <w:left w:val="single" w:color="auto" w:sz="4" w:space="0"/>
                    <w:right w:val="single" w:color="auto" w:sz="4" w:space="0"/>
                  </w:tcBorders>
                  <w:vAlign w:val="center"/>
                </w:tcPr>
                <w:p>
                  <w:pPr>
                    <w:jc w:val="center"/>
                    <w:rPr>
                      <w:szCs w:val="21"/>
                    </w:rPr>
                  </w:pPr>
                  <w:r>
                    <w:rPr>
                      <w:rFonts w:hint="eastAsia"/>
                      <w:szCs w:val="21"/>
                    </w:rPr>
                    <w:t>西南</w:t>
                  </w:r>
                </w:p>
              </w:tc>
              <w:tc>
                <w:tcPr>
                  <w:tcW w:w="791" w:type="dxa"/>
                  <w:tcBorders>
                    <w:left w:val="single" w:color="auto" w:sz="4" w:space="0"/>
                  </w:tcBorders>
                  <w:vAlign w:val="center"/>
                </w:tcPr>
                <w:p>
                  <w:pPr>
                    <w:jc w:val="center"/>
                    <w:rPr>
                      <w:szCs w:val="21"/>
                    </w:rPr>
                  </w:pPr>
                  <w:r>
                    <w:rPr>
                      <w:szCs w:val="21"/>
                    </w:rPr>
                    <w:t>250m</w:t>
                  </w:r>
                </w:p>
              </w:tc>
              <w:tc>
                <w:tcPr>
                  <w:tcW w:w="768" w:type="dxa"/>
                  <w:tcBorders>
                    <w:right w:val="single" w:color="auto" w:sz="4" w:space="0"/>
                  </w:tcBorders>
                  <w:vAlign w:val="center"/>
                </w:tcPr>
                <w:p>
                  <w:pPr>
                    <w:jc w:val="center"/>
                    <w:rPr>
                      <w:szCs w:val="21"/>
                    </w:rPr>
                  </w:pPr>
                  <w:r>
                    <w:rPr>
                      <w:rFonts w:hint="eastAsia"/>
                      <w:szCs w:val="21"/>
                    </w:rPr>
                    <w:t>小时</w:t>
                  </w:r>
                  <w:r>
                    <w:rPr>
                      <w:szCs w:val="21"/>
                    </w:rPr>
                    <w:t>平均</w:t>
                  </w:r>
                </w:p>
              </w:tc>
              <w:tc>
                <w:tcPr>
                  <w:tcW w:w="1021" w:type="dxa"/>
                  <w:tcBorders>
                    <w:left w:val="single" w:color="auto" w:sz="4" w:space="0"/>
                  </w:tcBorders>
                  <w:vAlign w:val="center"/>
                </w:tcPr>
                <w:p>
                  <w:pPr>
                    <w:jc w:val="center"/>
                    <w:rPr>
                      <w:szCs w:val="21"/>
                    </w:rPr>
                  </w:pPr>
                  <w:r>
                    <w:rPr>
                      <w:rFonts w:hint="eastAsia"/>
                      <w:szCs w:val="21"/>
                    </w:rPr>
                    <w:t>0</w:t>
                  </w:r>
                  <w:r>
                    <w:rPr>
                      <w:szCs w:val="21"/>
                    </w:rPr>
                    <w:t>.93-1.37</w:t>
                  </w:r>
                </w:p>
              </w:tc>
              <w:tc>
                <w:tcPr>
                  <w:tcW w:w="771" w:type="dxa"/>
                  <w:tcBorders>
                    <w:right w:val="single" w:color="auto" w:sz="4" w:space="0"/>
                  </w:tcBorders>
                  <w:vAlign w:val="center"/>
                </w:tcPr>
                <w:p>
                  <w:pPr>
                    <w:jc w:val="center"/>
                    <w:rPr>
                      <w:szCs w:val="21"/>
                    </w:rPr>
                  </w:pPr>
                  <w:r>
                    <w:rPr>
                      <w:rFonts w:hint="eastAsia"/>
                      <w:szCs w:val="21"/>
                    </w:rPr>
                    <w:t>2.0</w:t>
                  </w:r>
                </w:p>
              </w:tc>
              <w:tc>
                <w:tcPr>
                  <w:tcW w:w="782" w:type="dxa"/>
                  <w:tcBorders>
                    <w:left w:val="single" w:color="auto" w:sz="4" w:space="0"/>
                  </w:tcBorders>
                  <w:vAlign w:val="center"/>
                </w:tcPr>
                <w:p>
                  <w:pPr>
                    <w:jc w:val="center"/>
                    <w:rPr>
                      <w:szCs w:val="21"/>
                    </w:rPr>
                  </w:pPr>
                  <w:r>
                    <w:rPr>
                      <w:rFonts w:hint="eastAsia"/>
                      <w:szCs w:val="21"/>
                    </w:rPr>
                    <w:t>0</w:t>
                  </w:r>
                </w:p>
              </w:tc>
              <w:tc>
                <w:tcPr>
                  <w:tcW w:w="789" w:type="dxa"/>
                  <w:vAlign w:val="center"/>
                </w:tcPr>
                <w:p>
                  <w:pPr>
                    <w:jc w:val="center"/>
                    <w:rPr>
                      <w:szCs w:val="21"/>
                    </w:rPr>
                  </w:pPr>
                  <w:r>
                    <w:rPr>
                      <w:szCs w:val="21"/>
                    </w:rPr>
                    <w:t>68.5</w:t>
                  </w:r>
                  <w:r>
                    <w:rPr>
                      <w:rFonts w:hint="eastAsia"/>
                      <w:szCs w:val="21"/>
                    </w:rPr>
                    <w:t>%</w:t>
                  </w:r>
                </w:p>
              </w:tc>
              <w:tc>
                <w:tcPr>
                  <w:tcW w:w="768" w:type="dxa"/>
                  <w:vAlign w:val="center"/>
                </w:tcPr>
                <w:p>
                  <w:pPr>
                    <w:jc w:val="center"/>
                    <w:rPr>
                      <w:szCs w:val="21"/>
                    </w:rPr>
                  </w:pPr>
                  <w:r>
                    <w:rPr>
                      <w:rFonts w:hint="eastAsia"/>
                      <w:szCs w:val="21"/>
                    </w:rPr>
                    <w:t>达标</w:t>
                  </w:r>
                </w:p>
              </w:tc>
            </w:tr>
          </w:tbl>
          <w:p>
            <w:pPr>
              <w:spacing w:line="360" w:lineRule="auto"/>
              <w:ind w:firstLine="420" w:firstLineChars="200"/>
              <w:rPr>
                <w:rFonts w:hAnsi="宋体"/>
                <w:szCs w:val="21"/>
              </w:rPr>
            </w:pPr>
            <w:r>
              <w:rPr>
                <w:szCs w:val="21"/>
              </w:rPr>
              <w:t>根据监测结果可知，</w:t>
            </w:r>
            <w:r>
              <w:t>监测期间项目所在区域环境空气质量非甲烷总烃满足《大气污染物综合排放标准详解》中的标准限值</w:t>
            </w:r>
            <w:r>
              <w:rPr>
                <w:rFonts w:hint="eastAsia"/>
              </w:rPr>
              <w:t>2mg/m</w:t>
            </w:r>
            <w:r>
              <w:rPr>
                <w:rFonts w:hint="eastAsia"/>
                <w:vertAlign w:val="superscript"/>
              </w:rPr>
              <w:t>3</w:t>
            </w:r>
            <w:r>
              <w:rPr>
                <w:rFonts w:hint="eastAsia"/>
              </w:rPr>
              <w:t>。</w:t>
            </w:r>
          </w:p>
          <w:p>
            <w:pPr>
              <w:spacing w:line="360" w:lineRule="auto"/>
              <w:ind w:firstLine="422" w:firstLineChars="200"/>
              <w:rPr>
                <w:b/>
                <w:szCs w:val="21"/>
              </w:rPr>
            </w:pPr>
            <w:r>
              <w:rPr>
                <w:b/>
                <w:szCs w:val="21"/>
              </w:rPr>
              <w:t>2</w:t>
            </w:r>
            <w:r>
              <w:rPr>
                <w:rFonts w:hAnsi="宋体"/>
                <w:b/>
                <w:szCs w:val="21"/>
              </w:rPr>
              <w:t>、声环境</w:t>
            </w:r>
          </w:p>
          <w:p>
            <w:pPr>
              <w:spacing w:line="360" w:lineRule="auto"/>
              <w:ind w:firstLine="420" w:firstLineChars="200"/>
              <w:rPr>
                <w:szCs w:val="21"/>
              </w:rPr>
            </w:pPr>
            <w:r>
              <w:rPr>
                <w:rFonts w:hint="eastAsia"/>
                <w:szCs w:val="21"/>
              </w:rPr>
              <w:t>根据现场踏勘，项目建设地周边5</w:t>
            </w:r>
            <w:r>
              <w:rPr>
                <w:szCs w:val="21"/>
              </w:rPr>
              <w:t>0m</w:t>
            </w:r>
            <w:r>
              <w:rPr>
                <w:rFonts w:hint="eastAsia"/>
                <w:szCs w:val="21"/>
              </w:rPr>
              <w:t>范围内声环境保护目标为东侧2</w:t>
            </w:r>
            <w:r>
              <w:rPr>
                <w:szCs w:val="21"/>
              </w:rPr>
              <w:t>5m</w:t>
            </w:r>
            <w:r>
              <w:rPr>
                <w:rFonts w:hint="eastAsia"/>
                <w:szCs w:val="21"/>
              </w:rPr>
              <w:t>民兴村和南侧5</w:t>
            </w:r>
            <w:r>
              <w:rPr>
                <w:szCs w:val="21"/>
              </w:rPr>
              <w:t>0m</w:t>
            </w:r>
            <w:r>
              <w:rPr>
                <w:rFonts w:hint="eastAsia"/>
                <w:szCs w:val="21"/>
              </w:rPr>
              <w:t>民兴村住宅。为了解其声环境质量现状，2</w:t>
            </w:r>
            <w:r>
              <w:rPr>
                <w:szCs w:val="21"/>
              </w:rPr>
              <w:t>023</w:t>
            </w:r>
            <w:r>
              <w:rPr>
                <w:rFonts w:hint="eastAsia"/>
                <w:szCs w:val="21"/>
              </w:rPr>
              <w:t>年</w:t>
            </w:r>
            <w:r>
              <w:rPr>
                <w:szCs w:val="21"/>
              </w:rPr>
              <w:t>5</w:t>
            </w:r>
            <w:r>
              <w:rPr>
                <w:rFonts w:hint="eastAsia"/>
                <w:szCs w:val="21"/>
              </w:rPr>
              <w:t>月</w:t>
            </w:r>
            <w:r>
              <w:rPr>
                <w:szCs w:val="21"/>
              </w:rPr>
              <w:t>5</w:t>
            </w:r>
            <w:r>
              <w:rPr>
                <w:rFonts w:hint="eastAsia"/>
                <w:szCs w:val="21"/>
              </w:rPr>
              <w:t>日，建设单位委托</w:t>
            </w:r>
            <w:r>
              <w:rPr>
                <w:rFonts w:hint="eastAsia" w:hAnsi="宋体"/>
                <w:szCs w:val="21"/>
              </w:rPr>
              <w:t>陕西华淮通检测技术有限公司</w:t>
            </w:r>
            <w:r>
              <w:rPr>
                <w:rFonts w:hint="eastAsia"/>
              </w:rPr>
              <w:t>对民兴村声环境质量进行了现状监测，监测项目连续等效A声级，监测结果见表3-</w:t>
            </w:r>
            <w:r>
              <w:t>3</w:t>
            </w:r>
            <w:r>
              <w:rPr>
                <w:rFonts w:hint="eastAsia"/>
              </w:rPr>
              <w:t>。</w:t>
            </w:r>
          </w:p>
          <w:p>
            <w:pPr>
              <w:jc w:val="center"/>
              <w:rPr>
                <w:b/>
                <w:bCs/>
                <w:szCs w:val="21"/>
              </w:rPr>
            </w:pPr>
            <w:r>
              <w:rPr>
                <w:rFonts w:hint="eastAsia"/>
                <w:b/>
                <w:bCs/>
                <w:szCs w:val="21"/>
              </w:rPr>
              <w:t>表3</w:t>
            </w:r>
            <w:r>
              <w:rPr>
                <w:b/>
                <w:bCs/>
                <w:szCs w:val="21"/>
              </w:rPr>
              <w:t xml:space="preserve">-3    </w:t>
            </w:r>
            <w:r>
              <w:rPr>
                <w:rFonts w:hint="eastAsia"/>
                <w:b/>
                <w:bCs/>
                <w:szCs w:val="21"/>
              </w:rPr>
              <w:t>声环境</w:t>
            </w:r>
            <w:r>
              <w:rPr>
                <w:b/>
                <w:bCs/>
                <w:szCs w:val="21"/>
              </w:rPr>
              <w:t>质量监测结果</w:t>
            </w:r>
            <w:r>
              <w:rPr>
                <w:rFonts w:hint="eastAsia"/>
                <w:b/>
                <w:bCs/>
                <w:szCs w:val="21"/>
              </w:rPr>
              <w:t xml:space="preserve">    单位</w:t>
            </w:r>
            <w:r>
              <w:rPr>
                <w:b/>
                <w:bCs/>
                <w:szCs w:val="21"/>
              </w:rPr>
              <w:t>：</w:t>
            </w:r>
            <w:r>
              <w:rPr>
                <w:rFonts w:hint="eastAsia"/>
                <w:b/>
                <w:bCs/>
                <w:szCs w:val="21"/>
              </w:rPr>
              <w:t>d</w:t>
            </w:r>
            <w:r>
              <w:rPr>
                <w:b/>
                <w:bCs/>
                <w:szCs w:val="21"/>
              </w:rPr>
              <w:t>B</w:t>
            </w:r>
            <w:r>
              <w:rPr>
                <w:rFonts w:hint="eastAsia"/>
                <w:b/>
                <w:bCs/>
                <w:szCs w:val="21"/>
              </w:rPr>
              <w:t>（A）</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1"/>
              <w:gridCol w:w="787"/>
              <w:gridCol w:w="689"/>
              <w:gridCol w:w="883"/>
              <w:gridCol w:w="872"/>
              <w:gridCol w:w="860"/>
              <w:gridCol w:w="1017"/>
              <w:gridCol w:w="878"/>
              <w:gridCol w:w="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1" w:type="dxa"/>
                  <w:vMerge w:val="restart"/>
                  <w:vAlign w:val="center"/>
                </w:tcPr>
                <w:p>
                  <w:pPr>
                    <w:jc w:val="center"/>
                    <w:rPr>
                      <w:szCs w:val="21"/>
                    </w:rPr>
                  </w:pPr>
                  <w:r>
                    <w:rPr>
                      <w:rFonts w:hint="eastAsia"/>
                      <w:szCs w:val="21"/>
                    </w:rPr>
                    <w:t>监测</w:t>
                  </w:r>
                </w:p>
                <w:p>
                  <w:pPr>
                    <w:jc w:val="center"/>
                    <w:rPr>
                      <w:szCs w:val="21"/>
                    </w:rPr>
                  </w:pPr>
                  <w:r>
                    <w:rPr>
                      <w:szCs w:val="21"/>
                    </w:rPr>
                    <w:t>因子</w:t>
                  </w:r>
                </w:p>
              </w:tc>
              <w:tc>
                <w:tcPr>
                  <w:tcW w:w="787" w:type="dxa"/>
                  <w:vMerge w:val="restart"/>
                  <w:tcBorders>
                    <w:right w:val="single" w:color="auto" w:sz="4" w:space="0"/>
                  </w:tcBorders>
                  <w:vAlign w:val="center"/>
                </w:tcPr>
                <w:p>
                  <w:pPr>
                    <w:jc w:val="center"/>
                    <w:rPr>
                      <w:szCs w:val="21"/>
                    </w:rPr>
                  </w:pPr>
                  <w:r>
                    <w:rPr>
                      <w:rFonts w:hint="eastAsia"/>
                      <w:szCs w:val="21"/>
                    </w:rPr>
                    <w:t>监测</w:t>
                  </w:r>
                </w:p>
                <w:p>
                  <w:pPr>
                    <w:jc w:val="center"/>
                    <w:rPr>
                      <w:szCs w:val="21"/>
                    </w:rPr>
                  </w:pPr>
                  <w:r>
                    <w:rPr>
                      <w:szCs w:val="21"/>
                    </w:rPr>
                    <w:t>点位</w:t>
                  </w:r>
                </w:p>
              </w:tc>
              <w:tc>
                <w:tcPr>
                  <w:tcW w:w="689" w:type="dxa"/>
                  <w:vMerge w:val="restart"/>
                  <w:tcBorders>
                    <w:left w:val="single" w:color="auto" w:sz="4" w:space="0"/>
                    <w:right w:val="single" w:color="auto" w:sz="4" w:space="0"/>
                  </w:tcBorders>
                  <w:vAlign w:val="center"/>
                </w:tcPr>
                <w:p>
                  <w:pPr>
                    <w:jc w:val="center"/>
                    <w:rPr>
                      <w:szCs w:val="21"/>
                    </w:rPr>
                  </w:pPr>
                  <w:r>
                    <w:rPr>
                      <w:rFonts w:hint="eastAsia"/>
                      <w:szCs w:val="21"/>
                    </w:rPr>
                    <w:t>与</w:t>
                  </w:r>
                  <w:r>
                    <w:rPr>
                      <w:szCs w:val="21"/>
                    </w:rPr>
                    <w:t>本项目方位</w:t>
                  </w:r>
                </w:p>
              </w:tc>
              <w:tc>
                <w:tcPr>
                  <w:tcW w:w="883" w:type="dxa"/>
                  <w:vMerge w:val="restart"/>
                  <w:tcBorders>
                    <w:left w:val="single" w:color="auto" w:sz="4" w:space="0"/>
                  </w:tcBorders>
                  <w:vAlign w:val="center"/>
                </w:tcPr>
                <w:p>
                  <w:pPr>
                    <w:jc w:val="center"/>
                    <w:rPr>
                      <w:szCs w:val="21"/>
                    </w:rPr>
                  </w:pPr>
                  <w:r>
                    <w:rPr>
                      <w:rFonts w:hint="eastAsia"/>
                      <w:szCs w:val="21"/>
                    </w:rPr>
                    <w:t>与</w:t>
                  </w:r>
                  <w:r>
                    <w:rPr>
                      <w:szCs w:val="21"/>
                    </w:rPr>
                    <w:t>本项目</w:t>
                  </w:r>
                  <w:r>
                    <w:rPr>
                      <w:rFonts w:hint="eastAsia"/>
                      <w:szCs w:val="21"/>
                    </w:rPr>
                    <w:t>距离</w:t>
                  </w:r>
                </w:p>
              </w:tc>
              <w:tc>
                <w:tcPr>
                  <w:tcW w:w="1732" w:type="dxa"/>
                  <w:gridSpan w:val="2"/>
                  <w:vAlign w:val="center"/>
                </w:tcPr>
                <w:p>
                  <w:pPr>
                    <w:jc w:val="center"/>
                    <w:rPr>
                      <w:szCs w:val="21"/>
                    </w:rPr>
                  </w:pPr>
                  <w:r>
                    <w:rPr>
                      <w:rFonts w:hint="eastAsia"/>
                      <w:szCs w:val="21"/>
                    </w:rPr>
                    <w:t>监测时间</w:t>
                  </w:r>
                </w:p>
              </w:tc>
              <w:tc>
                <w:tcPr>
                  <w:tcW w:w="1895" w:type="dxa"/>
                  <w:gridSpan w:val="2"/>
                  <w:vAlign w:val="center"/>
                </w:tcPr>
                <w:p>
                  <w:pPr>
                    <w:jc w:val="center"/>
                    <w:rPr>
                      <w:szCs w:val="21"/>
                    </w:rPr>
                  </w:pPr>
                  <w:r>
                    <w:rPr>
                      <w:rFonts w:hint="eastAsia"/>
                      <w:szCs w:val="21"/>
                    </w:rPr>
                    <w:t>执行标准</w:t>
                  </w:r>
                </w:p>
              </w:tc>
              <w:tc>
                <w:tcPr>
                  <w:tcW w:w="870" w:type="dxa"/>
                  <w:vMerge w:val="restart"/>
                  <w:vAlign w:val="center"/>
                </w:tcPr>
                <w:p>
                  <w:pPr>
                    <w:jc w:val="center"/>
                    <w:rPr>
                      <w:szCs w:val="21"/>
                    </w:rPr>
                  </w:pPr>
                  <w:r>
                    <w:rPr>
                      <w:rFonts w:hint="eastAsia"/>
                      <w:szCs w:val="21"/>
                    </w:rPr>
                    <w:t>达标</w:t>
                  </w:r>
                </w:p>
                <w:p>
                  <w:pPr>
                    <w:jc w:val="center"/>
                    <w:rPr>
                      <w:szCs w:val="21"/>
                    </w:rPr>
                  </w:pPr>
                  <w:r>
                    <w:rPr>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1" w:type="dxa"/>
                  <w:vMerge w:val="continue"/>
                  <w:vAlign w:val="center"/>
                </w:tcPr>
                <w:p>
                  <w:pPr>
                    <w:jc w:val="center"/>
                    <w:rPr>
                      <w:szCs w:val="21"/>
                    </w:rPr>
                  </w:pPr>
                </w:p>
              </w:tc>
              <w:tc>
                <w:tcPr>
                  <w:tcW w:w="787" w:type="dxa"/>
                  <w:vMerge w:val="continue"/>
                  <w:tcBorders>
                    <w:right w:val="single" w:color="auto" w:sz="4" w:space="0"/>
                  </w:tcBorders>
                  <w:vAlign w:val="center"/>
                </w:tcPr>
                <w:p>
                  <w:pPr>
                    <w:jc w:val="center"/>
                    <w:rPr>
                      <w:szCs w:val="21"/>
                    </w:rPr>
                  </w:pPr>
                </w:p>
              </w:tc>
              <w:tc>
                <w:tcPr>
                  <w:tcW w:w="689" w:type="dxa"/>
                  <w:vMerge w:val="continue"/>
                  <w:tcBorders>
                    <w:left w:val="single" w:color="auto" w:sz="4" w:space="0"/>
                    <w:right w:val="single" w:color="auto" w:sz="4" w:space="0"/>
                  </w:tcBorders>
                  <w:vAlign w:val="center"/>
                </w:tcPr>
                <w:p>
                  <w:pPr>
                    <w:jc w:val="center"/>
                    <w:rPr>
                      <w:szCs w:val="21"/>
                    </w:rPr>
                  </w:pPr>
                </w:p>
              </w:tc>
              <w:tc>
                <w:tcPr>
                  <w:tcW w:w="883" w:type="dxa"/>
                  <w:vMerge w:val="continue"/>
                  <w:tcBorders>
                    <w:left w:val="single" w:color="auto" w:sz="4" w:space="0"/>
                  </w:tcBorders>
                  <w:vAlign w:val="center"/>
                </w:tcPr>
                <w:p>
                  <w:pPr>
                    <w:jc w:val="center"/>
                    <w:rPr>
                      <w:szCs w:val="21"/>
                    </w:rPr>
                  </w:pPr>
                </w:p>
              </w:tc>
              <w:tc>
                <w:tcPr>
                  <w:tcW w:w="872" w:type="dxa"/>
                  <w:tcBorders>
                    <w:right w:val="single" w:color="auto" w:sz="4" w:space="0"/>
                  </w:tcBorders>
                  <w:vAlign w:val="center"/>
                </w:tcPr>
                <w:p>
                  <w:pPr>
                    <w:jc w:val="center"/>
                    <w:rPr>
                      <w:szCs w:val="21"/>
                    </w:rPr>
                  </w:pPr>
                  <w:r>
                    <w:rPr>
                      <w:rFonts w:hint="eastAsia"/>
                      <w:szCs w:val="21"/>
                    </w:rPr>
                    <w:t>昼间</w:t>
                  </w:r>
                </w:p>
              </w:tc>
              <w:tc>
                <w:tcPr>
                  <w:tcW w:w="860" w:type="dxa"/>
                  <w:tcBorders>
                    <w:left w:val="single" w:color="auto" w:sz="4" w:space="0"/>
                  </w:tcBorders>
                  <w:vAlign w:val="center"/>
                </w:tcPr>
                <w:p>
                  <w:pPr>
                    <w:jc w:val="center"/>
                    <w:rPr>
                      <w:szCs w:val="21"/>
                    </w:rPr>
                  </w:pPr>
                  <w:r>
                    <w:rPr>
                      <w:rFonts w:hint="eastAsia"/>
                      <w:szCs w:val="21"/>
                    </w:rPr>
                    <w:t>夜间</w:t>
                  </w:r>
                </w:p>
              </w:tc>
              <w:tc>
                <w:tcPr>
                  <w:tcW w:w="1017" w:type="dxa"/>
                  <w:tcBorders>
                    <w:right w:val="single" w:color="auto" w:sz="4" w:space="0"/>
                  </w:tcBorders>
                  <w:vAlign w:val="center"/>
                </w:tcPr>
                <w:p>
                  <w:pPr>
                    <w:jc w:val="center"/>
                    <w:rPr>
                      <w:szCs w:val="21"/>
                    </w:rPr>
                  </w:pPr>
                  <w:r>
                    <w:rPr>
                      <w:rFonts w:hint="eastAsia"/>
                      <w:szCs w:val="21"/>
                    </w:rPr>
                    <w:t>昼间</w:t>
                  </w:r>
                </w:p>
              </w:tc>
              <w:tc>
                <w:tcPr>
                  <w:tcW w:w="878" w:type="dxa"/>
                  <w:tcBorders>
                    <w:left w:val="single" w:color="auto" w:sz="4" w:space="0"/>
                  </w:tcBorders>
                  <w:vAlign w:val="center"/>
                </w:tcPr>
                <w:p>
                  <w:pPr>
                    <w:jc w:val="center"/>
                    <w:rPr>
                      <w:szCs w:val="21"/>
                    </w:rPr>
                  </w:pPr>
                  <w:r>
                    <w:rPr>
                      <w:rFonts w:hint="eastAsia"/>
                      <w:szCs w:val="21"/>
                    </w:rPr>
                    <w:t>夜间</w:t>
                  </w:r>
                </w:p>
              </w:tc>
              <w:tc>
                <w:tcPr>
                  <w:tcW w:w="870" w:type="dxa"/>
                  <w:vMerge w:val="continue"/>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1" w:type="dxa"/>
                  <w:vMerge w:val="restart"/>
                  <w:vAlign w:val="center"/>
                </w:tcPr>
                <w:p>
                  <w:pPr>
                    <w:jc w:val="center"/>
                    <w:rPr>
                      <w:szCs w:val="21"/>
                    </w:rPr>
                  </w:pPr>
                  <w:r>
                    <w:rPr>
                      <w:rFonts w:hint="eastAsia"/>
                      <w:szCs w:val="21"/>
                    </w:rPr>
                    <w:t>连续等效A声级</w:t>
                  </w:r>
                </w:p>
              </w:tc>
              <w:tc>
                <w:tcPr>
                  <w:tcW w:w="787" w:type="dxa"/>
                  <w:tcBorders>
                    <w:right w:val="single" w:color="auto" w:sz="4" w:space="0"/>
                  </w:tcBorders>
                  <w:vAlign w:val="center"/>
                </w:tcPr>
                <w:p>
                  <w:pPr>
                    <w:jc w:val="center"/>
                    <w:rPr>
                      <w:szCs w:val="21"/>
                    </w:rPr>
                  </w:pPr>
                  <w:r>
                    <w:rPr>
                      <w:rFonts w:hint="eastAsia"/>
                      <w:szCs w:val="21"/>
                    </w:rPr>
                    <w:t>民兴村</w:t>
                  </w:r>
                </w:p>
              </w:tc>
              <w:tc>
                <w:tcPr>
                  <w:tcW w:w="689" w:type="dxa"/>
                  <w:tcBorders>
                    <w:left w:val="single" w:color="auto" w:sz="4" w:space="0"/>
                    <w:right w:val="single" w:color="auto" w:sz="4" w:space="0"/>
                  </w:tcBorders>
                  <w:vAlign w:val="center"/>
                </w:tcPr>
                <w:p>
                  <w:pPr>
                    <w:jc w:val="center"/>
                    <w:rPr>
                      <w:szCs w:val="21"/>
                    </w:rPr>
                  </w:pPr>
                  <w:r>
                    <w:rPr>
                      <w:rFonts w:hint="eastAsia"/>
                      <w:szCs w:val="21"/>
                    </w:rPr>
                    <w:t>东</w:t>
                  </w:r>
                </w:p>
              </w:tc>
              <w:tc>
                <w:tcPr>
                  <w:tcW w:w="883" w:type="dxa"/>
                  <w:tcBorders>
                    <w:left w:val="single" w:color="auto" w:sz="4" w:space="0"/>
                  </w:tcBorders>
                  <w:vAlign w:val="center"/>
                </w:tcPr>
                <w:p>
                  <w:pPr>
                    <w:jc w:val="center"/>
                    <w:rPr>
                      <w:szCs w:val="21"/>
                    </w:rPr>
                  </w:pPr>
                  <w:r>
                    <w:rPr>
                      <w:szCs w:val="21"/>
                    </w:rPr>
                    <w:t>25m</w:t>
                  </w:r>
                </w:p>
              </w:tc>
              <w:tc>
                <w:tcPr>
                  <w:tcW w:w="872" w:type="dxa"/>
                  <w:tcBorders>
                    <w:right w:val="single" w:color="auto" w:sz="4" w:space="0"/>
                  </w:tcBorders>
                  <w:vAlign w:val="center"/>
                </w:tcPr>
                <w:p>
                  <w:pPr>
                    <w:jc w:val="center"/>
                    <w:rPr>
                      <w:szCs w:val="21"/>
                    </w:rPr>
                  </w:pPr>
                  <w:r>
                    <w:rPr>
                      <w:szCs w:val="21"/>
                    </w:rPr>
                    <w:t>50</w:t>
                  </w:r>
                </w:p>
              </w:tc>
              <w:tc>
                <w:tcPr>
                  <w:tcW w:w="860" w:type="dxa"/>
                  <w:tcBorders>
                    <w:left w:val="single" w:color="auto" w:sz="4" w:space="0"/>
                  </w:tcBorders>
                  <w:vAlign w:val="center"/>
                </w:tcPr>
                <w:p>
                  <w:pPr>
                    <w:jc w:val="center"/>
                    <w:rPr>
                      <w:szCs w:val="21"/>
                    </w:rPr>
                  </w:pPr>
                  <w:r>
                    <w:rPr>
                      <w:szCs w:val="21"/>
                    </w:rPr>
                    <w:t>43</w:t>
                  </w:r>
                </w:p>
              </w:tc>
              <w:tc>
                <w:tcPr>
                  <w:tcW w:w="1017" w:type="dxa"/>
                  <w:tcBorders>
                    <w:right w:val="single" w:color="auto" w:sz="4" w:space="0"/>
                  </w:tcBorders>
                  <w:vAlign w:val="center"/>
                </w:tcPr>
                <w:p>
                  <w:pPr>
                    <w:jc w:val="center"/>
                    <w:rPr>
                      <w:szCs w:val="21"/>
                    </w:rPr>
                  </w:pPr>
                  <w:r>
                    <w:rPr>
                      <w:szCs w:val="21"/>
                    </w:rPr>
                    <w:t>60</w:t>
                  </w:r>
                </w:p>
              </w:tc>
              <w:tc>
                <w:tcPr>
                  <w:tcW w:w="878" w:type="dxa"/>
                  <w:tcBorders>
                    <w:left w:val="single" w:color="auto" w:sz="4" w:space="0"/>
                  </w:tcBorders>
                  <w:vAlign w:val="center"/>
                </w:tcPr>
                <w:p>
                  <w:pPr>
                    <w:jc w:val="center"/>
                    <w:rPr>
                      <w:szCs w:val="21"/>
                    </w:rPr>
                  </w:pPr>
                  <w:r>
                    <w:rPr>
                      <w:szCs w:val="21"/>
                    </w:rPr>
                    <w:t>50</w:t>
                  </w:r>
                </w:p>
              </w:tc>
              <w:tc>
                <w:tcPr>
                  <w:tcW w:w="870" w:type="dxa"/>
                  <w:vAlign w:val="center"/>
                </w:tcPr>
                <w:p>
                  <w:pPr>
                    <w:jc w:val="center"/>
                    <w:rPr>
                      <w:szCs w:val="21"/>
                    </w:rPr>
                  </w:pPr>
                  <w:r>
                    <w:rPr>
                      <w:rFonts w:hint="eastAsia"/>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141" w:type="dxa"/>
                  <w:vMerge w:val="continue"/>
                  <w:vAlign w:val="center"/>
                </w:tcPr>
                <w:p>
                  <w:pPr>
                    <w:jc w:val="center"/>
                    <w:rPr>
                      <w:szCs w:val="21"/>
                    </w:rPr>
                  </w:pPr>
                </w:p>
              </w:tc>
              <w:tc>
                <w:tcPr>
                  <w:tcW w:w="787" w:type="dxa"/>
                  <w:tcBorders>
                    <w:right w:val="single" w:color="auto" w:sz="4" w:space="0"/>
                  </w:tcBorders>
                  <w:vAlign w:val="center"/>
                </w:tcPr>
                <w:p>
                  <w:pPr>
                    <w:jc w:val="center"/>
                    <w:rPr>
                      <w:szCs w:val="21"/>
                    </w:rPr>
                  </w:pPr>
                  <w:r>
                    <w:rPr>
                      <w:rFonts w:hint="eastAsia"/>
                      <w:szCs w:val="21"/>
                    </w:rPr>
                    <w:t>民兴村</w:t>
                  </w:r>
                </w:p>
              </w:tc>
              <w:tc>
                <w:tcPr>
                  <w:tcW w:w="689" w:type="dxa"/>
                  <w:tcBorders>
                    <w:left w:val="single" w:color="auto" w:sz="4" w:space="0"/>
                    <w:right w:val="single" w:color="auto" w:sz="4" w:space="0"/>
                  </w:tcBorders>
                  <w:vAlign w:val="center"/>
                </w:tcPr>
                <w:p>
                  <w:pPr>
                    <w:jc w:val="center"/>
                    <w:rPr>
                      <w:szCs w:val="21"/>
                    </w:rPr>
                  </w:pPr>
                  <w:r>
                    <w:rPr>
                      <w:rFonts w:hint="eastAsia"/>
                      <w:szCs w:val="21"/>
                    </w:rPr>
                    <w:t>南</w:t>
                  </w:r>
                </w:p>
              </w:tc>
              <w:tc>
                <w:tcPr>
                  <w:tcW w:w="883" w:type="dxa"/>
                  <w:tcBorders>
                    <w:left w:val="single" w:color="auto" w:sz="4" w:space="0"/>
                  </w:tcBorders>
                  <w:vAlign w:val="center"/>
                </w:tcPr>
                <w:p>
                  <w:pPr>
                    <w:jc w:val="center"/>
                    <w:rPr>
                      <w:szCs w:val="21"/>
                    </w:rPr>
                  </w:pPr>
                  <w:r>
                    <w:rPr>
                      <w:rFonts w:hint="eastAsia"/>
                      <w:szCs w:val="21"/>
                    </w:rPr>
                    <w:t>5</w:t>
                  </w:r>
                  <w:r>
                    <w:rPr>
                      <w:szCs w:val="21"/>
                    </w:rPr>
                    <w:t>0m</w:t>
                  </w:r>
                </w:p>
              </w:tc>
              <w:tc>
                <w:tcPr>
                  <w:tcW w:w="872" w:type="dxa"/>
                  <w:tcBorders>
                    <w:right w:val="single" w:color="auto" w:sz="4" w:space="0"/>
                  </w:tcBorders>
                  <w:vAlign w:val="center"/>
                </w:tcPr>
                <w:p>
                  <w:pPr>
                    <w:jc w:val="center"/>
                    <w:rPr>
                      <w:szCs w:val="21"/>
                    </w:rPr>
                  </w:pPr>
                  <w:r>
                    <w:rPr>
                      <w:rFonts w:hint="eastAsia"/>
                      <w:szCs w:val="21"/>
                    </w:rPr>
                    <w:t>4</w:t>
                  </w:r>
                  <w:r>
                    <w:rPr>
                      <w:szCs w:val="21"/>
                    </w:rPr>
                    <w:t>9</w:t>
                  </w:r>
                </w:p>
              </w:tc>
              <w:tc>
                <w:tcPr>
                  <w:tcW w:w="860" w:type="dxa"/>
                  <w:tcBorders>
                    <w:left w:val="single" w:color="auto" w:sz="4" w:space="0"/>
                  </w:tcBorders>
                  <w:vAlign w:val="center"/>
                </w:tcPr>
                <w:p>
                  <w:pPr>
                    <w:jc w:val="center"/>
                    <w:rPr>
                      <w:szCs w:val="21"/>
                    </w:rPr>
                  </w:pPr>
                  <w:r>
                    <w:rPr>
                      <w:rFonts w:hint="eastAsia"/>
                      <w:szCs w:val="21"/>
                    </w:rPr>
                    <w:t>4</w:t>
                  </w:r>
                  <w:r>
                    <w:rPr>
                      <w:szCs w:val="21"/>
                    </w:rPr>
                    <w:t>2</w:t>
                  </w:r>
                </w:p>
              </w:tc>
              <w:tc>
                <w:tcPr>
                  <w:tcW w:w="1017" w:type="dxa"/>
                  <w:tcBorders>
                    <w:right w:val="single" w:color="auto" w:sz="4" w:space="0"/>
                  </w:tcBorders>
                  <w:vAlign w:val="center"/>
                </w:tcPr>
                <w:p>
                  <w:pPr>
                    <w:jc w:val="center"/>
                    <w:rPr>
                      <w:szCs w:val="21"/>
                    </w:rPr>
                  </w:pPr>
                  <w:r>
                    <w:rPr>
                      <w:rFonts w:hint="eastAsia"/>
                      <w:szCs w:val="21"/>
                    </w:rPr>
                    <w:t>6</w:t>
                  </w:r>
                  <w:r>
                    <w:rPr>
                      <w:szCs w:val="21"/>
                    </w:rPr>
                    <w:t>0</w:t>
                  </w:r>
                </w:p>
              </w:tc>
              <w:tc>
                <w:tcPr>
                  <w:tcW w:w="878" w:type="dxa"/>
                  <w:tcBorders>
                    <w:left w:val="single" w:color="auto" w:sz="4" w:space="0"/>
                  </w:tcBorders>
                  <w:vAlign w:val="center"/>
                </w:tcPr>
                <w:p>
                  <w:pPr>
                    <w:jc w:val="center"/>
                    <w:rPr>
                      <w:szCs w:val="21"/>
                    </w:rPr>
                  </w:pPr>
                  <w:r>
                    <w:rPr>
                      <w:rFonts w:hint="eastAsia"/>
                      <w:szCs w:val="21"/>
                    </w:rPr>
                    <w:t>5</w:t>
                  </w:r>
                  <w:r>
                    <w:rPr>
                      <w:szCs w:val="21"/>
                    </w:rPr>
                    <w:t>0</w:t>
                  </w:r>
                </w:p>
              </w:tc>
              <w:tc>
                <w:tcPr>
                  <w:tcW w:w="870" w:type="dxa"/>
                  <w:vAlign w:val="center"/>
                </w:tcPr>
                <w:p>
                  <w:pPr>
                    <w:jc w:val="center"/>
                    <w:rPr>
                      <w:szCs w:val="21"/>
                    </w:rPr>
                  </w:pPr>
                  <w:r>
                    <w:rPr>
                      <w:rFonts w:hint="eastAsia"/>
                      <w:szCs w:val="21"/>
                    </w:rPr>
                    <w:t>达标</w:t>
                  </w:r>
                </w:p>
              </w:tc>
            </w:tr>
          </w:tbl>
          <w:p>
            <w:pPr>
              <w:spacing w:line="360" w:lineRule="auto"/>
              <w:ind w:firstLine="420" w:firstLineChars="200"/>
              <w:rPr>
                <w:szCs w:val="21"/>
              </w:rPr>
            </w:pPr>
            <w:r>
              <w:rPr>
                <w:rFonts w:hint="eastAsia"/>
                <w:szCs w:val="21"/>
              </w:rPr>
              <w:t>由监测结果可知，项目地最近敏感点声环境昼间、夜间噪声值满足《声环境质量标准》（G</w:t>
            </w:r>
            <w:r>
              <w:rPr>
                <w:szCs w:val="21"/>
              </w:rPr>
              <w:t>B3069</w:t>
            </w:r>
            <w:r>
              <w:rPr>
                <w:rFonts w:hint="eastAsia"/>
                <w:szCs w:val="21"/>
              </w:rPr>
              <w:t>-</w:t>
            </w:r>
            <w:r>
              <w:rPr>
                <w:szCs w:val="21"/>
              </w:rPr>
              <w:t>2008</w:t>
            </w:r>
            <w:r>
              <w:rPr>
                <w:rFonts w:hint="eastAsia"/>
                <w:szCs w:val="21"/>
              </w:rPr>
              <w:t>）</w:t>
            </w:r>
            <w:r>
              <w:rPr>
                <w:szCs w:val="21"/>
              </w:rPr>
              <w:t>2</w:t>
            </w:r>
            <w:r>
              <w:rPr>
                <w:rFonts w:hint="eastAsia"/>
                <w:szCs w:val="21"/>
              </w:rPr>
              <w:t>类标准限值要求，项目所在地声环境状况良好。</w:t>
            </w:r>
          </w:p>
          <w:p>
            <w:pPr>
              <w:spacing w:line="360" w:lineRule="auto"/>
              <w:ind w:firstLine="422" w:firstLineChars="200"/>
              <w:rPr>
                <w:b/>
                <w:szCs w:val="21"/>
              </w:rPr>
            </w:pPr>
            <w:r>
              <w:rPr>
                <w:rFonts w:hint="eastAsia"/>
                <w:b/>
                <w:szCs w:val="21"/>
              </w:rPr>
              <w:t>3、地表水环境</w:t>
            </w:r>
          </w:p>
          <w:p>
            <w:pPr>
              <w:spacing w:line="360" w:lineRule="auto"/>
              <w:ind w:firstLine="420" w:firstLineChars="200"/>
              <w:rPr>
                <w:szCs w:val="21"/>
              </w:rPr>
            </w:pPr>
            <w:r>
              <w:rPr>
                <w:szCs w:val="21"/>
              </w:rPr>
              <w:t>根据安康市生态环境局发布的“安康市2023年3月份水环境质量状况”，全市38个地表水监测断面中，Ⅰ类水质14个，占比37%，Ⅱ类水质22个，占比58%，Ⅲ类水质2个，占比5%。无Ⅳ、Ⅴ、劣Ⅴ类水质断面。项目区域地表水环境质量状况良好。</w:t>
            </w:r>
          </w:p>
          <w:p>
            <w:pPr>
              <w:spacing w:line="360" w:lineRule="auto"/>
              <w:ind w:firstLine="422" w:firstLineChars="200"/>
              <w:rPr>
                <w:b/>
                <w:szCs w:val="21"/>
              </w:rPr>
            </w:pPr>
            <w:r>
              <w:rPr>
                <w:b/>
                <w:szCs w:val="21"/>
              </w:rPr>
              <w:t>4</w:t>
            </w:r>
            <w:r>
              <w:rPr>
                <w:rFonts w:hint="eastAsia"/>
                <w:b/>
                <w:szCs w:val="21"/>
              </w:rPr>
              <w:t>、生态环境</w:t>
            </w:r>
          </w:p>
          <w:p>
            <w:pPr>
              <w:spacing w:line="360" w:lineRule="auto"/>
              <w:ind w:firstLine="420" w:firstLineChars="200"/>
              <w:rPr>
                <w:rFonts w:ascii="宋体" w:hAnsi="宋体" w:cs="宋体"/>
                <w:color w:val="0000FF"/>
              </w:rPr>
            </w:pPr>
            <w:r>
              <w:rPr>
                <w:rFonts w:hint="eastAsia"/>
                <w:color w:val="0000FF"/>
                <w:szCs w:val="21"/>
              </w:rPr>
              <w:t>本项目位于安康市</w:t>
            </w:r>
            <w:r>
              <w:rPr>
                <w:color w:val="0000FF"/>
                <w:kern w:val="0"/>
                <w:szCs w:val="21"/>
              </w:rPr>
              <w:t>汉滨区五里工业集中区</w:t>
            </w:r>
            <w:r>
              <w:rPr>
                <w:rFonts w:hint="eastAsia" w:ascii="宋体" w:hAnsi="宋体" w:cs="宋体"/>
                <w:color w:val="0000FF"/>
              </w:rPr>
              <w:t>，无需进行生态现状调查。</w:t>
            </w:r>
          </w:p>
          <w:p>
            <w:pPr>
              <w:spacing w:line="360" w:lineRule="auto"/>
              <w:ind w:firstLine="422" w:firstLineChars="200"/>
              <w:rPr>
                <w:b/>
                <w:szCs w:val="21"/>
              </w:rPr>
            </w:pPr>
            <w:r>
              <w:rPr>
                <w:b/>
                <w:szCs w:val="21"/>
              </w:rPr>
              <w:t>5</w:t>
            </w:r>
            <w:r>
              <w:rPr>
                <w:rFonts w:hint="eastAsia"/>
                <w:b/>
                <w:szCs w:val="21"/>
              </w:rPr>
              <w:t>、电磁辐射</w:t>
            </w:r>
          </w:p>
          <w:p>
            <w:pPr>
              <w:spacing w:line="360" w:lineRule="auto"/>
              <w:ind w:firstLine="420" w:firstLineChars="200"/>
              <w:rPr>
                <w:szCs w:val="21"/>
              </w:rPr>
            </w:pPr>
            <w:r>
              <w:rPr>
                <w:rFonts w:hint="eastAsia"/>
                <w:szCs w:val="21"/>
              </w:rPr>
              <w:t>本项目不属于新建或改建、扩建广播电台、差转台、电视塔台、卫星地球上行站、雷达等电磁辐射类项目。本项目不开展电磁辐射现状监测与评价。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57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243" w:type="dxa"/>
            <w:vAlign w:val="center"/>
          </w:tcPr>
          <w:p>
            <w:pPr>
              <w:spacing w:line="360" w:lineRule="auto"/>
              <w:ind w:firstLine="422" w:firstLineChars="200"/>
              <w:rPr>
                <w:b/>
              </w:rPr>
            </w:pPr>
            <w:r>
              <w:rPr>
                <w:b/>
              </w:rPr>
              <w:t>1</w:t>
            </w:r>
            <w:r>
              <w:rPr>
                <w:rFonts w:hAnsi="宋体"/>
                <w:b/>
              </w:rPr>
              <w:t>、大气环境</w:t>
            </w:r>
          </w:p>
          <w:p>
            <w:pPr>
              <w:spacing w:line="360" w:lineRule="auto"/>
              <w:ind w:firstLine="420" w:firstLineChars="200"/>
            </w:pPr>
            <w:r>
              <w:t>经调查，项目周边500m内无需特殊保护的自然保护区、风景名胜区，未发现文物古迹，大气环境保护目标见表3-4。</w:t>
            </w:r>
          </w:p>
          <w:p>
            <w:pPr>
              <w:pStyle w:val="2"/>
              <w:jc w:val="center"/>
              <w:rPr>
                <w:rFonts w:ascii="Times New Roman" w:hAnsi="宋体" w:cs="Times New Roman"/>
                <w:b/>
                <w:color w:val="auto"/>
                <w:sz w:val="21"/>
                <w:szCs w:val="21"/>
              </w:rPr>
            </w:pPr>
            <w:r>
              <w:rPr>
                <w:rFonts w:ascii="Times New Roman" w:hAnsi="宋体" w:cs="Times New Roman"/>
                <w:b/>
                <w:color w:val="auto"/>
                <w:sz w:val="21"/>
                <w:szCs w:val="21"/>
              </w:rPr>
              <w:t>表</w:t>
            </w:r>
            <w:r>
              <w:rPr>
                <w:rFonts w:ascii="Times New Roman" w:cs="Times New Roman"/>
                <w:b/>
                <w:color w:val="auto"/>
                <w:sz w:val="21"/>
                <w:szCs w:val="21"/>
              </w:rPr>
              <w:t xml:space="preserve">3-4    </w:t>
            </w:r>
            <w:r>
              <w:rPr>
                <w:rFonts w:ascii="Times New Roman" w:hAnsi="宋体" w:cs="Times New Roman"/>
                <w:b/>
                <w:color w:val="auto"/>
                <w:sz w:val="21"/>
                <w:szCs w:val="21"/>
              </w:rPr>
              <w:t>大气环境保护目标</w:t>
            </w:r>
          </w:p>
          <w:tbl>
            <w:tblPr>
              <w:tblStyle w:val="23"/>
              <w:tblW w:w="79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066"/>
              <w:gridCol w:w="1109"/>
              <w:gridCol w:w="1214"/>
              <w:gridCol w:w="756"/>
              <w:gridCol w:w="666"/>
              <w:gridCol w:w="644"/>
              <w:gridCol w:w="778"/>
              <w:gridCol w:w="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restart"/>
                  <w:vAlign w:val="center"/>
                </w:tcPr>
                <w:p>
                  <w:pPr>
                    <w:spacing w:line="240" w:lineRule="exact"/>
                    <w:jc w:val="center"/>
                    <w:rPr>
                      <w:szCs w:val="21"/>
                    </w:rPr>
                  </w:pPr>
                  <w:r>
                    <w:rPr>
                      <w:rFonts w:hint="eastAsia"/>
                      <w:szCs w:val="21"/>
                    </w:rPr>
                    <w:t>环境</w:t>
                  </w:r>
                </w:p>
                <w:p>
                  <w:pPr>
                    <w:spacing w:line="240" w:lineRule="exact"/>
                    <w:jc w:val="center"/>
                    <w:rPr>
                      <w:szCs w:val="21"/>
                    </w:rPr>
                  </w:pPr>
                  <w:r>
                    <w:rPr>
                      <w:rFonts w:hint="eastAsia"/>
                      <w:szCs w:val="21"/>
                    </w:rPr>
                    <w:t>要素</w:t>
                  </w:r>
                </w:p>
              </w:tc>
              <w:tc>
                <w:tcPr>
                  <w:tcW w:w="1066" w:type="dxa"/>
                  <w:vMerge w:val="restart"/>
                  <w:vAlign w:val="center"/>
                </w:tcPr>
                <w:p>
                  <w:pPr>
                    <w:spacing w:line="240" w:lineRule="exact"/>
                    <w:jc w:val="center"/>
                    <w:rPr>
                      <w:szCs w:val="21"/>
                    </w:rPr>
                  </w:pPr>
                  <w:r>
                    <w:rPr>
                      <w:rFonts w:hint="eastAsia"/>
                      <w:szCs w:val="21"/>
                    </w:rPr>
                    <w:t>名称</w:t>
                  </w:r>
                </w:p>
              </w:tc>
              <w:tc>
                <w:tcPr>
                  <w:tcW w:w="2323" w:type="dxa"/>
                  <w:gridSpan w:val="2"/>
                  <w:vAlign w:val="center"/>
                </w:tcPr>
                <w:p>
                  <w:pPr>
                    <w:spacing w:line="240" w:lineRule="exact"/>
                    <w:jc w:val="center"/>
                    <w:rPr>
                      <w:szCs w:val="21"/>
                    </w:rPr>
                  </w:pPr>
                  <w:r>
                    <w:rPr>
                      <w:rFonts w:hint="eastAsia"/>
                      <w:szCs w:val="21"/>
                    </w:rPr>
                    <w:t>坐标</w:t>
                  </w:r>
                </w:p>
              </w:tc>
              <w:tc>
                <w:tcPr>
                  <w:tcW w:w="756" w:type="dxa"/>
                  <w:vMerge w:val="restart"/>
                  <w:vAlign w:val="center"/>
                </w:tcPr>
                <w:p>
                  <w:pPr>
                    <w:spacing w:line="240" w:lineRule="exact"/>
                    <w:jc w:val="center"/>
                    <w:rPr>
                      <w:szCs w:val="21"/>
                    </w:rPr>
                  </w:pPr>
                  <w:r>
                    <w:rPr>
                      <w:rFonts w:hint="eastAsia"/>
                      <w:szCs w:val="21"/>
                    </w:rPr>
                    <w:t>保护</w:t>
                  </w:r>
                </w:p>
                <w:p>
                  <w:pPr>
                    <w:spacing w:line="240" w:lineRule="exact"/>
                    <w:jc w:val="center"/>
                    <w:rPr>
                      <w:szCs w:val="21"/>
                    </w:rPr>
                  </w:pPr>
                  <w:r>
                    <w:rPr>
                      <w:rFonts w:hint="eastAsia"/>
                      <w:szCs w:val="21"/>
                    </w:rPr>
                    <w:t>对象</w:t>
                  </w:r>
                </w:p>
              </w:tc>
              <w:tc>
                <w:tcPr>
                  <w:tcW w:w="666" w:type="dxa"/>
                  <w:vMerge w:val="restart"/>
                  <w:vAlign w:val="center"/>
                </w:tcPr>
                <w:p>
                  <w:pPr>
                    <w:spacing w:line="240" w:lineRule="exact"/>
                    <w:jc w:val="center"/>
                    <w:rPr>
                      <w:szCs w:val="21"/>
                    </w:rPr>
                  </w:pPr>
                  <w:r>
                    <w:rPr>
                      <w:rFonts w:hint="eastAsia"/>
                      <w:szCs w:val="21"/>
                    </w:rPr>
                    <w:t>保护</w:t>
                  </w:r>
                </w:p>
                <w:p>
                  <w:pPr>
                    <w:spacing w:line="240" w:lineRule="exact"/>
                    <w:jc w:val="center"/>
                    <w:rPr>
                      <w:szCs w:val="21"/>
                    </w:rPr>
                  </w:pPr>
                  <w:r>
                    <w:rPr>
                      <w:rFonts w:hint="eastAsia"/>
                      <w:szCs w:val="21"/>
                    </w:rPr>
                    <w:t>内容</w:t>
                  </w:r>
                </w:p>
              </w:tc>
              <w:tc>
                <w:tcPr>
                  <w:tcW w:w="644" w:type="dxa"/>
                  <w:vMerge w:val="restart"/>
                  <w:vAlign w:val="center"/>
                </w:tcPr>
                <w:p>
                  <w:pPr>
                    <w:spacing w:line="240" w:lineRule="exact"/>
                    <w:jc w:val="center"/>
                    <w:rPr>
                      <w:szCs w:val="21"/>
                    </w:rPr>
                  </w:pPr>
                  <w:r>
                    <w:rPr>
                      <w:rFonts w:hint="eastAsia"/>
                      <w:szCs w:val="21"/>
                    </w:rPr>
                    <w:t>功能区</w:t>
                  </w:r>
                </w:p>
              </w:tc>
              <w:tc>
                <w:tcPr>
                  <w:tcW w:w="778" w:type="dxa"/>
                  <w:vMerge w:val="restart"/>
                  <w:vAlign w:val="center"/>
                </w:tcPr>
                <w:p>
                  <w:pPr>
                    <w:spacing w:line="240" w:lineRule="exact"/>
                    <w:jc w:val="center"/>
                    <w:rPr>
                      <w:szCs w:val="21"/>
                    </w:rPr>
                  </w:pPr>
                  <w:r>
                    <w:rPr>
                      <w:rFonts w:hint="eastAsia"/>
                      <w:szCs w:val="21"/>
                    </w:rPr>
                    <w:t>相对</w:t>
                  </w:r>
                </w:p>
                <w:p>
                  <w:pPr>
                    <w:spacing w:line="240" w:lineRule="exact"/>
                    <w:jc w:val="center"/>
                    <w:rPr>
                      <w:szCs w:val="21"/>
                    </w:rPr>
                  </w:pPr>
                  <w:r>
                    <w:rPr>
                      <w:rFonts w:hint="eastAsia"/>
                      <w:szCs w:val="21"/>
                    </w:rPr>
                    <w:t>方位</w:t>
                  </w:r>
                </w:p>
              </w:tc>
              <w:tc>
                <w:tcPr>
                  <w:tcW w:w="957" w:type="dxa"/>
                  <w:vMerge w:val="restart"/>
                  <w:vAlign w:val="center"/>
                </w:tcPr>
                <w:p>
                  <w:pPr>
                    <w:spacing w:line="240" w:lineRule="exact"/>
                    <w:jc w:val="center"/>
                    <w:rPr>
                      <w:szCs w:val="21"/>
                    </w:rPr>
                  </w:pPr>
                  <w:r>
                    <w:rPr>
                      <w:rFonts w:hint="eastAsia"/>
                      <w:szCs w:val="21"/>
                    </w:rPr>
                    <w:t>与项目最近距离</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continue"/>
                  <w:vAlign w:val="center"/>
                </w:tcPr>
                <w:p>
                  <w:pPr>
                    <w:widowControl/>
                    <w:jc w:val="left"/>
                    <w:rPr>
                      <w:szCs w:val="21"/>
                    </w:rPr>
                  </w:pPr>
                </w:p>
              </w:tc>
              <w:tc>
                <w:tcPr>
                  <w:tcW w:w="1066" w:type="dxa"/>
                  <w:vMerge w:val="continue"/>
                  <w:vAlign w:val="center"/>
                </w:tcPr>
                <w:p>
                  <w:pPr>
                    <w:widowControl/>
                    <w:jc w:val="left"/>
                    <w:rPr>
                      <w:szCs w:val="21"/>
                    </w:rPr>
                  </w:pPr>
                </w:p>
              </w:tc>
              <w:tc>
                <w:tcPr>
                  <w:tcW w:w="1109" w:type="dxa"/>
                  <w:vAlign w:val="center"/>
                </w:tcPr>
                <w:p>
                  <w:pPr>
                    <w:spacing w:line="240" w:lineRule="exact"/>
                    <w:jc w:val="center"/>
                    <w:rPr>
                      <w:szCs w:val="21"/>
                    </w:rPr>
                  </w:pPr>
                  <w:r>
                    <w:rPr>
                      <w:szCs w:val="21"/>
                    </w:rPr>
                    <w:t>N</w:t>
                  </w:r>
                </w:p>
              </w:tc>
              <w:tc>
                <w:tcPr>
                  <w:tcW w:w="1214" w:type="dxa"/>
                  <w:vAlign w:val="center"/>
                </w:tcPr>
                <w:p>
                  <w:pPr>
                    <w:spacing w:line="240" w:lineRule="exact"/>
                    <w:jc w:val="center"/>
                    <w:rPr>
                      <w:szCs w:val="21"/>
                    </w:rPr>
                  </w:pPr>
                  <w:r>
                    <w:rPr>
                      <w:szCs w:val="21"/>
                    </w:rPr>
                    <w:t>E</w:t>
                  </w:r>
                </w:p>
              </w:tc>
              <w:tc>
                <w:tcPr>
                  <w:tcW w:w="756" w:type="dxa"/>
                  <w:vMerge w:val="continue"/>
                  <w:vAlign w:val="center"/>
                </w:tcPr>
                <w:p>
                  <w:pPr>
                    <w:widowControl/>
                    <w:jc w:val="left"/>
                    <w:rPr>
                      <w:szCs w:val="21"/>
                    </w:rPr>
                  </w:pPr>
                </w:p>
              </w:tc>
              <w:tc>
                <w:tcPr>
                  <w:tcW w:w="666" w:type="dxa"/>
                  <w:vMerge w:val="continue"/>
                  <w:vAlign w:val="center"/>
                </w:tcPr>
                <w:p>
                  <w:pPr>
                    <w:widowControl/>
                    <w:jc w:val="left"/>
                    <w:rPr>
                      <w:szCs w:val="21"/>
                    </w:rPr>
                  </w:pPr>
                </w:p>
              </w:tc>
              <w:tc>
                <w:tcPr>
                  <w:tcW w:w="644" w:type="dxa"/>
                  <w:vMerge w:val="continue"/>
                  <w:vAlign w:val="center"/>
                </w:tcPr>
                <w:p>
                  <w:pPr>
                    <w:widowControl/>
                    <w:jc w:val="left"/>
                    <w:rPr>
                      <w:szCs w:val="21"/>
                    </w:rPr>
                  </w:pPr>
                </w:p>
              </w:tc>
              <w:tc>
                <w:tcPr>
                  <w:tcW w:w="778" w:type="dxa"/>
                  <w:vMerge w:val="continue"/>
                  <w:vAlign w:val="center"/>
                </w:tcPr>
                <w:p>
                  <w:pPr>
                    <w:widowControl/>
                    <w:jc w:val="left"/>
                    <w:rPr>
                      <w:szCs w:val="21"/>
                    </w:rPr>
                  </w:pPr>
                </w:p>
              </w:tc>
              <w:tc>
                <w:tcPr>
                  <w:tcW w:w="957" w:type="dxa"/>
                  <w:vMerge w:val="continue"/>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restart"/>
                  <w:vAlign w:val="center"/>
                </w:tcPr>
                <w:p>
                  <w:pPr>
                    <w:widowControl/>
                    <w:jc w:val="center"/>
                    <w:rPr>
                      <w:szCs w:val="21"/>
                    </w:rPr>
                  </w:pPr>
                  <w:r>
                    <w:rPr>
                      <w:rFonts w:hint="eastAsia"/>
                      <w:szCs w:val="21"/>
                    </w:rPr>
                    <w:t>环境</w:t>
                  </w:r>
                </w:p>
                <w:p>
                  <w:pPr>
                    <w:widowControl/>
                    <w:jc w:val="center"/>
                    <w:rPr>
                      <w:szCs w:val="21"/>
                    </w:rPr>
                  </w:pPr>
                  <w:r>
                    <w:rPr>
                      <w:rFonts w:hint="eastAsia"/>
                      <w:szCs w:val="21"/>
                    </w:rPr>
                    <w:t>空气</w:t>
                  </w:r>
                </w:p>
              </w:tc>
              <w:tc>
                <w:tcPr>
                  <w:tcW w:w="1066" w:type="dxa"/>
                  <w:vAlign w:val="center"/>
                </w:tcPr>
                <w:p>
                  <w:pPr>
                    <w:widowControl/>
                    <w:jc w:val="center"/>
                    <w:rPr>
                      <w:szCs w:val="21"/>
                    </w:rPr>
                  </w:pPr>
                  <w:r>
                    <w:rPr>
                      <w:rFonts w:hint="eastAsia"/>
                      <w:szCs w:val="21"/>
                    </w:rPr>
                    <w:t>民兴村</w:t>
                  </w:r>
                </w:p>
              </w:tc>
              <w:tc>
                <w:tcPr>
                  <w:tcW w:w="1109" w:type="dxa"/>
                  <w:vAlign w:val="center"/>
                </w:tcPr>
                <w:p>
                  <w:pPr>
                    <w:spacing w:line="240" w:lineRule="exact"/>
                    <w:jc w:val="center"/>
                    <w:rPr>
                      <w:szCs w:val="21"/>
                    </w:rPr>
                  </w:pPr>
                  <w:r>
                    <w:rPr>
                      <w:rFonts w:hint="eastAsia"/>
                      <w:szCs w:val="21"/>
                    </w:rPr>
                    <w:t>3</w:t>
                  </w:r>
                  <w:r>
                    <w:rPr>
                      <w:szCs w:val="21"/>
                    </w:rPr>
                    <w:t>2.710141</w:t>
                  </w:r>
                </w:p>
              </w:tc>
              <w:tc>
                <w:tcPr>
                  <w:tcW w:w="1214" w:type="dxa"/>
                  <w:vAlign w:val="center"/>
                </w:tcPr>
                <w:p>
                  <w:pPr>
                    <w:spacing w:line="240" w:lineRule="exact"/>
                    <w:jc w:val="center"/>
                    <w:rPr>
                      <w:szCs w:val="21"/>
                    </w:rPr>
                  </w:pPr>
                  <w:r>
                    <w:rPr>
                      <w:rFonts w:hint="eastAsia"/>
                      <w:szCs w:val="21"/>
                    </w:rPr>
                    <w:t>1</w:t>
                  </w:r>
                  <w:r>
                    <w:rPr>
                      <w:szCs w:val="21"/>
                    </w:rPr>
                    <w:t>08.917052</w:t>
                  </w:r>
                </w:p>
              </w:tc>
              <w:tc>
                <w:tcPr>
                  <w:tcW w:w="756" w:type="dxa"/>
                  <w:tcBorders>
                    <w:bottom w:val="single" w:color="auto" w:sz="4" w:space="0"/>
                  </w:tcBorders>
                  <w:vAlign w:val="center"/>
                </w:tcPr>
                <w:p>
                  <w:pPr>
                    <w:jc w:val="center"/>
                    <w:rPr>
                      <w:szCs w:val="21"/>
                    </w:rPr>
                  </w:pPr>
                  <w:r>
                    <w:rPr>
                      <w:rFonts w:hint="eastAsia"/>
                      <w:szCs w:val="21"/>
                    </w:rPr>
                    <w:t>居民住宅</w:t>
                  </w:r>
                </w:p>
              </w:tc>
              <w:tc>
                <w:tcPr>
                  <w:tcW w:w="666" w:type="dxa"/>
                  <w:vMerge w:val="restart"/>
                  <w:vAlign w:val="center"/>
                </w:tcPr>
                <w:p>
                  <w:pPr>
                    <w:widowControl/>
                    <w:jc w:val="center"/>
                    <w:rPr>
                      <w:szCs w:val="21"/>
                    </w:rPr>
                  </w:pPr>
                  <w:r>
                    <w:rPr>
                      <w:rFonts w:hint="eastAsia"/>
                      <w:szCs w:val="21"/>
                    </w:rPr>
                    <w:t>人群健康</w:t>
                  </w:r>
                </w:p>
              </w:tc>
              <w:tc>
                <w:tcPr>
                  <w:tcW w:w="644" w:type="dxa"/>
                  <w:vMerge w:val="restart"/>
                  <w:vAlign w:val="center"/>
                </w:tcPr>
                <w:p>
                  <w:pPr>
                    <w:widowControl/>
                    <w:jc w:val="center"/>
                    <w:rPr>
                      <w:szCs w:val="21"/>
                    </w:rPr>
                  </w:pPr>
                  <w:r>
                    <w:rPr>
                      <w:rFonts w:hint="eastAsia"/>
                      <w:szCs w:val="21"/>
                    </w:rPr>
                    <w:t>二类区</w:t>
                  </w:r>
                </w:p>
              </w:tc>
              <w:tc>
                <w:tcPr>
                  <w:tcW w:w="778" w:type="dxa"/>
                  <w:vAlign w:val="center"/>
                </w:tcPr>
                <w:p>
                  <w:pPr>
                    <w:widowControl/>
                    <w:jc w:val="center"/>
                    <w:rPr>
                      <w:szCs w:val="21"/>
                    </w:rPr>
                  </w:pPr>
                  <w:r>
                    <w:rPr>
                      <w:rFonts w:hint="eastAsia"/>
                      <w:szCs w:val="21"/>
                    </w:rPr>
                    <w:t>东、南</w:t>
                  </w:r>
                </w:p>
              </w:tc>
              <w:tc>
                <w:tcPr>
                  <w:tcW w:w="957" w:type="dxa"/>
                  <w:vAlign w:val="center"/>
                </w:tcPr>
                <w:p>
                  <w:pPr>
                    <w:widowControl/>
                    <w:jc w:val="center"/>
                    <w:rPr>
                      <w:szCs w:val="21"/>
                    </w:rPr>
                  </w:pPr>
                  <w:r>
                    <w:rPr>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continue"/>
                  <w:vAlign w:val="center"/>
                </w:tcPr>
                <w:p>
                  <w:pPr>
                    <w:widowControl/>
                    <w:jc w:val="center"/>
                    <w:rPr>
                      <w:szCs w:val="21"/>
                    </w:rPr>
                  </w:pPr>
                </w:p>
              </w:tc>
              <w:tc>
                <w:tcPr>
                  <w:tcW w:w="1066" w:type="dxa"/>
                  <w:vAlign w:val="center"/>
                </w:tcPr>
                <w:p>
                  <w:pPr>
                    <w:widowControl/>
                    <w:jc w:val="center"/>
                    <w:rPr>
                      <w:szCs w:val="21"/>
                    </w:rPr>
                  </w:pPr>
                  <w:r>
                    <w:rPr>
                      <w:rFonts w:hint="eastAsia"/>
                      <w:szCs w:val="21"/>
                    </w:rPr>
                    <w:t>五里民兴幼儿园</w:t>
                  </w:r>
                </w:p>
              </w:tc>
              <w:tc>
                <w:tcPr>
                  <w:tcW w:w="1109" w:type="dxa"/>
                  <w:vAlign w:val="center"/>
                </w:tcPr>
                <w:p>
                  <w:pPr>
                    <w:spacing w:line="240" w:lineRule="exact"/>
                    <w:jc w:val="center"/>
                    <w:rPr>
                      <w:szCs w:val="21"/>
                    </w:rPr>
                  </w:pPr>
                  <w:r>
                    <w:rPr>
                      <w:rFonts w:hint="eastAsia"/>
                      <w:szCs w:val="21"/>
                    </w:rPr>
                    <w:t>3</w:t>
                  </w:r>
                  <w:r>
                    <w:rPr>
                      <w:szCs w:val="21"/>
                    </w:rPr>
                    <w:t>2.712051</w:t>
                  </w:r>
                </w:p>
              </w:tc>
              <w:tc>
                <w:tcPr>
                  <w:tcW w:w="1214" w:type="dxa"/>
                  <w:vAlign w:val="center"/>
                </w:tcPr>
                <w:p>
                  <w:pPr>
                    <w:spacing w:line="240" w:lineRule="exact"/>
                    <w:jc w:val="center"/>
                    <w:rPr>
                      <w:szCs w:val="21"/>
                    </w:rPr>
                  </w:pPr>
                  <w:r>
                    <w:rPr>
                      <w:rFonts w:hint="eastAsia"/>
                      <w:szCs w:val="21"/>
                    </w:rPr>
                    <w:t>1</w:t>
                  </w:r>
                  <w:r>
                    <w:rPr>
                      <w:szCs w:val="21"/>
                    </w:rPr>
                    <w:t>08.914943</w:t>
                  </w:r>
                </w:p>
              </w:tc>
              <w:tc>
                <w:tcPr>
                  <w:tcW w:w="756" w:type="dxa"/>
                  <w:tcBorders>
                    <w:top w:val="single" w:color="auto" w:sz="4" w:space="0"/>
                  </w:tcBorders>
                  <w:vAlign w:val="center"/>
                </w:tcPr>
                <w:p>
                  <w:pPr>
                    <w:jc w:val="center"/>
                    <w:rPr>
                      <w:szCs w:val="21"/>
                    </w:rPr>
                  </w:pPr>
                  <w:r>
                    <w:rPr>
                      <w:rFonts w:hint="eastAsia"/>
                      <w:szCs w:val="21"/>
                    </w:rPr>
                    <w:t>学校</w:t>
                  </w:r>
                </w:p>
              </w:tc>
              <w:tc>
                <w:tcPr>
                  <w:tcW w:w="666" w:type="dxa"/>
                  <w:vMerge w:val="continue"/>
                  <w:vAlign w:val="center"/>
                </w:tcPr>
                <w:p>
                  <w:pPr>
                    <w:jc w:val="center"/>
                    <w:rPr>
                      <w:szCs w:val="21"/>
                    </w:rPr>
                  </w:pPr>
                </w:p>
              </w:tc>
              <w:tc>
                <w:tcPr>
                  <w:tcW w:w="644" w:type="dxa"/>
                  <w:vMerge w:val="continue"/>
                  <w:vAlign w:val="center"/>
                </w:tcPr>
                <w:p>
                  <w:pPr>
                    <w:jc w:val="center"/>
                    <w:rPr>
                      <w:szCs w:val="21"/>
                    </w:rPr>
                  </w:pPr>
                </w:p>
              </w:tc>
              <w:tc>
                <w:tcPr>
                  <w:tcW w:w="778" w:type="dxa"/>
                  <w:vAlign w:val="center"/>
                </w:tcPr>
                <w:p>
                  <w:pPr>
                    <w:widowControl/>
                    <w:jc w:val="center"/>
                    <w:rPr>
                      <w:szCs w:val="21"/>
                    </w:rPr>
                  </w:pPr>
                  <w:r>
                    <w:rPr>
                      <w:rFonts w:hint="eastAsia"/>
                      <w:szCs w:val="21"/>
                    </w:rPr>
                    <w:t>南</w:t>
                  </w:r>
                </w:p>
              </w:tc>
              <w:tc>
                <w:tcPr>
                  <w:tcW w:w="957" w:type="dxa"/>
                  <w:vAlign w:val="center"/>
                </w:tcPr>
                <w:p>
                  <w:pPr>
                    <w:widowControl/>
                    <w:jc w:val="center"/>
                    <w:rPr>
                      <w:szCs w:val="21"/>
                    </w:rPr>
                  </w:pPr>
                  <w:r>
                    <w:rPr>
                      <w:szCs w:val="21"/>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continue"/>
                  <w:vAlign w:val="center"/>
                </w:tcPr>
                <w:p>
                  <w:pPr>
                    <w:widowControl/>
                    <w:jc w:val="center"/>
                    <w:rPr>
                      <w:szCs w:val="21"/>
                    </w:rPr>
                  </w:pPr>
                </w:p>
              </w:tc>
              <w:tc>
                <w:tcPr>
                  <w:tcW w:w="1066" w:type="dxa"/>
                  <w:vAlign w:val="center"/>
                </w:tcPr>
                <w:p>
                  <w:pPr>
                    <w:widowControl/>
                    <w:jc w:val="center"/>
                    <w:rPr>
                      <w:szCs w:val="21"/>
                    </w:rPr>
                  </w:pPr>
                  <w:r>
                    <w:rPr>
                      <w:rFonts w:hint="eastAsia"/>
                      <w:szCs w:val="21"/>
                    </w:rPr>
                    <w:t>西桥村</w:t>
                  </w:r>
                </w:p>
              </w:tc>
              <w:tc>
                <w:tcPr>
                  <w:tcW w:w="1109" w:type="dxa"/>
                  <w:vAlign w:val="center"/>
                </w:tcPr>
                <w:p>
                  <w:pPr>
                    <w:spacing w:line="240" w:lineRule="exact"/>
                    <w:jc w:val="center"/>
                    <w:rPr>
                      <w:szCs w:val="21"/>
                    </w:rPr>
                  </w:pPr>
                  <w:r>
                    <w:rPr>
                      <w:rFonts w:hint="eastAsia"/>
                      <w:szCs w:val="21"/>
                    </w:rPr>
                    <w:t>3</w:t>
                  </w:r>
                  <w:r>
                    <w:rPr>
                      <w:szCs w:val="21"/>
                    </w:rPr>
                    <w:t>2.709229</w:t>
                  </w:r>
                </w:p>
              </w:tc>
              <w:tc>
                <w:tcPr>
                  <w:tcW w:w="1214" w:type="dxa"/>
                  <w:vAlign w:val="center"/>
                </w:tcPr>
                <w:p>
                  <w:pPr>
                    <w:spacing w:line="240" w:lineRule="exact"/>
                    <w:jc w:val="center"/>
                    <w:rPr>
                      <w:szCs w:val="21"/>
                    </w:rPr>
                  </w:pPr>
                  <w:r>
                    <w:rPr>
                      <w:rFonts w:hint="eastAsia"/>
                      <w:szCs w:val="21"/>
                    </w:rPr>
                    <w:t>1</w:t>
                  </w:r>
                  <w:r>
                    <w:rPr>
                      <w:szCs w:val="21"/>
                    </w:rPr>
                    <w:t>08.911440</w:t>
                  </w:r>
                </w:p>
              </w:tc>
              <w:tc>
                <w:tcPr>
                  <w:tcW w:w="756" w:type="dxa"/>
                  <w:vMerge w:val="restart"/>
                  <w:vAlign w:val="center"/>
                </w:tcPr>
                <w:p>
                  <w:pPr>
                    <w:jc w:val="center"/>
                    <w:rPr>
                      <w:szCs w:val="21"/>
                    </w:rPr>
                  </w:pPr>
                  <w:r>
                    <w:rPr>
                      <w:rFonts w:hint="eastAsia"/>
                      <w:szCs w:val="21"/>
                    </w:rPr>
                    <w:t>居民住宅</w:t>
                  </w:r>
                </w:p>
              </w:tc>
              <w:tc>
                <w:tcPr>
                  <w:tcW w:w="666" w:type="dxa"/>
                  <w:vMerge w:val="continue"/>
                  <w:vAlign w:val="center"/>
                </w:tcPr>
                <w:p>
                  <w:pPr>
                    <w:jc w:val="center"/>
                    <w:rPr>
                      <w:szCs w:val="21"/>
                    </w:rPr>
                  </w:pPr>
                </w:p>
              </w:tc>
              <w:tc>
                <w:tcPr>
                  <w:tcW w:w="644" w:type="dxa"/>
                  <w:vMerge w:val="continue"/>
                  <w:vAlign w:val="center"/>
                </w:tcPr>
                <w:p>
                  <w:pPr>
                    <w:jc w:val="center"/>
                    <w:rPr>
                      <w:szCs w:val="21"/>
                    </w:rPr>
                  </w:pPr>
                </w:p>
              </w:tc>
              <w:tc>
                <w:tcPr>
                  <w:tcW w:w="778" w:type="dxa"/>
                  <w:vAlign w:val="center"/>
                </w:tcPr>
                <w:p>
                  <w:pPr>
                    <w:widowControl/>
                    <w:jc w:val="center"/>
                    <w:rPr>
                      <w:szCs w:val="21"/>
                    </w:rPr>
                  </w:pPr>
                  <w:r>
                    <w:rPr>
                      <w:rFonts w:hint="eastAsia"/>
                      <w:szCs w:val="21"/>
                    </w:rPr>
                    <w:t>西南</w:t>
                  </w:r>
                </w:p>
              </w:tc>
              <w:tc>
                <w:tcPr>
                  <w:tcW w:w="957" w:type="dxa"/>
                  <w:vAlign w:val="center"/>
                </w:tcPr>
                <w:p>
                  <w:pPr>
                    <w:widowControl/>
                    <w:jc w:val="center"/>
                    <w:rPr>
                      <w:szCs w:val="21"/>
                    </w:rPr>
                  </w:pPr>
                  <w:r>
                    <w:rPr>
                      <w:rFonts w:hint="eastAsia"/>
                      <w:szCs w:val="21"/>
                    </w:rPr>
                    <w:t>4</w:t>
                  </w:r>
                  <w:r>
                    <w:rPr>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continue"/>
                  <w:vAlign w:val="center"/>
                </w:tcPr>
                <w:p>
                  <w:pPr>
                    <w:widowControl/>
                    <w:jc w:val="center"/>
                    <w:rPr>
                      <w:szCs w:val="21"/>
                    </w:rPr>
                  </w:pPr>
                </w:p>
              </w:tc>
              <w:tc>
                <w:tcPr>
                  <w:tcW w:w="1066" w:type="dxa"/>
                  <w:vAlign w:val="center"/>
                </w:tcPr>
                <w:p>
                  <w:pPr>
                    <w:widowControl/>
                    <w:jc w:val="center"/>
                    <w:rPr>
                      <w:szCs w:val="21"/>
                    </w:rPr>
                  </w:pPr>
                  <w:r>
                    <w:rPr>
                      <w:rFonts w:hint="eastAsia"/>
                      <w:szCs w:val="21"/>
                    </w:rPr>
                    <w:t>龙头村</w:t>
                  </w:r>
                </w:p>
              </w:tc>
              <w:tc>
                <w:tcPr>
                  <w:tcW w:w="1109" w:type="dxa"/>
                  <w:vAlign w:val="center"/>
                </w:tcPr>
                <w:p>
                  <w:pPr>
                    <w:spacing w:line="240" w:lineRule="exact"/>
                    <w:jc w:val="center"/>
                    <w:rPr>
                      <w:szCs w:val="21"/>
                    </w:rPr>
                  </w:pPr>
                  <w:r>
                    <w:rPr>
                      <w:rFonts w:hint="eastAsia"/>
                      <w:szCs w:val="21"/>
                    </w:rPr>
                    <w:t>3</w:t>
                  </w:r>
                  <w:r>
                    <w:rPr>
                      <w:szCs w:val="21"/>
                    </w:rPr>
                    <w:t>2.710151</w:t>
                  </w:r>
                </w:p>
              </w:tc>
              <w:tc>
                <w:tcPr>
                  <w:tcW w:w="1214" w:type="dxa"/>
                  <w:vAlign w:val="center"/>
                </w:tcPr>
                <w:p>
                  <w:pPr>
                    <w:spacing w:line="240" w:lineRule="exact"/>
                    <w:jc w:val="center"/>
                    <w:rPr>
                      <w:szCs w:val="21"/>
                    </w:rPr>
                  </w:pPr>
                  <w:r>
                    <w:rPr>
                      <w:rFonts w:hint="eastAsia"/>
                      <w:szCs w:val="21"/>
                    </w:rPr>
                    <w:t>1</w:t>
                  </w:r>
                  <w:r>
                    <w:rPr>
                      <w:szCs w:val="21"/>
                    </w:rPr>
                    <w:t>08.920302</w:t>
                  </w:r>
                </w:p>
              </w:tc>
              <w:tc>
                <w:tcPr>
                  <w:tcW w:w="756" w:type="dxa"/>
                  <w:vMerge w:val="continue"/>
                  <w:vAlign w:val="center"/>
                </w:tcPr>
                <w:p>
                  <w:pPr>
                    <w:jc w:val="center"/>
                    <w:rPr>
                      <w:szCs w:val="21"/>
                    </w:rPr>
                  </w:pPr>
                </w:p>
              </w:tc>
              <w:tc>
                <w:tcPr>
                  <w:tcW w:w="666" w:type="dxa"/>
                  <w:vMerge w:val="continue"/>
                  <w:vAlign w:val="center"/>
                </w:tcPr>
                <w:p>
                  <w:pPr>
                    <w:jc w:val="center"/>
                    <w:rPr>
                      <w:szCs w:val="21"/>
                    </w:rPr>
                  </w:pPr>
                </w:p>
              </w:tc>
              <w:tc>
                <w:tcPr>
                  <w:tcW w:w="644" w:type="dxa"/>
                  <w:vMerge w:val="continue"/>
                  <w:vAlign w:val="center"/>
                </w:tcPr>
                <w:p>
                  <w:pPr>
                    <w:jc w:val="center"/>
                    <w:rPr>
                      <w:szCs w:val="21"/>
                    </w:rPr>
                  </w:pPr>
                </w:p>
              </w:tc>
              <w:tc>
                <w:tcPr>
                  <w:tcW w:w="778" w:type="dxa"/>
                  <w:vAlign w:val="center"/>
                </w:tcPr>
                <w:p>
                  <w:pPr>
                    <w:widowControl/>
                    <w:jc w:val="center"/>
                    <w:rPr>
                      <w:szCs w:val="21"/>
                    </w:rPr>
                  </w:pPr>
                  <w:r>
                    <w:rPr>
                      <w:rFonts w:hint="eastAsia"/>
                      <w:szCs w:val="21"/>
                    </w:rPr>
                    <w:t>东南</w:t>
                  </w:r>
                </w:p>
              </w:tc>
              <w:tc>
                <w:tcPr>
                  <w:tcW w:w="957" w:type="dxa"/>
                  <w:vAlign w:val="center"/>
                </w:tcPr>
                <w:p>
                  <w:pPr>
                    <w:widowControl/>
                    <w:jc w:val="center"/>
                    <w:rPr>
                      <w:szCs w:val="21"/>
                    </w:rPr>
                  </w:pPr>
                  <w:r>
                    <w:rPr>
                      <w:rFonts w:hint="eastAsia"/>
                      <w:szCs w:val="21"/>
                    </w:rPr>
                    <w:t>4</w:t>
                  </w:r>
                  <w:r>
                    <w:rPr>
                      <w:szCs w:val="21"/>
                    </w:rPr>
                    <w:t>50</w:t>
                  </w:r>
                </w:p>
              </w:tc>
            </w:tr>
          </w:tbl>
          <w:p>
            <w:pPr>
              <w:spacing w:line="360" w:lineRule="auto"/>
              <w:ind w:firstLine="422" w:firstLineChars="200"/>
              <w:rPr>
                <w:b/>
              </w:rPr>
            </w:pPr>
            <w:r>
              <w:rPr>
                <w:b/>
              </w:rPr>
              <w:t>2</w:t>
            </w:r>
            <w:r>
              <w:rPr>
                <w:rFonts w:hAnsi="宋体"/>
                <w:b/>
              </w:rPr>
              <w:t>、声环境</w:t>
            </w:r>
          </w:p>
          <w:p>
            <w:pPr>
              <w:pStyle w:val="2"/>
              <w:jc w:val="center"/>
              <w:rPr>
                <w:rFonts w:ascii="Times New Roman" w:hAnsi="宋体" w:cs="Times New Roman"/>
                <w:b/>
                <w:color w:val="auto"/>
                <w:sz w:val="21"/>
                <w:szCs w:val="21"/>
              </w:rPr>
            </w:pPr>
            <w:r>
              <w:rPr>
                <w:rFonts w:ascii="Times New Roman" w:hAnsi="宋体" w:cs="Times New Roman"/>
                <w:b/>
                <w:color w:val="auto"/>
                <w:sz w:val="21"/>
                <w:szCs w:val="21"/>
              </w:rPr>
              <w:t>表</w:t>
            </w:r>
            <w:r>
              <w:rPr>
                <w:rFonts w:ascii="Times New Roman" w:cs="Times New Roman"/>
                <w:b/>
                <w:color w:val="auto"/>
                <w:sz w:val="21"/>
                <w:szCs w:val="21"/>
              </w:rPr>
              <w:t xml:space="preserve">3-5    </w:t>
            </w:r>
            <w:r>
              <w:rPr>
                <w:rFonts w:hint="eastAsia" w:ascii="Times New Roman" w:cs="Times New Roman"/>
                <w:b/>
                <w:color w:val="auto"/>
                <w:sz w:val="21"/>
                <w:szCs w:val="21"/>
              </w:rPr>
              <w:t>声环境保护目标</w:t>
            </w:r>
          </w:p>
          <w:tbl>
            <w:tblPr>
              <w:tblStyle w:val="23"/>
              <w:tblW w:w="79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066"/>
              <w:gridCol w:w="1109"/>
              <w:gridCol w:w="1214"/>
              <w:gridCol w:w="756"/>
              <w:gridCol w:w="666"/>
              <w:gridCol w:w="644"/>
              <w:gridCol w:w="778"/>
              <w:gridCol w:w="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restart"/>
                  <w:vAlign w:val="center"/>
                </w:tcPr>
                <w:p>
                  <w:pPr>
                    <w:spacing w:line="240" w:lineRule="exact"/>
                    <w:jc w:val="center"/>
                    <w:rPr>
                      <w:szCs w:val="21"/>
                    </w:rPr>
                  </w:pPr>
                  <w:r>
                    <w:rPr>
                      <w:rFonts w:hint="eastAsia"/>
                      <w:szCs w:val="21"/>
                    </w:rPr>
                    <w:t>环境</w:t>
                  </w:r>
                </w:p>
                <w:p>
                  <w:pPr>
                    <w:spacing w:line="240" w:lineRule="exact"/>
                    <w:jc w:val="center"/>
                    <w:rPr>
                      <w:szCs w:val="21"/>
                    </w:rPr>
                  </w:pPr>
                  <w:r>
                    <w:rPr>
                      <w:rFonts w:hint="eastAsia"/>
                      <w:szCs w:val="21"/>
                    </w:rPr>
                    <w:t>要素</w:t>
                  </w:r>
                </w:p>
              </w:tc>
              <w:tc>
                <w:tcPr>
                  <w:tcW w:w="1066" w:type="dxa"/>
                  <w:vMerge w:val="restart"/>
                  <w:vAlign w:val="center"/>
                </w:tcPr>
                <w:p>
                  <w:pPr>
                    <w:spacing w:line="240" w:lineRule="exact"/>
                    <w:jc w:val="center"/>
                    <w:rPr>
                      <w:szCs w:val="21"/>
                    </w:rPr>
                  </w:pPr>
                  <w:r>
                    <w:rPr>
                      <w:rFonts w:hint="eastAsia"/>
                      <w:szCs w:val="21"/>
                    </w:rPr>
                    <w:t>名称</w:t>
                  </w:r>
                </w:p>
              </w:tc>
              <w:tc>
                <w:tcPr>
                  <w:tcW w:w="2323" w:type="dxa"/>
                  <w:gridSpan w:val="2"/>
                  <w:vAlign w:val="center"/>
                </w:tcPr>
                <w:p>
                  <w:pPr>
                    <w:spacing w:line="240" w:lineRule="exact"/>
                    <w:jc w:val="center"/>
                    <w:rPr>
                      <w:szCs w:val="21"/>
                    </w:rPr>
                  </w:pPr>
                  <w:r>
                    <w:rPr>
                      <w:rFonts w:hint="eastAsia"/>
                      <w:szCs w:val="21"/>
                    </w:rPr>
                    <w:t>坐标</w:t>
                  </w:r>
                </w:p>
              </w:tc>
              <w:tc>
                <w:tcPr>
                  <w:tcW w:w="756" w:type="dxa"/>
                  <w:vMerge w:val="restart"/>
                  <w:vAlign w:val="center"/>
                </w:tcPr>
                <w:p>
                  <w:pPr>
                    <w:spacing w:line="240" w:lineRule="exact"/>
                    <w:jc w:val="center"/>
                    <w:rPr>
                      <w:szCs w:val="21"/>
                    </w:rPr>
                  </w:pPr>
                  <w:r>
                    <w:rPr>
                      <w:rFonts w:hint="eastAsia"/>
                      <w:szCs w:val="21"/>
                    </w:rPr>
                    <w:t>保护</w:t>
                  </w:r>
                </w:p>
                <w:p>
                  <w:pPr>
                    <w:spacing w:line="240" w:lineRule="exact"/>
                    <w:jc w:val="center"/>
                    <w:rPr>
                      <w:szCs w:val="21"/>
                    </w:rPr>
                  </w:pPr>
                  <w:r>
                    <w:rPr>
                      <w:rFonts w:hint="eastAsia"/>
                      <w:szCs w:val="21"/>
                    </w:rPr>
                    <w:t>对象</w:t>
                  </w:r>
                </w:p>
              </w:tc>
              <w:tc>
                <w:tcPr>
                  <w:tcW w:w="666" w:type="dxa"/>
                  <w:vMerge w:val="restart"/>
                  <w:vAlign w:val="center"/>
                </w:tcPr>
                <w:p>
                  <w:pPr>
                    <w:spacing w:line="240" w:lineRule="exact"/>
                    <w:jc w:val="center"/>
                    <w:rPr>
                      <w:szCs w:val="21"/>
                    </w:rPr>
                  </w:pPr>
                  <w:r>
                    <w:rPr>
                      <w:rFonts w:hint="eastAsia"/>
                      <w:szCs w:val="21"/>
                    </w:rPr>
                    <w:t>保护</w:t>
                  </w:r>
                </w:p>
                <w:p>
                  <w:pPr>
                    <w:spacing w:line="240" w:lineRule="exact"/>
                    <w:jc w:val="center"/>
                    <w:rPr>
                      <w:szCs w:val="21"/>
                    </w:rPr>
                  </w:pPr>
                  <w:r>
                    <w:rPr>
                      <w:rFonts w:hint="eastAsia"/>
                      <w:szCs w:val="21"/>
                    </w:rPr>
                    <w:t>内容</w:t>
                  </w:r>
                </w:p>
              </w:tc>
              <w:tc>
                <w:tcPr>
                  <w:tcW w:w="644" w:type="dxa"/>
                  <w:vMerge w:val="restart"/>
                  <w:vAlign w:val="center"/>
                </w:tcPr>
                <w:p>
                  <w:pPr>
                    <w:spacing w:line="240" w:lineRule="exact"/>
                    <w:jc w:val="center"/>
                    <w:rPr>
                      <w:szCs w:val="21"/>
                    </w:rPr>
                  </w:pPr>
                  <w:r>
                    <w:rPr>
                      <w:rFonts w:hint="eastAsia"/>
                      <w:szCs w:val="21"/>
                    </w:rPr>
                    <w:t>功能区</w:t>
                  </w:r>
                </w:p>
              </w:tc>
              <w:tc>
                <w:tcPr>
                  <w:tcW w:w="778" w:type="dxa"/>
                  <w:vMerge w:val="restart"/>
                  <w:vAlign w:val="center"/>
                </w:tcPr>
                <w:p>
                  <w:pPr>
                    <w:spacing w:line="240" w:lineRule="exact"/>
                    <w:jc w:val="center"/>
                    <w:rPr>
                      <w:szCs w:val="21"/>
                    </w:rPr>
                  </w:pPr>
                  <w:r>
                    <w:rPr>
                      <w:rFonts w:hint="eastAsia"/>
                      <w:szCs w:val="21"/>
                    </w:rPr>
                    <w:t>相对</w:t>
                  </w:r>
                </w:p>
                <w:p>
                  <w:pPr>
                    <w:spacing w:line="240" w:lineRule="exact"/>
                    <w:jc w:val="center"/>
                    <w:rPr>
                      <w:szCs w:val="21"/>
                    </w:rPr>
                  </w:pPr>
                  <w:r>
                    <w:rPr>
                      <w:rFonts w:hint="eastAsia"/>
                      <w:szCs w:val="21"/>
                    </w:rPr>
                    <w:t>方位</w:t>
                  </w:r>
                </w:p>
              </w:tc>
              <w:tc>
                <w:tcPr>
                  <w:tcW w:w="957" w:type="dxa"/>
                  <w:vMerge w:val="restart"/>
                  <w:vAlign w:val="center"/>
                </w:tcPr>
                <w:p>
                  <w:pPr>
                    <w:spacing w:line="240" w:lineRule="exact"/>
                    <w:jc w:val="center"/>
                    <w:rPr>
                      <w:szCs w:val="21"/>
                    </w:rPr>
                  </w:pPr>
                  <w:r>
                    <w:rPr>
                      <w:rFonts w:hint="eastAsia"/>
                      <w:szCs w:val="21"/>
                    </w:rPr>
                    <w:t>与项目最近距离</w:t>
                  </w:r>
                  <w:r>
                    <w:rPr>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Merge w:val="continue"/>
                  <w:vAlign w:val="center"/>
                </w:tcPr>
                <w:p>
                  <w:pPr>
                    <w:widowControl/>
                    <w:jc w:val="left"/>
                    <w:rPr>
                      <w:szCs w:val="21"/>
                    </w:rPr>
                  </w:pPr>
                </w:p>
              </w:tc>
              <w:tc>
                <w:tcPr>
                  <w:tcW w:w="1066" w:type="dxa"/>
                  <w:vMerge w:val="continue"/>
                  <w:vAlign w:val="center"/>
                </w:tcPr>
                <w:p>
                  <w:pPr>
                    <w:widowControl/>
                    <w:jc w:val="left"/>
                    <w:rPr>
                      <w:szCs w:val="21"/>
                    </w:rPr>
                  </w:pPr>
                </w:p>
              </w:tc>
              <w:tc>
                <w:tcPr>
                  <w:tcW w:w="1109" w:type="dxa"/>
                  <w:vAlign w:val="center"/>
                </w:tcPr>
                <w:p>
                  <w:pPr>
                    <w:spacing w:line="240" w:lineRule="exact"/>
                    <w:jc w:val="center"/>
                    <w:rPr>
                      <w:szCs w:val="21"/>
                    </w:rPr>
                  </w:pPr>
                  <w:r>
                    <w:rPr>
                      <w:szCs w:val="21"/>
                    </w:rPr>
                    <w:t>N</w:t>
                  </w:r>
                </w:p>
              </w:tc>
              <w:tc>
                <w:tcPr>
                  <w:tcW w:w="1214" w:type="dxa"/>
                  <w:vAlign w:val="center"/>
                </w:tcPr>
                <w:p>
                  <w:pPr>
                    <w:spacing w:line="240" w:lineRule="exact"/>
                    <w:jc w:val="center"/>
                    <w:rPr>
                      <w:szCs w:val="21"/>
                    </w:rPr>
                  </w:pPr>
                  <w:r>
                    <w:rPr>
                      <w:szCs w:val="21"/>
                    </w:rPr>
                    <w:t>E</w:t>
                  </w:r>
                </w:p>
              </w:tc>
              <w:tc>
                <w:tcPr>
                  <w:tcW w:w="756" w:type="dxa"/>
                  <w:vMerge w:val="continue"/>
                  <w:vAlign w:val="center"/>
                </w:tcPr>
                <w:p>
                  <w:pPr>
                    <w:widowControl/>
                    <w:jc w:val="left"/>
                    <w:rPr>
                      <w:szCs w:val="21"/>
                    </w:rPr>
                  </w:pPr>
                </w:p>
              </w:tc>
              <w:tc>
                <w:tcPr>
                  <w:tcW w:w="666" w:type="dxa"/>
                  <w:vMerge w:val="continue"/>
                  <w:vAlign w:val="center"/>
                </w:tcPr>
                <w:p>
                  <w:pPr>
                    <w:widowControl/>
                    <w:jc w:val="left"/>
                    <w:rPr>
                      <w:szCs w:val="21"/>
                    </w:rPr>
                  </w:pPr>
                </w:p>
              </w:tc>
              <w:tc>
                <w:tcPr>
                  <w:tcW w:w="644" w:type="dxa"/>
                  <w:vMerge w:val="continue"/>
                  <w:vAlign w:val="center"/>
                </w:tcPr>
                <w:p>
                  <w:pPr>
                    <w:widowControl/>
                    <w:jc w:val="left"/>
                    <w:rPr>
                      <w:szCs w:val="21"/>
                    </w:rPr>
                  </w:pPr>
                </w:p>
              </w:tc>
              <w:tc>
                <w:tcPr>
                  <w:tcW w:w="778" w:type="dxa"/>
                  <w:vMerge w:val="continue"/>
                  <w:vAlign w:val="center"/>
                </w:tcPr>
                <w:p>
                  <w:pPr>
                    <w:widowControl/>
                    <w:jc w:val="left"/>
                    <w:rPr>
                      <w:szCs w:val="21"/>
                    </w:rPr>
                  </w:pPr>
                </w:p>
              </w:tc>
              <w:tc>
                <w:tcPr>
                  <w:tcW w:w="957" w:type="dxa"/>
                  <w:vMerge w:val="continue"/>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807" w:type="dxa"/>
                  <w:vAlign w:val="center"/>
                </w:tcPr>
                <w:p>
                  <w:pPr>
                    <w:widowControl/>
                    <w:jc w:val="center"/>
                    <w:rPr>
                      <w:szCs w:val="21"/>
                    </w:rPr>
                  </w:pPr>
                  <w:r>
                    <w:rPr>
                      <w:rFonts w:hint="eastAsia"/>
                      <w:szCs w:val="21"/>
                    </w:rPr>
                    <w:t>声环境</w:t>
                  </w:r>
                </w:p>
              </w:tc>
              <w:tc>
                <w:tcPr>
                  <w:tcW w:w="1066" w:type="dxa"/>
                  <w:vAlign w:val="center"/>
                </w:tcPr>
                <w:p>
                  <w:pPr>
                    <w:widowControl/>
                    <w:jc w:val="center"/>
                    <w:rPr>
                      <w:szCs w:val="21"/>
                    </w:rPr>
                  </w:pPr>
                  <w:r>
                    <w:rPr>
                      <w:rFonts w:hint="eastAsia"/>
                      <w:szCs w:val="21"/>
                    </w:rPr>
                    <w:t>民兴村</w:t>
                  </w:r>
                </w:p>
              </w:tc>
              <w:tc>
                <w:tcPr>
                  <w:tcW w:w="1109" w:type="dxa"/>
                  <w:vAlign w:val="center"/>
                </w:tcPr>
                <w:p>
                  <w:pPr>
                    <w:spacing w:line="240" w:lineRule="exact"/>
                    <w:jc w:val="center"/>
                    <w:rPr>
                      <w:szCs w:val="21"/>
                    </w:rPr>
                  </w:pPr>
                  <w:r>
                    <w:rPr>
                      <w:rFonts w:hint="eastAsia"/>
                      <w:szCs w:val="21"/>
                    </w:rPr>
                    <w:t>3</w:t>
                  </w:r>
                  <w:r>
                    <w:rPr>
                      <w:szCs w:val="21"/>
                    </w:rPr>
                    <w:t>2.710141</w:t>
                  </w:r>
                </w:p>
              </w:tc>
              <w:tc>
                <w:tcPr>
                  <w:tcW w:w="1214" w:type="dxa"/>
                  <w:vAlign w:val="center"/>
                </w:tcPr>
                <w:p>
                  <w:pPr>
                    <w:spacing w:line="240" w:lineRule="exact"/>
                    <w:jc w:val="center"/>
                    <w:rPr>
                      <w:szCs w:val="21"/>
                    </w:rPr>
                  </w:pPr>
                  <w:r>
                    <w:rPr>
                      <w:rFonts w:hint="eastAsia"/>
                      <w:szCs w:val="21"/>
                    </w:rPr>
                    <w:t>1</w:t>
                  </w:r>
                  <w:r>
                    <w:rPr>
                      <w:szCs w:val="21"/>
                    </w:rPr>
                    <w:t>08.917052</w:t>
                  </w:r>
                </w:p>
              </w:tc>
              <w:tc>
                <w:tcPr>
                  <w:tcW w:w="756" w:type="dxa"/>
                  <w:vAlign w:val="center"/>
                </w:tcPr>
                <w:p>
                  <w:pPr>
                    <w:jc w:val="center"/>
                    <w:rPr>
                      <w:szCs w:val="21"/>
                    </w:rPr>
                  </w:pPr>
                  <w:r>
                    <w:rPr>
                      <w:rFonts w:hint="eastAsia"/>
                      <w:szCs w:val="21"/>
                    </w:rPr>
                    <w:t>居民住宅</w:t>
                  </w:r>
                </w:p>
              </w:tc>
              <w:tc>
                <w:tcPr>
                  <w:tcW w:w="666" w:type="dxa"/>
                  <w:vAlign w:val="center"/>
                </w:tcPr>
                <w:p>
                  <w:pPr>
                    <w:widowControl/>
                    <w:jc w:val="center"/>
                    <w:rPr>
                      <w:szCs w:val="21"/>
                    </w:rPr>
                  </w:pPr>
                  <w:r>
                    <w:rPr>
                      <w:rFonts w:hint="eastAsia"/>
                      <w:szCs w:val="21"/>
                    </w:rPr>
                    <w:t>人群健康</w:t>
                  </w:r>
                </w:p>
              </w:tc>
              <w:tc>
                <w:tcPr>
                  <w:tcW w:w="644" w:type="dxa"/>
                  <w:vAlign w:val="center"/>
                </w:tcPr>
                <w:p>
                  <w:pPr>
                    <w:widowControl/>
                    <w:jc w:val="center"/>
                    <w:rPr>
                      <w:szCs w:val="21"/>
                    </w:rPr>
                  </w:pPr>
                  <w:r>
                    <w:rPr>
                      <w:rFonts w:hint="eastAsia"/>
                      <w:szCs w:val="21"/>
                    </w:rPr>
                    <w:t>2类区</w:t>
                  </w:r>
                </w:p>
              </w:tc>
              <w:tc>
                <w:tcPr>
                  <w:tcW w:w="778" w:type="dxa"/>
                  <w:vAlign w:val="center"/>
                </w:tcPr>
                <w:p>
                  <w:pPr>
                    <w:widowControl/>
                    <w:jc w:val="center"/>
                    <w:rPr>
                      <w:szCs w:val="21"/>
                    </w:rPr>
                  </w:pPr>
                  <w:r>
                    <w:rPr>
                      <w:rFonts w:hint="eastAsia"/>
                      <w:szCs w:val="21"/>
                    </w:rPr>
                    <w:t>东、南</w:t>
                  </w:r>
                </w:p>
              </w:tc>
              <w:tc>
                <w:tcPr>
                  <w:tcW w:w="957" w:type="dxa"/>
                  <w:vAlign w:val="center"/>
                </w:tcPr>
                <w:p>
                  <w:pPr>
                    <w:widowControl/>
                    <w:jc w:val="center"/>
                    <w:rPr>
                      <w:szCs w:val="21"/>
                    </w:rPr>
                  </w:pPr>
                  <w:r>
                    <w:rPr>
                      <w:szCs w:val="21"/>
                    </w:rPr>
                    <w:t>25</w:t>
                  </w:r>
                </w:p>
              </w:tc>
            </w:tr>
          </w:tbl>
          <w:p>
            <w:pPr>
              <w:spacing w:line="360" w:lineRule="auto"/>
              <w:ind w:firstLine="422" w:firstLineChars="200"/>
              <w:rPr>
                <w:b/>
              </w:rPr>
            </w:pPr>
            <w:r>
              <w:rPr>
                <w:b/>
              </w:rPr>
              <w:t>3</w:t>
            </w:r>
            <w:r>
              <w:rPr>
                <w:rFonts w:hAnsi="宋体"/>
                <w:b/>
              </w:rPr>
              <w:t>、地下水环境</w:t>
            </w:r>
          </w:p>
          <w:p>
            <w:pPr>
              <w:spacing w:line="360" w:lineRule="auto"/>
              <w:ind w:firstLine="420" w:firstLineChars="200"/>
            </w:pPr>
            <w:r>
              <w:rPr>
                <w:rFonts w:hint="eastAsia"/>
              </w:rPr>
              <w:t>经调查，项目厂界500m范围内无地下水集中式饮用水水源和热水、矿泉水、温泉等特殊地下水资源。</w:t>
            </w:r>
          </w:p>
          <w:p>
            <w:pPr>
              <w:spacing w:line="360" w:lineRule="auto"/>
              <w:ind w:firstLine="422" w:firstLineChars="200"/>
              <w:rPr>
                <w:b/>
              </w:rPr>
            </w:pPr>
            <w:r>
              <w:rPr>
                <w:b/>
              </w:rPr>
              <w:t>4</w:t>
            </w:r>
            <w:r>
              <w:rPr>
                <w:rFonts w:hAnsi="宋体"/>
                <w:b/>
              </w:rPr>
              <w:t>、生态环境</w:t>
            </w:r>
          </w:p>
          <w:p>
            <w:pPr>
              <w:spacing w:line="360" w:lineRule="auto"/>
              <w:ind w:firstLine="420" w:firstLineChars="200"/>
            </w:pPr>
            <w:r>
              <w:rPr>
                <w:rFonts w:hint="eastAsia" w:ascii="宋体" w:hAnsi="宋体" w:cs="宋体"/>
              </w:rPr>
              <w:t>本项目位于安康市汉滨区五里工业集中区，用地范围内无受影响的重要物种、生态敏感区及其他需要保护的物种、种群、生物群落及生态空间等。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572"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243" w:type="dxa"/>
            <w:vAlign w:val="center"/>
          </w:tcPr>
          <w:p>
            <w:pPr>
              <w:spacing w:line="360" w:lineRule="auto"/>
              <w:ind w:firstLine="422" w:firstLineChars="200"/>
              <w:rPr>
                <w:b/>
              </w:rPr>
            </w:pPr>
            <w:r>
              <w:rPr>
                <w:b/>
              </w:rPr>
              <w:t>1</w:t>
            </w:r>
            <w:r>
              <w:rPr>
                <w:rFonts w:hAnsi="宋体"/>
                <w:b/>
              </w:rPr>
              <w:t>、废气</w:t>
            </w:r>
          </w:p>
          <w:p>
            <w:pPr>
              <w:spacing w:line="360" w:lineRule="auto"/>
              <w:ind w:firstLine="420" w:firstLineChars="200"/>
              <w:rPr>
                <w:rFonts w:hAnsi="宋体"/>
                <w:bCs/>
                <w:szCs w:val="21"/>
              </w:rPr>
            </w:pPr>
            <w:r>
              <w:rPr>
                <w:rFonts w:hAnsi="宋体"/>
                <w:bCs/>
                <w:szCs w:val="21"/>
              </w:rPr>
              <w:t>施工期扬尘执行《施工厂界扬尘排放限值》（</w:t>
            </w:r>
            <w:r>
              <w:rPr>
                <w:bCs/>
                <w:szCs w:val="21"/>
              </w:rPr>
              <w:t>DB61/1078-2017</w:t>
            </w:r>
            <w:r>
              <w:rPr>
                <w:rFonts w:hAnsi="宋体"/>
                <w:bCs/>
                <w:szCs w:val="21"/>
              </w:rPr>
              <w:t>）表</w:t>
            </w:r>
            <w:r>
              <w:rPr>
                <w:bCs/>
                <w:szCs w:val="21"/>
              </w:rPr>
              <w:t>1</w:t>
            </w:r>
            <w:r>
              <w:rPr>
                <w:rFonts w:hAnsi="宋体"/>
                <w:bCs/>
                <w:szCs w:val="21"/>
              </w:rPr>
              <w:t>中浓度限值；</w:t>
            </w:r>
            <w:r>
              <w:rPr>
                <w:rFonts w:hint="eastAsia" w:hAnsi="宋体"/>
                <w:bCs/>
                <w:color w:val="0000FF"/>
                <w:szCs w:val="21"/>
              </w:rPr>
              <w:t>运营期废气参照执行《挥发性有机物排放控制标准》（D</w:t>
            </w:r>
            <w:r>
              <w:rPr>
                <w:rFonts w:hAnsi="宋体"/>
                <w:bCs/>
                <w:color w:val="0000FF"/>
                <w:szCs w:val="21"/>
              </w:rPr>
              <w:t>B61/T1061-2017</w:t>
            </w:r>
            <w:r>
              <w:rPr>
                <w:rFonts w:hint="eastAsia" w:hAnsi="宋体"/>
                <w:bCs/>
                <w:color w:val="0000FF"/>
                <w:szCs w:val="21"/>
              </w:rPr>
              <w:t>）表1中“表面涂装”行业有组织排放限值和表</w:t>
            </w:r>
            <w:r>
              <w:rPr>
                <w:rFonts w:hAnsi="宋体"/>
                <w:bCs/>
                <w:color w:val="0000FF"/>
                <w:szCs w:val="21"/>
              </w:rPr>
              <w:t>3</w:t>
            </w:r>
            <w:r>
              <w:rPr>
                <w:rFonts w:hint="eastAsia" w:hAnsi="宋体"/>
                <w:bCs/>
                <w:color w:val="0000FF"/>
                <w:szCs w:val="21"/>
              </w:rPr>
              <w:t>中企业边界监控点浓度限值；</w:t>
            </w:r>
            <w:r>
              <w:rPr>
                <w:rFonts w:hint="eastAsia" w:hAnsi="宋体"/>
                <w:bCs/>
                <w:szCs w:val="21"/>
              </w:rPr>
              <w:t>厂区内V</w:t>
            </w:r>
            <w:r>
              <w:rPr>
                <w:rFonts w:hAnsi="宋体"/>
                <w:bCs/>
                <w:szCs w:val="21"/>
              </w:rPr>
              <w:t>OC</w:t>
            </w:r>
            <w:r>
              <w:rPr>
                <w:rFonts w:hAnsi="宋体"/>
                <w:bCs/>
                <w:szCs w:val="21"/>
                <w:vertAlign w:val="subscript"/>
              </w:rPr>
              <w:t>S</w:t>
            </w:r>
            <w:r>
              <w:rPr>
                <w:rFonts w:hint="eastAsia" w:hAnsi="宋体"/>
                <w:bCs/>
                <w:szCs w:val="21"/>
              </w:rPr>
              <w:t>无组织排放监控值执行《挥发性有机物无组织排放控制标准》（G</w:t>
            </w:r>
            <w:r>
              <w:rPr>
                <w:rFonts w:hAnsi="宋体"/>
                <w:bCs/>
                <w:szCs w:val="21"/>
              </w:rPr>
              <w:t>B37822-2019</w:t>
            </w:r>
            <w:r>
              <w:rPr>
                <w:rFonts w:hint="eastAsia" w:hAnsi="宋体"/>
                <w:bCs/>
                <w:szCs w:val="21"/>
              </w:rPr>
              <w:t>）表A</w:t>
            </w:r>
            <w:r>
              <w:rPr>
                <w:rFonts w:hAnsi="宋体"/>
                <w:bCs/>
                <w:szCs w:val="21"/>
              </w:rPr>
              <w:t>.1</w:t>
            </w:r>
            <w:r>
              <w:rPr>
                <w:rFonts w:hint="eastAsia" w:hAnsi="宋体"/>
                <w:bCs/>
                <w:szCs w:val="21"/>
              </w:rPr>
              <w:t>排放限值。</w:t>
            </w:r>
          </w:p>
          <w:p>
            <w:pPr>
              <w:pStyle w:val="2"/>
              <w:jc w:val="center"/>
              <w:rPr>
                <w:rFonts w:ascii="Times New Roman" w:hAnsi="宋体" w:cs="Times New Roman"/>
                <w:b/>
                <w:color w:val="0000FF"/>
                <w:sz w:val="21"/>
                <w:szCs w:val="21"/>
              </w:rPr>
            </w:pPr>
            <w:r>
              <w:rPr>
                <w:rFonts w:ascii="Times New Roman" w:hAnsi="宋体" w:cs="Times New Roman"/>
                <w:b/>
                <w:color w:val="0000FF"/>
                <w:sz w:val="21"/>
                <w:szCs w:val="21"/>
              </w:rPr>
              <w:t>表</w:t>
            </w:r>
            <w:r>
              <w:rPr>
                <w:rFonts w:ascii="Times New Roman" w:cs="Times New Roman"/>
                <w:b/>
                <w:color w:val="0000FF"/>
                <w:sz w:val="21"/>
                <w:szCs w:val="21"/>
              </w:rPr>
              <w:t xml:space="preserve">3-6    </w:t>
            </w:r>
            <w:r>
              <w:rPr>
                <w:rFonts w:hint="eastAsia" w:ascii="Times New Roman" w:cs="Times New Roman"/>
                <w:b/>
                <w:color w:val="0000FF"/>
                <w:sz w:val="21"/>
                <w:szCs w:val="21"/>
              </w:rPr>
              <w:t>挥发性有机物排放控制标准</w:t>
            </w:r>
            <w:r>
              <w:rPr>
                <w:rFonts w:hint="eastAsia" w:ascii="Times New Roman" w:hAnsi="宋体" w:cs="Times New Roman"/>
                <w:b/>
                <w:color w:val="0000FF"/>
                <w:sz w:val="21"/>
                <w:szCs w:val="21"/>
              </w:rPr>
              <w:t>（</w:t>
            </w:r>
            <w:r>
              <w:rPr>
                <w:rFonts w:ascii="Times New Roman" w:hAnsi="宋体" w:cs="Times New Roman"/>
                <w:b/>
                <w:color w:val="0000FF"/>
                <w:sz w:val="21"/>
                <w:szCs w:val="21"/>
              </w:rPr>
              <w:t>DB61/T1078-2017</w:t>
            </w:r>
            <w:r>
              <w:rPr>
                <w:rFonts w:hint="eastAsia" w:ascii="Times New Roman" w:hAnsi="宋体" w:cs="Times New Roman"/>
                <w:b/>
                <w:color w:val="0000FF"/>
                <w:sz w:val="21"/>
                <w:szCs w:val="21"/>
              </w:rPr>
              <w:t>）</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2"/>
              <w:gridCol w:w="1679"/>
              <w:gridCol w:w="1680"/>
              <w:gridCol w:w="1885"/>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312" w:type="dxa"/>
                  <w:vMerge w:val="restart"/>
                  <w:tcBorders>
                    <w:right w:val="single" w:color="auto" w:sz="4" w:space="0"/>
                  </w:tcBorders>
                  <w:vAlign w:val="center"/>
                </w:tcPr>
                <w:p>
                  <w:pPr>
                    <w:jc w:val="center"/>
                    <w:rPr>
                      <w:color w:val="0000FF"/>
                      <w:szCs w:val="21"/>
                    </w:rPr>
                  </w:pPr>
                  <w:r>
                    <w:rPr>
                      <w:rFonts w:hint="eastAsia"/>
                      <w:color w:val="0000FF"/>
                      <w:szCs w:val="21"/>
                    </w:rPr>
                    <w:t>污染物</w:t>
                  </w:r>
                </w:p>
              </w:tc>
              <w:tc>
                <w:tcPr>
                  <w:tcW w:w="1679" w:type="dxa"/>
                  <w:vMerge w:val="restart"/>
                  <w:tcBorders>
                    <w:left w:val="single" w:color="auto" w:sz="4" w:space="0"/>
                    <w:right w:val="single" w:color="auto" w:sz="4" w:space="0"/>
                  </w:tcBorders>
                  <w:vAlign w:val="center"/>
                </w:tcPr>
                <w:p>
                  <w:pPr>
                    <w:jc w:val="center"/>
                    <w:rPr>
                      <w:color w:val="0000FF"/>
                      <w:szCs w:val="21"/>
                    </w:rPr>
                  </w:pPr>
                  <w:r>
                    <w:rPr>
                      <w:rFonts w:hint="eastAsia"/>
                      <w:color w:val="0000FF"/>
                      <w:szCs w:val="21"/>
                    </w:rPr>
                    <w:t>最高允许排放浓度m</w:t>
                  </w:r>
                  <w:r>
                    <w:rPr>
                      <w:color w:val="0000FF"/>
                      <w:szCs w:val="21"/>
                    </w:rPr>
                    <w:t>g/m</w:t>
                  </w:r>
                  <w:r>
                    <w:rPr>
                      <w:color w:val="0000FF"/>
                      <w:szCs w:val="21"/>
                      <w:vertAlign w:val="superscript"/>
                    </w:rPr>
                    <w:t>3</w:t>
                  </w:r>
                </w:p>
              </w:tc>
              <w:tc>
                <w:tcPr>
                  <w:tcW w:w="1680" w:type="dxa"/>
                  <w:vMerge w:val="restart"/>
                  <w:tcBorders>
                    <w:left w:val="single" w:color="auto" w:sz="4" w:space="0"/>
                    <w:right w:val="single" w:color="auto" w:sz="4" w:space="0"/>
                  </w:tcBorders>
                  <w:vAlign w:val="center"/>
                </w:tcPr>
                <w:p>
                  <w:pPr>
                    <w:jc w:val="center"/>
                    <w:rPr>
                      <w:color w:val="0000FF"/>
                      <w:szCs w:val="21"/>
                    </w:rPr>
                  </w:pPr>
                  <w:r>
                    <w:rPr>
                      <w:rFonts w:hint="eastAsia"/>
                      <w:color w:val="0000FF"/>
                      <w:szCs w:val="21"/>
                    </w:rPr>
                    <w:t>N</w:t>
                  </w:r>
                  <w:r>
                    <w:rPr>
                      <w:color w:val="0000FF"/>
                      <w:szCs w:val="21"/>
                    </w:rPr>
                    <w:t>MHC</w:t>
                  </w:r>
                  <w:r>
                    <w:rPr>
                      <w:rFonts w:hint="eastAsia"/>
                      <w:color w:val="0000FF"/>
                      <w:szCs w:val="21"/>
                    </w:rPr>
                    <w:t>最低去除效率</w:t>
                  </w:r>
                </w:p>
              </w:tc>
              <w:tc>
                <w:tcPr>
                  <w:tcW w:w="3326" w:type="dxa"/>
                  <w:gridSpan w:val="2"/>
                  <w:tcBorders>
                    <w:left w:val="single" w:color="auto" w:sz="4" w:space="0"/>
                  </w:tcBorders>
                  <w:vAlign w:val="center"/>
                </w:tcPr>
                <w:p>
                  <w:pPr>
                    <w:jc w:val="center"/>
                    <w:rPr>
                      <w:color w:val="0000FF"/>
                      <w:szCs w:val="21"/>
                    </w:rPr>
                  </w:pPr>
                  <w:r>
                    <w:rPr>
                      <w:rFonts w:hint="eastAsia"/>
                      <w:color w:val="0000FF"/>
                      <w:szCs w:val="21"/>
                    </w:rPr>
                    <w:t>无组织排放监控限值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312" w:type="dxa"/>
                  <w:vMerge w:val="continue"/>
                  <w:tcBorders>
                    <w:right w:val="single" w:color="auto" w:sz="4" w:space="0"/>
                  </w:tcBorders>
                  <w:vAlign w:val="center"/>
                </w:tcPr>
                <w:p>
                  <w:pPr>
                    <w:jc w:val="center"/>
                    <w:rPr>
                      <w:color w:val="0000FF"/>
                      <w:szCs w:val="21"/>
                    </w:rPr>
                  </w:pPr>
                </w:p>
              </w:tc>
              <w:tc>
                <w:tcPr>
                  <w:tcW w:w="1679" w:type="dxa"/>
                  <w:vMerge w:val="continue"/>
                  <w:tcBorders>
                    <w:left w:val="single" w:color="auto" w:sz="4" w:space="0"/>
                    <w:right w:val="single" w:color="auto" w:sz="4" w:space="0"/>
                  </w:tcBorders>
                  <w:vAlign w:val="center"/>
                </w:tcPr>
                <w:p>
                  <w:pPr>
                    <w:jc w:val="center"/>
                    <w:rPr>
                      <w:color w:val="0000FF"/>
                      <w:szCs w:val="21"/>
                    </w:rPr>
                  </w:pPr>
                </w:p>
              </w:tc>
              <w:tc>
                <w:tcPr>
                  <w:tcW w:w="1680" w:type="dxa"/>
                  <w:vMerge w:val="continue"/>
                  <w:tcBorders>
                    <w:left w:val="single" w:color="auto" w:sz="4" w:space="0"/>
                    <w:right w:val="single" w:color="auto" w:sz="4" w:space="0"/>
                  </w:tcBorders>
                  <w:vAlign w:val="center"/>
                </w:tcPr>
                <w:p>
                  <w:pPr>
                    <w:jc w:val="center"/>
                    <w:rPr>
                      <w:color w:val="0000FF"/>
                      <w:szCs w:val="21"/>
                    </w:rPr>
                  </w:pPr>
                </w:p>
              </w:tc>
              <w:tc>
                <w:tcPr>
                  <w:tcW w:w="1885" w:type="dxa"/>
                  <w:tcBorders>
                    <w:left w:val="single" w:color="auto" w:sz="4" w:space="0"/>
                    <w:right w:val="single" w:color="auto" w:sz="4" w:space="0"/>
                  </w:tcBorders>
                  <w:vAlign w:val="center"/>
                </w:tcPr>
                <w:p>
                  <w:pPr>
                    <w:jc w:val="center"/>
                    <w:rPr>
                      <w:color w:val="0000FF"/>
                      <w:szCs w:val="21"/>
                    </w:rPr>
                  </w:pPr>
                  <w:r>
                    <w:rPr>
                      <w:rFonts w:hint="eastAsia"/>
                      <w:color w:val="0000FF"/>
                      <w:szCs w:val="21"/>
                    </w:rPr>
                    <w:t>监控点</w:t>
                  </w:r>
                </w:p>
              </w:tc>
              <w:tc>
                <w:tcPr>
                  <w:tcW w:w="1441" w:type="dxa"/>
                  <w:tcBorders>
                    <w:left w:val="single" w:color="auto" w:sz="4" w:space="0"/>
                  </w:tcBorders>
                  <w:vAlign w:val="center"/>
                </w:tcPr>
                <w:p>
                  <w:pPr>
                    <w:jc w:val="center"/>
                    <w:rPr>
                      <w:color w:val="0000FF"/>
                      <w:szCs w:val="21"/>
                    </w:rPr>
                  </w:pPr>
                  <w:r>
                    <w:rPr>
                      <w:rFonts w:hint="eastAsia"/>
                      <w:color w:val="0000FF"/>
                      <w:szCs w:val="21"/>
                    </w:rPr>
                    <w:t>浓度m</w:t>
                  </w:r>
                  <w:r>
                    <w:rPr>
                      <w:color w:val="0000FF"/>
                      <w:szCs w:val="21"/>
                    </w:rPr>
                    <w:t>g/m</w:t>
                  </w:r>
                  <w:r>
                    <w:rPr>
                      <w:color w:val="0000FF"/>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312" w:type="dxa"/>
                  <w:tcBorders>
                    <w:right w:val="single" w:color="auto" w:sz="4" w:space="0"/>
                  </w:tcBorders>
                  <w:vAlign w:val="center"/>
                </w:tcPr>
                <w:p>
                  <w:pPr>
                    <w:jc w:val="center"/>
                    <w:rPr>
                      <w:color w:val="0000FF"/>
                      <w:szCs w:val="21"/>
                    </w:rPr>
                  </w:pPr>
                  <w:r>
                    <w:rPr>
                      <w:rFonts w:hint="eastAsia"/>
                      <w:color w:val="0000FF"/>
                      <w:szCs w:val="21"/>
                    </w:rPr>
                    <w:t>非甲烷总烃</w:t>
                  </w:r>
                </w:p>
              </w:tc>
              <w:tc>
                <w:tcPr>
                  <w:tcW w:w="1679" w:type="dxa"/>
                  <w:tcBorders>
                    <w:left w:val="single" w:color="auto" w:sz="4" w:space="0"/>
                    <w:right w:val="single" w:color="auto" w:sz="4" w:space="0"/>
                  </w:tcBorders>
                  <w:vAlign w:val="center"/>
                </w:tcPr>
                <w:p>
                  <w:pPr>
                    <w:jc w:val="center"/>
                    <w:rPr>
                      <w:color w:val="0000FF"/>
                      <w:szCs w:val="21"/>
                    </w:rPr>
                  </w:pPr>
                  <w:r>
                    <w:rPr>
                      <w:color w:val="0000FF"/>
                      <w:szCs w:val="21"/>
                    </w:rPr>
                    <w:t>50</w:t>
                  </w:r>
                </w:p>
              </w:tc>
              <w:tc>
                <w:tcPr>
                  <w:tcW w:w="1680" w:type="dxa"/>
                  <w:tcBorders>
                    <w:left w:val="single" w:color="auto" w:sz="4" w:space="0"/>
                    <w:right w:val="single" w:color="auto" w:sz="4" w:space="0"/>
                  </w:tcBorders>
                  <w:vAlign w:val="center"/>
                </w:tcPr>
                <w:p>
                  <w:pPr>
                    <w:jc w:val="center"/>
                    <w:rPr>
                      <w:rFonts w:hint="eastAsia"/>
                      <w:color w:val="0000FF"/>
                      <w:szCs w:val="21"/>
                    </w:rPr>
                  </w:pPr>
                  <w:r>
                    <w:rPr>
                      <w:rFonts w:hint="eastAsia"/>
                      <w:color w:val="0000FF"/>
                      <w:szCs w:val="21"/>
                    </w:rPr>
                    <w:t>8</w:t>
                  </w:r>
                  <w:r>
                    <w:rPr>
                      <w:color w:val="0000FF"/>
                      <w:szCs w:val="21"/>
                    </w:rPr>
                    <w:t>0%(85%)</w:t>
                  </w:r>
                </w:p>
              </w:tc>
              <w:tc>
                <w:tcPr>
                  <w:tcW w:w="1885" w:type="dxa"/>
                  <w:tcBorders>
                    <w:left w:val="single" w:color="auto" w:sz="4" w:space="0"/>
                    <w:right w:val="single" w:color="auto" w:sz="4" w:space="0"/>
                  </w:tcBorders>
                  <w:vAlign w:val="center"/>
                </w:tcPr>
                <w:p>
                  <w:pPr>
                    <w:jc w:val="center"/>
                    <w:rPr>
                      <w:color w:val="0000FF"/>
                      <w:szCs w:val="21"/>
                    </w:rPr>
                  </w:pPr>
                  <w:r>
                    <w:rPr>
                      <w:rFonts w:hint="eastAsia"/>
                      <w:color w:val="0000FF"/>
                      <w:szCs w:val="21"/>
                    </w:rPr>
                    <w:t>企业边界外浓度最高点</w:t>
                  </w:r>
                </w:p>
              </w:tc>
              <w:tc>
                <w:tcPr>
                  <w:tcW w:w="1441" w:type="dxa"/>
                  <w:tcBorders>
                    <w:left w:val="single" w:color="auto" w:sz="4" w:space="0"/>
                  </w:tcBorders>
                  <w:vAlign w:val="center"/>
                </w:tcPr>
                <w:p>
                  <w:pPr>
                    <w:jc w:val="center"/>
                    <w:rPr>
                      <w:color w:val="0000FF"/>
                      <w:szCs w:val="21"/>
                    </w:rPr>
                  </w:pPr>
                  <w:r>
                    <w:rPr>
                      <w:color w:val="0000FF"/>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7997" w:type="dxa"/>
                  <w:gridSpan w:val="5"/>
                  <w:vAlign w:val="center"/>
                </w:tcPr>
                <w:p>
                  <w:pPr>
                    <w:jc w:val="left"/>
                    <w:rPr>
                      <w:color w:val="0000FF"/>
                      <w:szCs w:val="21"/>
                    </w:rPr>
                  </w:pPr>
                  <w:r>
                    <w:rPr>
                      <w:rFonts w:hint="eastAsia"/>
                      <w:color w:val="0000FF"/>
                      <w:szCs w:val="21"/>
                    </w:rPr>
                    <w:t>注：关中地区执行括号内限值；</w:t>
                  </w:r>
                </w:p>
                <w:p>
                  <w:pPr>
                    <w:ind w:firstLine="420" w:firstLineChars="200"/>
                    <w:jc w:val="left"/>
                    <w:rPr>
                      <w:rFonts w:hint="eastAsia"/>
                      <w:color w:val="0000FF"/>
                      <w:szCs w:val="21"/>
                    </w:rPr>
                  </w:pPr>
                  <w:r>
                    <w:rPr>
                      <w:rFonts w:hint="eastAsia"/>
                      <w:color w:val="0000FF"/>
                      <w:szCs w:val="21"/>
                    </w:rPr>
                    <w:t>非甲烷总烃排放速率≤1</w:t>
                  </w:r>
                  <w:r>
                    <w:rPr>
                      <w:color w:val="0000FF"/>
                      <w:szCs w:val="21"/>
                    </w:rPr>
                    <w:t>.5</w:t>
                  </w:r>
                  <w:r>
                    <w:rPr>
                      <w:rFonts w:hint="eastAsia"/>
                      <w:color w:val="0000FF"/>
                      <w:szCs w:val="21"/>
                    </w:rPr>
                    <w:t>kg/h时，等同于满足最低去除效率限值要求。</w:t>
                  </w:r>
                </w:p>
              </w:tc>
            </w:tr>
          </w:tbl>
          <w:p>
            <w:pPr>
              <w:pStyle w:val="2"/>
              <w:jc w:val="center"/>
              <w:rPr>
                <w:rFonts w:ascii="Times New Roman" w:hAnsi="宋体" w:cs="Times New Roman"/>
                <w:b/>
                <w:color w:val="auto"/>
                <w:sz w:val="21"/>
                <w:szCs w:val="21"/>
              </w:rPr>
            </w:pPr>
            <w:r>
              <w:rPr>
                <w:rFonts w:hint="eastAsia" w:ascii="Times New Roman" w:hAnsi="宋体" w:cs="Times New Roman"/>
                <w:b/>
                <w:color w:val="auto"/>
                <w:sz w:val="21"/>
                <w:szCs w:val="21"/>
              </w:rPr>
              <w:t>表3</w:t>
            </w:r>
            <w:r>
              <w:rPr>
                <w:rFonts w:ascii="Times New Roman" w:hAnsi="宋体" w:cs="Times New Roman"/>
                <w:b/>
                <w:color w:val="auto"/>
                <w:sz w:val="21"/>
                <w:szCs w:val="21"/>
              </w:rPr>
              <w:t xml:space="preserve">-7    </w:t>
            </w:r>
            <w:r>
              <w:rPr>
                <w:rFonts w:hint="eastAsia" w:ascii="Times New Roman" w:hAnsi="宋体" w:cs="Times New Roman"/>
                <w:b/>
                <w:color w:val="auto"/>
                <w:sz w:val="21"/>
                <w:szCs w:val="21"/>
              </w:rPr>
              <w:t>挥发性有机物无组织排放控制标准（G</w:t>
            </w:r>
            <w:r>
              <w:rPr>
                <w:rFonts w:ascii="Times New Roman" w:hAnsi="宋体" w:cs="Times New Roman"/>
                <w:b/>
                <w:color w:val="auto"/>
                <w:sz w:val="21"/>
                <w:szCs w:val="21"/>
              </w:rPr>
              <w:t>B37822-2019</w:t>
            </w:r>
            <w:r>
              <w:rPr>
                <w:rFonts w:hint="eastAsia" w:ascii="Times New Roman" w:hAnsi="宋体" w:cs="Times New Roman"/>
                <w:b/>
                <w:color w:val="auto"/>
                <w:sz w:val="21"/>
                <w:szCs w:val="21"/>
              </w:rPr>
              <w:t>）</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1417"/>
              <w:gridCol w:w="1417"/>
              <w:gridCol w:w="2552"/>
              <w:gridCol w:w="15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8" w:type="dxa"/>
                  <w:vAlign w:val="center"/>
                </w:tcPr>
                <w:p>
                  <w:pPr>
                    <w:jc w:val="center"/>
                    <w:rPr>
                      <w:szCs w:val="21"/>
                    </w:rPr>
                  </w:pPr>
                  <w:r>
                    <w:rPr>
                      <w:rFonts w:hint="eastAsia"/>
                      <w:szCs w:val="21"/>
                    </w:rPr>
                    <w:t>污染物</w:t>
                  </w:r>
                </w:p>
              </w:tc>
              <w:tc>
                <w:tcPr>
                  <w:tcW w:w="1417" w:type="dxa"/>
                  <w:vAlign w:val="center"/>
                </w:tcPr>
                <w:p>
                  <w:pPr>
                    <w:jc w:val="center"/>
                    <w:rPr>
                      <w:szCs w:val="21"/>
                    </w:rPr>
                  </w:pPr>
                  <w:r>
                    <w:rPr>
                      <w:rFonts w:hint="eastAsia"/>
                      <w:szCs w:val="21"/>
                    </w:rPr>
                    <w:t>排放限值mg/m</w:t>
                  </w:r>
                  <w:r>
                    <w:rPr>
                      <w:rFonts w:hint="eastAsia"/>
                      <w:szCs w:val="21"/>
                      <w:vertAlign w:val="superscript"/>
                    </w:rPr>
                    <w:t>3</w:t>
                  </w:r>
                </w:p>
              </w:tc>
              <w:tc>
                <w:tcPr>
                  <w:tcW w:w="1417" w:type="dxa"/>
                  <w:vAlign w:val="center"/>
                </w:tcPr>
                <w:p>
                  <w:pPr>
                    <w:jc w:val="center"/>
                    <w:rPr>
                      <w:szCs w:val="21"/>
                    </w:rPr>
                  </w:pPr>
                  <w:r>
                    <w:rPr>
                      <w:rFonts w:hint="eastAsia"/>
                      <w:szCs w:val="21"/>
                    </w:rPr>
                    <w:t>特别排放限值mg/m</w:t>
                  </w:r>
                  <w:r>
                    <w:rPr>
                      <w:rFonts w:hint="eastAsia"/>
                      <w:szCs w:val="21"/>
                      <w:vertAlign w:val="superscript"/>
                    </w:rPr>
                    <w:t>3</w:t>
                  </w:r>
                </w:p>
              </w:tc>
              <w:tc>
                <w:tcPr>
                  <w:tcW w:w="2552" w:type="dxa"/>
                  <w:vAlign w:val="center"/>
                </w:tcPr>
                <w:p>
                  <w:pPr>
                    <w:jc w:val="center"/>
                    <w:rPr>
                      <w:szCs w:val="21"/>
                    </w:rPr>
                  </w:pPr>
                  <w:r>
                    <w:rPr>
                      <w:rFonts w:hint="eastAsia"/>
                      <w:szCs w:val="21"/>
                    </w:rPr>
                    <w:t>限值含义</w:t>
                  </w:r>
                </w:p>
              </w:tc>
              <w:tc>
                <w:tcPr>
                  <w:tcW w:w="1583" w:type="dxa"/>
                  <w:vAlign w:val="center"/>
                </w:tcPr>
                <w:p>
                  <w:pPr>
                    <w:jc w:val="center"/>
                    <w:rPr>
                      <w:szCs w:val="21"/>
                    </w:rPr>
                  </w:pPr>
                  <w:r>
                    <w:rPr>
                      <w:rFonts w:hint="eastAsia"/>
                      <w:szCs w:val="21"/>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8" w:type="dxa"/>
                  <w:vMerge w:val="restart"/>
                  <w:vAlign w:val="center"/>
                </w:tcPr>
                <w:p>
                  <w:pPr>
                    <w:jc w:val="center"/>
                    <w:rPr>
                      <w:szCs w:val="21"/>
                    </w:rPr>
                  </w:pPr>
                  <w:r>
                    <w:rPr>
                      <w:rFonts w:hint="eastAsia"/>
                      <w:szCs w:val="21"/>
                    </w:rPr>
                    <w:t>非甲烷总烃</w:t>
                  </w:r>
                </w:p>
              </w:tc>
              <w:tc>
                <w:tcPr>
                  <w:tcW w:w="1417" w:type="dxa"/>
                  <w:vAlign w:val="center"/>
                </w:tcPr>
                <w:p>
                  <w:pPr>
                    <w:jc w:val="center"/>
                    <w:rPr>
                      <w:szCs w:val="21"/>
                    </w:rPr>
                  </w:pPr>
                  <w:r>
                    <w:rPr>
                      <w:szCs w:val="21"/>
                    </w:rPr>
                    <w:t>10</w:t>
                  </w:r>
                </w:p>
              </w:tc>
              <w:tc>
                <w:tcPr>
                  <w:tcW w:w="1417" w:type="dxa"/>
                  <w:vAlign w:val="center"/>
                </w:tcPr>
                <w:p>
                  <w:pPr>
                    <w:jc w:val="center"/>
                    <w:rPr>
                      <w:szCs w:val="21"/>
                    </w:rPr>
                  </w:pPr>
                  <w:r>
                    <w:rPr>
                      <w:rFonts w:hint="eastAsia"/>
                      <w:szCs w:val="21"/>
                    </w:rPr>
                    <w:t>6</w:t>
                  </w:r>
                </w:p>
              </w:tc>
              <w:tc>
                <w:tcPr>
                  <w:tcW w:w="2552" w:type="dxa"/>
                  <w:vAlign w:val="center"/>
                </w:tcPr>
                <w:p>
                  <w:pPr>
                    <w:jc w:val="center"/>
                    <w:rPr>
                      <w:szCs w:val="21"/>
                    </w:rPr>
                  </w:pPr>
                  <w:r>
                    <w:rPr>
                      <w:rFonts w:hint="eastAsia"/>
                      <w:szCs w:val="21"/>
                    </w:rPr>
                    <w:t>监控点处1</w:t>
                  </w:r>
                  <w:r>
                    <w:rPr>
                      <w:szCs w:val="21"/>
                    </w:rPr>
                    <w:t>h</w:t>
                  </w:r>
                  <w:r>
                    <w:rPr>
                      <w:rFonts w:hint="eastAsia"/>
                      <w:szCs w:val="21"/>
                    </w:rPr>
                    <w:t>平均浓度值</w:t>
                  </w:r>
                </w:p>
              </w:tc>
              <w:tc>
                <w:tcPr>
                  <w:tcW w:w="1583" w:type="dxa"/>
                  <w:vMerge w:val="restart"/>
                  <w:vAlign w:val="center"/>
                </w:tcPr>
                <w:p>
                  <w:pPr>
                    <w:jc w:val="center"/>
                    <w:rPr>
                      <w:szCs w:val="21"/>
                    </w:rPr>
                  </w:pPr>
                  <w:r>
                    <w:rPr>
                      <w:rFonts w:hint="eastAsia"/>
                      <w:szCs w:val="21"/>
                    </w:rPr>
                    <w:t>在厂房外设置监测点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1028" w:type="dxa"/>
                  <w:vMerge w:val="continue"/>
                  <w:vAlign w:val="center"/>
                </w:tcPr>
                <w:p>
                  <w:pPr>
                    <w:jc w:val="center"/>
                    <w:rPr>
                      <w:szCs w:val="21"/>
                    </w:rPr>
                  </w:pPr>
                </w:p>
              </w:tc>
              <w:tc>
                <w:tcPr>
                  <w:tcW w:w="1417" w:type="dxa"/>
                  <w:vAlign w:val="center"/>
                </w:tcPr>
                <w:p>
                  <w:pPr>
                    <w:jc w:val="center"/>
                    <w:rPr>
                      <w:szCs w:val="21"/>
                    </w:rPr>
                  </w:pPr>
                  <w:r>
                    <w:rPr>
                      <w:szCs w:val="21"/>
                    </w:rPr>
                    <w:t>30</w:t>
                  </w:r>
                </w:p>
              </w:tc>
              <w:tc>
                <w:tcPr>
                  <w:tcW w:w="1417" w:type="dxa"/>
                  <w:vAlign w:val="center"/>
                </w:tcPr>
                <w:p>
                  <w:pPr>
                    <w:jc w:val="center"/>
                    <w:rPr>
                      <w:szCs w:val="21"/>
                    </w:rPr>
                  </w:pPr>
                  <w:r>
                    <w:rPr>
                      <w:rFonts w:hint="eastAsia"/>
                      <w:szCs w:val="21"/>
                    </w:rPr>
                    <w:t>2</w:t>
                  </w:r>
                  <w:r>
                    <w:rPr>
                      <w:szCs w:val="21"/>
                    </w:rPr>
                    <w:t>0</w:t>
                  </w:r>
                </w:p>
              </w:tc>
              <w:tc>
                <w:tcPr>
                  <w:tcW w:w="2552" w:type="dxa"/>
                  <w:vAlign w:val="center"/>
                </w:tcPr>
                <w:p>
                  <w:pPr>
                    <w:jc w:val="center"/>
                    <w:rPr>
                      <w:szCs w:val="21"/>
                    </w:rPr>
                  </w:pPr>
                  <w:r>
                    <w:rPr>
                      <w:rFonts w:hint="eastAsia"/>
                      <w:szCs w:val="21"/>
                    </w:rPr>
                    <w:t>监控点处任意一次浓度值</w:t>
                  </w:r>
                </w:p>
              </w:tc>
              <w:tc>
                <w:tcPr>
                  <w:tcW w:w="1583" w:type="dxa"/>
                  <w:vMerge w:val="continue"/>
                  <w:vAlign w:val="center"/>
                </w:tcPr>
                <w:p>
                  <w:pPr>
                    <w:jc w:val="center"/>
                    <w:rPr>
                      <w:szCs w:val="21"/>
                    </w:rPr>
                  </w:pPr>
                </w:p>
              </w:tc>
            </w:tr>
          </w:tbl>
          <w:p>
            <w:pPr>
              <w:spacing w:line="360" w:lineRule="auto"/>
              <w:ind w:firstLine="422" w:firstLineChars="200"/>
              <w:rPr>
                <w:b/>
              </w:rPr>
            </w:pPr>
            <w:r>
              <w:rPr>
                <w:b/>
              </w:rPr>
              <w:t>2</w:t>
            </w:r>
            <w:r>
              <w:rPr>
                <w:rFonts w:hAnsi="宋体"/>
                <w:b/>
              </w:rPr>
              <w:t>、废水</w:t>
            </w:r>
          </w:p>
          <w:p>
            <w:pPr>
              <w:spacing w:line="360" w:lineRule="auto"/>
              <w:ind w:firstLine="420" w:firstLineChars="200"/>
            </w:pPr>
            <w:r>
              <w:rPr>
                <w:rFonts w:hint="eastAsia"/>
              </w:rPr>
              <w:t>生产废水循环使用，不外排；生活污水执行《污水综合排放标准》（GB8978-1996）三级标准</w:t>
            </w:r>
            <w:r>
              <w:t>、</w:t>
            </w:r>
            <w:r>
              <w:rPr>
                <w:rFonts w:hint="eastAsia"/>
              </w:rPr>
              <w:t>《污水排入城镇下水道水质标准》（GB/T31962-2015）中B级</w:t>
            </w:r>
            <w:r>
              <w:t>标准。</w:t>
            </w:r>
          </w:p>
          <w:p>
            <w:pPr>
              <w:pStyle w:val="2"/>
              <w:jc w:val="center"/>
              <w:rPr>
                <w:rFonts w:ascii="Times New Roman" w:hAnsi="宋体" w:cs="Times New Roman"/>
                <w:b/>
                <w:color w:val="auto"/>
                <w:sz w:val="21"/>
                <w:szCs w:val="21"/>
              </w:rPr>
            </w:pPr>
            <w:r>
              <w:rPr>
                <w:rFonts w:ascii="Times New Roman" w:hAnsi="宋体" w:cs="Times New Roman"/>
                <w:b/>
                <w:color w:val="auto"/>
                <w:sz w:val="21"/>
                <w:szCs w:val="21"/>
              </w:rPr>
              <w:t>表</w:t>
            </w:r>
            <w:r>
              <w:rPr>
                <w:rFonts w:hint="eastAsia" w:ascii="Times New Roman" w:hAnsi="宋体" w:cs="Times New Roman"/>
                <w:b/>
                <w:color w:val="auto"/>
                <w:sz w:val="21"/>
                <w:szCs w:val="21"/>
              </w:rPr>
              <w:t>3</w:t>
            </w:r>
            <w:r>
              <w:rPr>
                <w:rFonts w:ascii="Times New Roman" w:hAnsi="宋体" w:cs="Times New Roman"/>
                <w:b/>
                <w:color w:val="auto"/>
                <w:sz w:val="21"/>
                <w:szCs w:val="21"/>
              </w:rPr>
              <w:t xml:space="preserve">-8    </w:t>
            </w:r>
            <w:r>
              <w:rPr>
                <w:rFonts w:hint="eastAsia" w:ascii="Times New Roman" w:hAnsi="宋体" w:cs="Times New Roman"/>
                <w:b/>
                <w:color w:val="auto"/>
                <w:sz w:val="21"/>
                <w:szCs w:val="21"/>
              </w:rPr>
              <w:t>运营期</w:t>
            </w:r>
            <w:r>
              <w:rPr>
                <w:rFonts w:ascii="Times New Roman" w:hAnsi="宋体" w:cs="Times New Roman"/>
                <w:b/>
                <w:color w:val="auto"/>
                <w:sz w:val="21"/>
                <w:szCs w:val="21"/>
              </w:rPr>
              <w:t>废水排放标准</w:t>
            </w:r>
            <w:r>
              <w:rPr>
                <w:rFonts w:hint="eastAsia" w:ascii="Times New Roman" w:hAnsi="宋体" w:cs="Times New Roman"/>
                <w:b/>
                <w:color w:val="auto"/>
                <w:sz w:val="21"/>
                <w:szCs w:val="21"/>
              </w:rPr>
              <w:t xml:space="preserve"> </w:t>
            </w:r>
            <w:r>
              <w:rPr>
                <w:rFonts w:ascii="Times New Roman" w:hAnsi="宋体" w:cs="Times New Roman"/>
                <w:b/>
                <w:color w:val="auto"/>
                <w:sz w:val="21"/>
                <w:szCs w:val="21"/>
              </w:rPr>
              <w:t xml:space="preserve">   单位：</w:t>
            </w:r>
            <w:r>
              <w:rPr>
                <w:rFonts w:hint="eastAsia" w:ascii="Times New Roman" w:hAnsi="宋体" w:cs="Times New Roman"/>
                <w:b/>
                <w:color w:val="auto"/>
                <w:sz w:val="21"/>
                <w:szCs w:val="21"/>
              </w:rPr>
              <w:t>m</w:t>
            </w:r>
            <w:r>
              <w:rPr>
                <w:rFonts w:ascii="Times New Roman" w:hAnsi="宋体" w:cs="Times New Roman"/>
                <w:b/>
                <w:color w:val="auto"/>
                <w:sz w:val="21"/>
                <w:szCs w:val="21"/>
              </w:rPr>
              <w:t>g/L</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1"/>
              <w:gridCol w:w="865"/>
              <w:gridCol w:w="865"/>
              <w:gridCol w:w="867"/>
              <w:gridCol w:w="867"/>
              <w:gridCol w:w="867"/>
              <w:gridCol w:w="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2801" w:type="dxa"/>
                  <w:vAlign w:val="center"/>
                </w:tcPr>
                <w:p>
                  <w:pPr>
                    <w:adjustRightInd w:val="0"/>
                    <w:snapToGrid w:val="0"/>
                    <w:jc w:val="center"/>
                    <w:rPr>
                      <w:bCs/>
                      <w:color w:val="0000FF"/>
                      <w:szCs w:val="21"/>
                    </w:rPr>
                  </w:pPr>
                  <w:r>
                    <w:rPr>
                      <w:bCs/>
                      <w:color w:val="0000FF"/>
                      <w:szCs w:val="21"/>
                    </w:rPr>
                    <w:t>执行标准</w:t>
                  </w:r>
                </w:p>
              </w:tc>
              <w:tc>
                <w:tcPr>
                  <w:tcW w:w="865" w:type="dxa"/>
                  <w:vAlign w:val="center"/>
                </w:tcPr>
                <w:p>
                  <w:pPr>
                    <w:adjustRightInd w:val="0"/>
                    <w:snapToGrid w:val="0"/>
                    <w:jc w:val="center"/>
                    <w:rPr>
                      <w:bCs/>
                      <w:color w:val="0000FF"/>
                      <w:szCs w:val="21"/>
                    </w:rPr>
                  </w:pPr>
                  <w:r>
                    <w:rPr>
                      <w:bCs/>
                      <w:color w:val="0000FF"/>
                      <w:szCs w:val="21"/>
                    </w:rPr>
                    <w:t>COD</w:t>
                  </w:r>
                </w:p>
              </w:tc>
              <w:tc>
                <w:tcPr>
                  <w:tcW w:w="865" w:type="dxa"/>
                  <w:vAlign w:val="center"/>
                </w:tcPr>
                <w:p>
                  <w:pPr>
                    <w:adjustRightInd w:val="0"/>
                    <w:snapToGrid w:val="0"/>
                    <w:jc w:val="center"/>
                    <w:rPr>
                      <w:bCs/>
                      <w:color w:val="0000FF"/>
                      <w:szCs w:val="21"/>
                    </w:rPr>
                  </w:pPr>
                  <w:r>
                    <w:rPr>
                      <w:bCs/>
                      <w:color w:val="0000FF"/>
                      <w:szCs w:val="21"/>
                    </w:rPr>
                    <w:t>BOD</w:t>
                  </w:r>
                  <w:r>
                    <w:rPr>
                      <w:bCs/>
                      <w:color w:val="0000FF"/>
                      <w:szCs w:val="21"/>
                      <w:vertAlign w:val="subscript"/>
                    </w:rPr>
                    <w:t>5</w:t>
                  </w:r>
                </w:p>
              </w:tc>
              <w:tc>
                <w:tcPr>
                  <w:tcW w:w="867" w:type="dxa"/>
                  <w:vAlign w:val="center"/>
                </w:tcPr>
                <w:p>
                  <w:pPr>
                    <w:adjustRightInd w:val="0"/>
                    <w:snapToGrid w:val="0"/>
                    <w:jc w:val="center"/>
                    <w:rPr>
                      <w:bCs/>
                      <w:color w:val="0000FF"/>
                      <w:szCs w:val="21"/>
                    </w:rPr>
                  </w:pPr>
                  <w:r>
                    <w:rPr>
                      <w:bCs/>
                      <w:color w:val="0000FF"/>
                      <w:szCs w:val="21"/>
                    </w:rPr>
                    <w:t>SS</w:t>
                  </w:r>
                </w:p>
              </w:tc>
              <w:tc>
                <w:tcPr>
                  <w:tcW w:w="867" w:type="dxa"/>
                  <w:vAlign w:val="center"/>
                </w:tcPr>
                <w:p>
                  <w:pPr>
                    <w:adjustRightInd w:val="0"/>
                    <w:snapToGrid w:val="0"/>
                    <w:jc w:val="center"/>
                    <w:rPr>
                      <w:bCs/>
                      <w:color w:val="0000FF"/>
                      <w:szCs w:val="21"/>
                    </w:rPr>
                  </w:pPr>
                  <w:r>
                    <w:rPr>
                      <w:bCs/>
                      <w:color w:val="0000FF"/>
                      <w:szCs w:val="21"/>
                    </w:rPr>
                    <w:t>NH</w:t>
                  </w:r>
                  <w:r>
                    <w:rPr>
                      <w:bCs/>
                      <w:color w:val="0000FF"/>
                      <w:szCs w:val="21"/>
                      <w:vertAlign w:val="subscript"/>
                    </w:rPr>
                    <w:t>3</w:t>
                  </w:r>
                  <w:r>
                    <w:rPr>
                      <w:bCs/>
                      <w:color w:val="0000FF"/>
                      <w:szCs w:val="21"/>
                    </w:rPr>
                    <w:t>-N</w:t>
                  </w:r>
                </w:p>
              </w:tc>
              <w:tc>
                <w:tcPr>
                  <w:tcW w:w="867" w:type="dxa"/>
                  <w:vAlign w:val="center"/>
                </w:tcPr>
                <w:p>
                  <w:pPr>
                    <w:adjustRightInd w:val="0"/>
                    <w:snapToGrid w:val="0"/>
                    <w:jc w:val="center"/>
                    <w:rPr>
                      <w:bCs/>
                      <w:color w:val="0000FF"/>
                      <w:szCs w:val="21"/>
                    </w:rPr>
                  </w:pPr>
                  <w:r>
                    <w:rPr>
                      <w:bCs/>
                      <w:color w:val="0000FF"/>
                      <w:szCs w:val="21"/>
                    </w:rPr>
                    <w:t>TP</w:t>
                  </w:r>
                </w:p>
              </w:tc>
              <w:tc>
                <w:tcPr>
                  <w:tcW w:w="865" w:type="dxa"/>
                  <w:vAlign w:val="center"/>
                </w:tcPr>
                <w:p>
                  <w:pPr>
                    <w:adjustRightInd w:val="0"/>
                    <w:snapToGrid w:val="0"/>
                    <w:jc w:val="center"/>
                    <w:rPr>
                      <w:bCs/>
                      <w:color w:val="0000FF"/>
                      <w:szCs w:val="21"/>
                    </w:rPr>
                  </w:pPr>
                  <w:r>
                    <w:rPr>
                      <w:bCs/>
                      <w:color w:val="0000FF"/>
                      <w:szCs w:val="21"/>
                    </w:rPr>
                    <w:t>TN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atLeast"/>
              </w:trPr>
              <w:tc>
                <w:tcPr>
                  <w:tcW w:w="2801" w:type="dxa"/>
                  <w:vAlign w:val="center"/>
                </w:tcPr>
                <w:p>
                  <w:pPr>
                    <w:jc w:val="center"/>
                    <w:rPr>
                      <w:bCs/>
                      <w:color w:val="0000FF"/>
                      <w:kern w:val="0"/>
                      <w:szCs w:val="21"/>
                    </w:rPr>
                  </w:pPr>
                  <w:r>
                    <w:rPr>
                      <w:bCs/>
                      <w:color w:val="0000FF"/>
                      <w:szCs w:val="21"/>
                    </w:rPr>
                    <w:t xml:space="preserve">《污水排入城镇下水道水质标准》GB/T31962-2015 </w:t>
                  </w:r>
                  <w:r>
                    <w:rPr>
                      <w:bCs/>
                      <w:color w:val="0000FF"/>
                      <w:kern w:val="0"/>
                      <w:szCs w:val="21"/>
                    </w:rPr>
                    <w:t>B级</w:t>
                  </w:r>
                </w:p>
              </w:tc>
              <w:tc>
                <w:tcPr>
                  <w:tcW w:w="865" w:type="dxa"/>
                  <w:vAlign w:val="center"/>
                </w:tcPr>
                <w:p>
                  <w:pPr>
                    <w:adjustRightInd w:val="0"/>
                    <w:snapToGrid w:val="0"/>
                    <w:jc w:val="center"/>
                    <w:rPr>
                      <w:bCs/>
                      <w:color w:val="0000FF"/>
                      <w:szCs w:val="21"/>
                    </w:rPr>
                  </w:pPr>
                  <w:r>
                    <w:rPr>
                      <w:bCs/>
                      <w:color w:val="0000FF"/>
                      <w:szCs w:val="21"/>
                    </w:rPr>
                    <w:t>/</w:t>
                  </w:r>
                </w:p>
              </w:tc>
              <w:tc>
                <w:tcPr>
                  <w:tcW w:w="865" w:type="dxa"/>
                  <w:vAlign w:val="center"/>
                </w:tcPr>
                <w:p>
                  <w:pPr>
                    <w:adjustRightInd w:val="0"/>
                    <w:snapToGrid w:val="0"/>
                    <w:jc w:val="center"/>
                    <w:rPr>
                      <w:bCs/>
                      <w:color w:val="0000FF"/>
                      <w:szCs w:val="21"/>
                    </w:rPr>
                  </w:pPr>
                  <w:r>
                    <w:rPr>
                      <w:bCs/>
                      <w:color w:val="0000FF"/>
                      <w:szCs w:val="21"/>
                    </w:rPr>
                    <w:t>/</w:t>
                  </w:r>
                </w:p>
              </w:tc>
              <w:tc>
                <w:tcPr>
                  <w:tcW w:w="867" w:type="dxa"/>
                  <w:vAlign w:val="center"/>
                </w:tcPr>
                <w:p>
                  <w:pPr>
                    <w:adjustRightInd w:val="0"/>
                    <w:snapToGrid w:val="0"/>
                    <w:jc w:val="center"/>
                    <w:rPr>
                      <w:bCs/>
                      <w:color w:val="0000FF"/>
                      <w:szCs w:val="21"/>
                    </w:rPr>
                  </w:pPr>
                  <w:r>
                    <w:rPr>
                      <w:bCs/>
                      <w:color w:val="0000FF"/>
                      <w:szCs w:val="21"/>
                    </w:rPr>
                    <w:t>/</w:t>
                  </w:r>
                </w:p>
              </w:tc>
              <w:tc>
                <w:tcPr>
                  <w:tcW w:w="867" w:type="dxa"/>
                  <w:vAlign w:val="center"/>
                </w:tcPr>
                <w:p>
                  <w:pPr>
                    <w:adjustRightInd w:val="0"/>
                    <w:snapToGrid w:val="0"/>
                    <w:jc w:val="center"/>
                    <w:rPr>
                      <w:bCs/>
                      <w:color w:val="0000FF"/>
                      <w:szCs w:val="21"/>
                    </w:rPr>
                  </w:pPr>
                  <w:r>
                    <w:rPr>
                      <w:bCs/>
                      <w:color w:val="0000FF"/>
                      <w:szCs w:val="21"/>
                    </w:rPr>
                    <w:t>45</w:t>
                  </w:r>
                </w:p>
              </w:tc>
              <w:tc>
                <w:tcPr>
                  <w:tcW w:w="867" w:type="dxa"/>
                  <w:vAlign w:val="center"/>
                </w:tcPr>
                <w:p>
                  <w:pPr>
                    <w:adjustRightInd w:val="0"/>
                    <w:snapToGrid w:val="0"/>
                    <w:jc w:val="center"/>
                    <w:rPr>
                      <w:bCs/>
                      <w:color w:val="0000FF"/>
                      <w:szCs w:val="21"/>
                    </w:rPr>
                  </w:pPr>
                  <w:r>
                    <w:rPr>
                      <w:bCs/>
                      <w:color w:val="0000FF"/>
                      <w:szCs w:val="21"/>
                    </w:rPr>
                    <w:t>8</w:t>
                  </w:r>
                </w:p>
              </w:tc>
              <w:tc>
                <w:tcPr>
                  <w:tcW w:w="865" w:type="dxa"/>
                  <w:vAlign w:val="center"/>
                </w:tcPr>
                <w:p>
                  <w:pPr>
                    <w:adjustRightInd w:val="0"/>
                    <w:snapToGrid w:val="0"/>
                    <w:jc w:val="center"/>
                    <w:rPr>
                      <w:bCs/>
                      <w:color w:val="0000FF"/>
                      <w:szCs w:val="21"/>
                    </w:rPr>
                  </w:pPr>
                  <w:r>
                    <w:rPr>
                      <w:bCs/>
                      <w:color w:val="0000FF"/>
                      <w:szCs w:val="21"/>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trPr>
              <w:tc>
                <w:tcPr>
                  <w:tcW w:w="2801" w:type="dxa"/>
                  <w:vAlign w:val="center"/>
                </w:tcPr>
                <w:p>
                  <w:pPr>
                    <w:jc w:val="center"/>
                    <w:rPr>
                      <w:bCs/>
                      <w:color w:val="0000FF"/>
                      <w:kern w:val="0"/>
                      <w:szCs w:val="21"/>
                    </w:rPr>
                  </w:pPr>
                  <w:r>
                    <w:rPr>
                      <w:bCs/>
                      <w:color w:val="0000FF"/>
                      <w:szCs w:val="21"/>
                    </w:rPr>
                    <w:t>《污水综合排放标准》</w:t>
                  </w:r>
                </w:p>
                <w:p>
                  <w:pPr>
                    <w:jc w:val="center"/>
                    <w:rPr>
                      <w:bCs/>
                      <w:color w:val="0000FF"/>
                      <w:szCs w:val="21"/>
                    </w:rPr>
                  </w:pPr>
                  <w:r>
                    <w:rPr>
                      <w:bCs/>
                      <w:color w:val="0000FF"/>
                      <w:kern w:val="0"/>
                      <w:szCs w:val="21"/>
                    </w:rPr>
                    <w:t>GB8978-1996三级</w:t>
                  </w:r>
                </w:p>
              </w:tc>
              <w:tc>
                <w:tcPr>
                  <w:tcW w:w="865" w:type="dxa"/>
                  <w:vAlign w:val="center"/>
                </w:tcPr>
                <w:p>
                  <w:pPr>
                    <w:adjustRightInd w:val="0"/>
                    <w:snapToGrid w:val="0"/>
                    <w:jc w:val="center"/>
                    <w:rPr>
                      <w:bCs/>
                      <w:color w:val="0000FF"/>
                      <w:szCs w:val="21"/>
                    </w:rPr>
                  </w:pPr>
                  <w:r>
                    <w:rPr>
                      <w:bCs/>
                      <w:color w:val="0000FF"/>
                      <w:szCs w:val="21"/>
                    </w:rPr>
                    <w:t>500</w:t>
                  </w:r>
                </w:p>
              </w:tc>
              <w:tc>
                <w:tcPr>
                  <w:tcW w:w="865" w:type="dxa"/>
                  <w:vAlign w:val="center"/>
                </w:tcPr>
                <w:p>
                  <w:pPr>
                    <w:adjustRightInd w:val="0"/>
                    <w:snapToGrid w:val="0"/>
                    <w:jc w:val="center"/>
                    <w:rPr>
                      <w:bCs/>
                      <w:color w:val="0000FF"/>
                      <w:szCs w:val="21"/>
                    </w:rPr>
                  </w:pPr>
                  <w:r>
                    <w:rPr>
                      <w:bCs/>
                      <w:color w:val="0000FF"/>
                      <w:szCs w:val="21"/>
                    </w:rPr>
                    <w:t>300</w:t>
                  </w:r>
                </w:p>
              </w:tc>
              <w:tc>
                <w:tcPr>
                  <w:tcW w:w="867" w:type="dxa"/>
                  <w:vAlign w:val="center"/>
                </w:tcPr>
                <w:p>
                  <w:pPr>
                    <w:adjustRightInd w:val="0"/>
                    <w:snapToGrid w:val="0"/>
                    <w:jc w:val="center"/>
                    <w:rPr>
                      <w:bCs/>
                      <w:color w:val="0000FF"/>
                      <w:szCs w:val="21"/>
                    </w:rPr>
                  </w:pPr>
                  <w:r>
                    <w:rPr>
                      <w:bCs/>
                      <w:color w:val="0000FF"/>
                      <w:szCs w:val="21"/>
                    </w:rPr>
                    <w:t>400</w:t>
                  </w:r>
                </w:p>
              </w:tc>
              <w:tc>
                <w:tcPr>
                  <w:tcW w:w="867" w:type="dxa"/>
                  <w:vAlign w:val="center"/>
                </w:tcPr>
                <w:p>
                  <w:pPr>
                    <w:adjustRightInd w:val="0"/>
                    <w:snapToGrid w:val="0"/>
                    <w:jc w:val="center"/>
                    <w:rPr>
                      <w:bCs/>
                      <w:color w:val="0000FF"/>
                      <w:szCs w:val="21"/>
                    </w:rPr>
                  </w:pPr>
                  <w:r>
                    <w:rPr>
                      <w:bCs/>
                      <w:color w:val="0000FF"/>
                      <w:szCs w:val="21"/>
                    </w:rPr>
                    <w:t>/</w:t>
                  </w:r>
                </w:p>
              </w:tc>
              <w:tc>
                <w:tcPr>
                  <w:tcW w:w="867" w:type="dxa"/>
                  <w:vAlign w:val="center"/>
                </w:tcPr>
                <w:p>
                  <w:pPr>
                    <w:adjustRightInd w:val="0"/>
                    <w:snapToGrid w:val="0"/>
                    <w:jc w:val="center"/>
                    <w:rPr>
                      <w:bCs/>
                      <w:color w:val="0000FF"/>
                      <w:szCs w:val="21"/>
                    </w:rPr>
                  </w:pPr>
                  <w:r>
                    <w:rPr>
                      <w:bCs/>
                      <w:color w:val="0000FF"/>
                      <w:szCs w:val="21"/>
                    </w:rPr>
                    <w:t>/</w:t>
                  </w:r>
                </w:p>
              </w:tc>
              <w:tc>
                <w:tcPr>
                  <w:tcW w:w="865" w:type="dxa"/>
                  <w:vAlign w:val="center"/>
                </w:tcPr>
                <w:p>
                  <w:pPr>
                    <w:adjustRightInd w:val="0"/>
                    <w:snapToGrid w:val="0"/>
                    <w:jc w:val="center"/>
                    <w:rPr>
                      <w:bCs/>
                      <w:color w:val="0000FF"/>
                      <w:szCs w:val="21"/>
                    </w:rPr>
                  </w:pPr>
                  <w:r>
                    <w:rPr>
                      <w:bCs/>
                      <w:color w:val="0000FF"/>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trPr>
              <w:tc>
                <w:tcPr>
                  <w:tcW w:w="2801" w:type="dxa"/>
                  <w:vAlign w:val="center"/>
                </w:tcPr>
                <w:p>
                  <w:pPr>
                    <w:jc w:val="center"/>
                    <w:rPr>
                      <w:bCs/>
                      <w:color w:val="0000FF"/>
                      <w:szCs w:val="21"/>
                    </w:rPr>
                  </w:pPr>
                  <w:r>
                    <w:rPr>
                      <w:bCs/>
                      <w:color w:val="0000FF"/>
                      <w:szCs w:val="21"/>
                    </w:rPr>
                    <w:t>本项目废水执行标准</w:t>
                  </w:r>
                </w:p>
              </w:tc>
              <w:tc>
                <w:tcPr>
                  <w:tcW w:w="865" w:type="dxa"/>
                  <w:vAlign w:val="center"/>
                </w:tcPr>
                <w:p>
                  <w:pPr>
                    <w:adjustRightInd w:val="0"/>
                    <w:snapToGrid w:val="0"/>
                    <w:jc w:val="center"/>
                    <w:rPr>
                      <w:bCs/>
                      <w:color w:val="0000FF"/>
                      <w:szCs w:val="21"/>
                    </w:rPr>
                  </w:pPr>
                  <w:r>
                    <w:rPr>
                      <w:bCs/>
                      <w:color w:val="0000FF"/>
                      <w:szCs w:val="21"/>
                    </w:rPr>
                    <w:t>500</w:t>
                  </w:r>
                </w:p>
              </w:tc>
              <w:tc>
                <w:tcPr>
                  <w:tcW w:w="865" w:type="dxa"/>
                  <w:vAlign w:val="center"/>
                </w:tcPr>
                <w:p>
                  <w:pPr>
                    <w:adjustRightInd w:val="0"/>
                    <w:snapToGrid w:val="0"/>
                    <w:jc w:val="center"/>
                    <w:rPr>
                      <w:bCs/>
                      <w:color w:val="0000FF"/>
                      <w:szCs w:val="21"/>
                    </w:rPr>
                  </w:pPr>
                  <w:r>
                    <w:rPr>
                      <w:rFonts w:hint="eastAsia"/>
                      <w:bCs/>
                      <w:color w:val="0000FF"/>
                      <w:szCs w:val="21"/>
                    </w:rPr>
                    <w:t>3</w:t>
                  </w:r>
                  <w:r>
                    <w:rPr>
                      <w:bCs/>
                      <w:color w:val="0000FF"/>
                      <w:szCs w:val="21"/>
                    </w:rPr>
                    <w:t>00</w:t>
                  </w:r>
                </w:p>
              </w:tc>
              <w:tc>
                <w:tcPr>
                  <w:tcW w:w="867" w:type="dxa"/>
                  <w:vAlign w:val="center"/>
                </w:tcPr>
                <w:p>
                  <w:pPr>
                    <w:adjustRightInd w:val="0"/>
                    <w:snapToGrid w:val="0"/>
                    <w:jc w:val="center"/>
                    <w:rPr>
                      <w:bCs/>
                      <w:color w:val="0000FF"/>
                      <w:szCs w:val="21"/>
                    </w:rPr>
                  </w:pPr>
                  <w:r>
                    <w:rPr>
                      <w:rFonts w:hint="eastAsia"/>
                      <w:bCs/>
                      <w:color w:val="0000FF"/>
                      <w:szCs w:val="21"/>
                    </w:rPr>
                    <w:t>4</w:t>
                  </w:r>
                  <w:r>
                    <w:rPr>
                      <w:bCs/>
                      <w:color w:val="0000FF"/>
                      <w:szCs w:val="21"/>
                    </w:rPr>
                    <w:t>00</w:t>
                  </w:r>
                </w:p>
              </w:tc>
              <w:tc>
                <w:tcPr>
                  <w:tcW w:w="867" w:type="dxa"/>
                  <w:vAlign w:val="center"/>
                </w:tcPr>
                <w:p>
                  <w:pPr>
                    <w:adjustRightInd w:val="0"/>
                    <w:snapToGrid w:val="0"/>
                    <w:jc w:val="center"/>
                    <w:rPr>
                      <w:bCs/>
                      <w:color w:val="0000FF"/>
                      <w:szCs w:val="21"/>
                    </w:rPr>
                  </w:pPr>
                  <w:r>
                    <w:rPr>
                      <w:rFonts w:hint="eastAsia"/>
                      <w:bCs/>
                      <w:color w:val="0000FF"/>
                      <w:szCs w:val="21"/>
                    </w:rPr>
                    <w:t>4</w:t>
                  </w:r>
                  <w:r>
                    <w:rPr>
                      <w:bCs/>
                      <w:color w:val="0000FF"/>
                      <w:szCs w:val="21"/>
                    </w:rPr>
                    <w:t>5</w:t>
                  </w:r>
                </w:p>
              </w:tc>
              <w:tc>
                <w:tcPr>
                  <w:tcW w:w="867" w:type="dxa"/>
                  <w:vAlign w:val="center"/>
                </w:tcPr>
                <w:p>
                  <w:pPr>
                    <w:adjustRightInd w:val="0"/>
                    <w:snapToGrid w:val="0"/>
                    <w:jc w:val="center"/>
                    <w:rPr>
                      <w:bCs/>
                      <w:color w:val="0000FF"/>
                      <w:szCs w:val="21"/>
                    </w:rPr>
                  </w:pPr>
                  <w:r>
                    <w:rPr>
                      <w:rFonts w:hint="eastAsia"/>
                      <w:bCs/>
                      <w:color w:val="0000FF"/>
                      <w:szCs w:val="21"/>
                    </w:rPr>
                    <w:t>8</w:t>
                  </w:r>
                </w:p>
              </w:tc>
              <w:tc>
                <w:tcPr>
                  <w:tcW w:w="865" w:type="dxa"/>
                  <w:vAlign w:val="center"/>
                </w:tcPr>
                <w:p>
                  <w:pPr>
                    <w:adjustRightInd w:val="0"/>
                    <w:snapToGrid w:val="0"/>
                    <w:jc w:val="center"/>
                    <w:rPr>
                      <w:bCs/>
                      <w:color w:val="0000FF"/>
                      <w:szCs w:val="21"/>
                    </w:rPr>
                  </w:pPr>
                  <w:r>
                    <w:rPr>
                      <w:rFonts w:hint="eastAsia"/>
                      <w:bCs/>
                      <w:color w:val="0000FF"/>
                      <w:szCs w:val="21"/>
                    </w:rPr>
                    <w:t>7</w:t>
                  </w:r>
                  <w:r>
                    <w:rPr>
                      <w:bCs/>
                      <w:color w:val="0000FF"/>
                      <w:szCs w:val="21"/>
                    </w:rPr>
                    <w:t>0</w:t>
                  </w:r>
                </w:p>
              </w:tc>
            </w:tr>
          </w:tbl>
          <w:p>
            <w:pPr>
              <w:spacing w:line="360" w:lineRule="auto"/>
              <w:ind w:firstLine="422" w:firstLineChars="200"/>
              <w:rPr>
                <w:b/>
              </w:rPr>
            </w:pPr>
            <w:r>
              <w:rPr>
                <w:b/>
              </w:rPr>
              <w:t>3</w:t>
            </w:r>
            <w:r>
              <w:rPr>
                <w:rFonts w:hAnsi="宋体"/>
                <w:b/>
              </w:rPr>
              <w:t>、噪声</w:t>
            </w:r>
          </w:p>
          <w:p>
            <w:pPr>
              <w:spacing w:line="360" w:lineRule="auto"/>
              <w:ind w:firstLine="420" w:firstLineChars="200"/>
              <w:rPr>
                <w:szCs w:val="21"/>
              </w:rPr>
            </w:pPr>
            <w:r>
              <w:rPr>
                <w:szCs w:val="21"/>
              </w:rPr>
              <w:t>施工期执行《建筑施工场界环境噪声排放标准》（GB12523-2011）相关标准：昼间70 dB（A）、夜间55 dB（A）；运营期执行《工业企业厂界环境噪声排放标准》</w:t>
            </w:r>
            <w:r>
              <w:rPr>
                <w:kern w:val="0"/>
                <w:szCs w:val="21"/>
              </w:rPr>
              <w:t>（</w:t>
            </w:r>
            <w:r>
              <w:rPr>
                <w:szCs w:val="21"/>
              </w:rPr>
              <w:t>GB12348-2008）2类标准。</w:t>
            </w:r>
          </w:p>
          <w:p>
            <w:pPr>
              <w:pStyle w:val="2"/>
              <w:jc w:val="center"/>
              <w:rPr>
                <w:rFonts w:ascii="Times New Roman" w:cs="Times New Roman"/>
                <w:b/>
                <w:color w:val="auto"/>
                <w:sz w:val="21"/>
                <w:szCs w:val="21"/>
              </w:rPr>
            </w:pPr>
            <w:r>
              <w:rPr>
                <w:rFonts w:ascii="Times New Roman" w:cs="Times New Roman"/>
                <w:b/>
                <w:color w:val="auto"/>
                <w:sz w:val="21"/>
                <w:szCs w:val="21"/>
              </w:rPr>
              <w:t>表3-9    运营期厂界噪声排放标准限值</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8"/>
              <w:gridCol w:w="1633"/>
              <w:gridCol w:w="1284"/>
              <w:gridCol w:w="3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238" w:type="dxa"/>
                  <w:vAlign w:val="center"/>
                </w:tcPr>
                <w:p>
                  <w:pPr>
                    <w:pStyle w:val="49"/>
                    <w:spacing w:line="240" w:lineRule="auto"/>
                    <w:rPr>
                      <w:bCs/>
                      <w:szCs w:val="21"/>
                    </w:rPr>
                  </w:pPr>
                  <w:r>
                    <w:rPr>
                      <w:rFonts w:hAnsi="宋体"/>
                      <w:bCs/>
                      <w:szCs w:val="21"/>
                    </w:rPr>
                    <w:t>项目</w:t>
                  </w:r>
                </w:p>
              </w:tc>
              <w:tc>
                <w:tcPr>
                  <w:tcW w:w="2917" w:type="dxa"/>
                  <w:gridSpan w:val="2"/>
                  <w:vAlign w:val="center"/>
                </w:tcPr>
                <w:p>
                  <w:pPr>
                    <w:pStyle w:val="49"/>
                    <w:spacing w:line="240" w:lineRule="auto"/>
                    <w:rPr>
                      <w:bCs/>
                      <w:szCs w:val="21"/>
                    </w:rPr>
                  </w:pPr>
                  <w:r>
                    <w:rPr>
                      <w:rFonts w:hAnsi="宋体"/>
                      <w:bCs/>
                      <w:szCs w:val="21"/>
                    </w:rPr>
                    <w:t>标准限值（</w:t>
                  </w:r>
                  <w:r>
                    <w:rPr>
                      <w:bCs/>
                      <w:szCs w:val="21"/>
                    </w:rPr>
                    <w:t>dB(A)</w:t>
                  </w:r>
                  <w:r>
                    <w:rPr>
                      <w:rFonts w:hAnsi="宋体"/>
                      <w:bCs/>
                      <w:szCs w:val="21"/>
                    </w:rPr>
                    <w:t>）</w:t>
                  </w:r>
                </w:p>
              </w:tc>
              <w:tc>
                <w:tcPr>
                  <w:tcW w:w="3842" w:type="dxa"/>
                  <w:vAlign w:val="center"/>
                </w:tcPr>
                <w:p>
                  <w:pPr>
                    <w:pStyle w:val="49"/>
                    <w:spacing w:line="240" w:lineRule="auto"/>
                    <w:rPr>
                      <w:bCs/>
                      <w:szCs w:val="21"/>
                    </w:rPr>
                  </w:pPr>
                  <w:r>
                    <w:rPr>
                      <w:rFonts w:hAnsi="宋体"/>
                      <w:bCs/>
                      <w:szCs w:val="21"/>
                    </w:rPr>
                    <w:t>执行标准及级别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238" w:type="dxa"/>
                  <w:vAlign w:val="center"/>
                </w:tcPr>
                <w:p>
                  <w:pPr>
                    <w:pStyle w:val="49"/>
                    <w:spacing w:line="240" w:lineRule="auto"/>
                    <w:rPr>
                      <w:bCs/>
                      <w:szCs w:val="21"/>
                    </w:rPr>
                  </w:pPr>
                  <w:r>
                    <w:rPr>
                      <w:rFonts w:hAnsi="宋体"/>
                      <w:bCs/>
                      <w:szCs w:val="21"/>
                    </w:rPr>
                    <w:t>厂界噪声</w:t>
                  </w:r>
                </w:p>
              </w:tc>
              <w:tc>
                <w:tcPr>
                  <w:tcW w:w="1633" w:type="dxa"/>
                  <w:vAlign w:val="center"/>
                </w:tcPr>
                <w:p>
                  <w:pPr>
                    <w:pStyle w:val="49"/>
                    <w:spacing w:line="240" w:lineRule="auto"/>
                    <w:rPr>
                      <w:bCs/>
                      <w:szCs w:val="21"/>
                    </w:rPr>
                  </w:pPr>
                  <w:r>
                    <w:rPr>
                      <w:rFonts w:hAnsi="宋体"/>
                      <w:bCs/>
                      <w:szCs w:val="21"/>
                    </w:rPr>
                    <w:t>昼间：</w:t>
                  </w:r>
                  <w:r>
                    <w:rPr>
                      <w:bCs/>
                      <w:szCs w:val="21"/>
                    </w:rPr>
                    <w:t>60</w:t>
                  </w:r>
                </w:p>
              </w:tc>
              <w:tc>
                <w:tcPr>
                  <w:tcW w:w="1284" w:type="dxa"/>
                  <w:vAlign w:val="center"/>
                </w:tcPr>
                <w:p>
                  <w:pPr>
                    <w:pStyle w:val="49"/>
                    <w:spacing w:line="240" w:lineRule="auto"/>
                    <w:rPr>
                      <w:bCs/>
                      <w:szCs w:val="21"/>
                    </w:rPr>
                  </w:pPr>
                  <w:r>
                    <w:rPr>
                      <w:rFonts w:hAnsi="宋体"/>
                      <w:bCs/>
                      <w:szCs w:val="21"/>
                    </w:rPr>
                    <w:t>夜间：</w:t>
                  </w:r>
                  <w:r>
                    <w:rPr>
                      <w:bCs/>
                      <w:szCs w:val="21"/>
                    </w:rPr>
                    <w:t>50</w:t>
                  </w:r>
                </w:p>
              </w:tc>
              <w:tc>
                <w:tcPr>
                  <w:tcW w:w="3842" w:type="dxa"/>
                  <w:vAlign w:val="center"/>
                </w:tcPr>
                <w:p>
                  <w:pPr>
                    <w:pStyle w:val="49"/>
                    <w:spacing w:line="240" w:lineRule="auto"/>
                    <w:rPr>
                      <w:bCs/>
                      <w:szCs w:val="21"/>
                    </w:rPr>
                  </w:pPr>
                  <w:r>
                    <w:rPr>
                      <w:rFonts w:hAnsi="宋体"/>
                      <w:bCs/>
                      <w:szCs w:val="21"/>
                    </w:rPr>
                    <w:t>《工业企业厂界环境噪声排放标准》（</w:t>
                  </w:r>
                  <w:r>
                    <w:rPr>
                      <w:bCs/>
                      <w:szCs w:val="21"/>
                    </w:rPr>
                    <w:t>GB1248-2008</w:t>
                  </w:r>
                  <w:r>
                    <w:rPr>
                      <w:rFonts w:hAnsi="宋体"/>
                      <w:bCs/>
                      <w:szCs w:val="21"/>
                    </w:rPr>
                    <w:t>）</w:t>
                  </w:r>
                  <w:r>
                    <w:rPr>
                      <w:bCs/>
                      <w:szCs w:val="21"/>
                    </w:rPr>
                    <w:t>2</w:t>
                  </w:r>
                  <w:r>
                    <w:rPr>
                      <w:rFonts w:hAnsi="宋体"/>
                      <w:bCs/>
                      <w:szCs w:val="21"/>
                    </w:rPr>
                    <w:t>类标准</w:t>
                  </w:r>
                </w:p>
              </w:tc>
            </w:tr>
          </w:tbl>
          <w:p>
            <w:pPr>
              <w:spacing w:line="360" w:lineRule="auto"/>
              <w:ind w:firstLine="422" w:firstLineChars="200"/>
              <w:rPr>
                <w:b/>
              </w:rPr>
            </w:pPr>
            <w:r>
              <w:rPr>
                <w:b/>
              </w:rPr>
              <w:t>4</w:t>
            </w:r>
            <w:r>
              <w:rPr>
                <w:rFonts w:hAnsi="宋体"/>
                <w:b/>
              </w:rPr>
              <w:t>、固体废物</w:t>
            </w:r>
          </w:p>
          <w:p>
            <w:pPr>
              <w:spacing w:line="360" w:lineRule="auto"/>
              <w:ind w:firstLine="420" w:firstLineChars="200"/>
              <w:rPr>
                <w:szCs w:val="21"/>
              </w:rPr>
            </w:pPr>
            <w:r>
              <w:rPr>
                <w:szCs w:val="21"/>
              </w:rPr>
              <w:t>一般固体废物执行《一般工业固体废物贮存和填埋污染控制标准》(GB18599-2020)相关规定。危险废物执行《危险废物贮存污染控制标准》（GB18597-2023）中的相关规定。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71" w:hRule="atLeast"/>
          <w:jc w:val="center"/>
        </w:trPr>
        <w:tc>
          <w:tcPr>
            <w:tcW w:w="572"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243" w:type="dxa"/>
            <w:vAlign w:val="center"/>
          </w:tcPr>
          <w:p>
            <w:pPr>
              <w:adjustRightInd w:val="0"/>
              <w:snapToGrid w:val="0"/>
              <w:spacing w:before="120" w:beforeLines="50" w:line="360" w:lineRule="auto"/>
              <w:ind w:firstLine="420" w:firstLineChars="200"/>
              <w:rPr>
                <w:szCs w:val="21"/>
              </w:rPr>
            </w:pPr>
            <w:r>
              <w:rPr>
                <w:rFonts w:hint="eastAsia"/>
                <w:szCs w:val="21"/>
              </w:rPr>
              <w:t>本项目运营期生活污水由污水管网排入安康市汉滨区五里镇污水处理厂进一步处理，水污染物总量纳入汉滨区五里镇污水处理厂，因此评价给出了废气建议总量控制指标为：V</w:t>
            </w:r>
            <w:r>
              <w:rPr>
                <w:szCs w:val="21"/>
              </w:rPr>
              <w:t>OC</w:t>
            </w:r>
            <w:r>
              <w:rPr>
                <w:szCs w:val="21"/>
                <w:vertAlign w:val="subscript"/>
              </w:rPr>
              <w:t>S</w:t>
            </w:r>
            <w:r>
              <w:rPr>
                <w:rFonts w:hint="eastAsia"/>
                <w:szCs w:val="21"/>
              </w:rPr>
              <w:t>。</w:t>
            </w:r>
            <w:r>
              <w:rPr>
                <w:szCs w:val="21"/>
              </w:rPr>
              <w:t xml:space="preserve"> </w:t>
            </w:r>
          </w:p>
          <w:p>
            <w:pPr>
              <w:pStyle w:val="2"/>
              <w:jc w:val="center"/>
              <w:rPr>
                <w:rFonts w:ascii="Times New Roman" w:hAnsi="宋体" w:cs="Times New Roman"/>
                <w:b/>
                <w:color w:val="0000FF"/>
                <w:sz w:val="21"/>
                <w:szCs w:val="21"/>
              </w:rPr>
            </w:pPr>
            <w:r>
              <w:rPr>
                <w:rFonts w:ascii="Times New Roman" w:hAnsi="宋体" w:cs="Times New Roman"/>
                <w:b/>
                <w:color w:val="0000FF"/>
                <w:sz w:val="21"/>
                <w:szCs w:val="21"/>
              </w:rPr>
              <w:t>表</w:t>
            </w:r>
            <w:r>
              <w:rPr>
                <w:rFonts w:hint="eastAsia" w:ascii="Times New Roman" w:hAnsi="宋体" w:cs="Times New Roman"/>
                <w:b/>
                <w:color w:val="0000FF"/>
                <w:sz w:val="21"/>
                <w:szCs w:val="21"/>
              </w:rPr>
              <w:t>3</w:t>
            </w:r>
            <w:r>
              <w:rPr>
                <w:rFonts w:ascii="Times New Roman" w:hAnsi="宋体" w:cs="Times New Roman"/>
                <w:b/>
                <w:color w:val="0000FF"/>
                <w:sz w:val="21"/>
                <w:szCs w:val="21"/>
              </w:rPr>
              <w:t xml:space="preserve">-10    </w:t>
            </w:r>
            <w:r>
              <w:rPr>
                <w:rFonts w:hint="eastAsia" w:ascii="Times New Roman" w:hAnsi="宋体" w:cs="Times New Roman"/>
                <w:b/>
                <w:color w:val="0000FF"/>
                <w:sz w:val="21"/>
                <w:szCs w:val="21"/>
              </w:rPr>
              <w:t>本项目总量控制指标</w:t>
            </w:r>
          </w:p>
          <w:tbl>
            <w:tblPr>
              <w:tblStyle w:val="23"/>
              <w:tblW w:w="79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05"/>
              <w:gridCol w:w="3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4005" w:type="dxa"/>
                  <w:vAlign w:val="center"/>
                </w:tcPr>
                <w:p>
                  <w:pPr>
                    <w:adjustRightInd w:val="0"/>
                    <w:snapToGrid w:val="0"/>
                    <w:jc w:val="center"/>
                    <w:rPr>
                      <w:bCs/>
                      <w:color w:val="0000FF"/>
                      <w:szCs w:val="21"/>
                    </w:rPr>
                  </w:pPr>
                  <w:r>
                    <w:rPr>
                      <w:rFonts w:hint="eastAsia"/>
                      <w:bCs/>
                      <w:color w:val="0000FF"/>
                      <w:szCs w:val="21"/>
                    </w:rPr>
                    <w:t>总量控制指标</w:t>
                  </w:r>
                </w:p>
              </w:tc>
              <w:tc>
                <w:tcPr>
                  <w:tcW w:w="3992" w:type="dxa"/>
                  <w:vAlign w:val="center"/>
                </w:tcPr>
                <w:p>
                  <w:pPr>
                    <w:adjustRightInd w:val="0"/>
                    <w:snapToGrid w:val="0"/>
                    <w:jc w:val="center"/>
                    <w:rPr>
                      <w:bCs/>
                      <w:color w:val="0000FF"/>
                      <w:szCs w:val="21"/>
                    </w:rPr>
                  </w:pPr>
                  <w:r>
                    <w:rPr>
                      <w:rFonts w:hint="eastAsia"/>
                      <w:bCs/>
                      <w:color w:val="0000FF"/>
                      <w:szCs w:val="21"/>
                    </w:rPr>
                    <w:t>本项目排放量t</w:t>
                  </w:r>
                  <w:r>
                    <w:rPr>
                      <w:bCs/>
                      <w:color w:val="0000FF"/>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4005" w:type="dxa"/>
                  <w:vAlign w:val="center"/>
                </w:tcPr>
                <w:p>
                  <w:pPr>
                    <w:adjustRightInd w:val="0"/>
                    <w:snapToGrid w:val="0"/>
                    <w:jc w:val="center"/>
                    <w:rPr>
                      <w:bCs/>
                      <w:color w:val="0000FF"/>
                      <w:szCs w:val="21"/>
                    </w:rPr>
                  </w:pPr>
                  <w:r>
                    <w:rPr>
                      <w:rFonts w:hint="eastAsia"/>
                      <w:bCs/>
                      <w:color w:val="0000FF"/>
                      <w:szCs w:val="21"/>
                    </w:rPr>
                    <w:t>V</w:t>
                  </w:r>
                  <w:r>
                    <w:rPr>
                      <w:bCs/>
                      <w:color w:val="0000FF"/>
                      <w:szCs w:val="21"/>
                    </w:rPr>
                    <w:t>OCs</w:t>
                  </w:r>
                </w:p>
              </w:tc>
              <w:tc>
                <w:tcPr>
                  <w:tcW w:w="3992" w:type="dxa"/>
                  <w:vAlign w:val="center"/>
                </w:tcPr>
                <w:p>
                  <w:pPr>
                    <w:adjustRightInd w:val="0"/>
                    <w:snapToGrid w:val="0"/>
                    <w:jc w:val="center"/>
                    <w:rPr>
                      <w:bCs/>
                      <w:color w:val="0000FF"/>
                      <w:szCs w:val="21"/>
                    </w:rPr>
                  </w:pPr>
                  <w:r>
                    <w:rPr>
                      <w:bCs/>
                      <w:color w:val="0000FF"/>
                      <w:szCs w:val="21"/>
                    </w:rPr>
                    <w:t>0.5528</w:t>
                  </w:r>
                </w:p>
              </w:tc>
            </w:tr>
          </w:tbl>
          <w:p>
            <w:pPr>
              <w:spacing w:line="360" w:lineRule="auto"/>
              <w:ind w:firstLine="422" w:firstLineChars="200"/>
              <w:rPr>
                <w:rFonts w:eastAsia="黑体"/>
                <w:b/>
                <w:bCs/>
                <w:szCs w:val="21"/>
              </w:rPr>
            </w:pPr>
          </w:p>
        </w:tc>
      </w:tr>
    </w:tbl>
    <w:p>
      <w:pPr>
        <w:pStyle w:val="19"/>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3"/>
        <w:tblW w:w="88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3"/>
        <w:gridCol w:w="8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6" w:hRule="atLeast"/>
          <w:jc w:val="center"/>
        </w:trPr>
        <w:tc>
          <w:tcPr>
            <w:tcW w:w="263" w:type="dxa"/>
            <w:tcMar>
              <w:left w:w="28" w:type="dxa"/>
              <w:right w:w="28" w:type="dxa"/>
            </w:tcMar>
            <w:vAlign w:val="center"/>
          </w:tcPr>
          <w:p>
            <w:pPr>
              <w:pStyle w:val="19"/>
              <w:adjustRightInd w:val="0"/>
              <w:snapToGrid w:val="0"/>
              <w:spacing w:before="0" w:beforeAutospacing="0" w:after="0" w:afterAutospacing="0"/>
              <w:jc w:val="center"/>
              <w:rPr>
                <w:rFonts w:cs="宋体"/>
                <w:kern w:val="2"/>
                <w:sz w:val="21"/>
                <w:szCs w:val="21"/>
                <w:lang w:val="en-US" w:eastAsia="zh-CN"/>
              </w:rPr>
            </w:pPr>
            <w:r>
              <w:rPr>
                <w:rFonts w:hint="eastAsia" w:cs="宋体"/>
                <w:kern w:val="2"/>
                <w:sz w:val="21"/>
                <w:szCs w:val="21"/>
                <w:lang w:val="en-US" w:eastAsia="zh-CN"/>
              </w:rPr>
              <w:t>施工</w:t>
            </w:r>
          </w:p>
          <w:p>
            <w:pPr>
              <w:pStyle w:val="19"/>
              <w:adjustRightInd w:val="0"/>
              <w:snapToGrid w:val="0"/>
              <w:spacing w:before="0" w:beforeAutospacing="0" w:after="0" w:afterAutospacing="0"/>
              <w:jc w:val="center"/>
              <w:rPr>
                <w:rFonts w:cs="宋体"/>
                <w:kern w:val="2"/>
                <w:sz w:val="21"/>
                <w:szCs w:val="21"/>
                <w:lang w:val="en-US" w:eastAsia="zh-CN"/>
              </w:rPr>
            </w:pPr>
            <w:r>
              <w:rPr>
                <w:rFonts w:hint="eastAsia" w:cs="宋体"/>
                <w:kern w:val="2"/>
                <w:sz w:val="21"/>
                <w:szCs w:val="21"/>
                <w:lang w:val="en-US" w:eastAsia="zh-CN"/>
              </w:rPr>
              <w:t>期环</w:t>
            </w:r>
          </w:p>
          <w:p>
            <w:pPr>
              <w:pStyle w:val="19"/>
              <w:adjustRightInd w:val="0"/>
              <w:snapToGrid w:val="0"/>
              <w:spacing w:before="0" w:beforeAutospacing="0" w:after="0" w:afterAutospacing="0"/>
              <w:jc w:val="center"/>
              <w:rPr>
                <w:rFonts w:cs="宋体"/>
                <w:kern w:val="2"/>
                <w:sz w:val="21"/>
                <w:szCs w:val="21"/>
                <w:lang w:val="en-US" w:eastAsia="zh-CN"/>
              </w:rPr>
            </w:pPr>
            <w:r>
              <w:rPr>
                <w:rFonts w:hint="eastAsia" w:cs="宋体"/>
                <w:kern w:val="2"/>
                <w:sz w:val="21"/>
                <w:szCs w:val="21"/>
                <w:lang w:val="en-US" w:eastAsia="zh-CN"/>
              </w:rPr>
              <w:t>境保</w:t>
            </w:r>
          </w:p>
          <w:p>
            <w:pPr>
              <w:pStyle w:val="19"/>
              <w:adjustRightInd w:val="0"/>
              <w:snapToGrid w:val="0"/>
              <w:spacing w:before="0" w:beforeAutospacing="0" w:after="0" w:afterAutospacing="0"/>
              <w:jc w:val="center"/>
              <w:rPr>
                <w:rFonts w:cs="宋体"/>
                <w:kern w:val="2"/>
                <w:sz w:val="21"/>
                <w:szCs w:val="21"/>
                <w:lang w:val="en-US" w:eastAsia="zh-CN"/>
              </w:rPr>
            </w:pPr>
            <w:r>
              <w:rPr>
                <w:rFonts w:hint="eastAsia" w:cs="宋体"/>
                <w:kern w:val="2"/>
                <w:sz w:val="21"/>
                <w:szCs w:val="21"/>
                <w:lang w:val="en-US" w:eastAsia="zh-CN"/>
              </w:rPr>
              <w:t>护措</w:t>
            </w:r>
          </w:p>
          <w:p>
            <w:pPr>
              <w:pStyle w:val="19"/>
              <w:adjustRightInd w:val="0"/>
              <w:snapToGrid w:val="0"/>
              <w:spacing w:before="0" w:beforeAutospacing="0" w:after="0" w:afterAutospacing="0"/>
              <w:jc w:val="center"/>
              <w:rPr>
                <w:rFonts w:cs="宋体"/>
                <w:bCs/>
                <w:kern w:val="2"/>
                <w:sz w:val="21"/>
                <w:szCs w:val="21"/>
                <w:lang w:val="en-US" w:eastAsia="zh-CN"/>
              </w:rPr>
            </w:pPr>
            <w:r>
              <w:rPr>
                <w:rFonts w:hint="eastAsia" w:cs="宋体"/>
                <w:kern w:val="2"/>
                <w:sz w:val="21"/>
                <w:szCs w:val="21"/>
                <w:lang w:val="en-US" w:eastAsia="zh-CN"/>
              </w:rPr>
              <w:t>施</w:t>
            </w:r>
          </w:p>
        </w:tc>
        <w:tc>
          <w:tcPr>
            <w:tcW w:w="8552" w:type="dxa"/>
            <w:vAlign w:val="center"/>
          </w:tcPr>
          <w:p>
            <w:pPr>
              <w:pStyle w:val="12"/>
              <w:spacing w:line="360" w:lineRule="auto"/>
              <w:ind w:firstLine="420" w:firstLineChars="200"/>
              <w:rPr>
                <w:rFonts w:ascii="Times New Roman" w:hAnsi="宋体"/>
              </w:rPr>
            </w:pPr>
            <w:r>
              <w:rPr>
                <w:rFonts w:ascii="Times New Roman" w:hAnsi="宋体"/>
              </w:rPr>
              <w:t>本项目</w:t>
            </w:r>
            <w:r>
              <w:rPr>
                <w:rFonts w:hint="eastAsia" w:ascii="Times New Roman" w:hAnsi="宋体"/>
              </w:rPr>
              <w:t>租赁已建成厂房进行生产，施工期仅涉及少量厂房内部改造、及设备安装。不涉及基础开挖及土建工程，本项目施工期主要污染物为扬尘、噪声、固体废物和噪声，具体污染防治措施见表4</w:t>
            </w:r>
            <w:r>
              <w:rPr>
                <w:rFonts w:ascii="Times New Roman" w:hAnsi="宋体"/>
              </w:rPr>
              <w:t>-1</w:t>
            </w:r>
            <w:r>
              <w:rPr>
                <w:rFonts w:hint="eastAsia" w:ascii="Times New Roman" w:hAnsi="宋体"/>
              </w:rPr>
              <w:t>。</w:t>
            </w:r>
          </w:p>
          <w:p>
            <w:pPr>
              <w:pStyle w:val="2"/>
              <w:ind w:firstLine="34" w:firstLineChars="16"/>
              <w:jc w:val="center"/>
              <w:rPr>
                <w:rFonts w:ascii="Times New Roman" w:cs="Times New Roman"/>
                <w:b/>
                <w:bCs/>
                <w:color w:val="auto"/>
                <w:sz w:val="21"/>
                <w:szCs w:val="21"/>
              </w:rPr>
            </w:pPr>
            <w:r>
              <w:rPr>
                <w:rFonts w:ascii="Times New Roman" w:hAnsi="宋体" w:cs="Times New Roman"/>
                <w:b/>
                <w:bCs/>
                <w:color w:val="auto"/>
                <w:sz w:val="21"/>
                <w:szCs w:val="21"/>
              </w:rPr>
              <w:t>表</w:t>
            </w:r>
            <w:r>
              <w:rPr>
                <w:rFonts w:ascii="Times New Roman" w:cs="Times New Roman"/>
                <w:b/>
                <w:bCs/>
                <w:color w:val="auto"/>
                <w:sz w:val="21"/>
                <w:szCs w:val="21"/>
              </w:rPr>
              <w:t xml:space="preserve">4-1    </w:t>
            </w:r>
            <w:r>
              <w:rPr>
                <w:rFonts w:ascii="Times New Roman" w:hAnsi="宋体" w:cs="Times New Roman"/>
                <w:b/>
                <w:bCs/>
                <w:color w:val="auto"/>
                <w:sz w:val="21"/>
                <w:szCs w:val="21"/>
              </w:rPr>
              <w:t>施工期措施一览表</w:t>
            </w:r>
          </w:p>
          <w:tbl>
            <w:tblPr>
              <w:tblStyle w:val="23"/>
              <w:tblW w:w="83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229"/>
              <w:gridCol w:w="1816"/>
              <w:gridCol w:w="1854"/>
              <w:gridCol w:w="2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72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类别</w:t>
                  </w:r>
                </w:p>
              </w:tc>
              <w:tc>
                <w:tcPr>
                  <w:tcW w:w="12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名称</w:t>
                  </w:r>
                </w:p>
              </w:tc>
              <w:tc>
                <w:tcPr>
                  <w:tcW w:w="181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产生工序</w:t>
                  </w:r>
                </w:p>
              </w:tc>
              <w:tc>
                <w:tcPr>
                  <w:tcW w:w="1854" w:type="dxa"/>
                  <w:tcBorders>
                    <w:righ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主要污染因子</w:t>
                  </w:r>
                </w:p>
              </w:tc>
              <w:tc>
                <w:tcPr>
                  <w:tcW w:w="2683" w:type="dxa"/>
                  <w:tcBorders>
                    <w:lef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防治措施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72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废气</w:t>
                  </w:r>
                </w:p>
              </w:tc>
              <w:tc>
                <w:tcPr>
                  <w:tcW w:w="12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扬尘</w:t>
                  </w:r>
                </w:p>
              </w:tc>
              <w:tc>
                <w:tcPr>
                  <w:tcW w:w="181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施工过程</w:t>
                  </w:r>
                </w:p>
              </w:tc>
              <w:tc>
                <w:tcPr>
                  <w:tcW w:w="1854" w:type="dxa"/>
                  <w:tcBorders>
                    <w:righ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TSP</w:t>
                  </w:r>
                </w:p>
              </w:tc>
              <w:tc>
                <w:tcPr>
                  <w:tcW w:w="2683" w:type="dxa"/>
                  <w:tcBorders>
                    <w:lef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洒水降尘、厂房围挡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8" w:hRule="exact"/>
                <w:jc w:val="center"/>
              </w:trPr>
              <w:tc>
                <w:tcPr>
                  <w:tcW w:w="72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噪声</w:t>
                  </w:r>
                </w:p>
              </w:tc>
              <w:tc>
                <w:tcPr>
                  <w:tcW w:w="12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噪声</w:t>
                  </w:r>
                </w:p>
              </w:tc>
              <w:tc>
                <w:tcPr>
                  <w:tcW w:w="181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施工过程</w:t>
                  </w:r>
                </w:p>
              </w:tc>
              <w:tc>
                <w:tcPr>
                  <w:tcW w:w="1854" w:type="dxa"/>
                  <w:tcBorders>
                    <w:righ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Leq（A）</w:t>
                  </w:r>
                </w:p>
              </w:tc>
              <w:tc>
                <w:tcPr>
                  <w:tcW w:w="2683" w:type="dxa"/>
                  <w:tcBorders>
                    <w:left w:val="single" w:color="auto" w:sz="4" w:space="0"/>
                  </w:tcBorders>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合理安排施工时间及方式、选用低噪声设备、严格操作规程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0" w:hRule="exact"/>
                <w:jc w:val="center"/>
              </w:trPr>
              <w:tc>
                <w:tcPr>
                  <w:tcW w:w="72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废水</w:t>
                  </w:r>
                </w:p>
              </w:tc>
              <w:tc>
                <w:tcPr>
                  <w:tcW w:w="12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生活污水</w:t>
                  </w:r>
                </w:p>
              </w:tc>
              <w:tc>
                <w:tcPr>
                  <w:tcW w:w="181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施工人员生活</w:t>
                  </w:r>
                </w:p>
              </w:tc>
              <w:tc>
                <w:tcPr>
                  <w:tcW w:w="1854" w:type="dxa"/>
                  <w:tcBorders>
                    <w:righ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COD、BOD</w:t>
                  </w:r>
                  <w:r>
                    <w:rPr>
                      <w:rFonts w:ascii="Times New Roman" w:cs="Times New Roman"/>
                      <w:color w:val="auto"/>
                      <w:sz w:val="21"/>
                      <w:szCs w:val="21"/>
                      <w:vertAlign w:val="subscript"/>
                    </w:rPr>
                    <w:t>5</w:t>
                  </w:r>
                  <w:r>
                    <w:rPr>
                      <w:rFonts w:ascii="Times New Roman" w:cs="Times New Roman"/>
                      <w:color w:val="auto"/>
                      <w:sz w:val="21"/>
                      <w:szCs w:val="21"/>
                    </w:rPr>
                    <w:t>、SS、氨氮等</w:t>
                  </w:r>
                </w:p>
              </w:tc>
              <w:tc>
                <w:tcPr>
                  <w:tcW w:w="2683" w:type="dxa"/>
                  <w:tcBorders>
                    <w:lef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经化粪池后，排入园区污水管网，进入五里镇污水处理厂处置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724" w:type="dxa"/>
                  <w:vMerge w:val="restart"/>
                  <w:vAlign w:val="center"/>
                </w:tcPr>
                <w:p>
                  <w:pPr>
                    <w:pStyle w:val="2"/>
                    <w:jc w:val="center"/>
                    <w:rPr>
                      <w:rFonts w:ascii="Times New Roman" w:cs="Times New Roman"/>
                      <w:color w:val="auto"/>
                      <w:sz w:val="21"/>
                      <w:szCs w:val="21"/>
                    </w:rPr>
                  </w:pPr>
                  <w:r>
                    <w:rPr>
                      <w:rFonts w:ascii="Times New Roman" w:cs="Times New Roman"/>
                      <w:color w:val="auto"/>
                      <w:sz w:val="21"/>
                      <w:szCs w:val="21"/>
                    </w:rPr>
                    <w:t>固废</w:t>
                  </w:r>
                </w:p>
              </w:tc>
              <w:tc>
                <w:tcPr>
                  <w:tcW w:w="12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生活垃圾</w:t>
                  </w:r>
                </w:p>
              </w:tc>
              <w:tc>
                <w:tcPr>
                  <w:tcW w:w="181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施工人员生活</w:t>
                  </w:r>
                </w:p>
              </w:tc>
              <w:tc>
                <w:tcPr>
                  <w:tcW w:w="1854" w:type="dxa"/>
                  <w:tcBorders>
                    <w:righ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生活垃圾</w:t>
                  </w:r>
                </w:p>
              </w:tc>
              <w:tc>
                <w:tcPr>
                  <w:tcW w:w="2683" w:type="dxa"/>
                  <w:tcBorders>
                    <w:lef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分类收集，环卫部门清运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724" w:type="dxa"/>
                  <w:vMerge w:val="continue"/>
                  <w:vAlign w:val="center"/>
                </w:tcPr>
                <w:p>
                  <w:pPr>
                    <w:pStyle w:val="2"/>
                    <w:jc w:val="center"/>
                    <w:rPr>
                      <w:rFonts w:ascii="Times New Roman" w:cs="Times New Roman"/>
                      <w:color w:val="auto"/>
                      <w:sz w:val="21"/>
                      <w:szCs w:val="21"/>
                    </w:rPr>
                  </w:pPr>
                </w:p>
              </w:tc>
              <w:tc>
                <w:tcPr>
                  <w:tcW w:w="12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包装材料</w:t>
                  </w:r>
                </w:p>
              </w:tc>
              <w:tc>
                <w:tcPr>
                  <w:tcW w:w="181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施工过程</w:t>
                  </w:r>
                </w:p>
              </w:tc>
              <w:tc>
                <w:tcPr>
                  <w:tcW w:w="1854" w:type="dxa"/>
                  <w:tcBorders>
                    <w:righ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废弃材料等</w:t>
                  </w:r>
                </w:p>
              </w:tc>
              <w:tc>
                <w:tcPr>
                  <w:tcW w:w="2683" w:type="dxa"/>
                  <w:tcBorders>
                    <w:left w:val="single" w:color="auto" w:sz="4" w:space="0"/>
                  </w:tcBorders>
                  <w:vAlign w:val="center"/>
                </w:tcPr>
                <w:p>
                  <w:pPr>
                    <w:pStyle w:val="2"/>
                    <w:jc w:val="center"/>
                    <w:rPr>
                      <w:rFonts w:ascii="Times New Roman" w:cs="Times New Roman"/>
                      <w:color w:val="auto"/>
                      <w:sz w:val="21"/>
                      <w:szCs w:val="21"/>
                    </w:rPr>
                  </w:pPr>
                  <w:r>
                    <w:rPr>
                      <w:rFonts w:ascii="Times New Roman" w:cs="Times New Roman"/>
                      <w:color w:val="auto"/>
                      <w:sz w:val="21"/>
                      <w:szCs w:val="21"/>
                    </w:rPr>
                    <w:t>收集外售物资回收部门</w:t>
                  </w:r>
                </w:p>
              </w:tc>
            </w:tr>
          </w:tbl>
          <w:p>
            <w:pPr>
              <w:spacing w:line="360" w:lineRule="auto"/>
              <w:ind w:firstLine="347" w:firstLineChars="183"/>
              <w:rPr>
                <w:rFonts w:ascii="宋体" w:hAnsi="宋体" w:cs="宋体"/>
                <w:bCs/>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263"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552" w:type="dxa"/>
            <w:vAlign w:val="center"/>
          </w:tcPr>
          <w:p>
            <w:pPr>
              <w:spacing w:line="360" w:lineRule="auto"/>
              <w:ind w:firstLine="413" w:firstLineChars="196"/>
              <w:jc w:val="left"/>
              <w:rPr>
                <w:rFonts w:ascii="宋体" w:hAnsi="宋体" w:cs="宋体"/>
                <w:b/>
              </w:rPr>
            </w:pPr>
            <w:r>
              <w:rPr>
                <w:rFonts w:hint="eastAsia" w:ascii="宋体" w:hAnsi="宋体" w:cs="宋体"/>
                <w:b/>
              </w:rPr>
              <w:t>1、废气</w:t>
            </w:r>
          </w:p>
          <w:p>
            <w:pPr>
              <w:pStyle w:val="12"/>
              <w:tabs>
                <w:tab w:val="left" w:pos="4718"/>
              </w:tabs>
              <w:spacing w:line="360" w:lineRule="auto"/>
              <w:ind w:firstLine="420" w:firstLineChars="200"/>
              <w:rPr>
                <w:rFonts w:ascii="Times New Roman" w:hAnsi="Times New Roman"/>
                <w:szCs w:val="21"/>
              </w:rPr>
            </w:pPr>
            <w:r>
              <w:rPr>
                <w:rFonts w:ascii="Times New Roman" w:hAnsi="Times New Roman"/>
                <w:szCs w:val="21"/>
              </w:rPr>
              <w:t>（1）源强核算</w:t>
            </w:r>
          </w:p>
          <w:p>
            <w:pPr>
              <w:pStyle w:val="12"/>
              <w:tabs>
                <w:tab w:val="left" w:pos="4718"/>
              </w:tabs>
              <w:spacing w:line="360" w:lineRule="auto"/>
              <w:ind w:firstLine="420" w:firstLineChars="200"/>
              <w:rPr>
                <w:rFonts w:ascii="Times New Roman" w:hAnsi="Times New Roman"/>
                <w:szCs w:val="21"/>
              </w:rPr>
            </w:pPr>
            <w:r>
              <w:rPr>
                <w:rFonts w:hint="eastAsia" w:ascii="Times New Roman" w:hAnsi="Times New Roman"/>
                <w:szCs w:val="21"/>
              </w:rPr>
              <w:t>①</w:t>
            </w:r>
            <w:r>
              <w:rPr>
                <w:rFonts w:ascii="Times New Roman" w:hAnsi="Times New Roman"/>
                <w:szCs w:val="21"/>
              </w:rPr>
              <w:t>切割、打磨废气</w:t>
            </w:r>
          </w:p>
          <w:p>
            <w:pPr>
              <w:pStyle w:val="12"/>
              <w:tabs>
                <w:tab w:val="left" w:pos="4718"/>
              </w:tabs>
              <w:spacing w:line="360" w:lineRule="auto"/>
              <w:ind w:firstLine="420" w:firstLineChars="200"/>
              <w:rPr>
                <w:rFonts w:ascii="Times New Roman" w:hAnsi="Times New Roman"/>
                <w:szCs w:val="21"/>
              </w:rPr>
            </w:pPr>
            <w:r>
              <w:rPr>
                <w:rFonts w:ascii="Times New Roman" w:hAnsi="Times New Roman"/>
                <w:szCs w:val="21"/>
              </w:rPr>
              <w:t>切割工序是采用切割机通过在玻璃表面制造划痕，造成应力集中，然后玻璃裂开，因此切割工序不会有粉尘产生。</w:t>
            </w:r>
          </w:p>
          <w:p>
            <w:pPr>
              <w:pStyle w:val="12"/>
              <w:tabs>
                <w:tab w:val="left" w:pos="4718"/>
              </w:tabs>
              <w:spacing w:line="360" w:lineRule="auto"/>
              <w:ind w:firstLine="420" w:firstLineChars="200"/>
              <w:rPr>
                <w:rFonts w:ascii="Times New Roman" w:hAnsi="Times New Roman"/>
                <w:szCs w:val="21"/>
              </w:rPr>
            </w:pPr>
            <w:r>
              <w:rPr>
                <w:rFonts w:ascii="Times New Roman" w:hAnsi="Times New Roman"/>
                <w:szCs w:val="21"/>
              </w:rPr>
              <w:t>磨边工序采用湿法作业，磨边产生的</w:t>
            </w:r>
            <w:r>
              <w:rPr>
                <w:rFonts w:hint="eastAsia" w:ascii="Times New Roman" w:hAnsi="Times New Roman"/>
                <w:szCs w:val="21"/>
              </w:rPr>
              <w:t>绝大部分</w:t>
            </w:r>
            <w:r>
              <w:rPr>
                <w:rFonts w:ascii="Times New Roman" w:hAnsi="Times New Roman"/>
                <w:szCs w:val="21"/>
              </w:rPr>
              <w:t>玻璃粉尘</w:t>
            </w:r>
            <w:r>
              <w:rPr>
                <w:rFonts w:hint="eastAsia" w:ascii="Times New Roman" w:hAnsi="Times New Roman"/>
                <w:szCs w:val="21"/>
              </w:rPr>
              <w:t>、</w:t>
            </w:r>
            <w:r>
              <w:rPr>
                <w:rFonts w:ascii="Times New Roman" w:hAnsi="Times New Roman"/>
                <w:szCs w:val="21"/>
              </w:rPr>
              <w:t>玻璃渣与水混合流入设备自带的</w:t>
            </w:r>
            <w:r>
              <w:rPr>
                <w:rFonts w:hint="eastAsia" w:ascii="Times New Roman" w:hAnsi="Times New Roman"/>
                <w:szCs w:val="21"/>
              </w:rPr>
              <w:t>循环水箱内</w:t>
            </w:r>
            <w:r>
              <w:rPr>
                <w:rFonts w:ascii="Times New Roman" w:hAnsi="Times New Roman"/>
                <w:szCs w:val="21"/>
              </w:rPr>
              <w:t>，极少玻璃粉尘无组织排放</w:t>
            </w:r>
            <w:r>
              <w:rPr>
                <w:rFonts w:hint="eastAsia" w:ascii="Times New Roman" w:hAnsi="Times New Roman"/>
                <w:szCs w:val="21"/>
              </w:rPr>
              <w:t>。</w:t>
            </w:r>
            <w:r>
              <w:rPr>
                <w:rFonts w:ascii="Times New Roman" w:hAnsi="Times New Roman"/>
                <w:szCs w:val="21"/>
              </w:rPr>
              <w:t>由于玻璃粉尘比重较大，</w:t>
            </w:r>
            <w:r>
              <w:rPr>
                <w:rFonts w:hint="eastAsia" w:ascii="Times New Roman" w:hAnsi="Times New Roman"/>
                <w:szCs w:val="21"/>
              </w:rPr>
              <w:t>很快在设备周边得到沉降，加上车间阻隔，不会对外环境产生不良影响。</w:t>
            </w:r>
          </w:p>
          <w:p>
            <w:pPr>
              <w:pStyle w:val="12"/>
              <w:tabs>
                <w:tab w:val="left" w:pos="4718"/>
              </w:tabs>
              <w:spacing w:line="360" w:lineRule="auto"/>
              <w:ind w:firstLine="420" w:firstLineChars="200"/>
              <w:rPr>
                <w:rFonts w:ascii="Times New Roman" w:hAnsi="Times New Roman"/>
                <w:szCs w:val="21"/>
              </w:rPr>
            </w:pPr>
            <w:r>
              <w:rPr>
                <w:rFonts w:hint="eastAsia" w:hAnsi="宋体" w:cs="宋体"/>
                <w:szCs w:val="21"/>
              </w:rPr>
              <w:t>②</w:t>
            </w:r>
            <w:r>
              <w:rPr>
                <w:rFonts w:hint="eastAsia" w:ascii="Times New Roman" w:hAnsi="Times New Roman"/>
                <w:szCs w:val="21"/>
              </w:rPr>
              <w:t>钢化热气</w:t>
            </w:r>
          </w:p>
          <w:p>
            <w:pPr>
              <w:pStyle w:val="12"/>
              <w:tabs>
                <w:tab w:val="left" w:pos="4718"/>
              </w:tabs>
              <w:spacing w:line="360" w:lineRule="auto"/>
              <w:ind w:firstLine="420" w:firstLineChars="200"/>
              <w:rPr>
                <w:rFonts w:ascii="Times New Roman" w:hAnsi="Times New Roman"/>
                <w:szCs w:val="21"/>
              </w:rPr>
            </w:pPr>
            <w:r>
              <w:rPr>
                <w:rFonts w:hint="eastAsia" w:ascii="Times New Roman" w:hAnsi="Times New Roman"/>
                <w:szCs w:val="21"/>
              </w:rPr>
              <w:t>本项目钢化使用电加热，无燃料废气产生排放，经加热钢化处理的玻璃在同一钢化机组尾部通过引风机抽出实现快速冷却，热风通过专用排风口外排。</w:t>
            </w:r>
          </w:p>
          <w:p>
            <w:pPr>
              <w:pStyle w:val="12"/>
              <w:tabs>
                <w:tab w:val="left" w:pos="4718"/>
              </w:tabs>
              <w:spacing w:line="360" w:lineRule="auto"/>
              <w:ind w:firstLine="420" w:firstLineChars="200"/>
              <w:rPr>
                <w:rFonts w:ascii="Times New Roman" w:hAnsi="Times New Roman"/>
                <w:szCs w:val="21"/>
              </w:rPr>
            </w:pPr>
            <w:r>
              <w:rPr>
                <w:rFonts w:hint="eastAsia" w:ascii="Times New Roman" w:hAnsi="Times New Roman"/>
                <w:szCs w:val="21"/>
              </w:rPr>
              <w:t>玻璃成分主要为硅酸盐和二氧化硅，硅酸盐熔点绝大多数高于1</w:t>
            </w:r>
            <w:r>
              <w:rPr>
                <w:rFonts w:ascii="Times New Roman" w:hAnsi="Times New Roman"/>
                <w:szCs w:val="21"/>
              </w:rPr>
              <w:t>000</w:t>
            </w:r>
            <w:r>
              <w:rPr>
                <w:rFonts w:hint="eastAsia" w:ascii="Times New Roman" w:hAnsi="Times New Roman"/>
                <w:szCs w:val="21"/>
              </w:rPr>
              <w:t>℃，二氧化硅熔点为1</w:t>
            </w:r>
            <w:r>
              <w:rPr>
                <w:rFonts w:ascii="Times New Roman" w:hAnsi="Times New Roman"/>
                <w:szCs w:val="21"/>
              </w:rPr>
              <w:t>650</w:t>
            </w:r>
            <w:r>
              <w:rPr>
                <w:rFonts w:hint="eastAsia" w:ascii="Times New Roman" w:hAnsi="Times New Roman"/>
                <w:szCs w:val="21"/>
              </w:rPr>
              <w:t>℃，钢化过程温度</w:t>
            </w:r>
            <w:r>
              <w:rPr>
                <w:rFonts w:ascii="Times New Roman" w:hAnsi="Times New Roman"/>
                <w:szCs w:val="21"/>
              </w:rPr>
              <w:t>700</w:t>
            </w:r>
            <w:r>
              <w:rPr>
                <w:rFonts w:hint="eastAsia" w:ascii="Times New Roman" w:hAnsi="Times New Roman"/>
                <w:szCs w:val="21"/>
              </w:rPr>
              <w:t>℃，其温度未达到玻璃成分熔点，所有玻璃在钢化过程不会产生挥发物质。</w:t>
            </w:r>
          </w:p>
          <w:p>
            <w:pPr>
              <w:pStyle w:val="12"/>
              <w:tabs>
                <w:tab w:val="left" w:pos="4718"/>
              </w:tabs>
              <w:spacing w:line="360" w:lineRule="auto"/>
              <w:ind w:firstLine="420" w:firstLineChars="200"/>
              <w:rPr>
                <w:rFonts w:ascii="Times New Roman" w:hAnsi="Times New Roman"/>
                <w:szCs w:val="21"/>
              </w:rPr>
            </w:pPr>
            <w:r>
              <w:rPr>
                <w:rFonts w:hint="eastAsia" w:ascii="Times New Roman" w:hAnsi="Times New Roman"/>
                <w:szCs w:val="21"/>
              </w:rPr>
              <w:t>因此热气中无污染物，直接排放不会对周边环境造成影响。</w:t>
            </w:r>
          </w:p>
          <w:p>
            <w:pPr>
              <w:pStyle w:val="12"/>
              <w:tabs>
                <w:tab w:val="left" w:pos="4718"/>
              </w:tabs>
              <w:spacing w:line="360" w:lineRule="auto"/>
              <w:ind w:firstLine="420" w:firstLineChars="200"/>
              <w:rPr>
                <w:rFonts w:ascii="Times New Roman" w:hAnsi="Times New Roman"/>
                <w:szCs w:val="21"/>
              </w:rPr>
            </w:pPr>
            <w:r>
              <w:rPr>
                <w:rFonts w:hint="eastAsia" w:hAnsi="宋体" w:cs="宋体"/>
                <w:szCs w:val="21"/>
              </w:rPr>
              <w:t>③</w:t>
            </w:r>
            <w:r>
              <w:rPr>
                <w:rFonts w:hint="eastAsia" w:ascii="Times New Roman" w:hAnsi="Times New Roman"/>
                <w:szCs w:val="21"/>
              </w:rPr>
              <w:t>涂胶、打胶废气</w:t>
            </w:r>
          </w:p>
          <w:p>
            <w:pPr>
              <w:pStyle w:val="12"/>
              <w:tabs>
                <w:tab w:val="left" w:pos="4718"/>
              </w:tabs>
              <w:spacing w:line="360" w:lineRule="auto"/>
              <w:ind w:firstLine="420" w:firstLineChars="200"/>
              <w:rPr>
                <w:rFonts w:ascii="Times New Roman" w:hAnsi="Times New Roman"/>
                <w:szCs w:val="21"/>
              </w:rPr>
            </w:pPr>
            <w:r>
              <w:rPr>
                <w:rFonts w:hint="eastAsia" w:ascii="Times New Roman" w:hAnsi="Times New Roman"/>
                <w:szCs w:val="21"/>
              </w:rPr>
              <w:t>本项目使用丁基密封胶和硅酮密封胶分别进行节能中空玻璃的第一道和第二道密封，丁基密封胶和硅酮密封胶在密封、固化使用过程中会产生有机废气（以非甲烷总烃计）。</w:t>
            </w:r>
          </w:p>
          <w:p>
            <w:pPr>
              <w:pStyle w:val="12"/>
              <w:tabs>
                <w:tab w:val="left" w:pos="4718"/>
              </w:tabs>
              <w:spacing w:line="360" w:lineRule="auto"/>
              <w:ind w:firstLine="420" w:firstLineChars="200"/>
              <w:rPr>
                <w:rFonts w:ascii="Times New Roman" w:hAnsi="Times New Roman"/>
                <w:szCs w:val="21"/>
              </w:rPr>
            </w:pPr>
            <w:r>
              <w:rPr>
                <w:rFonts w:ascii="Times New Roman" w:hAnsi="Times New Roman"/>
                <w:szCs w:val="21"/>
              </w:rPr>
              <w:t>根据《污染源源强核算技术指南 准则》（HJ884-2018）</w:t>
            </w:r>
            <w:r>
              <w:rPr>
                <w:rFonts w:hint="eastAsia" w:ascii="Times New Roman" w:hAnsi="Times New Roman"/>
                <w:szCs w:val="21"/>
              </w:rPr>
              <w:t>，采用类比法对有机废气源强进行核算。根据节能中空玻璃加工生产相关规范要求，节能中空玻璃生产过程中使用丁基密封胶必须满足《节能玻璃用丁基热熔密封胶》（JC</w:t>
            </w:r>
            <w:r>
              <w:rPr>
                <w:rFonts w:ascii="Times New Roman" w:hAnsi="Times New Roman"/>
                <w:szCs w:val="21"/>
              </w:rPr>
              <w:t>/T 914-2003</w:t>
            </w:r>
            <w:r>
              <w:rPr>
                <w:rFonts w:hint="eastAsia" w:ascii="Times New Roman" w:hAnsi="Times New Roman"/>
                <w:szCs w:val="21"/>
              </w:rPr>
              <w:t>）规定要求；第二道密封胶应符合现行行业标准《中空玻璃用弹性密封胶》（JC</w:t>
            </w:r>
            <w:r>
              <w:rPr>
                <w:rFonts w:ascii="Times New Roman" w:hAnsi="Times New Roman"/>
                <w:szCs w:val="21"/>
              </w:rPr>
              <w:t>/T 486-2001</w:t>
            </w:r>
            <w:r>
              <w:rPr>
                <w:rFonts w:hint="eastAsia" w:ascii="Times New Roman" w:hAnsi="Times New Roman"/>
                <w:szCs w:val="21"/>
              </w:rPr>
              <w:t>）。根据《中空玻璃用弹性密封胶》（JC</w:t>
            </w:r>
            <w:r>
              <w:rPr>
                <w:rFonts w:ascii="Times New Roman" w:hAnsi="Times New Roman"/>
                <w:szCs w:val="21"/>
              </w:rPr>
              <w:t>/T 486-2001</w:t>
            </w:r>
            <w:r>
              <w:rPr>
                <w:rFonts w:hint="eastAsia" w:ascii="Times New Roman" w:hAnsi="Times New Roman"/>
                <w:szCs w:val="21"/>
              </w:rPr>
              <w:t>）和《中空玻璃用硅酮结构密封胶》（GB</w:t>
            </w:r>
            <w:r>
              <w:rPr>
                <w:rFonts w:ascii="Times New Roman" w:hAnsi="Times New Roman"/>
                <w:szCs w:val="21"/>
              </w:rPr>
              <w:t>24266-2009</w:t>
            </w:r>
            <w:r>
              <w:rPr>
                <w:rFonts w:hint="eastAsia" w:ascii="Times New Roman" w:hAnsi="Times New Roman"/>
                <w:szCs w:val="21"/>
              </w:rPr>
              <w:t>）等规范可知，丁基密封胶的固化损失量≤0</w:t>
            </w:r>
            <w:r>
              <w:rPr>
                <w:rFonts w:ascii="Times New Roman" w:hAnsi="Times New Roman"/>
                <w:szCs w:val="21"/>
              </w:rPr>
              <w:t>.5</w:t>
            </w:r>
            <w:r>
              <w:rPr>
                <w:rFonts w:hint="eastAsia" w:ascii="Times New Roman" w:hAnsi="Times New Roman"/>
                <w:szCs w:val="21"/>
              </w:rPr>
              <w:t>%，硅酮类密封胶固化损失量≤</w:t>
            </w:r>
            <w:r>
              <w:rPr>
                <w:rFonts w:ascii="Times New Roman" w:hAnsi="Times New Roman"/>
                <w:szCs w:val="21"/>
              </w:rPr>
              <w:t>6</w:t>
            </w:r>
            <w:r>
              <w:rPr>
                <w:rFonts w:hint="eastAsia" w:ascii="Times New Roman" w:hAnsi="Times New Roman"/>
                <w:szCs w:val="21"/>
              </w:rPr>
              <w:t>%，则本项目固化密封过程中非甲烷总烃产生量为</w:t>
            </w:r>
            <w:r>
              <w:rPr>
                <w:rFonts w:ascii="Times New Roman" w:hAnsi="Times New Roman"/>
                <w:szCs w:val="21"/>
              </w:rPr>
              <w:t>0.813</w:t>
            </w:r>
            <w:r>
              <w:rPr>
                <w:rFonts w:hint="eastAsia" w:ascii="Times New Roman" w:hAnsi="Times New Roman"/>
                <w:szCs w:val="21"/>
              </w:rPr>
              <w:t>t/</w:t>
            </w:r>
            <w:r>
              <w:rPr>
                <w:rFonts w:ascii="Times New Roman" w:hAnsi="Times New Roman"/>
                <w:szCs w:val="21"/>
              </w:rPr>
              <w:t>a</w:t>
            </w:r>
            <w:r>
              <w:rPr>
                <w:rFonts w:hint="eastAsia" w:ascii="Times New Roman" w:hAnsi="Times New Roman"/>
                <w:szCs w:val="21"/>
              </w:rPr>
              <w:t>。</w:t>
            </w:r>
          </w:p>
          <w:p>
            <w:pPr>
              <w:pStyle w:val="12"/>
              <w:tabs>
                <w:tab w:val="left" w:pos="4718"/>
              </w:tabs>
              <w:spacing w:line="360" w:lineRule="auto"/>
              <w:ind w:firstLine="420" w:firstLineChars="200"/>
              <w:rPr>
                <w:rFonts w:ascii="Times New Roman" w:hAnsi="宋体"/>
                <w:color w:val="0000FF"/>
              </w:rPr>
            </w:pPr>
            <w:r>
              <w:rPr>
                <w:rFonts w:hint="eastAsia" w:ascii="Times New Roman" w:hAnsi="宋体"/>
                <w:color w:val="0000FF"/>
              </w:rPr>
              <w:t>涂胶、打胶废气经集气罩收集（收集效率≥</w:t>
            </w:r>
            <w:r>
              <w:rPr>
                <w:rFonts w:ascii="Times New Roman" w:hAnsi="宋体"/>
                <w:color w:val="0000FF"/>
              </w:rPr>
              <w:t>80%</w:t>
            </w:r>
            <w:r>
              <w:rPr>
                <w:rFonts w:hint="eastAsia" w:ascii="Times New Roman" w:hAnsi="宋体"/>
                <w:color w:val="0000FF"/>
              </w:rPr>
              <w:t>）后，进入二级活性炭吸附装置（处理效率≥</w:t>
            </w:r>
            <w:r>
              <w:rPr>
                <w:rFonts w:ascii="Times New Roman" w:hAnsi="宋体"/>
                <w:color w:val="0000FF"/>
              </w:rPr>
              <w:t>40%</w:t>
            </w:r>
            <w:r>
              <w:rPr>
                <w:rFonts w:hint="eastAsia" w:ascii="Times New Roman" w:hAnsi="宋体"/>
                <w:color w:val="0000FF"/>
              </w:rPr>
              <w:t>），经处理达标后经1根1</w:t>
            </w:r>
            <w:r>
              <w:rPr>
                <w:rFonts w:ascii="Times New Roman" w:hAnsi="宋体"/>
                <w:color w:val="0000FF"/>
              </w:rPr>
              <w:t>5m</w:t>
            </w:r>
            <w:r>
              <w:rPr>
                <w:rFonts w:hint="eastAsia" w:ascii="Times New Roman" w:hAnsi="宋体"/>
                <w:color w:val="0000FF"/>
              </w:rPr>
              <w:t>排气筒高空排放。风机风量8</w:t>
            </w:r>
            <w:r>
              <w:rPr>
                <w:rFonts w:ascii="Times New Roman" w:hAnsi="宋体"/>
                <w:color w:val="0000FF"/>
              </w:rPr>
              <w:t>000m</w:t>
            </w:r>
            <w:r>
              <w:rPr>
                <w:rFonts w:ascii="Times New Roman" w:hAnsi="宋体"/>
                <w:color w:val="0000FF"/>
                <w:vertAlign w:val="superscript"/>
              </w:rPr>
              <w:t>3</w:t>
            </w:r>
            <w:r>
              <w:rPr>
                <w:rFonts w:ascii="Times New Roman" w:hAnsi="宋体"/>
                <w:color w:val="0000FF"/>
              </w:rPr>
              <w:t>/h</w:t>
            </w:r>
            <w:r>
              <w:rPr>
                <w:rFonts w:hint="eastAsia" w:ascii="Times New Roman" w:hAnsi="宋体"/>
                <w:color w:val="0000FF"/>
              </w:rPr>
              <w:t>，年运行时间1</w:t>
            </w:r>
            <w:r>
              <w:rPr>
                <w:rFonts w:ascii="Times New Roman" w:hAnsi="宋体"/>
                <w:color w:val="0000FF"/>
              </w:rPr>
              <w:t>800h</w:t>
            </w:r>
            <w:r>
              <w:rPr>
                <w:rFonts w:hint="eastAsia" w:ascii="Times New Roman" w:hAnsi="宋体"/>
                <w:color w:val="0000FF"/>
              </w:rPr>
              <w:t>/</w:t>
            </w:r>
            <w:r>
              <w:rPr>
                <w:rFonts w:ascii="Times New Roman" w:hAnsi="宋体"/>
                <w:color w:val="0000FF"/>
              </w:rPr>
              <w:t>a</w:t>
            </w:r>
            <w:r>
              <w:rPr>
                <w:rFonts w:hint="eastAsia" w:ascii="Times New Roman" w:hAnsi="宋体"/>
                <w:color w:val="0000FF"/>
              </w:rPr>
              <w:t>。经计算，非甲烷总烃无组织排放量</w:t>
            </w:r>
            <w:r>
              <w:rPr>
                <w:rFonts w:ascii="Times New Roman" w:hAnsi="宋体"/>
                <w:color w:val="0000FF"/>
              </w:rPr>
              <w:t>0.1626</w:t>
            </w:r>
            <w:r>
              <w:rPr>
                <w:rFonts w:hint="eastAsia" w:ascii="Times New Roman" w:hAnsi="宋体"/>
                <w:color w:val="0000FF"/>
              </w:rPr>
              <w:t>t/a；有组织排放量</w:t>
            </w:r>
            <w:r>
              <w:rPr>
                <w:rFonts w:ascii="Times New Roman" w:hAnsi="宋体"/>
                <w:color w:val="0000FF"/>
              </w:rPr>
              <w:t>0.3902</w:t>
            </w:r>
            <w:r>
              <w:rPr>
                <w:rFonts w:hint="eastAsia" w:ascii="Times New Roman" w:hAnsi="宋体"/>
                <w:color w:val="0000FF"/>
              </w:rPr>
              <w:t>t/a，排放浓度</w:t>
            </w:r>
            <w:r>
              <w:rPr>
                <w:rFonts w:ascii="Times New Roman" w:hAnsi="宋体"/>
                <w:color w:val="0000FF"/>
              </w:rPr>
              <w:t>27.10mg/</w:t>
            </w:r>
            <w:r>
              <w:rPr>
                <w:rFonts w:hint="eastAsia" w:ascii="Times New Roman" w:hAnsi="宋体"/>
                <w:color w:val="0000FF"/>
              </w:rPr>
              <w:t>m</w:t>
            </w:r>
            <w:r>
              <w:rPr>
                <w:rFonts w:ascii="Times New Roman" w:hAnsi="宋体"/>
                <w:color w:val="0000FF"/>
                <w:vertAlign w:val="superscript"/>
              </w:rPr>
              <w:t>3</w:t>
            </w:r>
            <w:r>
              <w:rPr>
                <w:rFonts w:hint="eastAsia" w:ascii="Times New Roman" w:hAnsi="宋体"/>
                <w:color w:val="0000FF"/>
              </w:rPr>
              <w:t>。</w:t>
            </w:r>
          </w:p>
          <w:p>
            <w:pPr>
              <w:pStyle w:val="2"/>
              <w:jc w:val="center"/>
              <w:rPr>
                <w:rFonts w:ascii="Times New Roman" w:cs="Times New Roman"/>
                <w:b/>
                <w:bCs/>
                <w:color w:val="auto"/>
                <w:sz w:val="21"/>
                <w:szCs w:val="21"/>
              </w:rPr>
            </w:pPr>
            <w:r>
              <w:rPr>
                <w:rFonts w:ascii="Times New Roman" w:hAnsi="宋体" w:cs="Times New Roman"/>
                <w:b/>
                <w:bCs/>
                <w:color w:val="auto"/>
                <w:sz w:val="21"/>
                <w:szCs w:val="21"/>
              </w:rPr>
              <w:t>表</w:t>
            </w:r>
            <w:r>
              <w:rPr>
                <w:rFonts w:ascii="Times New Roman" w:cs="Times New Roman"/>
                <w:b/>
                <w:bCs/>
                <w:color w:val="auto"/>
                <w:sz w:val="21"/>
                <w:szCs w:val="21"/>
              </w:rPr>
              <w:t>4-2   废</w:t>
            </w:r>
            <w:r>
              <w:rPr>
                <w:rFonts w:ascii="Times New Roman" w:hAnsi="宋体" w:cs="Times New Roman"/>
                <w:b/>
                <w:bCs/>
                <w:color w:val="auto"/>
                <w:sz w:val="21"/>
                <w:szCs w:val="21"/>
              </w:rPr>
              <w:t>气产排污节点、污染物及污染治理设施信息表</w:t>
            </w:r>
          </w:p>
          <w:tbl>
            <w:tblPr>
              <w:tblStyle w:val="23"/>
              <w:tblW w:w="83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8"/>
              <w:gridCol w:w="574"/>
              <w:gridCol w:w="396"/>
              <w:gridCol w:w="909"/>
              <w:gridCol w:w="704"/>
              <w:gridCol w:w="396"/>
              <w:gridCol w:w="1209"/>
              <w:gridCol w:w="547"/>
              <w:gridCol w:w="547"/>
              <w:gridCol w:w="397"/>
              <w:gridCol w:w="704"/>
              <w:gridCol w:w="743"/>
              <w:gridCol w:w="7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 w:hRule="atLeast"/>
              </w:trPr>
              <w:tc>
                <w:tcPr>
                  <w:tcW w:w="398"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序号</w:t>
                  </w:r>
                </w:p>
              </w:tc>
              <w:tc>
                <w:tcPr>
                  <w:tcW w:w="574"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产污环节名称</w:t>
                  </w:r>
                </w:p>
              </w:tc>
              <w:tc>
                <w:tcPr>
                  <w:tcW w:w="396"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污染物种类</w:t>
                  </w:r>
                </w:p>
              </w:tc>
              <w:tc>
                <w:tcPr>
                  <w:tcW w:w="909"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污染物产生量t/a</w:t>
                  </w:r>
                </w:p>
              </w:tc>
              <w:tc>
                <w:tcPr>
                  <w:tcW w:w="704"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污染物产生浓度mg/m</w:t>
                  </w:r>
                  <w:r>
                    <w:rPr>
                      <w:rFonts w:ascii="Times New Roman" w:cs="Times New Roman"/>
                      <w:color w:val="0000FF"/>
                      <w:sz w:val="18"/>
                      <w:szCs w:val="18"/>
                      <w:vertAlign w:val="superscript"/>
                    </w:rPr>
                    <w:t>3</w:t>
                  </w:r>
                </w:p>
              </w:tc>
              <w:tc>
                <w:tcPr>
                  <w:tcW w:w="396"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排放形式</w:t>
                  </w:r>
                </w:p>
              </w:tc>
              <w:tc>
                <w:tcPr>
                  <w:tcW w:w="2700" w:type="dxa"/>
                  <w:gridSpan w:val="4"/>
                  <w:vAlign w:val="center"/>
                </w:tcPr>
                <w:p>
                  <w:pPr>
                    <w:pStyle w:val="2"/>
                    <w:jc w:val="center"/>
                    <w:rPr>
                      <w:rFonts w:ascii="Times New Roman" w:cs="Times New Roman"/>
                      <w:color w:val="0000FF"/>
                      <w:sz w:val="18"/>
                      <w:szCs w:val="18"/>
                    </w:rPr>
                  </w:pPr>
                  <w:r>
                    <w:rPr>
                      <w:rFonts w:ascii="Times New Roman" w:cs="Times New Roman"/>
                      <w:color w:val="0000FF"/>
                      <w:sz w:val="18"/>
                      <w:szCs w:val="18"/>
                    </w:rPr>
                    <w:t>治理设施</w:t>
                  </w:r>
                </w:p>
              </w:tc>
              <w:tc>
                <w:tcPr>
                  <w:tcW w:w="704"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污染物排放浓度mg/m</w:t>
                  </w:r>
                  <w:r>
                    <w:rPr>
                      <w:rFonts w:ascii="Times New Roman" w:cs="Times New Roman"/>
                      <w:color w:val="0000FF"/>
                      <w:sz w:val="18"/>
                      <w:szCs w:val="18"/>
                      <w:vertAlign w:val="superscript"/>
                    </w:rPr>
                    <w:t>3</w:t>
                  </w:r>
                </w:p>
              </w:tc>
              <w:tc>
                <w:tcPr>
                  <w:tcW w:w="743"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污染物排放速率kg/h</w:t>
                  </w:r>
                </w:p>
              </w:tc>
              <w:tc>
                <w:tcPr>
                  <w:tcW w:w="782" w:type="dxa"/>
                  <w:vMerge w:val="restart"/>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污染物排放量t/a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41" w:hRule="atLeast"/>
              </w:trPr>
              <w:tc>
                <w:tcPr>
                  <w:tcW w:w="398" w:type="dxa"/>
                  <w:vMerge w:val="continue"/>
                  <w:vAlign w:val="center"/>
                </w:tcPr>
                <w:p>
                  <w:pPr>
                    <w:pStyle w:val="2"/>
                    <w:jc w:val="center"/>
                    <w:rPr>
                      <w:rFonts w:ascii="Times New Roman" w:cs="Times New Roman"/>
                      <w:color w:val="0000FF"/>
                      <w:sz w:val="18"/>
                      <w:szCs w:val="18"/>
                    </w:rPr>
                  </w:pPr>
                </w:p>
              </w:tc>
              <w:tc>
                <w:tcPr>
                  <w:tcW w:w="574" w:type="dxa"/>
                  <w:vMerge w:val="continue"/>
                  <w:vAlign w:val="center"/>
                </w:tcPr>
                <w:p>
                  <w:pPr>
                    <w:pStyle w:val="2"/>
                    <w:jc w:val="center"/>
                    <w:rPr>
                      <w:rFonts w:ascii="Times New Roman" w:cs="Times New Roman"/>
                      <w:color w:val="0000FF"/>
                      <w:sz w:val="18"/>
                      <w:szCs w:val="18"/>
                    </w:rPr>
                  </w:pPr>
                </w:p>
              </w:tc>
              <w:tc>
                <w:tcPr>
                  <w:tcW w:w="396" w:type="dxa"/>
                  <w:vMerge w:val="continue"/>
                  <w:vAlign w:val="center"/>
                </w:tcPr>
                <w:p>
                  <w:pPr>
                    <w:pStyle w:val="2"/>
                    <w:jc w:val="center"/>
                    <w:rPr>
                      <w:rFonts w:ascii="Times New Roman" w:cs="Times New Roman"/>
                      <w:color w:val="0000FF"/>
                      <w:sz w:val="18"/>
                      <w:szCs w:val="18"/>
                    </w:rPr>
                  </w:pPr>
                </w:p>
              </w:tc>
              <w:tc>
                <w:tcPr>
                  <w:tcW w:w="909" w:type="dxa"/>
                  <w:vMerge w:val="continue"/>
                  <w:vAlign w:val="center"/>
                </w:tcPr>
                <w:p>
                  <w:pPr>
                    <w:pStyle w:val="2"/>
                    <w:jc w:val="center"/>
                    <w:rPr>
                      <w:rFonts w:ascii="Times New Roman" w:cs="Times New Roman"/>
                      <w:color w:val="0000FF"/>
                      <w:sz w:val="18"/>
                      <w:szCs w:val="18"/>
                    </w:rPr>
                  </w:pPr>
                </w:p>
              </w:tc>
              <w:tc>
                <w:tcPr>
                  <w:tcW w:w="704" w:type="dxa"/>
                  <w:vMerge w:val="continue"/>
                  <w:vAlign w:val="center"/>
                </w:tcPr>
                <w:p>
                  <w:pPr>
                    <w:pStyle w:val="2"/>
                    <w:jc w:val="center"/>
                    <w:rPr>
                      <w:rFonts w:ascii="Times New Roman" w:cs="Times New Roman"/>
                      <w:color w:val="0000FF"/>
                      <w:sz w:val="18"/>
                      <w:szCs w:val="18"/>
                    </w:rPr>
                  </w:pPr>
                </w:p>
              </w:tc>
              <w:tc>
                <w:tcPr>
                  <w:tcW w:w="396" w:type="dxa"/>
                  <w:vMerge w:val="continue"/>
                  <w:vAlign w:val="center"/>
                </w:tcPr>
                <w:p>
                  <w:pPr>
                    <w:pStyle w:val="2"/>
                    <w:jc w:val="center"/>
                    <w:rPr>
                      <w:rFonts w:ascii="Times New Roman" w:cs="Times New Roman"/>
                      <w:color w:val="0000FF"/>
                      <w:sz w:val="18"/>
                      <w:szCs w:val="18"/>
                    </w:rPr>
                  </w:pPr>
                </w:p>
              </w:tc>
              <w:tc>
                <w:tcPr>
                  <w:tcW w:w="1209" w:type="dxa"/>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污染治理设施名称</w:t>
                  </w:r>
                </w:p>
              </w:tc>
              <w:tc>
                <w:tcPr>
                  <w:tcW w:w="547" w:type="dxa"/>
                  <w:vAlign w:val="center"/>
                </w:tcPr>
                <w:p>
                  <w:pPr>
                    <w:pStyle w:val="2"/>
                    <w:jc w:val="center"/>
                    <w:rPr>
                      <w:rFonts w:ascii="Times New Roman" w:cs="Times New Roman"/>
                      <w:color w:val="0000FF"/>
                      <w:sz w:val="18"/>
                      <w:szCs w:val="18"/>
                    </w:rPr>
                  </w:pPr>
                  <w:r>
                    <w:rPr>
                      <w:rFonts w:ascii="Times New Roman" w:cs="Times New Roman"/>
                      <w:color w:val="0000FF"/>
                      <w:sz w:val="18"/>
                      <w:szCs w:val="18"/>
                    </w:rPr>
                    <w:t>收集效率</w:t>
                  </w:r>
                </w:p>
              </w:tc>
              <w:tc>
                <w:tcPr>
                  <w:tcW w:w="547" w:type="dxa"/>
                  <w:vAlign w:val="center"/>
                </w:tcPr>
                <w:p>
                  <w:pPr>
                    <w:pStyle w:val="2"/>
                    <w:jc w:val="center"/>
                    <w:rPr>
                      <w:rFonts w:ascii="Times New Roman" w:cs="Times New Roman"/>
                      <w:color w:val="0000FF"/>
                      <w:sz w:val="18"/>
                      <w:szCs w:val="18"/>
                    </w:rPr>
                  </w:pPr>
                  <w:r>
                    <w:rPr>
                      <w:rFonts w:ascii="Times New Roman" w:cs="Times New Roman"/>
                      <w:color w:val="0000FF"/>
                      <w:sz w:val="18"/>
                      <w:szCs w:val="18"/>
                    </w:rPr>
                    <w:t>污染治理设施工艺去除率</w:t>
                  </w:r>
                </w:p>
              </w:tc>
              <w:tc>
                <w:tcPr>
                  <w:tcW w:w="397" w:type="dxa"/>
                  <w:vAlign w:val="center"/>
                </w:tcPr>
                <w:p>
                  <w:pPr>
                    <w:pStyle w:val="2"/>
                    <w:jc w:val="center"/>
                    <w:rPr>
                      <w:rFonts w:ascii="Times New Roman" w:cs="Times New Roman"/>
                      <w:color w:val="0000FF"/>
                      <w:sz w:val="18"/>
                      <w:szCs w:val="18"/>
                    </w:rPr>
                  </w:pPr>
                  <w:r>
                    <w:rPr>
                      <w:rFonts w:ascii="Times New Roman" w:cs="Times New Roman"/>
                      <w:color w:val="0000FF"/>
                      <w:sz w:val="18"/>
                      <w:szCs w:val="18"/>
                    </w:rPr>
                    <w:t>是否为可行技术</w:t>
                  </w:r>
                </w:p>
              </w:tc>
              <w:tc>
                <w:tcPr>
                  <w:tcW w:w="704" w:type="dxa"/>
                  <w:vMerge w:val="continue"/>
                  <w:vAlign w:val="center"/>
                </w:tcPr>
                <w:p>
                  <w:pPr>
                    <w:pStyle w:val="2"/>
                    <w:jc w:val="center"/>
                    <w:rPr>
                      <w:rFonts w:ascii="Times New Roman" w:cs="Times New Roman"/>
                      <w:color w:val="0000FF"/>
                      <w:sz w:val="18"/>
                      <w:szCs w:val="18"/>
                    </w:rPr>
                  </w:pPr>
                </w:p>
              </w:tc>
              <w:tc>
                <w:tcPr>
                  <w:tcW w:w="743" w:type="dxa"/>
                  <w:vMerge w:val="continue"/>
                  <w:vAlign w:val="center"/>
                </w:tcPr>
                <w:p>
                  <w:pPr>
                    <w:pStyle w:val="2"/>
                    <w:jc w:val="center"/>
                    <w:rPr>
                      <w:rFonts w:ascii="Times New Roman" w:cs="Times New Roman"/>
                      <w:color w:val="0000FF"/>
                      <w:sz w:val="18"/>
                      <w:szCs w:val="18"/>
                    </w:rPr>
                  </w:pPr>
                </w:p>
              </w:tc>
              <w:tc>
                <w:tcPr>
                  <w:tcW w:w="782" w:type="dxa"/>
                  <w:vMerge w:val="continue"/>
                  <w:vAlign w:val="center"/>
                </w:tcPr>
                <w:p>
                  <w:pPr>
                    <w:pStyle w:val="2"/>
                    <w:jc w:val="center"/>
                    <w:rPr>
                      <w:rFonts w:ascii="Times New Roman" w:cs="Times New Roman"/>
                      <w:color w:val="0000FF"/>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66" w:hRule="atLeast"/>
              </w:trPr>
              <w:tc>
                <w:tcPr>
                  <w:tcW w:w="398" w:type="dxa"/>
                  <w:vMerge w:val="restart"/>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1</w:t>
                  </w:r>
                </w:p>
              </w:tc>
              <w:tc>
                <w:tcPr>
                  <w:tcW w:w="574" w:type="dxa"/>
                  <w:vMerge w:val="restart"/>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涂胶</w:t>
                  </w:r>
                </w:p>
                <w:p>
                  <w:pPr>
                    <w:pStyle w:val="2"/>
                    <w:jc w:val="center"/>
                    <w:rPr>
                      <w:rFonts w:hint="eastAsia" w:ascii="Times New Roman" w:cs="Times New Roman"/>
                      <w:color w:val="0000FF"/>
                      <w:sz w:val="18"/>
                      <w:szCs w:val="18"/>
                    </w:rPr>
                  </w:pPr>
                </w:p>
                <w:p>
                  <w:pPr>
                    <w:pStyle w:val="2"/>
                    <w:jc w:val="center"/>
                    <w:rPr>
                      <w:rFonts w:ascii="Times New Roman" w:cs="Times New Roman"/>
                      <w:color w:val="0000FF"/>
                      <w:sz w:val="18"/>
                      <w:szCs w:val="18"/>
                    </w:rPr>
                  </w:pPr>
                  <w:r>
                    <w:rPr>
                      <w:rFonts w:hint="eastAsia" w:ascii="Times New Roman" w:cs="Times New Roman"/>
                      <w:color w:val="0000FF"/>
                      <w:sz w:val="18"/>
                      <w:szCs w:val="18"/>
                    </w:rPr>
                    <w:t>打</w:t>
                  </w:r>
                </w:p>
                <w:p>
                  <w:pPr>
                    <w:pStyle w:val="2"/>
                    <w:jc w:val="center"/>
                    <w:rPr>
                      <w:rFonts w:ascii="Times New Roman" w:cs="Times New Roman"/>
                      <w:color w:val="0000FF"/>
                      <w:sz w:val="18"/>
                      <w:szCs w:val="18"/>
                    </w:rPr>
                  </w:pPr>
                  <w:r>
                    <w:rPr>
                      <w:rFonts w:hint="eastAsia" w:ascii="Times New Roman" w:cs="Times New Roman"/>
                      <w:color w:val="0000FF"/>
                      <w:sz w:val="18"/>
                      <w:szCs w:val="18"/>
                    </w:rPr>
                    <w:t>胶</w:t>
                  </w:r>
                </w:p>
              </w:tc>
              <w:tc>
                <w:tcPr>
                  <w:tcW w:w="396" w:type="dxa"/>
                  <w:vMerge w:val="restart"/>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非甲烷总烃</w:t>
                  </w:r>
                </w:p>
              </w:tc>
              <w:tc>
                <w:tcPr>
                  <w:tcW w:w="909"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0</w:t>
                  </w:r>
                  <w:r>
                    <w:rPr>
                      <w:rFonts w:ascii="Times New Roman" w:cs="Times New Roman"/>
                      <w:color w:val="0000FF"/>
                      <w:sz w:val="18"/>
                      <w:szCs w:val="18"/>
                    </w:rPr>
                    <w:t>.6504</w:t>
                  </w:r>
                </w:p>
              </w:tc>
              <w:tc>
                <w:tcPr>
                  <w:tcW w:w="704" w:type="dxa"/>
                  <w:vAlign w:val="center"/>
                </w:tcPr>
                <w:p>
                  <w:pPr>
                    <w:pStyle w:val="2"/>
                    <w:jc w:val="center"/>
                    <w:rPr>
                      <w:rFonts w:ascii="Times New Roman" w:cs="Times New Roman"/>
                      <w:color w:val="0000FF"/>
                      <w:sz w:val="18"/>
                      <w:szCs w:val="18"/>
                    </w:rPr>
                  </w:pPr>
                  <w:r>
                    <w:rPr>
                      <w:rFonts w:ascii="Times New Roman" w:cs="Times New Roman"/>
                      <w:color w:val="0000FF"/>
                      <w:sz w:val="18"/>
                      <w:szCs w:val="18"/>
                    </w:rPr>
                    <w:t>45.17</w:t>
                  </w:r>
                </w:p>
              </w:tc>
              <w:tc>
                <w:tcPr>
                  <w:tcW w:w="396"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有组织</w:t>
                  </w:r>
                </w:p>
              </w:tc>
              <w:tc>
                <w:tcPr>
                  <w:tcW w:w="1209" w:type="dxa"/>
                  <w:vAlign w:val="center"/>
                </w:tcPr>
                <w:p>
                  <w:pPr>
                    <w:pStyle w:val="2"/>
                    <w:jc w:val="center"/>
                    <w:rPr>
                      <w:rFonts w:ascii="Times New Roman" w:cs="Times New Roman"/>
                      <w:color w:val="0000FF"/>
                      <w:sz w:val="18"/>
                      <w:szCs w:val="18"/>
                    </w:rPr>
                  </w:pPr>
                  <w:r>
                    <w:rPr>
                      <w:rFonts w:ascii="Times New Roman" w:cs="Times New Roman"/>
                      <w:color w:val="0000FF"/>
                      <w:sz w:val="18"/>
                      <w:szCs w:val="18"/>
                    </w:rPr>
                    <w:t>集气罩+活性炭吸附装置+15m排气筒</w:t>
                  </w:r>
                  <w:r>
                    <w:rPr>
                      <w:rFonts w:hint="eastAsia" w:ascii="Times New Roman" w:cs="Times New Roman"/>
                      <w:color w:val="0000FF"/>
                      <w:sz w:val="18"/>
                      <w:szCs w:val="18"/>
                    </w:rPr>
                    <w:t>（D</w:t>
                  </w:r>
                  <w:r>
                    <w:rPr>
                      <w:rFonts w:ascii="Times New Roman" w:cs="Times New Roman"/>
                      <w:color w:val="0000FF"/>
                      <w:sz w:val="18"/>
                      <w:szCs w:val="18"/>
                    </w:rPr>
                    <w:t>A001</w:t>
                  </w:r>
                  <w:r>
                    <w:rPr>
                      <w:rFonts w:hint="eastAsia" w:ascii="Times New Roman" w:cs="Times New Roman"/>
                      <w:color w:val="0000FF"/>
                      <w:sz w:val="18"/>
                      <w:szCs w:val="18"/>
                    </w:rPr>
                    <w:t>）</w:t>
                  </w:r>
                </w:p>
              </w:tc>
              <w:tc>
                <w:tcPr>
                  <w:tcW w:w="547"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8</w:t>
                  </w:r>
                  <w:r>
                    <w:rPr>
                      <w:rFonts w:ascii="Times New Roman" w:cs="Times New Roman"/>
                      <w:color w:val="0000FF"/>
                      <w:sz w:val="18"/>
                      <w:szCs w:val="18"/>
                    </w:rPr>
                    <w:t>0%</w:t>
                  </w:r>
                </w:p>
              </w:tc>
              <w:tc>
                <w:tcPr>
                  <w:tcW w:w="547"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4</w:t>
                  </w:r>
                  <w:r>
                    <w:rPr>
                      <w:rFonts w:ascii="Times New Roman" w:cs="Times New Roman"/>
                      <w:color w:val="0000FF"/>
                      <w:sz w:val="18"/>
                      <w:szCs w:val="18"/>
                    </w:rPr>
                    <w:t>0%</w:t>
                  </w:r>
                </w:p>
              </w:tc>
              <w:tc>
                <w:tcPr>
                  <w:tcW w:w="397"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可行</w:t>
                  </w:r>
                </w:p>
              </w:tc>
              <w:tc>
                <w:tcPr>
                  <w:tcW w:w="704"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2</w:t>
                  </w:r>
                  <w:r>
                    <w:rPr>
                      <w:rFonts w:ascii="Times New Roman" w:cs="Times New Roman"/>
                      <w:color w:val="0000FF"/>
                      <w:sz w:val="18"/>
                      <w:szCs w:val="18"/>
                    </w:rPr>
                    <w:t>7.10</w:t>
                  </w:r>
                </w:p>
              </w:tc>
              <w:tc>
                <w:tcPr>
                  <w:tcW w:w="743"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0</w:t>
                  </w:r>
                  <w:r>
                    <w:rPr>
                      <w:rFonts w:ascii="Times New Roman" w:cs="Times New Roman"/>
                      <w:color w:val="0000FF"/>
                      <w:sz w:val="18"/>
                      <w:szCs w:val="18"/>
                    </w:rPr>
                    <w:t>.212</w:t>
                  </w:r>
                </w:p>
              </w:tc>
              <w:tc>
                <w:tcPr>
                  <w:tcW w:w="782"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0</w:t>
                  </w:r>
                  <w:r>
                    <w:rPr>
                      <w:rFonts w:ascii="Times New Roman" w:cs="Times New Roman"/>
                      <w:color w:val="0000FF"/>
                      <w:sz w:val="18"/>
                      <w:szCs w:val="18"/>
                    </w:rPr>
                    <w:t>.3902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4" w:hRule="atLeast"/>
              </w:trPr>
              <w:tc>
                <w:tcPr>
                  <w:tcW w:w="398" w:type="dxa"/>
                  <w:vMerge w:val="continue"/>
                  <w:vAlign w:val="center"/>
                </w:tcPr>
                <w:p>
                  <w:pPr>
                    <w:pStyle w:val="2"/>
                    <w:jc w:val="center"/>
                    <w:rPr>
                      <w:rFonts w:hint="eastAsia" w:ascii="Times New Roman" w:cs="Times New Roman"/>
                      <w:color w:val="0000FF"/>
                      <w:sz w:val="18"/>
                      <w:szCs w:val="18"/>
                    </w:rPr>
                  </w:pPr>
                </w:p>
              </w:tc>
              <w:tc>
                <w:tcPr>
                  <w:tcW w:w="574" w:type="dxa"/>
                  <w:vMerge w:val="continue"/>
                  <w:vAlign w:val="center"/>
                </w:tcPr>
                <w:p>
                  <w:pPr>
                    <w:pStyle w:val="2"/>
                    <w:jc w:val="center"/>
                    <w:rPr>
                      <w:rFonts w:hint="eastAsia" w:ascii="Times New Roman" w:cs="Times New Roman"/>
                      <w:color w:val="0000FF"/>
                      <w:sz w:val="18"/>
                      <w:szCs w:val="18"/>
                    </w:rPr>
                  </w:pPr>
                </w:p>
              </w:tc>
              <w:tc>
                <w:tcPr>
                  <w:tcW w:w="396" w:type="dxa"/>
                  <w:vMerge w:val="continue"/>
                  <w:vAlign w:val="center"/>
                </w:tcPr>
                <w:p>
                  <w:pPr>
                    <w:pStyle w:val="2"/>
                    <w:jc w:val="center"/>
                    <w:rPr>
                      <w:rFonts w:hint="eastAsia" w:ascii="Times New Roman" w:cs="Times New Roman"/>
                      <w:color w:val="0000FF"/>
                      <w:sz w:val="18"/>
                      <w:szCs w:val="18"/>
                    </w:rPr>
                  </w:pPr>
                </w:p>
              </w:tc>
              <w:tc>
                <w:tcPr>
                  <w:tcW w:w="909"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0</w:t>
                  </w:r>
                  <w:r>
                    <w:rPr>
                      <w:rFonts w:ascii="Times New Roman" w:cs="Times New Roman"/>
                      <w:color w:val="0000FF"/>
                      <w:sz w:val="18"/>
                      <w:szCs w:val="18"/>
                    </w:rPr>
                    <w:t>.1626</w:t>
                  </w:r>
                </w:p>
              </w:tc>
              <w:tc>
                <w:tcPr>
                  <w:tcW w:w="704"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w:t>
                  </w:r>
                </w:p>
              </w:tc>
              <w:tc>
                <w:tcPr>
                  <w:tcW w:w="396" w:type="dxa"/>
                  <w:vAlign w:val="center"/>
                </w:tcPr>
                <w:p>
                  <w:pPr>
                    <w:pStyle w:val="2"/>
                    <w:jc w:val="center"/>
                    <w:rPr>
                      <w:rFonts w:hint="eastAsia" w:ascii="Times New Roman" w:cs="Times New Roman"/>
                      <w:color w:val="0000FF"/>
                      <w:sz w:val="18"/>
                      <w:szCs w:val="18"/>
                    </w:rPr>
                  </w:pPr>
                  <w:r>
                    <w:rPr>
                      <w:rFonts w:hint="eastAsia" w:ascii="Times New Roman" w:cs="Times New Roman"/>
                      <w:color w:val="0000FF"/>
                      <w:sz w:val="18"/>
                      <w:szCs w:val="18"/>
                    </w:rPr>
                    <w:t>无组织</w:t>
                  </w:r>
                </w:p>
              </w:tc>
              <w:tc>
                <w:tcPr>
                  <w:tcW w:w="1209" w:type="dxa"/>
                  <w:vAlign w:val="center"/>
                </w:tcPr>
                <w:p>
                  <w:pPr>
                    <w:pStyle w:val="2"/>
                    <w:jc w:val="center"/>
                    <w:rPr>
                      <w:rFonts w:hint="eastAsia" w:ascii="Times New Roman" w:cs="Times New Roman"/>
                      <w:color w:val="0000FF"/>
                      <w:sz w:val="18"/>
                      <w:szCs w:val="18"/>
                    </w:rPr>
                  </w:pPr>
                  <w:r>
                    <w:rPr>
                      <w:rFonts w:hint="eastAsia" w:ascii="Times New Roman" w:cs="Times New Roman"/>
                      <w:color w:val="0000FF"/>
                      <w:sz w:val="18"/>
                      <w:szCs w:val="18"/>
                    </w:rPr>
                    <w:t>/</w:t>
                  </w:r>
                </w:p>
              </w:tc>
              <w:tc>
                <w:tcPr>
                  <w:tcW w:w="547"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2</w:t>
                  </w:r>
                  <w:r>
                    <w:rPr>
                      <w:rFonts w:ascii="Times New Roman" w:cs="Times New Roman"/>
                      <w:color w:val="0000FF"/>
                      <w:sz w:val="18"/>
                      <w:szCs w:val="18"/>
                    </w:rPr>
                    <w:t>0%</w:t>
                  </w:r>
                </w:p>
              </w:tc>
              <w:tc>
                <w:tcPr>
                  <w:tcW w:w="547"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w:t>
                  </w:r>
                </w:p>
              </w:tc>
              <w:tc>
                <w:tcPr>
                  <w:tcW w:w="397"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w:t>
                  </w:r>
                </w:p>
              </w:tc>
              <w:tc>
                <w:tcPr>
                  <w:tcW w:w="704"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w:t>
                  </w:r>
                </w:p>
              </w:tc>
              <w:tc>
                <w:tcPr>
                  <w:tcW w:w="743"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0</w:t>
                  </w:r>
                  <w:r>
                    <w:rPr>
                      <w:rFonts w:ascii="Times New Roman" w:cs="Times New Roman"/>
                      <w:color w:val="0000FF"/>
                      <w:sz w:val="18"/>
                      <w:szCs w:val="18"/>
                    </w:rPr>
                    <w:t>.090</w:t>
                  </w:r>
                </w:p>
              </w:tc>
              <w:tc>
                <w:tcPr>
                  <w:tcW w:w="782" w:type="dxa"/>
                  <w:vAlign w:val="center"/>
                </w:tcPr>
                <w:p>
                  <w:pPr>
                    <w:pStyle w:val="2"/>
                    <w:jc w:val="center"/>
                    <w:rPr>
                      <w:rFonts w:ascii="Times New Roman" w:cs="Times New Roman"/>
                      <w:color w:val="0000FF"/>
                      <w:sz w:val="18"/>
                      <w:szCs w:val="18"/>
                    </w:rPr>
                  </w:pPr>
                  <w:r>
                    <w:rPr>
                      <w:rFonts w:hint="eastAsia" w:ascii="Times New Roman" w:cs="Times New Roman"/>
                      <w:color w:val="0000FF"/>
                      <w:sz w:val="18"/>
                      <w:szCs w:val="18"/>
                    </w:rPr>
                    <w:t>0</w:t>
                  </w:r>
                  <w:r>
                    <w:rPr>
                      <w:rFonts w:ascii="Times New Roman" w:cs="Times New Roman"/>
                      <w:color w:val="0000FF"/>
                      <w:sz w:val="18"/>
                      <w:szCs w:val="18"/>
                    </w:rPr>
                    <w:t>.1626</w:t>
                  </w:r>
                </w:p>
              </w:tc>
            </w:tr>
          </w:tbl>
          <w:p>
            <w:pPr>
              <w:pStyle w:val="2"/>
              <w:jc w:val="center"/>
              <w:rPr>
                <w:rFonts w:ascii="Times New Roman" w:hAnsi="宋体" w:cs="Times New Roman"/>
                <w:b/>
                <w:bCs/>
                <w:color w:val="auto"/>
                <w:sz w:val="21"/>
                <w:szCs w:val="21"/>
              </w:rPr>
            </w:pPr>
            <w:r>
              <w:rPr>
                <w:rFonts w:ascii="Times New Roman" w:hAnsi="宋体" w:cs="Times New Roman"/>
                <w:b/>
                <w:bCs/>
                <w:color w:val="auto"/>
                <w:sz w:val="21"/>
                <w:szCs w:val="21"/>
              </w:rPr>
              <w:t>表</w:t>
            </w:r>
            <w:r>
              <w:rPr>
                <w:rFonts w:hint="eastAsia" w:ascii="Times New Roman" w:hAnsi="宋体" w:cs="Times New Roman"/>
                <w:b/>
                <w:bCs/>
                <w:color w:val="auto"/>
                <w:sz w:val="21"/>
                <w:szCs w:val="21"/>
              </w:rPr>
              <w:t>4</w:t>
            </w:r>
            <w:r>
              <w:rPr>
                <w:rFonts w:ascii="Times New Roman" w:hAnsi="宋体" w:cs="Times New Roman"/>
                <w:b/>
                <w:bCs/>
                <w:color w:val="auto"/>
                <w:sz w:val="21"/>
                <w:szCs w:val="21"/>
              </w:rPr>
              <w:t>-3    本项目大气污染源参数表</w:t>
            </w:r>
          </w:p>
          <w:tbl>
            <w:tblPr>
              <w:tblStyle w:val="23"/>
              <w:tblW w:w="83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425"/>
              <w:gridCol w:w="1125"/>
              <w:gridCol w:w="1264"/>
              <w:gridCol w:w="982"/>
              <w:gridCol w:w="844"/>
              <w:gridCol w:w="983"/>
              <w:gridCol w:w="844"/>
              <w:gridCol w:w="8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425" w:type="dxa"/>
                  <w:vMerge w:val="restart"/>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点源名称</w:t>
                  </w:r>
                </w:p>
              </w:tc>
              <w:tc>
                <w:tcPr>
                  <w:tcW w:w="2389" w:type="dxa"/>
                  <w:gridSpan w:val="2"/>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排气筒底部中心坐标</w:t>
                  </w:r>
                </w:p>
              </w:tc>
              <w:tc>
                <w:tcPr>
                  <w:tcW w:w="982" w:type="dxa"/>
                  <w:vMerge w:val="restart"/>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排气筒底部海拔高度m</w:t>
                  </w:r>
                </w:p>
              </w:tc>
              <w:tc>
                <w:tcPr>
                  <w:tcW w:w="3510" w:type="dxa"/>
                  <w:gridSpan w:val="4"/>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排气筒参数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425" w:type="dxa"/>
                  <w:vMerge w:val="continue"/>
                  <w:vAlign w:val="center"/>
                </w:tcPr>
                <w:p>
                  <w:pPr>
                    <w:pStyle w:val="2"/>
                    <w:jc w:val="center"/>
                    <w:rPr>
                      <w:rFonts w:ascii="Times New Roman" w:cs="Times New Roman"/>
                      <w:color w:val="auto"/>
                      <w:sz w:val="21"/>
                      <w:szCs w:val="21"/>
                    </w:rPr>
                  </w:pPr>
                </w:p>
              </w:tc>
              <w:tc>
                <w:tcPr>
                  <w:tcW w:w="1125"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N</w:t>
                  </w:r>
                </w:p>
              </w:tc>
              <w:tc>
                <w:tcPr>
                  <w:tcW w:w="1264"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E</w:t>
                  </w:r>
                </w:p>
              </w:tc>
              <w:tc>
                <w:tcPr>
                  <w:tcW w:w="982" w:type="dxa"/>
                  <w:vMerge w:val="continue"/>
                  <w:vAlign w:val="center"/>
                </w:tcPr>
                <w:p>
                  <w:pPr>
                    <w:pStyle w:val="2"/>
                    <w:jc w:val="center"/>
                    <w:rPr>
                      <w:rFonts w:ascii="Times New Roman" w:cs="Times New Roman"/>
                      <w:color w:val="auto"/>
                      <w:sz w:val="21"/>
                      <w:szCs w:val="21"/>
                    </w:rPr>
                  </w:pPr>
                </w:p>
              </w:tc>
              <w:tc>
                <w:tcPr>
                  <w:tcW w:w="844"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高度m</w:t>
                  </w:r>
                </w:p>
              </w:tc>
              <w:tc>
                <w:tcPr>
                  <w:tcW w:w="983"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内径m</w:t>
                  </w:r>
                </w:p>
              </w:tc>
              <w:tc>
                <w:tcPr>
                  <w:tcW w:w="844"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温度℃</w:t>
                  </w:r>
                </w:p>
              </w:tc>
              <w:tc>
                <w:tcPr>
                  <w:tcW w:w="839"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流速m</w:t>
                  </w:r>
                  <w:r>
                    <w:rPr>
                      <w:rFonts w:ascii="Times New Roman" w:cs="Times New Roman"/>
                      <w:color w:val="auto"/>
                      <w:sz w:val="21"/>
                      <w:szCs w:val="21"/>
                    </w:rPr>
                    <w:t>/s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425"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废气排气筒D</w:t>
                  </w:r>
                  <w:r>
                    <w:rPr>
                      <w:rFonts w:ascii="Times New Roman" w:cs="Times New Roman"/>
                      <w:color w:val="auto"/>
                      <w:sz w:val="21"/>
                      <w:szCs w:val="21"/>
                    </w:rPr>
                    <w:t>A001</w:t>
                  </w:r>
                </w:p>
              </w:tc>
              <w:tc>
                <w:tcPr>
                  <w:tcW w:w="1125"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3</w:t>
                  </w:r>
                  <w:r>
                    <w:rPr>
                      <w:rFonts w:ascii="Times New Roman" w:cs="Times New Roman"/>
                      <w:color w:val="auto"/>
                      <w:sz w:val="21"/>
                      <w:szCs w:val="21"/>
                    </w:rPr>
                    <w:t>2.712744</w:t>
                  </w:r>
                </w:p>
              </w:tc>
              <w:tc>
                <w:tcPr>
                  <w:tcW w:w="126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108.915300</w:t>
                  </w:r>
                </w:p>
              </w:tc>
              <w:tc>
                <w:tcPr>
                  <w:tcW w:w="982"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416</w:t>
                  </w:r>
                </w:p>
              </w:tc>
              <w:tc>
                <w:tcPr>
                  <w:tcW w:w="844"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1</w:t>
                  </w:r>
                  <w:r>
                    <w:rPr>
                      <w:rFonts w:ascii="Times New Roman" w:cs="Times New Roman"/>
                      <w:color w:val="auto"/>
                      <w:sz w:val="21"/>
                      <w:szCs w:val="21"/>
                    </w:rPr>
                    <w:t>5</w:t>
                  </w:r>
                </w:p>
              </w:tc>
              <w:tc>
                <w:tcPr>
                  <w:tcW w:w="983"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0.5</w:t>
                  </w:r>
                </w:p>
              </w:tc>
              <w:tc>
                <w:tcPr>
                  <w:tcW w:w="844"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2</w:t>
                  </w:r>
                  <w:r>
                    <w:rPr>
                      <w:rFonts w:ascii="Times New Roman" w:cs="Times New Roman"/>
                      <w:color w:val="auto"/>
                      <w:sz w:val="21"/>
                      <w:szCs w:val="21"/>
                    </w:rPr>
                    <w:t>5</w:t>
                  </w:r>
                </w:p>
              </w:tc>
              <w:tc>
                <w:tcPr>
                  <w:tcW w:w="839"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1</w:t>
                  </w:r>
                  <w:r>
                    <w:rPr>
                      <w:rFonts w:ascii="Times New Roman" w:cs="Times New Roman"/>
                      <w:color w:val="auto"/>
                      <w:sz w:val="21"/>
                      <w:szCs w:val="21"/>
                    </w:rPr>
                    <w:t>2.35</w:t>
                  </w:r>
                </w:p>
              </w:tc>
            </w:tr>
          </w:tbl>
          <w:p>
            <w:pPr>
              <w:pStyle w:val="12"/>
              <w:tabs>
                <w:tab w:val="left" w:pos="4718"/>
              </w:tabs>
              <w:spacing w:line="360" w:lineRule="auto"/>
              <w:ind w:firstLine="420" w:firstLineChars="200"/>
              <w:rPr>
                <w:rFonts w:ascii="Times New Roman" w:hAnsi="Times New Roman"/>
                <w:color w:val="0000FF"/>
              </w:rPr>
            </w:pPr>
            <w:r>
              <w:rPr>
                <w:rFonts w:ascii="Times New Roman" w:hAnsi="Times New Roman"/>
                <w:color w:val="0000FF"/>
              </w:rPr>
              <w:t>综上，本项目涂胶、打胶排气筒（DA001）非甲烷总烃排放浓度满足</w:t>
            </w:r>
            <w:r>
              <w:rPr>
                <w:rFonts w:ascii="Times New Roman" w:hAnsi="Times New Roman"/>
                <w:bCs/>
                <w:color w:val="0000FF"/>
                <w:szCs w:val="21"/>
              </w:rPr>
              <w:t>《挥发性有机物排放控制标准》（DB61/T1061-2017）表1中“表面涂装”行业有组织排放限值50mg/m</w:t>
            </w:r>
            <w:r>
              <w:rPr>
                <w:rFonts w:ascii="Times New Roman" w:hAnsi="Times New Roman"/>
                <w:bCs/>
                <w:color w:val="0000FF"/>
                <w:szCs w:val="21"/>
                <w:vertAlign w:val="superscript"/>
              </w:rPr>
              <w:t>3</w:t>
            </w:r>
            <w:r>
              <w:rPr>
                <w:rFonts w:ascii="Times New Roman" w:hAnsi="Times New Roman"/>
                <w:bCs/>
                <w:color w:val="0000FF"/>
                <w:szCs w:val="21"/>
              </w:rPr>
              <w:t>。非甲烷总烃排放速率0.212kg/h＜1.5kg/h，等</w:t>
            </w:r>
            <w:r>
              <w:rPr>
                <w:rFonts w:ascii="Times New Roman" w:hAnsi="Times New Roman"/>
                <w:color w:val="0000FF"/>
                <w:szCs w:val="21"/>
              </w:rPr>
              <w:t>同于满足最低去除效率限值（85%）要求。</w:t>
            </w:r>
          </w:p>
          <w:p>
            <w:pPr>
              <w:pStyle w:val="12"/>
              <w:tabs>
                <w:tab w:val="left" w:pos="4718"/>
              </w:tabs>
              <w:spacing w:line="360" w:lineRule="auto"/>
              <w:ind w:firstLine="420" w:firstLineChars="200"/>
              <w:rPr>
                <w:rFonts w:ascii="Times New Roman" w:hAnsi="Times New Roman"/>
              </w:rPr>
            </w:pPr>
            <w:r>
              <w:rPr>
                <w:rFonts w:hint="eastAsia" w:ascii="Times New Roman" w:hAnsi="Times New Roman"/>
              </w:rPr>
              <w:t>（2）废气治理措施可行性分析</w:t>
            </w:r>
          </w:p>
          <w:p>
            <w:pPr>
              <w:pStyle w:val="12"/>
              <w:tabs>
                <w:tab w:val="left" w:pos="4718"/>
              </w:tabs>
              <w:spacing w:line="360" w:lineRule="auto"/>
              <w:ind w:firstLine="420" w:firstLineChars="200"/>
              <w:rPr>
                <w:rFonts w:ascii="Times New Roman" w:hAnsi="Times New Roman"/>
              </w:rPr>
            </w:pPr>
            <w:r>
              <w:rPr>
                <w:rFonts w:hint="eastAsia" w:ascii="Times New Roman" w:hAnsi="Times New Roman"/>
              </w:rPr>
              <w:t>活性炭</w:t>
            </w:r>
            <w:r>
              <w:rPr>
                <w:rFonts w:ascii="Times New Roman" w:hAnsi="Times New Roman"/>
              </w:rPr>
              <w:t>吸附：</w:t>
            </w:r>
            <w:r>
              <w:rPr>
                <w:rFonts w:hint="eastAsia" w:ascii="Times New Roman" w:hAnsi="Times New Roman"/>
              </w:rPr>
              <w:t>活性炭</w:t>
            </w:r>
            <w:r>
              <w:rPr>
                <w:rFonts w:ascii="Times New Roman" w:hAnsi="Times New Roman"/>
              </w:rPr>
              <w:t>是一种很细小的炭粒有很大的表面积，而且炭粒中还有更细小的孔——毛细管。这种毛细管具有很强的吸附能力，由于炭粒的表面积很大，所以能与气体（杂质）充分接触。当这些气体（杂质）碰到毛细管被吸附，起净化作用。</w:t>
            </w:r>
          </w:p>
          <w:p>
            <w:pPr>
              <w:pStyle w:val="12"/>
              <w:tabs>
                <w:tab w:val="left" w:pos="4718"/>
              </w:tabs>
              <w:spacing w:line="360" w:lineRule="auto"/>
              <w:ind w:firstLine="420" w:firstLineChars="200"/>
              <w:rPr>
                <w:rFonts w:ascii="Times New Roman" w:hAnsi="Times New Roman"/>
              </w:rPr>
            </w:pPr>
            <w:r>
              <w:rPr>
                <w:rFonts w:hint="eastAsia" w:ascii="Times New Roman" w:hAnsi="Times New Roman"/>
                <w:lang w:eastAsia="zh-CN"/>
              </w:rPr>
              <w:t>活性炭</w:t>
            </w:r>
            <w:r>
              <w:rPr>
                <w:rFonts w:hint="eastAsia" w:ascii="Times New Roman" w:hAnsi="Times New Roman"/>
              </w:rPr>
              <w:t>比表面积一般在700~1500m</w:t>
            </w:r>
            <w:r>
              <w:rPr>
                <w:rFonts w:hint="eastAsia" w:ascii="Times New Roman" w:hAnsi="Times New Roman"/>
                <w:vertAlign w:val="superscript"/>
              </w:rPr>
              <w:t>2</w:t>
            </w:r>
            <w:r>
              <w:rPr>
                <w:rFonts w:hint="eastAsia" w:ascii="Times New Roman" w:hAnsi="Times New Roman"/>
              </w:rPr>
              <w:t>/g，故</w:t>
            </w:r>
            <w:r>
              <w:rPr>
                <w:rFonts w:hint="eastAsia" w:ascii="Times New Roman" w:hAnsi="Times New Roman"/>
                <w:lang w:eastAsia="zh-CN"/>
              </w:rPr>
              <w:t>活性炭</w:t>
            </w:r>
            <w:r>
              <w:rPr>
                <w:rFonts w:hint="eastAsia" w:ascii="Times New Roman" w:hAnsi="Times New Roman"/>
              </w:rPr>
              <w:t>常常被用来吸附回收空气中的有机溶剂和恶臭气体。</w:t>
            </w:r>
            <w:r>
              <w:rPr>
                <w:rFonts w:hint="eastAsia" w:ascii="Times New Roman" w:hAnsi="Times New Roman"/>
                <w:lang w:eastAsia="zh-CN"/>
              </w:rPr>
              <w:t>活性炭</w:t>
            </w:r>
            <w:r>
              <w:rPr>
                <w:rFonts w:hint="eastAsia" w:ascii="Times New Roman" w:hAnsi="Times New Roman"/>
              </w:rPr>
              <w:t>吸附的实质是利用</w:t>
            </w:r>
            <w:r>
              <w:rPr>
                <w:rFonts w:hint="eastAsia" w:ascii="Times New Roman" w:hAnsi="Times New Roman"/>
                <w:lang w:eastAsia="zh-CN"/>
              </w:rPr>
              <w:t>活性炭</w:t>
            </w:r>
            <w:r>
              <w:rPr>
                <w:rFonts w:hint="eastAsia" w:ascii="Times New Roman" w:hAnsi="Times New Roman"/>
              </w:rPr>
              <w:t>吸附的特性把低浓度大风量废气中的有机溶剂吸附到</w:t>
            </w:r>
            <w:r>
              <w:rPr>
                <w:rFonts w:hint="eastAsia" w:ascii="Times New Roman" w:hAnsi="Times New Roman"/>
                <w:lang w:eastAsia="zh-CN"/>
              </w:rPr>
              <w:t>活性炭</w:t>
            </w:r>
            <w:r>
              <w:rPr>
                <w:rFonts w:hint="eastAsia" w:ascii="Times New Roman" w:hAnsi="Times New Roman"/>
              </w:rPr>
              <w:t>中并浓缩，经</w:t>
            </w:r>
            <w:r>
              <w:rPr>
                <w:rFonts w:hint="eastAsia" w:ascii="Times New Roman" w:hAnsi="Times New Roman"/>
                <w:lang w:eastAsia="zh-CN"/>
              </w:rPr>
              <w:t>活性炭</w:t>
            </w:r>
            <w:r>
              <w:rPr>
                <w:rFonts w:hint="eastAsia" w:ascii="Times New Roman" w:hAnsi="Times New Roman"/>
              </w:rPr>
              <w:t>吸附净化后的气体直接排空，其实质是一个吸附浓缩的过程，并没有把有机溶剂处理掉，是一个物理过程。</w:t>
            </w:r>
          </w:p>
          <w:p>
            <w:pPr>
              <w:pStyle w:val="12"/>
              <w:tabs>
                <w:tab w:val="left" w:pos="4718"/>
              </w:tabs>
              <w:spacing w:line="360" w:lineRule="auto"/>
              <w:jc w:val="center"/>
              <w:rPr>
                <w:rFonts w:ascii="Times New Roman" w:hAnsi="宋体"/>
              </w:rPr>
            </w:pPr>
            <w:r>
              <w:rPr>
                <w:sz w:val="24"/>
                <w:szCs w:val="20"/>
              </w:rPr>
              <w:drawing>
                <wp:inline distT="0" distB="0" distL="0" distR="0">
                  <wp:extent cx="3276600" cy="1847850"/>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76600" cy="1847850"/>
                          </a:xfrm>
                          <a:prstGeom prst="rect">
                            <a:avLst/>
                          </a:prstGeom>
                          <a:noFill/>
                          <a:ln>
                            <a:noFill/>
                          </a:ln>
                        </pic:spPr>
                      </pic:pic>
                    </a:graphicData>
                  </a:graphic>
                </wp:inline>
              </w:drawing>
            </w:r>
          </w:p>
          <w:p>
            <w:pPr>
              <w:pStyle w:val="12"/>
              <w:tabs>
                <w:tab w:val="left" w:pos="4718"/>
              </w:tabs>
              <w:spacing w:line="360" w:lineRule="auto"/>
              <w:jc w:val="center"/>
              <w:rPr>
                <w:rFonts w:ascii="Times New Roman" w:hAnsi="宋体"/>
                <w:b/>
              </w:rPr>
            </w:pPr>
            <w:r>
              <w:rPr>
                <w:rFonts w:ascii="Times New Roman" w:hAnsi="宋体"/>
                <w:b/>
              </w:rPr>
              <w:t>图</w:t>
            </w:r>
            <w:r>
              <w:rPr>
                <w:rFonts w:hint="eastAsia" w:ascii="Times New Roman" w:hAnsi="宋体"/>
                <w:b/>
              </w:rPr>
              <w:t>4</w:t>
            </w:r>
            <w:r>
              <w:rPr>
                <w:rFonts w:ascii="Times New Roman" w:hAnsi="宋体"/>
                <w:b/>
              </w:rPr>
              <w:t>-1    活性炭吸附工艺原理图</w:t>
            </w:r>
          </w:p>
          <w:p>
            <w:pPr>
              <w:pStyle w:val="12"/>
              <w:tabs>
                <w:tab w:val="left" w:pos="4718"/>
              </w:tabs>
              <w:spacing w:line="360" w:lineRule="auto"/>
              <w:ind w:firstLine="420" w:firstLineChars="200"/>
              <w:rPr>
                <w:rFonts w:ascii="Times New Roman" w:hAnsi="Times New Roman"/>
              </w:rPr>
            </w:pPr>
            <w:r>
              <w:rPr>
                <w:rFonts w:ascii="Times New Roman" w:hAnsi="Times New Roman"/>
              </w:rPr>
              <w:t>本项目废气治理技术可行性分析表</w:t>
            </w:r>
            <w:r>
              <w:rPr>
                <w:rFonts w:hint="eastAsia" w:ascii="Times New Roman" w:hAnsi="Times New Roman"/>
              </w:rPr>
              <w:t>4</w:t>
            </w:r>
            <w:r>
              <w:rPr>
                <w:rFonts w:ascii="Times New Roman" w:hAnsi="Times New Roman"/>
              </w:rPr>
              <w:t>-4。</w:t>
            </w:r>
          </w:p>
          <w:p>
            <w:pPr>
              <w:pStyle w:val="2"/>
              <w:jc w:val="center"/>
              <w:rPr>
                <w:rFonts w:ascii="Times New Roman" w:hAnsi="宋体" w:cs="Times New Roman"/>
                <w:b/>
                <w:bCs/>
                <w:color w:val="auto"/>
                <w:sz w:val="21"/>
                <w:szCs w:val="21"/>
              </w:rPr>
            </w:pPr>
            <w:r>
              <w:rPr>
                <w:rFonts w:ascii="Times New Roman" w:hAnsi="宋体" w:cs="Times New Roman"/>
                <w:b/>
                <w:bCs/>
                <w:color w:val="auto"/>
                <w:sz w:val="21"/>
                <w:szCs w:val="21"/>
              </w:rPr>
              <w:t>表</w:t>
            </w:r>
            <w:r>
              <w:rPr>
                <w:rFonts w:hint="eastAsia" w:ascii="Times New Roman" w:hAnsi="宋体" w:cs="Times New Roman"/>
                <w:b/>
                <w:bCs/>
                <w:color w:val="auto"/>
                <w:sz w:val="21"/>
                <w:szCs w:val="21"/>
              </w:rPr>
              <w:t>4</w:t>
            </w:r>
            <w:r>
              <w:rPr>
                <w:rFonts w:ascii="Times New Roman" w:hAnsi="宋体" w:cs="Times New Roman"/>
                <w:b/>
                <w:bCs/>
                <w:color w:val="auto"/>
                <w:sz w:val="21"/>
                <w:szCs w:val="21"/>
              </w:rPr>
              <w:t>-4    废气治理措施</w:t>
            </w:r>
            <w:r>
              <w:rPr>
                <w:rFonts w:hint="eastAsia" w:ascii="Times New Roman" w:hAnsi="宋体" w:cs="Times New Roman"/>
                <w:b/>
                <w:bCs/>
                <w:color w:val="auto"/>
                <w:sz w:val="21"/>
                <w:szCs w:val="21"/>
              </w:rPr>
              <w:t>/技术可行性分析表</w:t>
            </w:r>
          </w:p>
          <w:tbl>
            <w:tblPr>
              <w:tblStyle w:val="23"/>
              <w:tblW w:w="83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85"/>
              <w:gridCol w:w="563"/>
              <w:gridCol w:w="982"/>
              <w:gridCol w:w="2073"/>
              <w:gridCol w:w="2073"/>
              <w:gridCol w:w="1191"/>
              <w:gridCol w:w="8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585"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分类</w:t>
                  </w:r>
                </w:p>
              </w:tc>
              <w:tc>
                <w:tcPr>
                  <w:tcW w:w="563"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产污</w:t>
                  </w:r>
                </w:p>
                <w:p>
                  <w:pPr>
                    <w:pStyle w:val="2"/>
                    <w:jc w:val="center"/>
                    <w:rPr>
                      <w:rFonts w:ascii="Times New Roman" w:cs="Times New Roman"/>
                      <w:color w:val="auto"/>
                      <w:sz w:val="21"/>
                      <w:szCs w:val="21"/>
                    </w:rPr>
                  </w:pPr>
                  <w:r>
                    <w:rPr>
                      <w:rFonts w:hint="eastAsia" w:ascii="Times New Roman" w:cs="Times New Roman"/>
                      <w:color w:val="auto"/>
                      <w:sz w:val="21"/>
                      <w:szCs w:val="21"/>
                    </w:rPr>
                    <w:t>环节</w:t>
                  </w:r>
                </w:p>
              </w:tc>
              <w:tc>
                <w:tcPr>
                  <w:tcW w:w="982"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污染因子</w:t>
                  </w:r>
                </w:p>
              </w:tc>
              <w:tc>
                <w:tcPr>
                  <w:tcW w:w="2073"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《排污许可证申请与核发技术规范 总则》</w:t>
                  </w:r>
                  <w:r>
                    <w:rPr>
                      <w:rFonts w:ascii="Times New Roman" w:cs="Times New Roman"/>
                      <w:color w:val="auto"/>
                      <w:sz w:val="21"/>
                      <w:szCs w:val="21"/>
                    </w:rPr>
                    <w:t>HJ942-2018</w:t>
                  </w:r>
                </w:p>
              </w:tc>
              <w:tc>
                <w:tcPr>
                  <w:tcW w:w="2073"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《重点行业挥发性有机物综合治理方案》</w:t>
                  </w:r>
                </w:p>
              </w:tc>
              <w:tc>
                <w:tcPr>
                  <w:tcW w:w="1191"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本项目所采用的治理措施</w:t>
                  </w:r>
                </w:p>
              </w:tc>
              <w:tc>
                <w:tcPr>
                  <w:tcW w:w="839"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是否为可行技术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585"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废气</w:t>
                  </w:r>
                </w:p>
              </w:tc>
              <w:tc>
                <w:tcPr>
                  <w:tcW w:w="563"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涂胶、打胶</w:t>
                  </w:r>
                </w:p>
              </w:tc>
              <w:tc>
                <w:tcPr>
                  <w:tcW w:w="982"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非甲烷总烃</w:t>
                  </w:r>
                </w:p>
              </w:tc>
              <w:tc>
                <w:tcPr>
                  <w:tcW w:w="2073"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有机废气收集治理设施：焚烧、吸附、催化分解、其他</w:t>
                  </w:r>
                </w:p>
              </w:tc>
              <w:tc>
                <w:tcPr>
                  <w:tcW w:w="2073" w:type="dxa"/>
                  <w:vAlign w:val="center"/>
                </w:tcPr>
                <w:p>
                  <w:pPr>
                    <w:pStyle w:val="2"/>
                    <w:jc w:val="center"/>
                    <w:rPr>
                      <w:rFonts w:ascii="Times New Roman" w:hAnsi="宋体"/>
                      <w:color w:val="auto"/>
                      <w:sz w:val="21"/>
                      <w:szCs w:val="21"/>
                    </w:rPr>
                  </w:pPr>
                  <w:r>
                    <w:rPr>
                      <w:rFonts w:hint="eastAsia"/>
                      <w:bCs/>
                      <w:color w:val="auto"/>
                      <w:sz w:val="21"/>
                      <w:szCs w:val="21"/>
                    </w:rPr>
                    <w:t>低浓度、大风量废气，宜采用沸石转轮吸附、活性炭吸附、减风增浓等浓缩技术</w:t>
                  </w:r>
                </w:p>
              </w:tc>
              <w:tc>
                <w:tcPr>
                  <w:tcW w:w="1191"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活性炭吸附</w:t>
                  </w:r>
                </w:p>
              </w:tc>
              <w:tc>
                <w:tcPr>
                  <w:tcW w:w="839"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是</w:t>
                  </w:r>
                </w:p>
              </w:tc>
            </w:tr>
          </w:tbl>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3）非正常工况分析</w:t>
            </w:r>
          </w:p>
          <w:p>
            <w:pPr>
              <w:pStyle w:val="12"/>
              <w:tabs>
                <w:tab w:val="left" w:pos="4718"/>
              </w:tabs>
              <w:spacing w:line="360" w:lineRule="auto"/>
              <w:ind w:firstLine="420" w:firstLineChars="200"/>
              <w:rPr>
                <w:rFonts w:ascii="Times New Roman" w:hAnsi="宋体"/>
              </w:rPr>
            </w:pPr>
            <w:r>
              <w:t>非正常</w:t>
            </w:r>
            <w:r>
              <w:rPr>
                <w:rFonts w:hint="eastAsia"/>
              </w:rPr>
              <w:t>排放是指生产过程中开停车（工、炉）、设备检修、工艺装备运转异常等非正常工况下的污染物排放，以及污染物排放控制措施达不到应有效率等情况下的排放。非正</w:t>
            </w:r>
            <w:r>
              <w:rPr>
                <w:rFonts w:hint="eastAsia" w:ascii="Times New Roman" w:hAnsi="宋体"/>
              </w:rPr>
              <w:t>常工况频次、持续时间、排放浓度详见下表，非正常工况处置措施如下：</w:t>
            </w:r>
          </w:p>
          <w:p>
            <w:pPr>
              <w:pStyle w:val="12"/>
              <w:tabs>
                <w:tab w:val="left" w:pos="4718"/>
              </w:tabs>
              <w:spacing w:line="360" w:lineRule="auto"/>
              <w:ind w:firstLine="420" w:firstLineChars="200"/>
              <w:rPr>
                <w:rFonts w:ascii="Times New Roman" w:hAnsi="宋体"/>
              </w:rPr>
            </w:pPr>
            <w:r>
              <w:rPr>
                <w:rFonts w:ascii="Times New Roman" w:hAnsi="宋体"/>
              </w:rPr>
              <w:t>①开、停车</w:t>
            </w:r>
          </w:p>
          <w:p>
            <w:pPr>
              <w:pStyle w:val="12"/>
              <w:tabs>
                <w:tab w:val="left" w:pos="4718"/>
              </w:tabs>
              <w:spacing w:line="360" w:lineRule="auto"/>
              <w:ind w:firstLine="420" w:firstLineChars="200"/>
              <w:rPr>
                <w:rFonts w:ascii="Times New Roman" w:hAnsi="宋体"/>
              </w:rPr>
            </w:pPr>
            <w:r>
              <w:rPr>
                <w:rFonts w:ascii="Times New Roman" w:hAnsi="宋体"/>
              </w:rPr>
              <w:t>措施：</w:t>
            </w:r>
            <w:r>
              <w:rPr>
                <w:rFonts w:hint="eastAsia" w:ascii="Times New Roman" w:hAnsi="宋体"/>
              </w:rPr>
              <w:t>建设单位在开车前提前运行对应的废气处理装置（活性炭吸附装置）；停车后对应的废气处理装置保持继续运转，直至残余废气被完全收集处理后才关闭。即可确保车间在开、停车等非正常工况产生的污染物均得到有效处理。</w:t>
            </w:r>
          </w:p>
          <w:p>
            <w:pPr>
              <w:pStyle w:val="12"/>
              <w:tabs>
                <w:tab w:val="left" w:pos="4718"/>
              </w:tabs>
              <w:spacing w:line="360" w:lineRule="auto"/>
              <w:ind w:firstLine="420" w:firstLineChars="200"/>
              <w:rPr>
                <w:rFonts w:ascii="Times New Roman" w:hAnsi="宋体"/>
              </w:rPr>
            </w:pPr>
            <w:r>
              <w:rPr>
                <w:rFonts w:hint="eastAsia" w:ascii="Times New Roman" w:hAnsi="宋体"/>
              </w:rPr>
              <w:t>②设备故障（工艺装备运转异常）及检修过程</w:t>
            </w:r>
          </w:p>
          <w:p>
            <w:pPr>
              <w:pStyle w:val="12"/>
              <w:tabs>
                <w:tab w:val="left" w:pos="4718"/>
              </w:tabs>
              <w:spacing w:line="360" w:lineRule="auto"/>
              <w:ind w:firstLine="420" w:firstLineChars="200"/>
              <w:rPr>
                <w:rFonts w:ascii="Times New Roman" w:hAnsi="宋体"/>
              </w:rPr>
            </w:pPr>
            <w:r>
              <w:rPr>
                <w:rFonts w:ascii="Times New Roman" w:hAnsi="宋体"/>
              </w:rPr>
              <w:t>措施：</w:t>
            </w:r>
            <w:r>
              <w:rPr>
                <w:rFonts w:hint="eastAsia" w:ascii="Times New Roman" w:hAnsi="宋体"/>
              </w:rPr>
              <w:t>设备故障时将立即停止作业，检修过程废气处理装置将保持继续运行，确保检修过程污染物被完全收集处理后才关闭。</w:t>
            </w:r>
          </w:p>
          <w:p>
            <w:pPr>
              <w:pStyle w:val="12"/>
              <w:tabs>
                <w:tab w:val="left" w:pos="4718"/>
              </w:tabs>
              <w:spacing w:line="360" w:lineRule="auto"/>
              <w:ind w:firstLine="420" w:firstLineChars="200"/>
              <w:rPr>
                <w:rFonts w:ascii="Times New Roman" w:hAnsi="Times New Roman"/>
              </w:rPr>
            </w:pPr>
            <w:r>
              <w:rPr>
                <w:rFonts w:hint="eastAsia" w:hAnsi="宋体" w:cs="宋体"/>
              </w:rPr>
              <w:t>③</w:t>
            </w:r>
            <w:r>
              <w:rPr>
                <w:rFonts w:ascii="Times New Roman" w:hAnsi="Times New Roman"/>
              </w:rPr>
              <w:t>污染物排放控制措施效率异常</w:t>
            </w:r>
          </w:p>
          <w:p>
            <w:pPr>
              <w:pStyle w:val="12"/>
              <w:tabs>
                <w:tab w:val="left" w:pos="4718"/>
              </w:tabs>
              <w:spacing w:line="360" w:lineRule="auto"/>
              <w:ind w:firstLine="420" w:firstLineChars="200"/>
              <w:rPr>
                <w:rFonts w:ascii="Times New Roman" w:hAnsi="Times New Roman"/>
              </w:rPr>
            </w:pPr>
            <w:r>
              <w:rPr>
                <w:rFonts w:ascii="Times New Roman" w:hAnsi="Times New Roman"/>
              </w:rPr>
              <w:t>本项目活性炭吸附装故障或未及时更换活性炭，本次评价考虑最不利情况，即活性炭吸附装置处理效率均下降为 0％。</w:t>
            </w:r>
          </w:p>
          <w:p>
            <w:pPr>
              <w:pStyle w:val="12"/>
              <w:tabs>
                <w:tab w:val="left" w:pos="4718"/>
              </w:tabs>
              <w:spacing w:line="360" w:lineRule="auto"/>
              <w:ind w:firstLine="420" w:firstLineChars="200"/>
              <w:rPr>
                <w:rFonts w:ascii="Times New Roman" w:hAnsi="宋体"/>
              </w:rPr>
            </w:pPr>
            <w:r>
              <w:rPr>
                <w:rFonts w:hint="eastAsia" w:ascii="Times New Roman" w:hAnsi="宋体"/>
              </w:rPr>
              <w:t>措施：在生产过程中可采取“定期维护”的措施以有效防控环保措施失效，避免非正常工况。本项目非正常工况下废气排放情况见表4</w:t>
            </w:r>
            <w:r>
              <w:rPr>
                <w:rFonts w:ascii="Times New Roman" w:hAnsi="宋体"/>
              </w:rPr>
              <w:t>-5。</w:t>
            </w:r>
          </w:p>
          <w:p>
            <w:pPr>
              <w:pStyle w:val="2"/>
              <w:jc w:val="center"/>
              <w:rPr>
                <w:rFonts w:ascii="Times New Roman" w:hAnsi="宋体" w:cs="Times New Roman"/>
                <w:b/>
                <w:bCs/>
                <w:color w:val="auto"/>
                <w:sz w:val="21"/>
                <w:szCs w:val="21"/>
              </w:rPr>
            </w:pPr>
            <w:r>
              <w:rPr>
                <w:rFonts w:ascii="Times New Roman" w:hAnsi="宋体" w:cs="Times New Roman"/>
                <w:b/>
                <w:bCs/>
                <w:color w:val="auto"/>
                <w:sz w:val="21"/>
                <w:szCs w:val="21"/>
              </w:rPr>
              <w:t>表</w:t>
            </w:r>
            <w:r>
              <w:rPr>
                <w:rFonts w:hint="eastAsia" w:ascii="Times New Roman" w:hAnsi="宋体" w:cs="Times New Roman"/>
                <w:b/>
                <w:bCs/>
                <w:color w:val="auto"/>
                <w:sz w:val="21"/>
                <w:szCs w:val="21"/>
              </w:rPr>
              <w:t>4</w:t>
            </w:r>
            <w:r>
              <w:rPr>
                <w:rFonts w:ascii="Times New Roman" w:hAnsi="宋体" w:cs="Times New Roman"/>
                <w:b/>
                <w:bCs/>
                <w:color w:val="auto"/>
                <w:sz w:val="21"/>
                <w:szCs w:val="21"/>
              </w:rPr>
              <w:t>-5    非正常工况污染物排放情况</w:t>
            </w:r>
          </w:p>
          <w:tbl>
            <w:tblPr>
              <w:tblStyle w:val="23"/>
              <w:tblW w:w="83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24"/>
              <w:gridCol w:w="1967"/>
              <w:gridCol w:w="842"/>
              <w:gridCol w:w="561"/>
              <w:gridCol w:w="993"/>
              <w:gridCol w:w="1188"/>
              <w:gridCol w:w="1018"/>
              <w:gridCol w:w="10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724" w:type="dxa"/>
                  <w:vMerge w:val="restart"/>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排放口编号</w:t>
                  </w:r>
                </w:p>
              </w:tc>
              <w:tc>
                <w:tcPr>
                  <w:tcW w:w="1967" w:type="dxa"/>
                  <w:vMerge w:val="restart"/>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设施名称</w:t>
                  </w:r>
                </w:p>
              </w:tc>
              <w:tc>
                <w:tcPr>
                  <w:tcW w:w="842" w:type="dxa"/>
                  <w:vMerge w:val="restart"/>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频次</w:t>
                  </w:r>
                </w:p>
              </w:tc>
              <w:tc>
                <w:tcPr>
                  <w:tcW w:w="561" w:type="dxa"/>
                  <w:vMerge w:val="restart"/>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持续</w:t>
                  </w:r>
                </w:p>
                <w:p>
                  <w:pPr>
                    <w:pStyle w:val="2"/>
                    <w:jc w:val="center"/>
                    <w:rPr>
                      <w:rFonts w:ascii="Times New Roman" w:cs="Times New Roman"/>
                      <w:color w:val="0000FF"/>
                      <w:sz w:val="21"/>
                      <w:szCs w:val="21"/>
                    </w:rPr>
                  </w:pPr>
                  <w:r>
                    <w:rPr>
                      <w:rFonts w:hint="eastAsia" w:ascii="Times New Roman" w:cs="Times New Roman"/>
                      <w:color w:val="0000FF"/>
                      <w:sz w:val="21"/>
                      <w:szCs w:val="21"/>
                    </w:rPr>
                    <w:t>时间</w:t>
                  </w:r>
                </w:p>
              </w:tc>
              <w:tc>
                <w:tcPr>
                  <w:tcW w:w="993" w:type="dxa"/>
                  <w:vMerge w:val="restart"/>
                  <w:vAlign w:val="center"/>
                </w:tcPr>
                <w:p>
                  <w:pPr>
                    <w:pStyle w:val="2"/>
                    <w:jc w:val="center"/>
                    <w:rPr>
                      <w:rFonts w:ascii="Times New Roman" w:cs="Times New Roman"/>
                      <w:color w:val="0000FF"/>
                      <w:sz w:val="21"/>
                      <w:szCs w:val="21"/>
                    </w:rPr>
                  </w:pPr>
                  <w:r>
                    <w:rPr>
                      <w:rFonts w:ascii="Times New Roman" w:cs="Times New Roman"/>
                      <w:color w:val="0000FF"/>
                      <w:sz w:val="21"/>
                      <w:szCs w:val="21"/>
                    </w:rPr>
                    <w:t>污染物</w:t>
                  </w:r>
                </w:p>
                <w:p>
                  <w:pPr>
                    <w:pStyle w:val="2"/>
                    <w:jc w:val="center"/>
                    <w:rPr>
                      <w:rFonts w:ascii="Times New Roman" w:cs="Times New Roman"/>
                      <w:color w:val="0000FF"/>
                      <w:sz w:val="21"/>
                      <w:szCs w:val="21"/>
                    </w:rPr>
                  </w:pPr>
                  <w:r>
                    <w:rPr>
                      <w:rFonts w:ascii="Times New Roman" w:cs="Times New Roman"/>
                      <w:color w:val="0000FF"/>
                      <w:sz w:val="21"/>
                      <w:szCs w:val="21"/>
                    </w:rPr>
                    <w:t>名称</w:t>
                  </w:r>
                </w:p>
              </w:tc>
              <w:tc>
                <w:tcPr>
                  <w:tcW w:w="3219" w:type="dxa"/>
                  <w:gridSpan w:val="3"/>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排放情况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724" w:type="dxa"/>
                  <w:vMerge w:val="continue"/>
                  <w:vAlign w:val="center"/>
                </w:tcPr>
                <w:p>
                  <w:pPr>
                    <w:pStyle w:val="2"/>
                    <w:jc w:val="center"/>
                    <w:rPr>
                      <w:rFonts w:ascii="Times New Roman" w:cs="Times New Roman"/>
                      <w:color w:val="0000FF"/>
                      <w:sz w:val="21"/>
                      <w:szCs w:val="21"/>
                    </w:rPr>
                  </w:pPr>
                </w:p>
              </w:tc>
              <w:tc>
                <w:tcPr>
                  <w:tcW w:w="1967" w:type="dxa"/>
                  <w:vMerge w:val="continue"/>
                  <w:vAlign w:val="center"/>
                </w:tcPr>
                <w:p>
                  <w:pPr>
                    <w:pStyle w:val="2"/>
                    <w:jc w:val="center"/>
                    <w:rPr>
                      <w:rFonts w:ascii="Times New Roman" w:cs="Times New Roman"/>
                      <w:color w:val="0000FF"/>
                      <w:sz w:val="21"/>
                      <w:szCs w:val="21"/>
                    </w:rPr>
                  </w:pPr>
                </w:p>
              </w:tc>
              <w:tc>
                <w:tcPr>
                  <w:tcW w:w="842" w:type="dxa"/>
                  <w:vMerge w:val="continue"/>
                  <w:vAlign w:val="center"/>
                </w:tcPr>
                <w:p>
                  <w:pPr>
                    <w:pStyle w:val="2"/>
                    <w:jc w:val="center"/>
                    <w:rPr>
                      <w:rFonts w:ascii="Times New Roman" w:cs="Times New Roman"/>
                      <w:color w:val="0000FF"/>
                      <w:sz w:val="21"/>
                      <w:szCs w:val="21"/>
                    </w:rPr>
                  </w:pPr>
                </w:p>
              </w:tc>
              <w:tc>
                <w:tcPr>
                  <w:tcW w:w="561" w:type="dxa"/>
                  <w:vMerge w:val="continue"/>
                  <w:vAlign w:val="center"/>
                </w:tcPr>
                <w:p>
                  <w:pPr>
                    <w:pStyle w:val="2"/>
                    <w:jc w:val="center"/>
                    <w:rPr>
                      <w:rFonts w:ascii="Times New Roman" w:cs="Times New Roman"/>
                      <w:color w:val="0000FF"/>
                      <w:sz w:val="21"/>
                      <w:szCs w:val="21"/>
                    </w:rPr>
                  </w:pPr>
                </w:p>
              </w:tc>
              <w:tc>
                <w:tcPr>
                  <w:tcW w:w="993" w:type="dxa"/>
                  <w:vMerge w:val="continue"/>
                  <w:vAlign w:val="center"/>
                </w:tcPr>
                <w:p>
                  <w:pPr>
                    <w:pStyle w:val="2"/>
                    <w:jc w:val="center"/>
                    <w:rPr>
                      <w:rFonts w:ascii="Times New Roman" w:cs="Times New Roman"/>
                      <w:color w:val="0000FF"/>
                      <w:sz w:val="21"/>
                      <w:szCs w:val="21"/>
                    </w:rPr>
                  </w:pPr>
                </w:p>
              </w:tc>
              <w:tc>
                <w:tcPr>
                  <w:tcW w:w="1188"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浓度m</w:t>
                  </w:r>
                  <w:r>
                    <w:rPr>
                      <w:rFonts w:ascii="Times New Roman" w:cs="Times New Roman"/>
                      <w:color w:val="0000FF"/>
                      <w:sz w:val="21"/>
                      <w:szCs w:val="21"/>
                    </w:rPr>
                    <w:t>g/m</w:t>
                  </w:r>
                  <w:r>
                    <w:rPr>
                      <w:rFonts w:ascii="Times New Roman" w:cs="Times New Roman"/>
                      <w:color w:val="0000FF"/>
                      <w:sz w:val="21"/>
                      <w:szCs w:val="21"/>
                      <w:vertAlign w:val="superscript"/>
                    </w:rPr>
                    <w:t>3</w:t>
                  </w:r>
                </w:p>
              </w:tc>
              <w:tc>
                <w:tcPr>
                  <w:tcW w:w="1018"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速率k</w:t>
                  </w:r>
                  <w:r>
                    <w:rPr>
                      <w:rFonts w:ascii="Times New Roman" w:cs="Times New Roman"/>
                      <w:color w:val="0000FF"/>
                      <w:sz w:val="21"/>
                      <w:szCs w:val="21"/>
                    </w:rPr>
                    <w:t>g/h</w:t>
                  </w:r>
                </w:p>
              </w:tc>
              <w:tc>
                <w:tcPr>
                  <w:tcW w:w="1013"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排放量t</w:t>
                  </w:r>
                  <w:r>
                    <w:rPr>
                      <w:rFonts w:ascii="Times New Roman" w:cs="Times New Roman"/>
                      <w:color w:val="0000FF"/>
                      <w:sz w:val="21"/>
                      <w:szCs w:val="21"/>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724"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D</w:t>
                  </w:r>
                  <w:r>
                    <w:rPr>
                      <w:rFonts w:ascii="Times New Roman" w:cs="Times New Roman"/>
                      <w:color w:val="0000FF"/>
                      <w:sz w:val="21"/>
                      <w:szCs w:val="21"/>
                    </w:rPr>
                    <w:t>A001</w:t>
                  </w:r>
                </w:p>
              </w:tc>
              <w:tc>
                <w:tcPr>
                  <w:tcW w:w="1967"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活性炭吸附装置</w:t>
                  </w:r>
                </w:p>
              </w:tc>
              <w:tc>
                <w:tcPr>
                  <w:tcW w:w="842"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1次/</w:t>
                  </w:r>
                  <w:r>
                    <w:rPr>
                      <w:rFonts w:ascii="Times New Roman" w:cs="Times New Roman"/>
                      <w:color w:val="0000FF"/>
                      <w:sz w:val="21"/>
                      <w:szCs w:val="21"/>
                    </w:rPr>
                    <w:t>a</w:t>
                  </w:r>
                </w:p>
              </w:tc>
              <w:tc>
                <w:tcPr>
                  <w:tcW w:w="56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1</w:t>
                  </w:r>
                  <w:r>
                    <w:rPr>
                      <w:rFonts w:ascii="Times New Roman" w:cs="Times New Roman"/>
                      <w:color w:val="0000FF"/>
                      <w:sz w:val="21"/>
                      <w:szCs w:val="21"/>
                    </w:rPr>
                    <w:t>h</w:t>
                  </w:r>
                </w:p>
              </w:tc>
              <w:tc>
                <w:tcPr>
                  <w:tcW w:w="993"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非甲烷总烃</w:t>
                  </w:r>
                </w:p>
              </w:tc>
              <w:tc>
                <w:tcPr>
                  <w:tcW w:w="1188"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45.17</w:t>
                  </w:r>
                </w:p>
              </w:tc>
              <w:tc>
                <w:tcPr>
                  <w:tcW w:w="1018"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.36</w:t>
                  </w:r>
                </w:p>
              </w:tc>
              <w:tc>
                <w:tcPr>
                  <w:tcW w:w="1013"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.00036</w:t>
                  </w:r>
                </w:p>
              </w:tc>
            </w:tr>
          </w:tbl>
          <w:p>
            <w:pPr>
              <w:pStyle w:val="12"/>
              <w:tabs>
                <w:tab w:val="left" w:pos="4718"/>
              </w:tabs>
              <w:spacing w:line="360" w:lineRule="auto"/>
              <w:ind w:firstLine="420" w:firstLineChars="200"/>
              <w:rPr>
                <w:rFonts w:ascii="Times New Roman" w:hAnsi="Times New Roman"/>
              </w:rPr>
            </w:pPr>
            <w:r>
              <w:rPr>
                <w:rFonts w:ascii="Times New Roman" w:hAnsi="Times New Roman"/>
              </w:rPr>
              <w:t>（4）废气监测计划</w:t>
            </w:r>
          </w:p>
          <w:p>
            <w:pPr>
              <w:pStyle w:val="12"/>
              <w:tabs>
                <w:tab w:val="left" w:pos="4718"/>
              </w:tabs>
              <w:spacing w:line="360" w:lineRule="auto"/>
              <w:ind w:firstLine="420" w:firstLineChars="200"/>
              <w:rPr>
                <w:rFonts w:ascii="Times New Roman" w:hAnsi="Times New Roman"/>
              </w:rPr>
            </w:pPr>
            <w:r>
              <w:rPr>
                <w:rFonts w:ascii="Times New Roman" w:hAnsi="Times New Roman"/>
              </w:rPr>
              <w:t>根据《排污单位自行监测技术指南 总则》（HJ819-2017），制定本项目废气监测计划见表4-6。</w:t>
            </w:r>
          </w:p>
          <w:p>
            <w:pPr>
              <w:pStyle w:val="2"/>
              <w:jc w:val="center"/>
              <w:rPr>
                <w:rFonts w:ascii="Times New Roman" w:cs="Times New Roman"/>
                <w:b/>
                <w:bCs/>
                <w:color w:val="auto"/>
                <w:sz w:val="21"/>
                <w:szCs w:val="21"/>
              </w:rPr>
            </w:pPr>
            <w:r>
              <w:rPr>
                <w:rFonts w:ascii="Times New Roman" w:cs="Times New Roman"/>
                <w:b/>
                <w:bCs/>
                <w:color w:val="auto"/>
                <w:sz w:val="21"/>
                <w:szCs w:val="21"/>
              </w:rPr>
              <w:t>表4-6    运营期废气污染源监测计划（</w:t>
            </w:r>
            <w:r>
              <w:rPr>
                <w:rFonts w:hint="eastAsia" w:ascii="Times New Roman" w:cs="Times New Roman"/>
                <w:b/>
                <w:bCs/>
                <w:color w:val="auto"/>
                <w:sz w:val="21"/>
                <w:szCs w:val="21"/>
              </w:rPr>
              <w:t>建议</w:t>
            </w:r>
            <w:r>
              <w:rPr>
                <w:rFonts w:ascii="Times New Roman" w:cs="Times New Roman"/>
                <w:b/>
                <w:bCs/>
                <w:color w:val="auto"/>
                <w:sz w:val="21"/>
                <w:szCs w:val="21"/>
              </w:rPr>
              <w:t>）</w:t>
            </w:r>
          </w:p>
          <w:tbl>
            <w:tblPr>
              <w:tblStyle w:val="23"/>
              <w:tblW w:w="83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87"/>
              <w:gridCol w:w="842"/>
              <w:gridCol w:w="1545"/>
              <w:gridCol w:w="1686"/>
              <w:gridCol w:w="842"/>
              <w:gridCol w:w="280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587"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分类</w:t>
                  </w:r>
                </w:p>
              </w:tc>
              <w:tc>
                <w:tcPr>
                  <w:tcW w:w="842"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污染源</w:t>
                  </w:r>
                </w:p>
              </w:tc>
              <w:tc>
                <w:tcPr>
                  <w:tcW w:w="1545"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监测因子</w:t>
                  </w:r>
                </w:p>
              </w:tc>
              <w:tc>
                <w:tcPr>
                  <w:tcW w:w="168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监测点位</w:t>
                  </w:r>
                </w:p>
              </w:tc>
              <w:tc>
                <w:tcPr>
                  <w:tcW w:w="842"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监测</w:t>
                  </w:r>
                </w:p>
                <w:p>
                  <w:pPr>
                    <w:pStyle w:val="2"/>
                    <w:jc w:val="center"/>
                    <w:rPr>
                      <w:rFonts w:ascii="Times New Roman" w:cs="Times New Roman"/>
                      <w:color w:val="auto"/>
                      <w:sz w:val="21"/>
                      <w:szCs w:val="21"/>
                    </w:rPr>
                  </w:pPr>
                  <w:r>
                    <w:rPr>
                      <w:rFonts w:ascii="Times New Roman" w:cs="Times New Roman"/>
                      <w:color w:val="auto"/>
                      <w:sz w:val="21"/>
                      <w:szCs w:val="21"/>
                    </w:rPr>
                    <w:t>频次</w:t>
                  </w:r>
                </w:p>
              </w:tc>
              <w:tc>
                <w:tcPr>
                  <w:tcW w:w="280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587" w:type="dxa"/>
                  <w:vMerge w:val="restart"/>
                  <w:vAlign w:val="center"/>
                </w:tcPr>
                <w:p>
                  <w:pPr>
                    <w:pStyle w:val="2"/>
                    <w:jc w:val="center"/>
                    <w:rPr>
                      <w:rFonts w:ascii="Times New Roman" w:cs="Times New Roman"/>
                      <w:color w:val="auto"/>
                      <w:sz w:val="21"/>
                      <w:szCs w:val="21"/>
                    </w:rPr>
                  </w:pPr>
                  <w:r>
                    <w:rPr>
                      <w:rFonts w:ascii="Times New Roman" w:cs="Times New Roman"/>
                      <w:color w:val="auto"/>
                      <w:sz w:val="21"/>
                      <w:szCs w:val="21"/>
                    </w:rPr>
                    <w:t>废气</w:t>
                  </w:r>
                </w:p>
              </w:tc>
              <w:tc>
                <w:tcPr>
                  <w:tcW w:w="842"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有组织</w:t>
                  </w:r>
                </w:p>
              </w:tc>
              <w:tc>
                <w:tcPr>
                  <w:tcW w:w="1545"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非甲烷总烃</w:t>
                  </w:r>
                </w:p>
              </w:tc>
              <w:tc>
                <w:tcPr>
                  <w:tcW w:w="1686"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D</w:t>
                  </w:r>
                  <w:r>
                    <w:rPr>
                      <w:rFonts w:ascii="Times New Roman" w:cs="Times New Roman"/>
                      <w:color w:val="auto"/>
                      <w:sz w:val="21"/>
                      <w:szCs w:val="21"/>
                    </w:rPr>
                    <w:t>A001排气筒进口、出口</w:t>
                  </w:r>
                </w:p>
              </w:tc>
              <w:tc>
                <w:tcPr>
                  <w:tcW w:w="842"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1次/</w:t>
                  </w:r>
                  <w:r>
                    <w:rPr>
                      <w:rFonts w:ascii="Times New Roman" w:cs="Times New Roman"/>
                      <w:color w:val="auto"/>
                      <w:sz w:val="21"/>
                      <w:szCs w:val="21"/>
                    </w:rPr>
                    <w:t>a</w:t>
                  </w:r>
                </w:p>
              </w:tc>
              <w:tc>
                <w:tcPr>
                  <w:tcW w:w="2804" w:type="dxa"/>
                  <w:vAlign w:val="center"/>
                </w:tcPr>
                <w:p>
                  <w:pPr>
                    <w:pStyle w:val="2"/>
                    <w:jc w:val="center"/>
                    <w:rPr>
                      <w:rFonts w:ascii="Times New Roman" w:cs="Times New Roman"/>
                      <w:color w:val="auto"/>
                      <w:sz w:val="21"/>
                      <w:szCs w:val="21"/>
                    </w:rPr>
                  </w:pPr>
                  <w:r>
                    <w:rPr>
                      <w:rFonts w:ascii="Times New Roman" w:cs="Times New Roman"/>
                      <w:bCs/>
                      <w:color w:val="auto"/>
                      <w:sz w:val="21"/>
                      <w:szCs w:val="21"/>
                    </w:rPr>
                    <w:t>《大气污染物综合排放标准》（GB16297-1996）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587" w:type="dxa"/>
                  <w:vMerge w:val="continue"/>
                  <w:vAlign w:val="center"/>
                </w:tcPr>
                <w:p>
                  <w:pPr>
                    <w:pStyle w:val="2"/>
                    <w:jc w:val="center"/>
                    <w:rPr>
                      <w:rFonts w:ascii="Times New Roman" w:cs="Times New Roman"/>
                      <w:color w:val="auto"/>
                      <w:sz w:val="21"/>
                      <w:szCs w:val="21"/>
                    </w:rPr>
                  </w:pPr>
                </w:p>
              </w:tc>
              <w:tc>
                <w:tcPr>
                  <w:tcW w:w="842"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无组织</w:t>
                  </w:r>
                </w:p>
              </w:tc>
              <w:tc>
                <w:tcPr>
                  <w:tcW w:w="1545"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非甲烷总烃</w:t>
                  </w:r>
                </w:p>
              </w:tc>
              <w:tc>
                <w:tcPr>
                  <w:tcW w:w="168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企业边界</w:t>
                  </w:r>
                </w:p>
              </w:tc>
              <w:tc>
                <w:tcPr>
                  <w:tcW w:w="842"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1次/</w:t>
                  </w:r>
                  <w:r>
                    <w:rPr>
                      <w:rFonts w:ascii="Times New Roman" w:cs="Times New Roman"/>
                      <w:color w:val="auto"/>
                      <w:sz w:val="21"/>
                      <w:szCs w:val="21"/>
                    </w:rPr>
                    <w:t>a</w:t>
                  </w:r>
                </w:p>
              </w:tc>
              <w:tc>
                <w:tcPr>
                  <w:tcW w:w="2804" w:type="dxa"/>
                  <w:vAlign w:val="center"/>
                </w:tcPr>
                <w:p>
                  <w:pPr>
                    <w:pStyle w:val="2"/>
                    <w:jc w:val="center"/>
                    <w:rPr>
                      <w:rFonts w:ascii="Times New Roman" w:cs="Times New Roman"/>
                      <w:color w:val="auto"/>
                      <w:sz w:val="21"/>
                      <w:szCs w:val="21"/>
                    </w:rPr>
                  </w:pPr>
                  <w:r>
                    <w:rPr>
                      <w:rFonts w:ascii="Times New Roman" w:cs="Times New Roman"/>
                      <w:bCs/>
                      <w:color w:val="auto"/>
                      <w:sz w:val="21"/>
                      <w:szCs w:val="21"/>
                    </w:rPr>
                    <w:t>《大气污染物综合排放标准》（GB16297-1996）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587" w:type="dxa"/>
                  <w:vMerge w:val="continue"/>
                  <w:vAlign w:val="center"/>
                </w:tcPr>
                <w:p>
                  <w:pPr>
                    <w:pStyle w:val="2"/>
                    <w:jc w:val="center"/>
                    <w:rPr>
                      <w:rFonts w:ascii="Times New Roman" w:cs="Times New Roman"/>
                      <w:color w:val="auto"/>
                      <w:sz w:val="21"/>
                      <w:szCs w:val="21"/>
                    </w:rPr>
                  </w:pPr>
                </w:p>
              </w:tc>
              <w:tc>
                <w:tcPr>
                  <w:tcW w:w="842"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无组织</w:t>
                  </w:r>
                </w:p>
              </w:tc>
              <w:tc>
                <w:tcPr>
                  <w:tcW w:w="1545"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非甲烷总烃</w:t>
                  </w:r>
                </w:p>
              </w:tc>
              <w:tc>
                <w:tcPr>
                  <w:tcW w:w="168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厂区内</w:t>
                  </w:r>
                </w:p>
              </w:tc>
              <w:tc>
                <w:tcPr>
                  <w:tcW w:w="842" w:type="dxa"/>
                  <w:vAlign w:val="center"/>
                </w:tcPr>
                <w:p>
                  <w:pPr>
                    <w:pStyle w:val="2"/>
                    <w:jc w:val="center"/>
                    <w:rPr>
                      <w:rFonts w:ascii="Times New Roman" w:cs="Times New Roman"/>
                      <w:color w:val="auto"/>
                      <w:sz w:val="21"/>
                      <w:szCs w:val="21"/>
                    </w:rPr>
                  </w:pPr>
                  <w:r>
                    <w:rPr>
                      <w:rFonts w:hint="eastAsia" w:ascii="Times New Roman" w:cs="Times New Roman"/>
                      <w:color w:val="auto"/>
                      <w:sz w:val="21"/>
                      <w:szCs w:val="21"/>
                    </w:rPr>
                    <w:t>1次/</w:t>
                  </w:r>
                  <w:r>
                    <w:rPr>
                      <w:rFonts w:ascii="Times New Roman" w:cs="Times New Roman"/>
                      <w:color w:val="auto"/>
                      <w:sz w:val="21"/>
                      <w:szCs w:val="21"/>
                    </w:rPr>
                    <w:t>a</w:t>
                  </w:r>
                </w:p>
              </w:tc>
              <w:tc>
                <w:tcPr>
                  <w:tcW w:w="2804" w:type="dxa"/>
                  <w:vAlign w:val="center"/>
                </w:tcPr>
                <w:p>
                  <w:pPr>
                    <w:pStyle w:val="2"/>
                    <w:jc w:val="center"/>
                    <w:rPr>
                      <w:rFonts w:ascii="Times New Roman" w:cs="Times New Roman"/>
                      <w:color w:val="auto"/>
                      <w:sz w:val="21"/>
                      <w:szCs w:val="21"/>
                    </w:rPr>
                  </w:pPr>
                  <w:r>
                    <w:rPr>
                      <w:rFonts w:ascii="Times New Roman" w:cs="Times New Roman"/>
                      <w:bCs/>
                      <w:color w:val="auto"/>
                      <w:sz w:val="21"/>
                      <w:szCs w:val="21"/>
                    </w:rPr>
                    <w:t>《挥发性有机物无组织排放控制标准》（GB37822-2019）</w:t>
                  </w:r>
                </w:p>
              </w:tc>
            </w:tr>
          </w:tbl>
          <w:p>
            <w:pPr>
              <w:pStyle w:val="12"/>
              <w:tabs>
                <w:tab w:val="left" w:pos="4718"/>
              </w:tabs>
              <w:spacing w:line="360" w:lineRule="auto"/>
              <w:ind w:firstLine="420" w:firstLineChars="200"/>
              <w:rPr>
                <w:rFonts w:ascii="Times New Roman" w:hAnsi="宋体"/>
              </w:rPr>
            </w:pPr>
            <w:r>
              <w:rPr>
                <w:rFonts w:hint="eastAsia" w:ascii="Times New Roman" w:hAnsi="宋体"/>
              </w:rPr>
              <w:t>2、废水</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1）源强核算</w:t>
            </w:r>
          </w:p>
          <w:p>
            <w:pPr>
              <w:pStyle w:val="12"/>
              <w:tabs>
                <w:tab w:val="left" w:pos="4718"/>
              </w:tabs>
              <w:spacing w:line="360" w:lineRule="auto"/>
              <w:ind w:firstLine="420" w:firstLineChars="200"/>
              <w:rPr>
                <w:rFonts w:ascii="Times New Roman" w:hAnsi="宋体"/>
                <w:color w:val="0000FF"/>
              </w:rPr>
            </w:pPr>
            <w:r>
              <w:rPr>
                <w:rFonts w:hint="eastAsia" w:ascii="Times New Roman" w:hAnsi="宋体"/>
                <w:color w:val="0000FF"/>
              </w:rPr>
              <w:t>生活污水</w:t>
            </w:r>
          </w:p>
          <w:p>
            <w:pPr>
              <w:pStyle w:val="12"/>
              <w:tabs>
                <w:tab w:val="left" w:pos="4718"/>
              </w:tabs>
              <w:spacing w:line="360" w:lineRule="auto"/>
              <w:ind w:firstLine="420" w:firstLineChars="200"/>
              <w:rPr>
                <w:rFonts w:ascii="Times New Roman" w:hAnsi="宋体"/>
                <w:color w:val="0000FF"/>
              </w:rPr>
            </w:pPr>
            <w:r>
              <w:rPr>
                <w:rFonts w:hint="eastAsia" w:ascii="Times New Roman" w:hAnsi="宋体"/>
                <w:color w:val="0000FF"/>
              </w:rPr>
              <w:t>根据水平衡分析，生活污水</w:t>
            </w:r>
            <w:r>
              <w:rPr>
                <w:rFonts w:ascii="Times New Roman" w:hAnsi="宋体"/>
                <w:color w:val="0000FF"/>
              </w:rPr>
              <w:t>产生量</w:t>
            </w:r>
            <w:r>
              <w:rPr>
                <w:rFonts w:hint="eastAsia" w:ascii="Times New Roman" w:hAnsi="宋体"/>
                <w:color w:val="0000FF"/>
              </w:rPr>
              <w:t>0</w:t>
            </w:r>
            <w:r>
              <w:rPr>
                <w:rFonts w:ascii="Times New Roman" w:hAnsi="宋体"/>
                <w:color w:val="0000FF"/>
              </w:rPr>
              <w:t>.65m</w:t>
            </w:r>
            <w:r>
              <w:rPr>
                <w:rFonts w:ascii="Times New Roman" w:hAnsi="宋体"/>
                <w:color w:val="0000FF"/>
                <w:vertAlign w:val="superscript"/>
              </w:rPr>
              <w:t>3</w:t>
            </w:r>
            <w:r>
              <w:rPr>
                <w:rFonts w:ascii="Times New Roman" w:hAnsi="宋体"/>
                <w:color w:val="0000FF"/>
              </w:rPr>
              <w:t>/d，</w:t>
            </w:r>
            <w:r>
              <w:rPr>
                <w:rFonts w:hint="eastAsia" w:ascii="Times New Roman" w:hAnsi="宋体"/>
                <w:color w:val="0000FF"/>
              </w:rPr>
              <w:t>1</w:t>
            </w:r>
            <w:r>
              <w:rPr>
                <w:rFonts w:ascii="Times New Roman" w:hAnsi="宋体"/>
                <w:color w:val="0000FF"/>
              </w:rPr>
              <w:t>95m</w:t>
            </w:r>
            <w:r>
              <w:rPr>
                <w:rFonts w:ascii="Times New Roman" w:hAnsi="宋体"/>
                <w:color w:val="0000FF"/>
                <w:vertAlign w:val="superscript"/>
              </w:rPr>
              <w:t>3</w:t>
            </w:r>
            <w:r>
              <w:rPr>
                <w:rFonts w:ascii="Times New Roman" w:hAnsi="宋体"/>
                <w:color w:val="0000FF"/>
              </w:rPr>
              <w:t>/a。生活污水进入厂区化粪池（</w:t>
            </w:r>
            <w:r>
              <w:rPr>
                <w:rFonts w:hint="eastAsia" w:ascii="Times New Roman" w:hAnsi="宋体"/>
                <w:color w:val="0000FF"/>
              </w:rPr>
              <w:t>5</w:t>
            </w:r>
            <w:r>
              <w:rPr>
                <w:rFonts w:ascii="Times New Roman" w:hAnsi="宋体"/>
                <w:color w:val="0000FF"/>
              </w:rPr>
              <w:t>m</w:t>
            </w:r>
            <w:r>
              <w:rPr>
                <w:rFonts w:ascii="Times New Roman" w:hAnsi="宋体"/>
                <w:color w:val="0000FF"/>
                <w:vertAlign w:val="superscript"/>
              </w:rPr>
              <w:t>3</w:t>
            </w:r>
            <w:r>
              <w:rPr>
                <w:rFonts w:ascii="Times New Roman" w:hAnsi="宋体"/>
                <w:color w:val="0000FF"/>
              </w:rPr>
              <w:t>）内，经处理后排入园区污水管网，最终进入五里镇污水处理厂。</w:t>
            </w:r>
          </w:p>
          <w:p>
            <w:pPr>
              <w:pStyle w:val="12"/>
              <w:tabs>
                <w:tab w:val="left" w:pos="4718"/>
              </w:tabs>
              <w:spacing w:line="360" w:lineRule="auto"/>
              <w:ind w:firstLine="420" w:firstLineChars="200"/>
              <w:rPr>
                <w:rFonts w:ascii="Times New Roman" w:hAnsi="宋体"/>
                <w:color w:val="0000FF"/>
              </w:rPr>
            </w:pPr>
            <w:r>
              <w:rPr>
                <w:rFonts w:ascii="Times New Roman" w:hAnsi="宋体"/>
                <w:color w:val="0000FF"/>
              </w:rPr>
              <w:t>生活污水产生及排放情况见表</w:t>
            </w:r>
            <w:r>
              <w:rPr>
                <w:rFonts w:hint="eastAsia" w:ascii="Times New Roman" w:hAnsi="宋体"/>
                <w:color w:val="0000FF"/>
              </w:rPr>
              <w:t>4</w:t>
            </w:r>
            <w:r>
              <w:rPr>
                <w:rFonts w:ascii="Times New Roman" w:hAnsi="宋体"/>
                <w:color w:val="0000FF"/>
              </w:rPr>
              <w:t>-7。</w:t>
            </w:r>
          </w:p>
          <w:p>
            <w:pPr>
              <w:pStyle w:val="2"/>
              <w:jc w:val="center"/>
              <w:rPr>
                <w:rFonts w:ascii="Times New Roman" w:cs="Times New Roman"/>
                <w:b/>
                <w:bCs/>
                <w:color w:val="auto"/>
                <w:sz w:val="21"/>
                <w:szCs w:val="21"/>
              </w:rPr>
            </w:pPr>
            <w:r>
              <w:rPr>
                <w:rFonts w:ascii="Times New Roman" w:cs="Times New Roman"/>
                <w:b/>
                <w:bCs/>
                <w:color w:val="auto"/>
                <w:sz w:val="21"/>
                <w:szCs w:val="21"/>
              </w:rPr>
              <w:t>表</w:t>
            </w:r>
            <w:r>
              <w:rPr>
                <w:rFonts w:hint="eastAsia" w:ascii="Times New Roman" w:cs="Times New Roman"/>
                <w:b/>
                <w:bCs/>
                <w:color w:val="auto"/>
                <w:sz w:val="21"/>
                <w:szCs w:val="21"/>
              </w:rPr>
              <w:t>4</w:t>
            </w:r>
            <w:r>
              <w:rPr>
                <w:rFonts w:ascii="Times New Roman" w:cs="Times New Roman"/>
                <w:b/>
                <w:bCs/>
                <w:color w:val="auto"/>
                <w:sz w:val="21"/>
                <w:szCs w:val="21"/>
              </w:rPr>
              <w:t>-7    运营期生活污水产生及排放一览表</w:t>
            </w:r>
          </w:p>
          <w:tbl>
            <w:tblPr>
              <w:tblStyle w:val="23"/>
              <w:tblW w:w="83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344"/>
              <w:gridCol w:w="1731"/>
              <w:gridCol w:w="1017"/>
              <w:gridCol w:w="904"/>
              <w:gridCol w:w="837"/>
              <w:gridCol w:w="762"/>
              <w:gridCol w:w="920"/>
              <w:gridCol w:w="79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水量</w:t>
                  </w:r>
                </w:p>
              </w:tc>
              <w:tc>
                <w:tcPr>
                  <w:tcW w:w="6962" w:type="dxa"/>
                  <w:gridSpan w:val="7"/>
                  <w:vAlign w:val="center"/>
                </w:tcPr>
                <w:p>
                  <w:pPr>
                    <w:pStyle w:val="2"/>
                    <w:jc w:val="center"/>
                    <w:rPr>
                      <w:rFonts w:ascii="Times New Roman" w:cs="Times New Roman"/>
                      <w:color w:val="0000FF"/>
                      <w:sz w:val="21"/>
                      <w:szCs w:val="21"/>
                    </w:rPr>
                  </w:pPr>
                  <w:r>
                    <w:rPr>
                      <w:rFonts w:ascii="Times New Roman" w:cs="Times New Roman"/>
                      <w:color w:val="0000FF"/>
                      <w:sz w:val="21"/>
                      <w:szCs w:val="21"/>
                    </w:rPr>
                    <w:t>195m</w:t>
                  </w:r>
                  <w:r>
                    <w:rPr>
                      <w:rFonts w:ascii="Times New Roman" w:cs="Times New Roman"/>
                      <w:color w:val="0000FF"/>
                      <w:sz w:val="21"/>
                      <w:szCs w:val="21"/>
                      <w:vertAlign w:val="superscript"/>
                    </w:rPr>
                    <w:t>3</w:t>
                  </w:r>
                  <w:r>
                    <w:rPr>
                      <w:rFonts w:ascii="Times New Roman" w:cs="Times New Roman"/>
                      <w:color w:val="0000FF"/>
                      <w:sz w:val="21"/>
                      <w:szCs w:val="21"/>
                    </w:rPr>
                    <w: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名称</w:t>
                  </w:r>
                </w:p>
              </w:tc>
              <w:tc>
                <w:tcPr>
                  <w:tcW w:w="173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指标</w:t>
                  </w:r>
                </w:p>
              </w:tc>
              <w:tc>
                <w:tcPr>
                  <w:tcW w:w="101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COD</w:t>
                  </w:r>
                </w:p>
              </w:tc>
              <w:tc>
                <w:tcPr>
                  <w:tcW w:w="90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BOD</w:t>
                  </w:r>
                  <w:r>
                    <w:rPr>
                      <w:rFonts w:ascii="Times New Roman" w:cs="Times New Roman"/>
                      <w:color w:val="0000FF"/>
                      <w:sz w:val="21"/>
                      <w:szCs w:val="21"/>
                      <w:vertAlign w:val="subscript"/>
                    </w:rPr>
                    <w:t>5</w:t>
                  </w:r>
                </w:p>
              </w:tc>
              <w:tc>
                <w:tcPr>
                  <w:tcW w:w="83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NH</w:t>
                  </w:r>
                  <w:r>
                    <w:rPr>
                      <w:rFonts w:ascii="Times New Roman" w:cs="Times New Roman"/>
                      <w:color w:val="0000FF"/>
                      <w:sz w:val="21"/>
                      <w:szCs w:val="21"/>
                      <w:vertAlign w:val="subscript"/>
                    </w:rPr>
                    <w:t>3</w:t>
                  </w:r>
                  <w:r>
                    <w:rPr>
                      <w:rFonts w:ascii="Times New Roman" w:cs="Times New Roman"/>
                      <w:color w:val="0000FF"/>
                      <w:sz w:val="21"/>
                      <w:szCs w:val="21"/>
                    </w:rPr>
                    <w:t>-N</w:t>
                  </w:r>
                </w:p>
              </w:tc>
              <w:tc>
                <w:tcPr>
                  <w:tcW w:w="762"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SS</w:t>
                  </w:r>
                </w:p>
              </w:tc>
              <w:tc>
                <w:tcPr>
                  <w:tcW w:w="920"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TN</w:t>
                  </w:r>
                </w:p>
              </w:tc>
              <w:tc>
                <w:tcPr>
                  <w:tcW w:w="79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TP</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Merge w:val="restart"/>
                  <w:vAlign w:val="center"/>
                </w:tcPr>
                <w:p>
                  <w:pPr>
                    <w:pStyle w:val="2"/>
                    <w:jc w:val="center"/>
                    <w:rPr>
                      <w:rFonts w:ascii="Times New Roman" w:cs="Times New Roman"/>
                      <w:color w:val="0000FF"/>
                      <w:sz w:val="21"/>
                      <w:szCs w:val="21"/>
                    </w:rPr>
                  </w:pPr>
                  <w:r>
                    <w:rPr>
                      <w:rFonts w:ascii="Times New Roman" w:cs="Times New Roman"/>
                      <w:color w:val="0000FF"/>
                      <w:sz w:val="21"/>
                      <w:szCs w:val="21"/>
                    </w:rPr>
                    <w:t>化粪池（</w:t>
                  </w:r>
                  <w:r>
                    <w:rPr>
                      <w:rFonts w:hint="eastAsia" w:ascii="Times New Roman" w:cs="Times New Roman"/>
                      <w:color w:val="0000FF"/>
                      <w:sz w:val="21"/>
                      <w:szCs w:val="21"/>
                    </w:rPr>
                    <w:t>V</w:t>
                  </w:r>
                  <w:r>
                    <w:rPr>
                      <w:rFonts w:ascii="Times New Roman" w:cs="Times New Roman"/>
                      <w:color w:val="0000FF"/>
                      <w:sz w:val="21"/>
                      <w:szCs w:val="21"/>
                    </w:rPr>
                    <w:t>=5m</w:t>
                  </w:r>
                  <w:r>
                    <w:rPr>
                      <w:rFonts w:ascii="Times New Roman" w:cs="Times New Roman"/>
                      <w:color w:val="0000FF"/>
                      <w:sz w:val="21"/>
                      <w:szCs w:val="21"/>
                      <w:vertAlign w:val="superscript"/>
                    </w:rPr>
                    <w:t>3</w:t>
                  </w:r>
                  <w:r>
                    <w:rPr>
                      <w:rFonts w:ascii="Times New Roman" w:cs="Times New Roman"/>
                      <w:color w:val="0000FF"/>
                      <w:sz w:val="21"/>
                      <w:szCs w:val="21"/>
                    </w:rPr>
                    <w:t>）</w:t>
                  </w:r>
                </w:p>
              </w:tc>
              <w:tc>
                <w:tcPr>
                  <w:tcW w:w="173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进水浓度mg/L</w:t>
                  </w:r>
                </w:p>
              </w:tc>
              <w:tc>
                <w:tcPr>
                  <w:tcW w:w="101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370</w:t>
                  </w:r>
                </w:p>
              </w:tc>
              <w:tc>
                <w:tcPr>
                  <w:tcW w:w="90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200</w:t>
                  </w:r>
                </w:p>
              </w:tc>
              <w:tc>
                <w:tcPr>
                  <w:tcW w:w="83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35</w:t>
                  </w:r>
                </w:p>
              </w:tc>
              <w:tc>
                <w:tcPr>
                  <w:tcW w:w="762"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2</w:t>
                  </w:r>
                  <w:r>
                    <w:rPr>
                      <w:rFonts w:ascii="Times New Roman" w:cs="Times New Roman"/>
                      <w:color w:val="0000FF"/>
                      <w:sz w:val="21"/>
                      <w:szCs w:val="21"/>
                    </w:rPr>
                    <w:t>80</w:t>
                  </w:r>
                </w:p>
              </w:tc>
              <w:tc>
                <w:tcPr>
                  <w:tcW w:w="920"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40</w:t>
                  </w:r>
                </w:p>
              </w:tc>
              <w:tc>
                <w:tcPr>
                  <w:tcW w:w="79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Merge w:val="continue"/>
                  <w:vAlign w:val="center"/>
                </w:tcPr>
                <w:p>
                  <w:pPr>
                    <w:pStyle w:val="2"/>
                    <w:jc w:val="center"/>
                    <w:rPr>
                      <w:rFonts w:ascii="Times New Roman" w:cs="Times New Roman"/>
                      <w:color w:val="0000FF"/>
                      <w:sz w:val="21"/>
                      <w:szCs w:val="21"/>
                    </w:rPr>
                  </w:pPr>
                </w:p>
              </w:tc>
              <w:tc>
                <w:tcPr>
                  <w:tcW w:w="173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产生量t/a</w:t>
                  </w:r>
                </w:p>
              </w:tc>
              <w:tc>
                <w:tcPr>
                  <w:tcW w:w="1017"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.072</w:t>
                  </w:r>
                </w:p>
              </w:tc>
              <w:tc>
                <w:tcPr>
                  <w:tcW w:w="90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0.039</w:t>
                  </w:r>
                </w:p>
              </w:tc>
              <w:tc>
                <w:tcPr>
                  <w:tcW w:w="837"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.0068</w:t>
                  </w:r>
                </w:p>
              </w:tc>
              <w:tc>
                <w:tcPr>
                  <w:tcW w:w="762"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.055</w:t>
                  </w:r>
                </w:p>
              </w:tc>
              <w:tc>
                <w:tcPr>
                  <w:tcW w:w="920"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.0078</w:t>
                  </w:r>
                </w:p>
              </w:tc>
              <w:tc>
                <w:tcPr>
                  <w:tcW w:w="79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.00098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Merge w:val="continue"/>
                  <w:vAlign w:val="center"/>
                </w:tcPr>
                <w:p>
                  <w:pPr>
                    <w:pStyle w:val="2"/>
                    <w:jc w:val="center"/>
                    <w:rPr>
                      <w:rFonts w:ascii="Times New Roman" w:cs="Times New Roman"/>
                      <w:color w:val="0000FF"/>
                      <w:sz w:val="21"/>
                      <w:szCs w:val="21"/>
                    </w:rPr>
                  </w:pPr>
                </w:p>
              </w:tc>
              <w:tc>
                <w:tcPr>
                  <w:tcW w:w="173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去除效率%</w:t>
                  </w:r>
                </w:p>
              </w:tc>
              <w:tc>
                <w:tcPr>
                  <w:tcW w:w="1017"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1</w:t>
                  </w:r>
                  <w:r>
                    <w:rPr>
                      <w:rFonts w:ascii="Times New Roman" w:cs="Times New Roman"/>
                      <w:color w:val="0000FF"/>
                      <w:sz w:val="21"/>
                      <w:szCs w:val="21"/>
                    </w:rPr>
                    <w:t>5</w:t>
                  </w:r>
                </w:p>
              </w:tc>
              <w:tc>
                <w:tcPr>
                  <w:tcW w:w="904"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1</w:t>
                  </w:r>
                  <w:r>
                    <w:rPr>
                      <w:rFonts w:ascii="Times New Roman" w:cs="Times New Roman"/>
                      <w:color w:val="0000FF"/>
                      <w:sz w:val="21"/>
                      <w:szCs w:val="21"/>
                    </w:rPr>
                    <w:t>0</w:t>
                  </w:r>
                </w:p>
              </w:tc>
              <w:tc>
                <w:tcPr>
                  <w:tcW w:w="837"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p>
              </w:tc>
              <w:tc>
                <w:tcPr>
                  <w:tcW w:w="762"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3</w:t>
                  </w:r>
                  <w:r>
                    <w:rPr>
                      <w:rFonts w:ascii="Times New Roman" w:cs="Times New Roman"/>
                      <w:color w:val="0000FF"/>
                      <w:sz w:val="21"/>
                      <w:szCs w:val="21"/>
                    </w:rPr>
                    <w:t>0</w:t>
                  </w:r>
                </w:p>
              </w:tc>
              <w:tc>
                <w:tcPr>
                  <w:tcW w:w="920"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p>
              </w:tc>
              <w:tc>
                <w:tcPr>
                  <w:tcW w:w="79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Merge w:val="continue"/>
                  <w:vAlign w:val="center"/>
                </w:tcPr>
                <w:p>
                  <w:pPr>
                    <w:pStyle w:val="2"/>
                    <w:jc w:val="center"/>
                    <w:rPr>
                      <w:rFonts w:ascii="Times New Roman" w:cs="Times New Roman"/>
                      <w:color w:val="0000FF"/>
                      <w:sz w:val="21"/>
                      <w:szCs w:val="21"/>
                    </w:rPr>
                  </w:pPr>
                </w:p>
              </w:tc>
              <w:tc>
                <w:tcPr>
                  <w:tcW w:w="173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出水浓度</w:t>
                  </w:r>
                  <w:r>
                    <w:rPr>
                      <w:rFonts w:hint="eastAsia" w:ascii="Times New Roman" w:cs="Times New Roman"/>
                      <w:color w:val="0000FF"/>
                      <w:sz w:val="21"/>
                      <w:szCs w:val="21"/>
                    </w:rPr>
                    <w:t>m</w:t>
                  </w:r>
                  <w:r>
                    <w:rPr>
                      <w:rFonts w:ascii="Times New Roman" w:cs="Times New Roman"/>
                      <w:color w:val="0000FF"/>
                      <w:sz w:val="21"/>
                      <w:szCs w:val="21"/>
                    </w:rPr>
                    <w:t>g/L</w:t>
                  </w:r>
                </w:p>
              </w:tc>
              <w:tc>
                <w:tcPr>
                  <w:tcW w:w="101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315</w:t>
                  </w:r>
                </w:p>
              </w:tc>
              <w:tc>
                <w:tcPr>
                  <w:tcW w:w="90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180</w:t>
                  </w:r>
                </w:p>
              </w:tc>
              <w:tc>
                <w:tcPr>
                  <w:tcW w:w="83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35</w:t>
                  </w:r>
                </w:p>
              </w:tc>
              <w:tc>
                <w:tcPr>
                  <w:tcW w:w="762"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1</w:t>
                  </w:r>
                  <w:r>
                    <w:rPr>
                      <w:rFonts w:ascii="Times New Roman" w:cs="Times New Roman"/>
                      <w:color w:val="0000FF"/>
                      <w:sz w:val="21"/>
                      <w:szCs w:val="21"/>
                    </w:rPr>
                    <w:t>96</w:t>
                  </w:r>
                </w:p>
              </w:tc>
              <w:tc>
                <w:tcPr>
                  <w:tcW w:w="920"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40</w:t>
                  </w:r>
                </w:p>
              </w:tc>
              <w:tc>
                <w:tcPr>
                  <w:tcW w:w="79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344" w:type="dxa"/>
                  <w:vMerge w:val="continue"/>
                  <w:vAlign w:val="center"/>
                </w:tcPr>
                <w:p>
                  <w:pPr>
                    <w:pStyle w:val="2"/>
                    <w:jc w:val="center"/>
                    <w:rPr>
                      <w:rFonts w:ascii="Times New Roman" w:cs="Times New Roman"/>
                      <w:color w:val="0000FF"/>
                      <w:sz w:val="21"/>
                      <w:szCs w:val="21"/>
                    </w:rPr>
                  </w:pPr>
                </w:p>
              </w:tc>
              <w:tc>
                <w:tcPr>
                  <w:tcW w:w="173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排放量</w:t>
                  </w:r>
                  <w:r>
                    <w:rPr>
                      <w:rFonts w:hint="eastAsia" w:ascii="Times New Roman" w:cs="Times New Roman"/>
                      <w:color w:val="0000FF"/>
                      <w:sz w:val="21"/>
                      <w:szCs w:val="21"/>
                    </w:rPr>
                    <w:t>t</w:t>
                  </w:r>
                  <w:r>
                    <w:rPr>
                      <w:rFonts w:ascii="Times New Roman" w:cs="Times New Roman"/>
                      <w:color w:val="0000FF"/>
                      <w:sz w:val="21"/>
                      <w:szCs w:val="21"/>
                    </w:rPr>
                    <w:t>/a</w:t>
                  </w:r>
                </w:p>
              </w:tc>
              <w:tc>
                <w:tcPr>
                  <w:tcW w:w="1017"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.061</w:t>
                  </w:r>
                </w:p>
              </w:tc>
              <w:tc>
                <w:tcPr>
                  <w:tcW w:w="904"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.035</w:t>
                  </w:r>
                </w:p>
              </w:tc>
              <w:tc>
                <w:tcPr>
                  <w:tcW w:w="83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0.0068</w:t>
                  </w:r>
                </w:p>
              </w:tc>
              <w:tc>
                <w:tcPr>
                  <w:tcW w:w="762"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.039</w:t>
                  </w:r>
                </w:p>
              </w:tc>
              <w:tc>
                <w:tcPr>
                  <w:tcW w:w="920"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.0078</w:t>
                  </w:r>
                </w:p>
              </w:tc>
              <w:tc>
                <w:tcPr>
                  <w:tcW w:w="791" w:type="dxa"/>
                  <w:vAlign w:val="center"/>
                </w:tcPr>
                <w:p>
                  <w:pPr>
                    <w:pStyle w:val="2"/>
                    <w:jc w:val="center"/>
                    <w:rPr>
                      <w:rFonts w:ascii="Times New Roman" w:cs="Times New Roman"/>
                      <w:color w:val="0000FF"/>
                      <w:sz w:val="21"/>
                      <w:szCs w:val="21"/>
                    </w:rPr>
                  </w:pPr>
                  <w:r>
                    <w:rPr>
                      <w:rFonts w:hint="eastAsia" w:ascii="Times New Roman" w:cs="Times New Roman"/>
                      <w:color w:val="0000FF"/>
                      <w:sz w:val="21"/>
                      <w:szCs w:val="21"/>
                    </w:rPr>
                    <w:t>0</w:t>
                  </w:r>
                  <w:r>
                    <w:rPr>
                      <w:rFonts w:ascii="Times New Roman" w:cs="Times New Roman"/>
                      <w:color w:val="0000FF"/>
                      <w:sz w:val="21"/>
                      <w:szCs w:val="21"/>
                    </w:rPr>
                    <w:t>.00098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3075" w:type="dxa"/>
                  <w:gridSpan w:val="2"/>
                  <w:vAlign w:val="center"/>
                </w:tcPr>
                <w:p>
                  <w:pPr>
                    <w:pStyle w:val="2"/>
                    <w:jc w:val="center"/>
                    <w:rPr>
                      <w:rFonts w:ascii="Times New Roman" w:cs="Times New Roman"/>
                      <w:color w:val="0000FF"/>
                      <w:sz w:val="21"/>
                      <w:szCs w:val="21"/>
                    </w:rPr>
                  </w:pPr>
                  <w:r>
                    <w:rPr>
                      <w:rFonts w:ascii="Times New Roman" w:cs="Times New Roman"/>
                      <w:color w:val="0000FF"/>
                      <w:sz w:val="21"/>
                      <w:szCs w:val="21"/>
                    </w:rPr>
                    <w:t>本项目执行标准</w:t>
                  </w:r>
                </w:p>
              </w:tc>
              <w:tc>
                <w:tcPr>
                  <w:tcW w:w="101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500</w:t>
                  </w:r>
                </w:p>
              </w:tc>
              <w:tc>
                <w:tcPr>
                  <w:tcW w:w="90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300</w:t>
                  </w:r>
                </w:p>
              </w:tc>
              <w:tc>
                <w:tcPr>
                  <w:tcW w:w="83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45</w:t>
                  </w:r>
                </w:p>
              </w:tc>
              <w:tc>
                <w:tcPr>
                  <w:tcW w:w="762"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400</w:t>
                  </w:r>
                </w:p>
              </w:tc>
              <w:tc>
                <w:tcPr>
                  <w:tcW w:w="920"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70</w:t>
                  </w:r>
                </w:p>
              </w:tc>
              <w:tc>
                <w:tcPr>
                  <w:tcW w:w="79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3075" w:type="dxa"/>
                  <w:gridSpan w:val="2"/>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达标情况</w:t>
                  </w:r>
                </w:p>
              </w:tc>
              <w:tc>
                <w:tcPr>
                  <w:tcW w:w="101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w:t>
                  </w:r>
                </w:p>
              </w:tc>
              <w:tc>
                <w:tcPr>
                  <w:tcW w:w="904"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w:t>
                  </w:r>
                </w:p>
              </w:tc>
              <w:tc>
                <w:tcPr>
                  <w:tcW w:w="837"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w:t>
                  </w:r>
                </w:p>
              </w:tc>
              <w:tc>
                <w:tcPr>
                  <w:tcW w:w="762"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w:t>
                  </w:r>
                </w:p>
              </w:tc>
              <w:tc>
                <w:tcPr>
                  <w:tcW w:w="920"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w:t>
                  </w:r>
                </w:p>
              </w:tc>
              <w:tc>
                <w:tcPr>
                  <w:tcW w:w="791"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达标</w:t>
                  </w:r>
                </w:p>
              </w:tc>
            </w:tr>
          </w:tbl>
          <w:p>
            <w:pPr>
              <w:spacing w:line="360" w:lineRule="auto"/>
              <w:ind w:firstLine="420" w:firstLineChars="200"/>
            </w:pPr>
            <w:r>
              <w:t>根据上表可知，运营期生活污水排放浓度满足《污水综合排放标准》（GB8978-1996）三级标准、《污水排入城镇下水道水质标准》（GB/T31962-2015）中B级标准。</w:t>
            </w:r>
          </w:p>
          <w:p>
            <w:pPr>
              <w:pStyle w:val="2"/>
              <w:jc w:val="center"/>
              <w:rPr>
                <w:rFonts w:ascii="Times New Roman" w:hAnsi="宋体" w:cs="Times New Roman"/>
                <w:b/>
                <w:bCs/>
                <w:color w:val="auto"/>
                <w:sz w:val="21"/>
                <w:szCs w:val="21"/>
              </w:rPr>
            </w:pPr>
            <w:r>
              <w:rPr>
                <w:rFonts w:ascii="Times New Roman" w:hAnsi="宋体" w:cs="Times New Roman"/>
                <w:b/>
                <w:bCs/>
                <w:color w:val="auto"/>
                <w:sz w:val="21"/>
                <w:szCs w:val="21"/>
              </w:rPr>
              <w:t>表4-8    废水类别、污染物及污染治理设施信息表</w:t>
            </w:r>
          </w:p>
          <w:tbl>
            <w:tblPr>
              <w:tblStyle w:val="23"/>
              <w:tblW w:w="83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1"/>
              <w:gridCol w:w="667"/>
              <w:gridCol w:w="1244"/>
              <w:gridCol w:w="958"/>
              <w:gridCol w:w="870"/>
              <w:gridCol w:w="992"/>
              <w:gridCol w:w="849"/>
              <w:gridCol w:w="858"/>
              <w:gridCol w:w="1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391" w:type="dxa"/>
                  <w:vMerge w:val="restart"/>
                  <w:vAlign w:val="center"/>
                </w:tcPr>
                <w:p>
                  <w:pPr>
                    <w:adjustRightInd w:val="0"/>
                    <w:snapToGrid w:val="0"/>
                    <w:ind w:left="-42" w:leftChars="-20" w:right="-42" w:rightChars="-20"/>
                    <w:jc w:val="center"/>
                    <w:rPr>
                      <w:szCs w:val="21"/>
                    </w:rPr>
                  </w:pPr>
                  <w:r>
                    <w:rPr>
                      <w:szCs w:val="21"/>
                    </w:rPr>
                    <w:t>序号</w:t>
                  </w:r>
                </w:p>
              </w:tc>
              <w:tc>
                <w:tcPr>
                  <w:tcW w:w="667" w:type="dxa"/>
                  <w:vMerge w:val="restart"/>
                  <w:vAlign w:val="center"/>
                </w:tcPr>
                <w:p>
                  <w:pPr>
                    <w:adjustRightInd w:val="0"/>
                    <w:snapToGrid w:val="0"/>
                    <w:ind w:left="-42" w:leftChars="-20" w:right="-42" w:rightChars="-20"/>
                    <w:jc w:val="center"/>
                    <w:rPr>
                      <w:szCs w:val="21"/>
                    </w:rPr>
                  </w:pPr>
                  <w:r>
                    <w:rPr>
                      <w:szCs w:val="21"/>
                    </w:rPr>
                    <w:t>废水类别</w:t>
                  </w:r>
                </w:p>
              </w:tc>
              <w:tc>
                <w:tcPr>
                  <w:tcW w:w="1244" w:type="dxa"/>
                  <w:vMerge w:val="restart"/>
                  <w:vAlign w:val="center"/>
                </w:tcPr>
                <w:p>
                  <w:pPr>
                    <w:adjustRightInd w:val="0"/>
                    <w:snapToGrid w:val="0"/>
                    <w:ind w:left="-42" w:leftChars="-20" w:right="-42" w:rightChars="-20"/>
                    <w:jc w:val="center"/>
                    <w:rPr>
                      <w:szCs w:val="21"/>
                    </w:rPr>
                  </w:pPr>
                  <w:r>
                    <w:rPr>
                      <w:szCs w:val="21"/>
                    </w:rPr>
                    <w:t>污染物</w:t>
                  </w:r>
                </w:p>
                <w:p>
                  <w:pPr>
                    <w:adjustRightInd w:val="0"/>
                    <w:snapToGrid w:val="0"/>
                    <w:ind w:left="-42" w:leftChars="-20" w:right="-42" w:rightChars="-20"/>
                    <w:jc w:val="center"/>
                    <w:rPr>
                      <w:szCs w:val="21"/>
                    </w:rPr>
                  </w:pPr>
                  <w:r>
                    <w:rPr>
                      <w:szCs w:val="21"/>
                    </w:rPr>
                    <w:t>种类</w:t>
                  </w:r>
                </w:p>
              </w:tc>
              <w:tc>
                <w:tcPr>
                  <w:tcW w:w="958" w:type="dxa"/>
                  <w:vMerge w:val="restart"/>
                  <w:vAlign w:val="center"/>
                </w:tcPr>
                <w:p>
                  <w:pPr>
                    <w:adjustRightInd w:val="0"/>
                    <w:snapToGrid w:val="0"/>
                    <w:ind w:left="-42" w:leftChars="-20" w:right="-42" w:rightChars="-20"/>
                    <w:jc w:val="center"/>
                    <w:rPr>
                      <w:szCs w:val="21"/>
                    </w:rPr>
                  </w:pPr>
                  <w:r>
                    <w:rPr>
                      <w:szCs w:val="21"/>
                    </w:rPr>
                    <w:t>排放去向</w:t>
                  </w:r>
                </w:p>
              </w:tc>
              <w:tc>
                <w:tcPr>
                  <w:tcW w:w="2711" w:type="dxa"/>
                  <w:gridSpan w:val="3"/>
                </w:tcPr>
                <w:p>
                  <w:pPr>
                    <w:adjustRightInd w:val="0"/>
                    <w:snapToGrid w:val="0"/>
                    <w:ind w:left="-42" w:leftChars="-20" w:right="-42" w:rightChars="-20"/>
                    <w:jc w:val="center"/>
                    <w:rPr>
                      <w:szCs w:val="21"/>
                    </w:rPr>
                  </w:pPr>
                  <w:r>
                    <w:rPr>
                      <w:szCs w:val="21"/>
                    </w:rPr>
                    <w:t>污染治理设施</w:t>
                  </w:r>
                </w:p>
              </w:tc>
              <w:tc>
                <w:tcPr>
                  <w:tcW w:w="858" w:type="dxa"/>
                  <w:vMerge w:val="restart"/>
                  <w:vAlign w:val="center"/>
                </w:tcPr>
                <w:p>
                  <w:pPr>
                    <w:adjustRightInd w:val="0"/>
                    <w:snapToGrid w:val="0"/>
                    <w:ind w:left="-42" w:leftChars="-20" w:right="-42" w:rightChars="-20"/>
                    <w:jc w:val="center"/>
                    <w:rPr>
                      <w:szCs w:val="21"/>
                    </w:rPr>
                  </w:pPr>
                  <w:r>
                    <w:rPr>
                      <w:szCs w:val="21"/>
                    </w:rPr>
                    <w:t>排放口编号</w:t>
                  </w:r>
                </w:p>
              </w:tc>
              <w:tc>
                <w:tcPr>
                  <w:tcW w:w="1552" w:type="dxa"/>
                  <w:vMerge w:val="restart"/>
                  <w:vAlign w:val="center"/>
                </w:tcPr>
                <w:p>
                  <w:pPr>
                    <w:adjustRightInd w:val="0"/>
                    <w:snapToGrid w:val="0"/>
                    <w:ind w:left="-42" w:leftChars="-20" w:right="-42" w:rightChars="-20"/>
                    <w:jc w:val="center"/>
                    <w:rPr>
                      <w:szCs w:val="21"/>
                    </w:rPr>
                  </w:pPr>
                  <w:r>
                    <w:rPr>
                      <w:szCs w:val="21"/>
                    </w:rPr>
                    <w:t>排放口</w:t>
                  </w:r>
                </w:p>
                <w:p>
                  <w:pPr>
                    <w:adjustRightInd w:val="0"/>
                    <w:snapToGrid w:val="0"/>
                    <w:ind w:left="-42" w:leftChars="-20" w:right="-42" w:rightChars="-20"/>
                    <w:jc w:val="center"/>
                    <w:rPr>
                      <w:szCs w:val="21"/>
                    </w:rPr>
                  </w:pPr>
                  <w:r>
                    <w:rPr>
                      <w:szCs w:val="21"/>
                    </w:rPr>
                    <w:t>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jc w:val="center"/>
              </w:trPr>
              <w:tc>
                <w:tcPr>
                  <w:tcW w:w="391" w:type="dxa"/>
                  <w:vMerge w:val="continue"/>
                  <w:vAlign w:val="center"/>
                </w:tcPr>
                <w:p>
                  <w:pPr>
                    <w:widowControl/>
                    <w:jc w:val="left"/>
                    <w:rPr>
                      <w:szCs w:val="21"/>
                    </w:rPr>
                  </w:pPr>
                </w:p>
              </w:tc>
              <w:tc>
                <w:tcPr>
                  <w:tcW w:w="667" w:type="dxa"/>
                  <w:vMerge w:val="continue"/>
                  <w:vAlign w:val="center"/>
                </w:tcPr>
                <w:p>
                  <w:pPr>
                    <w:widowControl/>
                    <w:jc w:val="left"/>
                    <w:rPr>
                      <w:szCs w:val="21"/>
                    </w:rPr>
                  </w:pPr>
                </w:p>
              </w:tc>
              <w:tc>
                <w:tcPr>
                  <w:tcW w:w="1244" w:type="dxa"/>
                  <w:vMerge w:val="continue"/>
                  <w:vAlign w:val="center"/>
                </w:tcPr>
                <w:p>
                  <w:pPr>
                    <w:widowControl/>
                    <w:jc w:val="left"/>
                    <w:rPr>
                      <w:szCs w:val="21"/>
                    </w:rPr>
                  </w:pPr>
                </w:p>
              </w:tc>
              <w:tc>
                <w:tcPr>
                  <w:tcW w:w="958" w:type="dxa"/>
                  <w:vMerge w:val="continue"/>
                  <w:vAlign w:val="center"/>
                </w:tcPr>
                <w:p>
                  <w:pPr>
                    <w:widowControl/>
                    <w:jc w:val="left"/>
                    <w:rPr>
                      <w:szCs w:val="21"/>
                    </w:rPr>
                  </w:pPr>
                </w:p>
              </w:tc>
              <w:tc>
                <w:tcPr>
                  <w:tcW w:w="870" w:type="dxa"/>
                </w:tcPr>
                <w:p>
                  <w:pPr>
                    <w:adjustRightInd w:val="0"/>
                    <w:snapToGrid w:val="0"/>
                    <w:jc w:val="center"/>
                    <w:rPr>
                      <w:szCs w:val="21"/>
                    </w:rPr>
                  </w:pPr>
                  <w:r>
                    <w:rPr>
                      <w:szCs w:val="21"/>
                    </w:rPr>
                    <w:t>污染治理设施名称</w:t>
                  </w:r>
                </w:p>
              </w:tc>
              <w:tc>
                <w:tcPr>
                  <w:tcW w:w="992" w:type="dxa"/>
                </w:tcPr>
                <w:p>
                  <w:pPr>
                    <w:adjustRightInd w:val="0"/>
                    <w:snapToGrid w:val="0"/>
                    <w:jc w:val="center"/>
                    <w:rPr>
                      <w:szCs w:val="21"/>
                    </w:rPr>
                  </w:pPr>
                  <w:r>
                    <w:rPr>
                      <w:szCs w:val="21"/>
                    </w:rPr>
                    <w:t>污染治理设施工艺</w:t>
                  </w:r>
                </w:p>
              </w:tc>
              <w:tc>
                <w:tcPr>
                  <w:tcW w:w="849" w:type="dxa"/>
                </w:tcPr>
                <w:p>
                  <w:pPr>
                    <w:adjustRightInd w:val="0"/>
                    <w:snapToGrid w:val="0"/>
                    <w:jc w:val="center"/>
                    <w:rPr>
                      <w:szCs w:val="21"/>
                    </w:rPr>
                  </w:pPr>
                  <w:r>
                    <w:rPr>
                      <w:rFonts w:hint="eastAsia"/>
                      <w:szCs w:val="21"/>
                    </w:rPr>
                    <w:t>是否</w:t>
                  </w:r>
                  <w:r>
                    <w:rPr>
                      <w:szCs w:val="21"/>
                    </w:rPr>
                    <w:t>为可行</w:t>
                  </w:r>
                  <w:r>
                    <w:rPr>
                      <w:rFonts w:hint="eastAsia"/>
                      <w:szCs w:val="21"/>
                    </w:rPr>
                    <w:t>技术</w:t>
                  </w:r>
                </w:p>
              </w:tc>
              <w:tc>
                <w:tcPr>
                  <w:tcW w:w="858" w:type="dxa"/>
                  <w:vMerge w:val="continue"/>
                  <w:vAlign w:val="center"/>
                </w:tcPr>
                <w:p>
                  <w:pPr>
                    <w:widowControl/>
                    <w:jc w:val="left"/>
                    <w:rPr>
                      <w:szCs w:val="21"/>
                    </w:rPr>
                  </w:pPr>
                </w:p>
              </w:tc>
              <w:tc>
                <w:tcPr>
                  <w:tcW w:w="1552" w:type="dxa"/>
                  <w:vMerge w:val="continue"/>
                  <w:vAlign w:val="center"/>
                </w:tcPr>
                <w:p>
                  <w:pPr>
                    <w:widowControl/>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5" w:hRule="atLeast"/>
                <w:jc w:val="center"/>
              </w:trPr>
              <w:tc>
                <w:tcPr>
                  <w:tcW w:w="391" w:type="dxa"/>
                  <w:vAlign w:val="center"/>
                </w:tcPr>
                <w:p>
                  <w:pPr>
                    <w:adjustRightInd w:val="0"/>
                    <w:snapToGrid w:val="0"/>
                    <w:jc w:val="center"/>
                    <w:rPr>
                      <w:szCs w:val="21"/>
                    </w:rPr>
                  </w:pPr>
                  <w:r>
                    <w:rPr>
                      <w:szCs w:val="21"/>
                    </w:rPr>
                    <w:t>1</w:t>
                  </w:r>
                </w:p>
              </w:tc>
              <w:tc>
                <w:tcPr>
                  <w:tcW w:w="667" w:type="dxa"/>
                  <w:vAlign w:val="center"/>
                </w:tcPr>
                <w:p>
                  <w:pPr>
                    <w:adjustRightInd w:val="0"/>
                    <w:snapToGrid w:val="0"/>
                    <w:jc w:val="center"/>
                    <w:rPr>
                      <w:szCs w:val="21"/>
                    </w:rPr>
                  </w:pPr>
                  <w:r>
                    <w:rPr>
                      <w:rFonts w:hint="eastAsia"/>
                      <w:szCs w:val="21"/>
                    </w:rPr>
                    <w:t>生活污水</w:t>
                  </w:r>
                </w:p>
              </w:tc>
              <w:tc>
                <w:tcPr>
                  <w:tcW w:w="1244" w:type="dxa"/>
                  <w:vAlign w:val="center"/>
                </w:tcPr>
                <w:p>
                  <w:pPr>
                    <w:adjustRightInd w:val="0"/>
                    <w:snapToGrid w:val="0"/>
                    <w:jc w:val="center"/>
                    <w:rPr>
                      <w:szCs w:val="21"/>
                    </w:rPr>
                  </w:pPr>
                  <w:r>
                    <w:rPr>
                      <w:szCs w:val="21"/>
                    </w:rPr>
                    <w:t>COD、NH</w:t>
                  </w:r>
                  <w:r>
                    <w:rPr>
                      <w:szCs w:val="21"/>
                      <w:vertAlign w:val="subscript"/>
                    </w:rPr>
                    <w:t>3</w:t>
                  </w:r>
                  <w:r>
                    <w:rPr>
                      <w:szCs w:val="21"/>
                    </w:rPr>
                    <w:t>-N、BOD</w:t>
                  </w:r>
                  <w:r>
                    <w:rPr>
                      <w:szCs w:val="21"/>
                      <w:vertAlign w:val="subscript"/>
                    </w:rPr>
                    <w:t>5</w:t>
                  </w:r>
                  <w:r>
                    <w:rPr>
                      <w:szCs w:val="21"/>
                    </w:rPr>
                    <w:t>、SS</w:t>
                  </w:r>
                  <w:r>
                    <w:rPr>
                      <w:rFonts w:hint="eastAsia"/>
                      <w:szCs w:val="21"/>
                    </w:rPr>
                    <w:t>、TN、TP</w:t>
                  </w:r>
                </w:p>
              </w:tc>
              <w:tc>
                <w:tcPr>
                  <w:tcW w:w="958" w:type="dxa"/>
                  <w:vAlign w:val="center"/>
                </w:tcPr>
                <w:p>
                  <w:pPr>
                    <w:adjustRightInd w:val="0"/>
                    <w:snapToGrid w:val="0"/>
                    <w:jc w:val="center"/>
                    <w:rPr>
                      <w:szCs w:val="21"/>
                    </w:rPr>
                  </w:pPr>
                  <w:r>
                    <w:rPr>
                      <w:szCs w:val="21"/>
                    </w:rPr>
                    <w:t>经化粪池处理后排入园区污水管网，进入五里镇污水处理厂</w:t>
                  </w:r>
                </w:p>
              </w:tc>
              <w:tc>
                <w:tcPr>
                  <w:tcW w:w="870" w:type="dxa"/>
                  <w:vAlign w:val="center"/>
                </w:tcPr>
                <w:p>
                  <w:pPr>
                    <w:adjustRightInd w:val="0"/>
                    <w:snapToGrid w:val="0"/>
                    <w:jc w:val="center"/>
                    <w:rPr>
                      <w:szCs w:val="21"/>
                    </w:rPr>
                  </w:pPr>
                  <w:r>
                    <w:rPr>
                      <w:szCs w:val="21"/>
                    </w:rPr>
                    <w:t>化粪池</w:t>
                  </w:r>
                </w:p>
              </w:tc>
              <w:tc>
                <w:tcPr>
                  <w:tcW w:w="992" w:type="dxa"/>
                  <w:vAlign w:val="center"/>
                </w:tcPr>
                <w:p>
                  <w:pPr>
                    <w:adjustRightInd w:val="0"/>
                    <w:snapToGrid w:val="0"/>
                    <w:jc w:val="center"/>
                    <w:rPr>
                      <w:szCs w:val="21"/>
                    </w:rPr>
                  </w:pPr>
                  <w:r>
                    <w:rPr>
                      <w:rFonts w:hint="eastAsia"/>
                      <w:szCs w:val="21"/>
                    </w:rPr>
                    <w:t>沉淀</w:t>
                  </w:r>
                </w:p>
              </w:tc>
              <w:tc>
                <w:tcPr>
                  <w:tcW w:w="849" w:type="dxa"/>
                  <w:vAlign w:val="center"/>
                </w:tcPr>
                <w:p>
                  <w:pPr>
                    <w:adjustRightInd w:val="0"/>
                    <w:snapToGrid w:val="0"/>
                    <w:jc w:val="center"/>
                    <w:rPr>
                      <w:szCs w:val="21"/>
                    </w:rPr>
                  </w:pPr>
                  <w:r>
                    <w:rPr>
                      <w:rFonts w:hint="eastAsia"/>
                      <w:szCs w:val="21"/>
                    </w:rPr>
                    <w:t>可行</w:t>
                  </w:r>
                </w:p>
              </w:tc>
              <w:tc>
                <w:tcPr>
                  <w:tcW w:w="858" w:type="dxa"/>
                  <w:vAlign w:val="center"/>
                </w:tcPr>
                <w:p>
                  <w:pPr>
                    <w:adjustRightInd w:val="0"/>
                    <w:snapToGrid w:val="0"/>
                    <w:jc w:val="center"/>
                    <w:rPr>
                      <w:szCs w:val="21"/>
                    </w:rPr>
                  </w:pPr>
                  <w:r>
                    <w:rPr>
                      <w:rFonts w:hint="eastAsia"/>
                      <w:szCs w:val="21"/>
                    </w:rPr>
                    <w:t>T</w:t>
                  </w:r>
                  <w:r>
                    <w:rPr>
                      <w:szCs w:val="21"/>
                    </w:rPr>
                    <w:t>W001</w:t>
                  </w:r>
                </w:p>
              </w:tc>
              <w:tc>
                <w:tcPr>
                  <w:tcW w:w="1552" w:type="dxa"/>
                  <w:vAlign w:val="center"/>
                </w:tcPr>
                <w:p>
                  <w:pPr>
                    <w:adjustRightInd w:val="0"/>
                    <w:snapToGrid w:val="0"/>
                    <w:ind w:left="-105" w:leftChars="-50" w:right="-105" w:rightChars="-50"/>
                    <w:jc w:val="center"/>
                    <w:rPr>
                      <w:szCs w:val="21"/>
                    </w:rPr>
                  </w:pPr>
                  <w:r>
                    <w:rPr>
                      <w:rFonts w:hint="eastAsia" w:ascii="宋体" w:hAnsi="宋体"/>
                      <w:szCs w:val="21"/>
                    </w:rPr>
                    <w:t>√</w:t>
                  </w:r>
                  <w:r>
                    <w:rPr>
                      <w:szCs w:val="21"/>
                    </w:rPr>
                    <w:t>企业总排</w:t>
                  </w:r>
                </w:p>
                <w:p>
                  <w:pPr>
                    <w:adjustRightInd w:val="0"/>
                    <w:snapToGrid w:val="0"/>
                    <w:ind w:left="-105" w:leftChars="-50" w:right="-105" w:rightChars="-50"/>
                    <w:jc w:val="center"/>
                    <w:rPr>
                      <w:szCs w:val="21"/>
                    </w:rPr>
                  </w:pPr>
                  <w:r>
                    <w:rPr>
                      <w:szCs w:val="21"/>
                    </w:rPr>
                    <w:t>□雨水排放</w:t>
                  </w:r>
                </w:p>
                <w:p>
                  <w:pPr>
                    <w:adjustRightInd w:val="0"/>
                    <w:snapToGrid w:val="0"/>
                    <w:ind w:left="-105" w:leftChars="-50" w:right="-105" w:rightChars="-50"/>
                    <w:jc w:val="center"/>
                    <w:rPr>
                      <w:szCs w:val="21"/>
                    </w:rPr>
                  </w:pPr>
                  <w:r>
                    <w:rPr>
                      <w:szCs w:val="21"/>
                    </w:rPr>
                    <w:t>□清净下水排放</w:t>
                  </w:r>
                </w:p>
                <w:p>
                  <w:pPr>
                    <w:adjustRightInd w:val="0"/>
                    <w:snapToGrid w:val="0"/>
                    <w:ind w:left="-105" w:leftChars="-50" w:right="-105" w:rightChars="-50"/>
                    <w:jc w:val="center"/>
                    <w:rPr>
                      <w:szCs w:val="21"/>
                    </w:rPr>
                  </w:pPr>
                  <w:r>
                    <w:rPr>
                      <w:szCs w:val="21"/>
                    </w:rPr>
                    <w:t>□温排水排放</w:t>
                  </w:r>
                </w:p>
                <w:p>
                  <w:pPr>
                    <w:adjustRightInd w:val="0"/>
                    <w:snapToGrid w:val="0"/>
                    <w:ind w:left="-105" w:leftChars="-50" w:right="-105" w:rightChars="-50"/>
                    <w:jc w:val="center"/>
                    <w:rPr>
                      <w:szCs w:val="21"/>
                    </w:rPr>
                  </w:pPr>
                  <w:r>
                    <w:rPr>
                      <w:szCs w:val="21"/>
                    </w:rPr>
                    <w:t>□车间或车间处理设施排放口</w:t>
                  </w:r>
                </w:p>
              </w:tc>
            </w:tr>
          </w:tbl>
          <w:p>
            <w:pPr>
              <w:pStyle w:val="12"/>
              <w:tabs>
                <w:tab w:val="left" w:pos="4718"/>
              </w:tabs>
              <w:spacing w:line="360" w:lineRule="auto"/>
              <w:ind w:firstLine="420" w:firstLineChars="200"/>
              <w:rPr>
                <w:rFonts w:ascii="Times New Roman" w:hAnsi="宋体"/>
                <w:color w:val="0000FF"/>
              </w:rPr>
            </w:pPr>
            <w:r>
              <w:rPr>
                <w:rFonts w:hint="eastAsia" w:ascii="Times New Roman" w:hAnsi="宋体"/>
                <w:color w:val="0000FF"/>
              </w:rPr>
              <w:t>生产废水</w:t>
            </w:r>
          </w:p>
          <w:p>
            <w:pPr>
              <w:spacing w:line="360" w:lineRule="auto"/>
              <w:ind w:firstLine="420"/>
              <w:rPr>
                <w:rFonts w:hAnsi="宋体"/>
                <w:color w:val="0000FF"/>
              </w:rPr>
            </w:pPr>
            <w:r>
              <w:rPr>
                <w:rFonts w:hint="eastAsia" w:hAnsi="宋体"/>
                <w:color w:val="0000FF"/>
              </w:rPr>
              <w:t>根据水平衡分析，本项目生产用水包括磨边用水和清洗用水。</w:t>
            </w:r>
          </w:p>
          <w:p>
            <w:pPr>
              <w:spacing w:line="360" w:lineRule="auto"/>
              <w:ind w:firstLine="420"/>
              <w:rPr>
                <w:rFonts w:hint="eastAsia" w:hAnsi="宋体"/>
                <w:snapToGrid w:val="0"/>
                <w:color w:val="0000FF"/>
                <w:szCs w:val="21"/>
              </w:rPr>
            </w:pPr>
            <w:r>
              <w:rPr>
                <w:rFonts w:hint="eastAsia" w:hAnsi="宋体"/>
                <w:snapToGrid w:val="0"/>
                <w:color w:val="0000FF"/>
                <w:szCs w:val="21"/>
              </w:rPr>
              <w:t>其中：磨边工序拟设</w:t>
            </w:r>
            <w:r>
              <w:rPr>
                <w:rFonts w:hAnsi="宋体"/>
                <w:snapToGrid w:val="0"/>
                <w:color w:val="0000FF"/>
                <w:szCs w:val="21"/>
              </w:rPr>
              <w:t>5m</w:t>
            </w:r>
            <w:r>
              <w:rPr>
                <w:rFonts w:hAnsi="宋体"/>
                <w:snapToGrid w:val="0"/>
                <w:color w:val="0000FF"/>
                <w:szCs w:val="21"/>
                <w:vertAlign w:val="superscript"/>
              </w:rPr>
              <w:t>3</w:t>
            </w:r>
            <w:r>
              <w:rPr>
                <w:rFonts w:hint="eastAsia" w:hAnsi="宋体"/>
                <w:snapToGrid w:val="0"/>
                <w:color w:val="0000FF"/>
                <w:szCs w:val="21"/>
              </w:rPr>
              <w:t>循环水箱一个，磨边废水经循环水箱沉淀后上清液回用，定期补充新水。日补充新鲜水量约为水箱容量2</w:t>
            </w:r>
            <w:r>
              <w:rPr>
                <w:rFonts w:hAnsi="宋体"/>
                <w:snapToGrid w:val="0"/>
                <w:color w:val="0000FF"/>
                <w:szCs w:val="21"/>
              </w:rPr>
              <w:t>0%</w:t>
            </w:r>
            <w:r>
              <w:rPr>
                <w:rFonts w:hint="eastAsia" w:hAnsi="宋体"/>
                <w:snapToGrid w:val="0"/>
                <w:color w:val="0000FF"/>
                <w:szCs w:val="21"/>
              </w:rPr>
              <w:t>；清洗工序拟配套1</w:t>
            </w:r>
            <w:r>
              <w:rPr>
                <w:rFonts w:hAnsi="宋体"/>
                <w:snapToGrid w:val="0"/>
                <w:color w:val="0000FF"/>
                <w:szCs w:val="21"/>
              </w:rPr>
              <w:t>0m</w:t>
            </w:r>
            <w:r>
              <w:rPr>
                <w:rFonts w:hAnsi="宋体"/>
                <w:snapToGrid w:val="0"/>
                <w:color w:val="0000FF"/>
                <w:szCs w:val="21"/>
                <w:vertAlign w:val="superscript"/>
              </w:rPr>
              <w:t>3</w:t>
            </w:r>
            <w:r>
              <w:rPr>
                <w:rFonts w:hint="eastAsia" w:hAnsi="宋体"/>
                <w:snapToGrid w:val="0"/>
                <w:color w:val="0000FF"/>
                <w:szCs w:val="21"/>
              </w:rPr>
              <w:t>循环水箱一个，清洗废水经清洗机底部的废水收集槽收集流入循环水箱，经沉淀后上清液回用，定期补充新水。日补充新水量约为水箱容量的2</w:t>
            </w:r>
            <w:r>
              <w:rPr>
                <w:rFonts w:hAnsi="宋体"/>
                <w:snapToGrid w:val="0"/>
                <w:color w:val="0000FF"/>
                <w:szCs w:val="21"/>
              </w:rPr>
              <w:t>0%</w:t>
            </w:r>
            <w:r>
              <w:rPr>
                <w:rFonts w:hint="eastAsia" w:hAnsi="宋体"/>
                <w:snapToGrid w:val="0"/>
                <w:color w:val="0000FF"/>
                <w:szCs w:val="21"/>
              </w:rPr>
              <w:t>。</w:t>
            </w:r>
            <w:r>
              <w:rPr>
                <w:rFonts w:hAnsi="宋体"/>
                <w:snapToGrid w:val="0"/>
                <w:color w:val="0000FF"/>
                <w:szCs w:val="21"/>
              </w:rPr>
              <w:t xml:space="preserve"> </w:t>
            </w:r>
          </w:p>
          <w:p>
            <w:pPr>
              <w:pStyle w:val="12"/>
              <w:tabs>
                <w:tab w:val="left" w:pos="4718"/>
              </w:tabs>
              <w:spacing w:line="360" w:lineRule="auto"/>
              <w:ind w:firstLine="420" w:firstLineChars="200"/>
              <w:rPr>
                <w:rFonts w:hint="eastAsia" w:ascii="Times New Roman" w:hAnsi="宋体"/>
                <w:color w:val="0000FF"/>
              </w:rPr>
            </w:pPr>
            <w:r>
              <w:rPr>
                <w:rFonts w:hint="eastAsia" w:ascii="Times New Roman" w:hAnsi="宋体"/>
                <w:color w:val="0000FF"/>
              </w:rPr>
              <w:t>磨边废水和清洗废水经循环水箱沉淀后，循环使用，定期清渣，废水无外排。本项目磨边废水和清洗废水中主要污染物为S</w:t>
            </w:r>
            <w:r>
              <w:rPr>
                <w:rFonts w:ascii="Times New Roman" w:hAnsi="宋体"/>
                <w:color w:val="0000FF"/>
              </w:rPr>
              <w:t>S</w:t>
            </w:r>
            <w:r>
              <w:rPr>
                <w:rFonts w:hint="eastAsia" w:ascii="Times New Roman" w:hAnsi="宋体"/>
                <w:color w:val="0000FF"/>
              </w:rPr>
              <w:t xml:space="preserve">，且玻璃粉尘重量较大易沉淀，因此，本项目废水经沉淀后循环使用措施可行。基本不会对周边环境造成影响。 </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2）措施可行性分析</w:t>
            </w:r>
          </w:p>
          <w:p>
            <w:pPr>
              <w:autoSpaceDE w:val="0"/>
              <w:autoSpaceDN w:val="0"/>
              <w:adjustRightInd w:val="0"/>
              <w:snapToGrid w:val="0"/>
              <w:spacing w:line="360" w:lineRule="auto"/>
              <w:ind w:firstLine="420" w:firstLineChars="200"/>
              <w:rPr>
                <w:bCs/>
                <w:szCs w:val="21"/>
              </w:rPr>
            </w:pPr>
            <w:r>
              <w:rPr>
                <w:szCs w:val="21"/>
              </w:rPr>
              <w:t>本项目</w:t>
            </w:r>
            <w:r>
              <w:rPr>
                <w:bCs/>
                <w:szCs w:val="21"/>
              </w:rPr>
              <w:t>生活污水排入汉滨区五里镇污水处理厂进一步处理，汉滨区五里镇污水处理厂位于汉滨区五里镇西桥村，采用较为先进的污水处理工艺A</w:t>
            </w:r>
            <w:r>
              <w:rPr>
                <w:bCs/>
                <w:szCs w:val="21"/>
                <w:vertAlign w:val="superscript"/>
              </w:rPr>
              <w:t>2</w:t>
            </w:r>
            <w:r>
              <w:rPr>
                <w:bCs/>
                <w:szCs w:val="21"/>
              </w:rPr>
              <w:t>/O鼓风曝气工艺，设计规模为2万立方米/日，出水采用二氧化氯消毒，污泥采用机械浓缩脱水带式一体机处理，脱水后的污泥随垃圾进行综合处理。本项目位于汉滨区五里镇，目前污水管网已铺设至项目地，本项目废水完全可以排入到汉滨区五里镇污水处理厂。</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3）废水监测计划</w:t>
            </w:r>
          </w:p>
          <w:p>
            <w:pPr>
              <w:pStyle w:val="2"/>
              <w:jc w:val="center"/>
              <w:rPr>
                <w:rFonts w:ascii="Times New Roman" w:hAnsi="宋体" w:cs="Times New Roman"/>
                <w:b/>
                <w:bCs/>
                <w:color w:val="auto"/>
                <w:sz w:val="21"/>
                <w:szCs w:val="21"/>
              </w:rPr>
            </w:pPr>
            <w:r>
              <w:rPr>
                <w:rFonts w:hint="eastAsia" w:ascii="Times New Roman" w:hAnsi="宋体" w:cs="Times New Roman"/>
                <w:b/>
                <w:bCs/>
                <w:color w:val="auto"/>
                <w:sz w:val="21"/>
                <w:szCs w:val="21"/>
              </w:rPr>
              <w:t>表4</w:t>
            </w:r>
            <w:r>
              <w:rPr>
                <w:rFonts w:ascii="Times New Roman" w:hAnsi="宋体" w:cs="Times New Roman"/>
                <w:b/>
                <w:bCs/>
                <w:color w:val="auto"/>
                <w:sz w:val="21"/>
                <w:szCs w:val="21"/>
              </w:rPr>
              <w:t xml:space="preserve">-9   </w:t>
            </w:r>
            <w:r>
              <w:rPr>
                <w:rFonts w:hint="eastAsia" w:ascii="Times New Roman" w:hAnsi="宋体" w:cs="Times New Roman"/>
                <w:b/>
                <w:bCs/>
                <w:color w:val="auto"/>
                <w:sz w:val="21"/>
                <w:szCs w:val="21"/>
              </w:rPr>
              <w:t>运营期</w:t>
            </w:r>
            <w:r>
              <w:rPr>
                <w:rFonts w:ascii="Times New Roman" w:hAnsi="宋体" w:cs="Times New Roman"/>
                <w:b/>
                <w:bCs/>
                <w:color w:val="auto"/>
                <w:sz w:val="21"/>
                <w:szCs w:val="21"/>
              </w:rPr>
              <w:t>废水污染源自行监测计划（建议）</w:t>
            </w:r>
          </w:p>
          <w:tbl>
            <w:tblPr>
              <w:tblStyle w:val="23"/>
              <w:tblW w:w="83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86"/>
              <w:gridCol w:w="1829"/>
              <w:gridCol w:w="1404"/>
              <w:gridCol w:w="1264"/>
              <w:gridCol w:w="25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28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污染源</w:t>
                  </w:r>
                </w:p>
              </w:tc>
              <w:tc>
                <w:tcPr>
                  <w:tcW w:w="18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监测项目</w:t>
                  </w:r>
                </w:p>
              </w:tc>
              <w:tc>
                <w:tcPr>
                  <w:tcW w:w="140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监测点位</w:t>
                  </w:r>
                </w:p>
              </w:tc>
              <w:tc>
                <w:tcPr>
                  <w:tcW w:w="126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监测频率</w:t>
                  </w:r>
                </w:p>
              </w:tc>
              <w:tc>
                <w:tcPr>
                  <w:tcW w:w="2523"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5" w:hRule="atLeast"/>
              </w:trPr>
              <w:tc>
                <w:tcPr>
                  <w:tcW w:w="1286"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废水</w:t>
                  </w:r>
                </w:p>
              </w:tc>
              <w:tc>
                <w:tcPr>
                  <w:tcW w:w="1829"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COD、NH</w:t>
                  </w:r>
                  <w:r>
                    <w:rPr>
                      <w:rFonts w:ascii="Times New Roman" w:cs="Times New Roman"/>
                      <w:color w:val="auto"/>
                      <w:sz w:val="21"/>
                      <w:szCs w:val="21"/>
                      <w:vertAlign w:val="subscript"/>
                    </w:rPr>
                    <w:t>3</w:t>
                  </w:r>
                  <w:r>
                    <w:rPr>
                      <w:rFonts w:ascii="Times New Roman" w:cs="Times New Roman"/>
                      <w:color w:val="auto"/>
                      <w:sz w:val="21"/>
                      <w:szCs w:val="21"/>
                    </w:rPr>
                    <w:t>-N、BOD</w:t>
                  </w:r>
                  <w:r>
                    <w:rPr>
                      <w:rFonts w:ascii="Times New Roman" w:cs="Times New Roman"/>
                      <w:color w:val="auto"/>
                      <w:sz w:val="21"/>
                      <w:szCs w:val="21"/>
                      <w:vertAlign w:val="subscript"/>
                    </w:rPr>
                    <w:t>5</w:t>
                  </w:r>
                  <w:r>
                    <w:rPr>
                      <w:rFonts w:ascii="Times New Roman" w:cs="Times New Roman"/>
                      <w:color w:val="auto"/>
                      <w:sz w:val="21"/>
                      <w:szCs w:val="21"/>
                    </w:rPr>
                    <w:t>、SS、TN、TP、</w:t>
                  </w:r>
                </w:p>
              </w:tc>
              <w:tc>
                <w:tcPr>
                  <w:tcW w:w="140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厂区污水排放口</w:t>
                  </w:r>
                </w:p>
                <w:p>
                  <w:pPr>
                    <w:pStyle w:val="2"/>
                    <w:jc w:val="center"/>
                    <w:rPr>
                      <w:rFonts w:ascii="Times New Roman" w:cs="Times New Roman"/>
                      <w:color w:val="auto"/>
                      <w:sz w:val="21"/>
                      <w:szCs w:val="21"/>
                    </w:rPr>
                  </w:pPr>
                  <w:r>
                    <w:rPr>
                      <w:rFonts w:ascii="Times New Roman" w:cs="Times New Roman"/>
                      <w:color w:val="auto"/>
                      <w:sz w:val="21"/>
                      <w:szCs w:val="21"/>
                    </w:rPr>
                    <w:t>TW001</w:t>
                  </w:r>
                </w:p>
              </w:tc>
              <w:tc>
                <w:tcPr>
                  <w:tcW w:w="1264"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1次/年</w:t>
                  </w:r>
                </w:p>
              </w:tc>
              <w:tc>
                <w:tcPr>
                  <w:tcW w:w="2523" w:type="dxa"/>
                  <w:vAlign w:val="center"/>
                </w:tcPr>
                <w:p>
                  <w:pPr>
                    <w:pStyle w:val="2"/>
                    <w:jc w:val="center"/>
                    <w:rPr>
                      <w:rFonts w:ascii="Times New Roman" w:cs="Times New Roman"/>
                      <w:color w:val="auto"/>
                      <w:sz w:val="21"/>
                      <w:szCs w:val="21"/>
                    </w:rPr>
                  </w:pPr>
                  <w:r>
                    <w:rPr>
                      <w:rFonts w:ascii="Times New Roman" w:cs="Times New Roman"/>
                      <w:color w:val="auto"/>
                      <w:sz w:val="21"/>
                      <w:szCs w:val="21"/>
                    </w:rPr>
                    <w:t>《污水综合排放标准》（GB8978-1996）三级标准及《污水排入城镇下水道水质标准》（GB/T31962-2015）B标准</w:t>
                  </w:r>
                </w:p>
              </w:tc>
            </w:tr>
          </w:tbl>
          <w:p>
            <w:pPr>
              <w:pStyle w:val="12"/>
              <w:tabs>
                <w:tab w:val="left" w:pos="4718"/>
              </w:tabs>
              <w:spacing w:line="360" w:lineRule="auto"/>
              <w:ind w:firstLine="420" w:firstLineChars="200"/>
              <w:rPr>
                <w:rFonts w:ascii="Times New Roman" w:hAnsi="宋体"/>
              </w:rPr>
            </w:pPr>
            <w:r>
              <w:rPr>
                <w:rFonts w:hint="eastAsia" w:ascii="Times New Roman" w:hAnsi="宋体"/>
              </w:rPr>
              <w:t>3、噪声</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1）源强分析</w:t>
            </w:r>
          </w:p>
          <w:p>
            <w:pPr>
              <w:spacing w:line="360" w:lineRule="auto"/>
              <w:ind w:firstLine="420" w:firstLineChars="200"/>
              <w:jc w:val="left"/>
              <w:rPr>
                <w:rFonts w:hAnsi="宋体"/>
                <w:bCs/>
                <w:kern w:val="0"/>
                <w:szCs w:val="21"/>
              </w:rPr>
            </w:pPr>
            <w:r>
              <w:rPr>
                <w:rFonts w:hAnsi="宋体"/>
              </w:rPr>
              <w:t>本项目</w:t>
            </w:r>
            <w:r>
              <w:rPr>
                <w:rFonts w:hAnsi="宋体"/>
                <w:bCs/>
                <w:kern w:val="0"/>
                <w:szCs w:val="21"/>
              </w:rPr>
              <w:t>噪声源</w:t>
            </w:r>
            <w:r>
              <w:rPr>
                <w:rFonts w:hint="eastAsia" w:hAnsi="宋体"/>
                <w:bCs/>
                <w:kern w:val="0"/>
                <w:szCs w:val="21"/>
              </w:rPr>
              <w:t>主要为切割机、四边磨、直边机、清洗机等各类生产设备及废气处理系统各类风机、水泵运行产生的噪声，属室内固定声源，声级一般在7</w:t>
            </w:r>
            <w:r>
              <w:rPr>
                <w:rFonts w:hAnsi="宋体"/>
                <w:bCs/>
                <w:kern w:val="0"/>
                <w:szCs w:val="21"/>
              </w:rPr>
              <w:t>0-90dB（</w:t>
            </w:r>
            <w:r>
              <w:rPr>
                <w:rFonts w:hint="eastAsia" w:hAnsi="宋体"/>
                <w:bCs/>
                <w:kern w:val="0"/>
                <w:szCs w:val="21"/>
              </w:rPr>
              <w:t>A）之间。本项目选用低噪声设备，同时采取车间隔声、基础减振等措施。</w:t>
            </w:r>
          </w:p>
          <w:p>
            <w:pPr>
              <w:pStyle w:val="2"/>
              <w:jc w:val="center"/>
              <w:rPr>
                <w:rFonts w:ascii="Times New Roman" w:hAnsi="宋体" w:cs="Times New Roman"/>
                <w:b/>
                <w:bCs/>
                <w:color w:val="auto"/>
                <w:sz w:val="21"/>
                <w:szCs w:val="21"/>
              </w:rPr>
            </w:pPr>
            <w:r>
              <w:rPr>
                <w:rFonts w:ascii="Times New Roman" w:hAnsi="宋体" w:cs="Times New Roman"/>
                <w:b/>
                <w:bCs/>
                <w:color w:val="auto"/>
                <w:sz w:val="21"/>
                <w:szCs w:val="21"/>
              </w:rPr>
              <w:t>表4-10    主要噪声源强一览表   单位：Leq : dB(A)</w:t>
            </w:r>
          </w:p>
          <w:tbl>
            <w:tblPr>
              <w:tblStyle w:val="23"/>
              <w:tblW w:w="83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131"/>
              <w:gridCol w:w="703"/>
              <w:gridCol w:w="859"/>
              <w:gridCol w:w="2518"/>
              <w:gridCol w:w="9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cs="Times New Roman"/>
                      <w:color w:val="auto"/>
                      <w:sz w:val="21"/>
                      <w:szCs w:val="21"/>
                    </w:rPr>
                  </w:pPr>
                  <w:r>
                    <w:rPr>
                      <w:rFonts w:ascii="Times New Roman" w:hAnsi="宋体" w:cs="Times New Roman"/>
                      <w:color w:val="auto"/>
                      <w:sz w:val="21"/>
                      <w:szCs w:val="21"/>
                    </w:rPr>
                    <w:t>噪声设备</w:t>
                  </w:r>
                </w:p>
              </w:tc>
              <w:tc>
                <w:tcPr>
                  <w:tcW w:w="1131" w:type="dxa"/>
                  <w:vAlign w:val="center"/>
                </w:tcPr>
                <w:p>
                  <w:pPr>
                    <w:pStyle w:val="2"/>
                    <w:jc w:val="center"/>
                    <w:rPr>
                      <w:rFonts w:ascii="Times New Roman" w:cs="Times New Roman"/>
                      <w:color w:val="auto"/>
                      <w:sz w:val="21"/>
                      <w:szCs w:val="21"/>
                    </w:rPr>
                  </w:pPr>
                  <w:r>
                    <w:rPr>
                      <w:rFonts w:ascii="Times New Roman" w:hAnsi="宋体" w:cs="Times New Roman"/>
                      <w:color w:val="auto"/>
                      <w:sz w:val="21"/>
                      <w:szCs w:val="21"/>
                    </w:rPr>
                    <w:t>位置</w:t>
                  </w:r>
                </w:p>
              </w:tc>
              <w:tc>
                <w:tcPr>
                  <w:tcW w:w="703" w:type="dxa"/>
                  <w:vAlign w:val="center"/>
                </w:tcPr>
                <w:p>
                  <w:pPr>
                    <w:pStyle w:val="2"/>
                    <w:jc w:val="center"/>
                    <w:rPr>
                      <w:rFonts w:ascii="Times New Roman" w:cs="Times New Roman"/>
                      <w:color w:val="auto"/>
                      <w:sz w:val="21"/>
                      <w:szCs w:val="21"/>
                    </w:rPr>
                  </w:pPr>
                  <w:r>
                    <w:rPr>
                      <w:rFonts w:ascii="Times New Roman" w:hAnsi="宋体" w:cs="Times New Roman"/>
                      <w:color w:val="auto"/>
                      <w:sz w:val="21"/>
                      <w:szCs w:val="21"/>
                    </w:rPr>
                    <w:t>数量</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源强</w:t>
                  </w:r>
                </w:p>
                <w:p>
                  <w:pPr>
                    <w:pStyle w:val="2"/>
                    <w:jc w:val="center"/>
                    <w:rPr>
                      <w:rFonts w:ascii="Times New Roman" w:cs="Times New Roman"/>
                      <w:color w:val="auto"/>
                      <w:sz w:val="21"/>
                      <w:szCs w:val="21"/>
                    </w:rPr>
                  </w:pPr>
                  <w:r>
                    <w:rPr>
                      <w:rFonts w:ascii="Times New Roman" w:cs="Times New Roman"/>
                      <w:color w:val="auto"/>
                      <w:sz w:val="21"/>
                      <w:szCs w:val="21"/>
                    </w:rPr>
                    <w:t>dB(A)</w:t>
                  </w:r>
                </w:p>
              </w:tc>
              <w:tc>
                <w:tcPr>
                  <w:tcW w:w="2518" w:type="dxa"/>
                  <w:vAlign w:val="center"/>
                </w:tcPr>
                <w:p>
                  <w:pPr>
                    <w:pStyle w:val="2"/>
                    <w:jc w:val="center"/>
                    <w:rPr>
                      <w:rFonts w:ascii="Times New Roman" w:cs="Times New Roman"/>
                      <w:color w:val="auto"/>
                      <w:sz w:val="21"/>
                      <w:szCs w:val="21"/>
                    </w:rPr>
                  </w:pPr>
                  <w:r>
                    <w:rPr>
                      <w:rFonts w:ascii="Times New Roman" w:hAnsi="宋体" w:cs="Times New Roman"/>
                      <w:color w:val="auto"/>
                      <w:sz w:val="21"/>
                      <w:szCs w:val="21"/>
                    </w:rPr>
                    <w:t>已（拟）采取降噪措施</w:t>
                  </w:r>
                </w:p>
              </w:tc>
              <w:tc>
                <w:tcPr>
                  <w:tcW w:w="972" w:type="dxa"/>
                  <w:vAlign w:val="center"/>
                </w:tcPr>
                <w:p>
                  <w:pPr>
                    <w:pStyle w:val="2"/>
                    <w:jc w:val="center"/>
                    <w:rPr>
                      <w:rFonts w:ascii="Times New Roman" w:cs="Times New Roman"/>
                      <w:color w:val="auto"/>
                      <w:sz w:val="21"/>
                      <w:szCs w:val="21"/>
                    </w:rPr>
                  </w:pPr>
                  <w:r>
                    <w:rPr>
                      <w:rFonts w:ascii="Times New Roman" w:hAnsi="宋体" w:cs="Times New Roman"/>
                      <w:color w:val="auto"/>
                      <w:sz w:val="21"/>
                      <w:szCs w:val="21"/>
                    </w:rPr>
                    <w:t>采取措施后源强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切割机</w:t>
                  </w:r>
                </w:p>
              </w:tc>
              <w:tc>
                <w:tcPr>
                  <w:tcW w:w="1131" w:type="dxa"/>
                  <w:vMerge w:val="restart"/>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w:t>
                  </w:r>
                  <w:r>
                    <w:rPr>
                      <w:rFonts w:ascii="Times New Roman" w:hAnsi="宋体" w:cs="Times New Roman"/>
                      <w:color w:val="auto"/>
                      <w:sz w:val="21"/>
                      <w:szCs w:val="21"/>
                    </w:rPr>
                    <w:t>#预加工生产区</w:t>
                  </w: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四边磨</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w:t>
                  </w:r>
                  <w:r>
                    <w:rPr>
                      <w:rFonts w:ascii="Times New Roman" w:hAnsi="宋体" w:cs="Times New Roman"/>
                      <w:color w:val="auto"/>
                      <w:sz w:val="21"/>
                      <w:szCs w:val="21"/>
                    </w:rPr>
                    <w:t>#直边机</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2</w:t>
                  </w:r>
                  <w:r>
                    <w:rPr>
                      <w:rFonts w:ascii="Times New Roman" w:hAnsi="宋体" w:cs="Times New Roman"/>
                      <w:color w:val="auto"/>
                      <w:sz w:val="21"/>
                      <w:szCs w:val="21"/>
                    </w:rPr>
                    <w:t>#直边机</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清洗机</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5m</w:t>
                  </w:r>
                  <w:r>
                    <w:rPr>
                      <w:rFonts w:ascii="Times New Roman" w:hAnsi="宋体" w:cs="Times New Roman"/>
                      <w:color w:val="auto"/>
                      <w:sz w:val="21"/>
                      <w:szCs w:val="21"/>
                      <w:vertAlign w:val="superscript"/>
                    </w:rPr>
                    <w:t>3</w:t>
                  </w:r>
                  <w:r>
                    <w:rPr>
                      <w:rFonts w:ascii="Times New Roman" w:hAnsi="宋体" w:cs="Times New Roman"/>
                      <w:color w:val="auto"/>
                      <w:sz w:val="21"/>
                      <w:szCs w:val="21"/>
                    </w:rPr>
                    <w:t>循环水箱水泵</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10m</w:t>
                  </w:r>
                  <w:r>
                    <w:rPr>
                      <w:rFonts w:ascii="Times New Roman" w:hAnsi="宋体" w:cs="Times New Roman"/>
                      <w:color w:val="auto"/>
                      <w:sz w:val="21"/>
                      <w:szCs w:val="21"/>
                      <w:vertAlign w:val="superscript"/>
                    </w:rPr>
                    <w:t>3</w:t>
                  </w:r>
                  <w:r>
                    <w:rPr>
                      <w:rFonts w:ascii="Times New Roman" w:hAnsi="宋体" w:cs="Times New Roman"/>
                      <w:color w:val="auto"/>
                      <w:sz w:val="21"/>
                      <w:szCs w:val="21"/>
                    </w:rPr>
                    <w:t>循环水箱水泵</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钢化炉风机</w:t>
                  </w:r>
                </w:p>
              </w:tc>
              <w:tc>
                <w:tcPr>
                  <w:tcW w:w="1131"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钢化玻璃生产区</w:t>
                  </w: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8</w:t>
                  </w:r>
                  <w:r>
                    <w:rPr>
                      <w:rFonts w:ascii="Times New Roman" w:hAnsi="宋体" w:cs="Times New Roman"/>
                      <w:color w:val="auto"/>
                      <w:sz w:val="21"/>
                      <w:szCs w:val="21"/>
                    </w:rPr>
                    <w:t>0-90</w:t>
                  </w:r>
                </w:p>
              </w:tc>
              <w:tc>
                <w:tcPr>
                  <w:tcW w:w="2518" w:type="dxa"/>
                  <w:vAlign w:val="center"/>
                </w:tcPr>
                <w:p>
                  <w:pPr>
                    <w:pStyle w:val="2"/>
                    <w:jc w:val="center"/>
                    <w:rPr>
                      <w:rFonts w:ascii="Times New Roman" w:hAnsi="宋体" w:cs="Times New Roman"/>
                      <w:color w:val="auto"/>
                      <w:sz w:val="21"/>
                      <w:szCs w:val="21"/>
                    </w:rPr>
                  </w:pPr>
                  <w:r>
                    <w:rPr>
                      <w:rFonts w:hint="eastAsia" w:hAnsi="宋体"/>
                      <w:color w:val="auto"/>
                      <w:sz w:val="21"/>
                      <w:szCs w:val="21"/>
                    </w:rPr>
                    <w:t>低噪声</w:t>
                  </w:r>
                  <w:r>
                    <w:rPr>
                      <w:rFonts w:hAnsi="宋体"/>
                      <w:color w:val="auto"/>
                      <w:sz w:val="21"/>
                      <w:szCs w:val="21"/>
                    </w:rPr>
                    <w:t>设备、基础减振、软管连接、加强设备维护</w:t>
                  </w:r>
                  <w:r>
                    <w:rPr>
                      <w:rFonts w:hint="eastAsia" w:hAnsi="宋体"/>
                      <w:color w:val="auto"/>
                      <w:sz w:val="21"/>
                      <w:szCs w:val="21"/>
                    </w:rPr>
                    <w:t>、厂房隔声</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7</w:t>
                  </w:r>
                  <w:r>
                    <w:rPr>
                      <w:rFonts w:ascii="Times New Roman" w:hAnsi="宋体" w:cs="Times New Roman"/>
                      <w:color w:val="auto"/>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w:t>
                  </w:r>
                  <w:r>
                    <w:rPr>
                      <w:rFonts w:ascii="Times New Roman" w:hAnsi="宋体" w:cs="Times New Roman"/>
                      <w:color w:val="auto"/>
                      <w:sz w:val="21"/>
                      <w:szCs w:val="21"/>
                    </w:rPr>
                    <w:t>#中空玻璃生产线</w:t>
                  </w:r>
                </w:p>
              </w:tc>
              <w:tc>
                <w:tcPr>
                  <w:tcW w:w="1131" w:type="dxa"/>
                  <w:vMerge w:val="restart"/>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中空玻璃生产区</w:t>
                  </w: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1套</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2#中空玻璃生产线</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1套</w:t>
                  </w:r>
                </w:p>
              </w:tc>
              <w:tc>
                <w:tcPr>
                  <w:tcW w:w="859"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70-85</w:t>
                  </w:r>
                </w:p>
              </w:tc>
              <w:tc>
                <w:tcPr>
                  <w:tcW w:w="2518"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低噪声设备、厂房隔声、基础减振、加强设备维护</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6</w:t>
                  </w:r>
                  <w:r>
                    <w:rPr>
                      <w:rFonts w:ascii="Times New Roman" w:hAnsi="宋体" w:cs="Times New Roman"/>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23" w:type="dxa"/>
                  <w:vAlign w:val="center"/>
                </w:tcPr>
                <w:p>
                  <w:pPr>
                    <w:pStyle w:val="2"/>
                    <w:jc w:val="center"/>
                    <w:rPr>
                      <w:rFonts w:ascii="Times New Roman" w:hAnsi="宋体" w:cs="Times New Roman"/>
                      <w:color w:val="auto"/>
                      <w:sz w:val="21"/>
                      <w:szCs w:val="21"/>
                    </w:rPr>
                  </w:pPr>
                  <w:r>
                    <w:rPr>
                      <w:rFonts w:ascii="Times New Roman" w:hAnsi="宋体" w:cs="Times New Roman"/>
                      <w:color w:val="auto"/>
                      <w:sz w:val="21"/>
                      <w:szCs w:val="21"/>
                    </w:rPr>
                    <w:t>废气处理设施风机</w:t>
                  </w:r>
                </w:p>
              </w:tc>
              <w:tc>
                <w:tcPr>
                  <w:tcW w:w="1131" w:type="dxa"/>
                  <w:vMerge w:val="continue"/>
                  <w:vAlign w:val="center"/>
                </w:tcPr>
                <w:p>
                  <w:pPr>
                    <w:pStyle w:val="2"/>
                    <w:jc w:val="center"/>
                    <w:rPr>
                      <w:rFonts w:ascii="Times New Roman" w:hAnsi="宋体" w:cs="Times New Roman"/>
                      <w:color w:val="auto"/>
                      <w:sz w:val="21"/>
                      <w:szCs w:val="21"/>
                    </w:rPr>
                  </w:pPr>
                </w:p>
              </w:tc>
              <w:tc>
                <w:tcPr>
                  <w:tcW w:w="703"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1台</w:t>
                  </w:r>
                </w:p>
              </w:tc>
              <w:tc>
                <w:tcPr>
                  <w:tcW w:w="859"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8</w:t>
                  </w:r>
                  <w:r>
                    <w:rPr>
                      <w:rFonts w:ascii="Times New Roman" w:hAnsi="宋体" w:cs="Times New Roman"/>
                      <w:color w:val="auto"/>
                      <w:sz w:val="21"/>
                      <w:szCs w:val="21"/>
                    </w:rPr>
                    <w:t>0-90</w:t>
                  </w:r>
                </w:p>
              </w:tc>
              <w:tc>
                <w:tcPr>
                  <w:tcW w:w="2518" w:type="dxa"/>
                  <w:vAlign w:val="center"/>
                </w:tcPr>
                <w:p>
                  <w:pPr>
                    <w:pStyle w:val="2"/>
                    <w:jc w:val="center"/>
                    <w:rPr>
                      <w:rFonts w:ascii="Times New Roman" w:hAnsi="宋体" w:cs="Times New Roman"/>
                      <w:color w:val="auto"/>
                      <w:sz w:val="21"/>
                      <w:szCs w:val="21"/>
                    </w:rPr>
                  </w:pPr>
                  <w:r>
                    <w:rPr>
                      <w:rFonts w:hint="eastAsia" w:hAnsi="宋体"/>
                      <w:color w:val="auto"/>
                      <w:sz w:val="21"/>
                      <w:szCs w:val="21"/>
                    </w:rPr>
                    <w:t>低噪声</w:t>
                  </w:r>
                  <w:r>
                    <w:rPr>
                      <w:rFonts w:hAnsi="宋体"/>
                      <w:color w:val="auto"/>
                      <w:sz w:val="21"/>
                      <w:szCs w:val="21"/>
                    </w:rPr>
                    <w:t>设备、基础减振、软管连接、加强设备维护</w:t>
                  </w:r>
                  <w:r>
                    <w:rPr>
                      <w:rFonts w:hint="eastAsia" w:hAnsi="宋体"/>
                      <w:color w:val="auto"/>
                      <w:sz w:val="21"/>
                      <w:szCs w:val="21"/>
                    </w:rPr>
                    <w:t>、</w:t>
                  </w:r>
                  <w:r>
                    <w:rPr>
                      <w:rFonts w:hAnsi="宋体"/>
                      <w:color w:val="auto"/>
                      <w:sz w:val="21"/>
                      <w:szCs w:val="21"/>
                    </w:rPr>
                    <w:t>厂房隔声</w:t>
                  </w:r>
                </w:p>
              </w:tc>
              <w:tc>
                <w:tcPr>
                  <w:tcW w:w="97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7</w:t>
                  </w:r>
                  <w:r>
                    <w:rPr>
                      <w:rFonts w:ascii="Times New Roman" w:hAnsi="宋体" w:cs="Times New Roman"/>
                      <w:color w:val="auto"/>
                      <w:sz w:val="21"/>
                      <w:szCs w:val="21"/>
                    </w:rPr>
                    <w:t>0</w:t>
                  </w:r>
                </w:p>
              </w:tc>
            </w:tr>
          </w:tbl>
          <w:p>
            <w:pPr>
              <w:pStyle w:val="12"/>
              <w:tabs>
                <w:tab w:val="left" w:pos="4718"/>
              </w:tabs>
              <w:spacing w:line="360" w:lineRule="auto"/>
              <w:ind w:firstLine="420" w:firstLineChars="200"/>
              <w:rPr>
                <w:rFonts w:ascii="Times New Roman" w:hAnsi="宋体"/>
                <w:color w:val="0000FF"/>
              </w:rPr>
            </w:pPr>
            <w:r>
              <w:rPr>
                <w:rFonts w:ascii="Times New Roman" w:hAnsi="宋体"/>
                <w:color w:val="0000FF"/>
              </w:rPr>
              <w:t>（</w:t>
            </w:r>
            <w:r>
              <w:rPr>
                <w:rFonts w:hint="eastAsia" w:ascii="Times New Roman" w:hAnsi="宋体"/>
                <w:color w:val="0000FF"/>
              </w:rPr>
              <w:t>2）噪声防治措施</w:t>
            </w:r>
          </w:p>
          <w:p>
            <w:pPr>
              <w:pStyle w:val="53"/>
              <w:ind w:left="13" w:right="-13" w:firstLine="420"/>
              <w:rPr>
                <w:color w:val="0000FF"/>
                <w:sz w:val="21"/>
                <w:szCs w:val="21"/>
              </w:rPr>
            </w:pPr>
            <w:r>
              <w:rPr>
                <w:color w:val="0000FF"/>
                <w:sz w:val="21"/>
                <w:szCs w:val="21"/>
              </w:rPr>
              <w:t>为</w:t>
            </w:r>
            <w:r>
              <w:rPr>
                <w:bCs w:val="0"/>
                <w:color w:val="0000FF"/>
                <w:sz w:val="21"/>
                <w:szCs w:val="21"/>
              </w:rPr>
              <w:t>了进一步降低噪声污染，建设单位拟采取以下防治措施：</w:t>
            </w:r>
          </w:p>
          <w:p>
            <w:pPr>
              <w:adjustRightInd w:val="0"/>
              <w:snapToGrid w:val="0"/>
              <w:spacing w:line="360" w:lineRule="auto"/>
              <w:ind w:firstLine="420" w:firstLineChars="200"/>
              <w:rPr>
                <w:color w:val="0000FF"/>
                <w:szCs w:val="21"/>
              </w:rPr>
            </w:pPr>
            <w:r>
              <w:rPr>
                <w:color w:val="0000FF"/>
                <w:szCs w:val="21"/>
              </w:rPr>
              <w:fldChar w:fldCharType="begin"/>
            </w:r>
            <w:r>
              <w:rPr>
                <w:color w:val="0000FF"/>
                <w:szCs w:val="21"/>
              </w:rPr>
              <w:instrText xml:space="preserve"> = 1 \* GB3 \* MERGEFORMAT </w:instrText>
            </w:r>
            <w:r>
              <w:rPr>
                <w:color w:val="0000FF"/>
                <w:szCs w:val="21"/>
              </w:rPr>
              <w:fldChar w:fldCharType="separate"/>
            </w:r>
            <w:r>
              <w:rPr>
                <w:rFonts w:hint="eastAsia" w:ascii="宋体" w:hAnsi="宋体" w:cs="宋体"/>
                <w:color w:val="0000FF"/>
                <w:szCs w:val="21"/>
              </w:rPr>
              <w:t>①</w:t>
            </w:r>
            <w:r>
              <w:rPr>
                <w:color w:val="0000FF"/>
                <w:szCs w:val="21"/>
              </w:rPr>
              <w:fldChar w:fldCharType="end"/>
            </w:r>
            <w:r>
              <w:rPr>
                <w:color w:val="0000FF"/>
                <w:szCs w:val="21"/>
              </w:rPr>
              <w:t>合理布局：总体布局上，本项目主要固定声源布置于</w:t>
            </w:r>
            <w:r>
              <w:rPr>
                <w:rFonts w:hint="eastAsia"/>
                <w:color w:val="0000FF"/>
                <w:szCs w:val="21"/>
              </w:rPr>
              <w:t>1</w:t>
            </w:r>
            <w:r>
              <w:rPr>
                <w:color w:val="0000FF"/>
                <w:szCs w:val="21"/>
              </w:rPr>
              <w:t>#车间</w:t>
            </w:r>
            <w:r>
              <w:rPr>
                <w:rFonts w:hint="eastAsia"/>
                <w:color w:val="0000FF"/>
                <w:szCs w:val="21"/>
              </w:rPr>
              <w:t>西部和中部，尽量远离厂区东侧及南侧</w:t>
            </w:r>
            <w:r>
              <w:rPr>
                <w:color w:val="0000FF"/>
                <w:szCs w:val="21"/>
              </w:rPr>
              <w:t>声环境敏感目标民兴村。</w:t>
            </w:r>
          </w:p>
          <w:p>
            <w:pPr>
              <w:adjustRightInd w:val="0"/>
              <w:snapToGrid w:val="0"/>
              <w:spacing w:line="360" w:lineRule="auto"/>
              <w:ind w:firstLine="420" w:firstLineChars="200"/>
              <w:rPr>
                <w:color w:val="0000FF"/>
                <w:szCs w:val="21"/>
              </w:rPr>
            </w:pPr>
            <w:r>
              <w:rPr>
                <w:color w:val="0000FF"/>
                <w:szCs w:val="21"/>
              </w:rPr>
              <w:fldChar w:fldCharType="begin"/>
            </w:r>
            <w:r>
              <w:rPr>
                <w:color w:val="0000FF"/>
                <w:szCs w:val="21"/>
              </w:rPr>
              <w:instrText xml:space="preserve"> = 2 \* GB3 \* MERGEFORMAT </w:instrText>
            </w:r>
            <w:r>
              <w:rPr>
                <w:color w:val="0000FF"/>
                <w:szCs w:val="21"/>
              </w:rPr>
              <w:fldChar w:fldCharType="separate"/>
            </w:r>
            <w:r>
              <w:rPr>
                <w:rFonts w:hint="eastAsia" w:ascii="宋体" w:hAnsi="宋体" w:cs="宋体"/>
                <w:color w:val="0000FF"/>
                <w:szCs w:val="21"/>
              </w:rPr>
              <w:t>②</w:t>
            </w:r>
            <w:r>
              <w:rPr>
                <w:color w:val="0000FF"/>
                <w:szCs w:val="21"/>
              </w:rPr>
              <w:fldChar w:fldCharType="end"/>
            </w:r>
            <w:r>
              <w:rPr>
                <w:color w:val="0000FF"/>
                <w:szCs w:val="21"/>
              </w:rPr>
              <w:t>设备选型：在满足生产需要的前提下，选用低噪声的设备和机械；</w:t>
            </w:r>
          </w:p>
          <w:p>
            <w:pPr>
              <w:adjustRightInd w:val="0"/>
              <w:snapToGrid w:val="0"/>
              <w:spacing w:line="360" w:lineRule="auto"/>
              <w:ind w:firstLine="420" w:firstLineChars="200"/>
              <w:rPr>
                <w:color w:val="0000FF"/>
                <w:szCs w:val="21"/>
              </w:rPr>
            </w:pPr>
            <w:r>
              <w:rPr>
                <w:color w:val="0000FF"/>
                <w:szCs w:val="21"/>
              </w:rPr>
              <w:fldChar w:fldCharType="begin"/>
            </w:r>
            <w:r>
              <w:rPr>
                <w:color w:val="0000FF"/>
                <w:szCs w:val="21"/>
              </w:rPr>
              <w:instrText xml:space="preserve"> = 3 \* GB3 \* MERGEFORMAT </w:instrText>
            </w:r>
            <w:r>
              <w:rPr>
                <w:color w:val="0000FF"/>
                <w:szCs w:val="21"/>
              </w:rPr>
              <w:fldChar w:fldCharType="separate"/>
            </w:r>
            <w:r>
              <w:rPr>
                <w:rFonts w:hint="eastAsia" w:ascii="宋体" w:hAnsi="宋体" w:cs="宋体"/>
                <w:color w:val="0000FF"/>
                <w:szCs w:val="21"/>
              </w:rPr>
              <w:t>③</w:t>
            </w:r>
            <w:r>
              <w:rPr>
                <w:color w:val="0000FF"/>
                <w:szCs w:val="21"/>
              </w:rPr>
              <w:fldChar w:fldCharType="end"/>
            </w:r>
            <w:r>
              <w:rPr>
                <w:color w:val="0000FF"/>
                <w:szCs w:val="21"/>
              </w:rPr>
              <w:t>减振降噪措施：噪声设备进行基础减振</w:t>
            </w:r>
            <w:r>
              <w:rPr>
                <w:rFonts w:hint="eastAsia"/>
                <w:color w:val="0000FF"/>
                <w:szCs w:val="21"/>
              </w:rPr>
              <w:t>；</w:t>
            </w:r>
            <w:r>
              <w:rPr>
                <w:color w:val="0000FF"/>
                <w:szCs w:val="21"/>
              </w:rPr>
              <w:t>风机安装消声器、接管</w:t>
            </w:r>
            <w:r>
              <w:rPr>
                <w:rFonts w:hint="eastAsia"/>
                <w:color w:val="0000FF"/>
                <w:szCs w:val="21"/>
              </w:rPr>
              <w:t>处</w:t>
            </w:r>
            <w:r>
              <w:rPr>
                <w:color w:val="0000FF"/>
                <w:szCs w:val="21"/>
              </w:rPr>
              <w:t>软性连接</w:t>
            </w:r>
            <w:r>
              <w:rPr>
                <w:rFonts w:hint="eastAsia"/>
                <w:color w:val="0000FF"/>
                <w:szCs w:val="21"/>
              </w:rPr>
              <w:t>；</w:t>
            </w:r>
          </w:p>
          <w:p>
            <w:pPr>
              <w:adjustRightInd w:val="0"/>
              <w:snapToGrid w:val="0"/>
              <w:spacing w:line="360" w:lineRule="auto"/>
              <w:ind w:firstLine="420" w:firstLineChars="200"/>
              <w:rPr>
                <w:color w:val="0000FF"/>
                <w:szCs w:val="21"/>
              </w:rPr>
            </w:pPr>
            <w:r>
              <w:rPr>
                <w:color w:val="0000FF"/>
                <w:szCs w:val="21"/>
              </w:rPr>
              <w:fldChar w:fldCharType="begin"/>
            </w:r>
            <w:r>
              <w:rPr>
                <w:color w:val="0000FF"/>
                <w:szCs w:val="21"/>
              </w:rPr>
              <w:instrText xml:space="preserve"> = 4 \* GB3 \* MERGEFORMAT </w:instrText>
            </w:r>
            <w:r>
              <w:rPr>
                <w:color w:val="0000FF"/>
                <w:szCs w:val="21"/>
              </w:rPr>
              <w:fldChar w:fldCharType="separate"/>
            </w:r>
            <w:r>
              <w:rPr>
                <w:rFonts w:hint="eastAsia" w:ascii="宋体" w:hAnsi="宋体" w:cs="宋体"/>
                <w:color w:val="0000FF"/>
                <w:szCs w:val="21"/>
              </w:rPr>
              <w:t>④</w:t>
            </w:r>
            <w:r>
              <w:rPr>
                <w:color w:val="0000FF"/>
                <w:szCs w:val="21"/>
              </w:rPr>
              <w:fldChar w:fldCharType="end"/>
            </w:r>
            <w:r>
              <w:rPr>
                <w:color w:val="0000FF"/>
                <w:szCs w:val="21"/>
              </w:rPr>
              <w:t>隔声措施：生产设备设于车间内部，利用厂房隔声</w:t>
            </w:r>
            <w:r>
              <w:rPr>
                <w:rFonts w:hint="eastAsia"/>
                <w:color w:val="0000FF"/>
                <w:szCs w:val="21"/>
              </w:rPr>
              <w:t>；</w:t>
            </w:r>
          </w:p>
          <w:p>
            <w:pPr>
              <w:adjustRightInd w:val="0"/>
              <w:snapToGrid w:val="0"/>
              <w:spacing w:line="360" w:lineRule="auto"/>
              <w:ind w:firstLine="420" w:firstLineChars="200"/>
              <w:rPr>
                <w:color w:val="0000FF"/>
                <w:szCs w:val="21"/>
              </w:rPr>
            </w:pPr>
            <w:r>
              <w:rPr>
                <w:color w:val="0000FF"/>
                <w:szCs w:val="21"/>
              </w:rPr>
              <w:fldChar w:fldCharType="begin"/>
            </w:r>
            <w:r>
              <w:rPr>
                <w:color w:val="0000FF"/>
                <w:szCs w:val="21"/>
              </w:rPr>
              <w:instrText xml:space="preserve"> = 5 \* GB3 \* MERGEFORMAT </w:instrText>
            </w:r>
            <w:r>
              <w:rPr>
                <w:color w:val="0000FF"/>
                <w:szCs w:val="21"/>
              </w:rPr>
              <w:fldChar w:fldCharType="separate"/>
            </w:r>
            <w:r>
              <w:rPr>
                <w:rFonts w:hint="eastAsia" w:ascii="宋体" w:hAnsi="宋体" w:cs="宋体"/>
                <w:color w:val="0000FF"/>
                <w:szCs w:val="21"/>
              </w:rPr>
              <w:t>⑤</w:t>
            </w:r>
            <w:r>
              <w:rPr>
                <w:color w:val="0000FF"/>
                <w:szCs w:val="21"/>
              </w:rPr>
              <w:fldChar w:fldCharType="end"/>
            </w:r>
            <w:r>
              <w:rPr>
                <w:color w:val="0000FF"/>
                <w:szCs w:val="21"/>
              </w:rPr>
              <w:t>强化生产管理：加强对生产设备的保养，定期让厂家进行检修与润滑，保证设备处于良好的运转状态；此外，加强职工环保意识教育，提倡文明生产，防止人为噪声；强化行车管理制度，设置降噪标准，严禁鸣号，进入厂区低速行驶，最大限度减少流动噪声源。</w:t>
            </w:r>
          </w:p>
          <w:p>
            <w:pPr>
              <w:adjustRightInd w:val="0"/>
              <w:snapToGrid w:val="0"/>
              <w:spacing w:line="360" w:lineRule="auto"/>
              <w:ind w:firstLine="420" w:firstLineChars="200"/>
              <w:rPr>
                <w:color w:val="0000FF"/>
                <w:szCs w:val="21"/>
              </w:rPr>
            </w:pPr>
            <w:r>
              <w:rPr>
                <w:color w:val="0000FF"/>
                <w:szCs w:val="21"/>
              </w:rPr>
              <w:t>综上，在采取降噪措施后项目噪声对周围环境产生的环境影响较小。</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3）影响分析</w:t>
            </w:r>
          </w:p>
          <w:p>
            <w:pPr>
              <w:adjustRightInd w:val="0"/>
              <w:snapToGrid w:val="0"/>
              <w:spacing w:line="360" w:lineRule="auto"/>
              <w:ind w:firstLine="420" w:firstLineChars="200"/>
              <w:rPr>
                <w:color w:val="0000FF"/>
                <w:szCs w:val="21"/>
              </w:rPr>
            </w:pPr>
            <w:r>
              <w:rPr>
                <w:color w:val="0000FF"/>
                <w:szCs w:val="21"/>
              </w:rPr>
              <w:t>按照《环境影响评价技术导则·声环境》（HJ2.4—2021）中推荐模式进行预测。</w:t>
            </w:r>
          </w:p>
          <w:p>
            <w:pPr>
              <w:adjustRightInd w:val="0"/>
              <w:snapToGrid w:val="0"/>
              <w:spacing w:line="360" w:lineRule="auto"/>
              <w:ind w:firstLine="420" w:firstLineChars="200"/>
              <w:rPr>
                <w:color w:val="0000FF"/>
                <w:szCs w:val="21"/>
              </w:rPr>
            </w:pPr>
            <w:r>
              <w:rPr>
                <w:bCs/>
                <w:color w:val="0000FF"/>
                <w:szCs w:val="21"/>
              </w:rPr>
              <w:t>室内声源预测模式</w:t>
            </w:r>
          </w:p>
          <w:p>
            <w:pPr>
              <w:pStyle w:val="68"/>
              <w:ind w:firstLine="420"/>
              <w:rPr>
                <w:bCs/>
                <w:color w:val="0000FF"/>
                <w:sz w:val="21"/>
                <w:szCs w:val="21"/>
              </w:rPr>
            </w:pPr>
            <w:r>
              <w:rPr>
                <w:bCs/>
                <w:color w:val="0000FF"/>
                <w:sz w:val="21"/>
                <w:szCs w:val="21"/>
              </w:rPr>
              <w:t>本</w:t>
            </w:r>
            <w:r>
              <w:rPr>
                <w:color w:val="0000FF"/>
                <w:sz w:val="21"/>
                <w:szCs w:val="21"/>
              </w:rPr>
              <w:t>项目产噪设备均布置在室内，评价采用室内声源等效室外声源声功率级进 行预测，计算方法如下：</w:t>
            </w:r>
          </w:p>
          <w:p>
            <w:pPr>
              <w:pStyle w:val="68"/>
              <w:ind w:firstLine="0" w:firstLineChars="0"/>
              <w:jc w:val="center"/>
              <w:rPr>
                <w:bCs/>
                <w:color w:val="0000FF"/>
                <w:sz w:val="21"/>
                <w:szCs w:val="21"/>
              </w:rPr>
            </w:pPr>
            <w:r>
              <w:rPr>
                <w:color w:val="0000FF"/>
                <w:sz w:val="21"/>
                <w:szCs w:val="21"/>
              </w:rPr>
              <w:drawing>
                <wp:inline distT="0" distB="0" distL="0" distR="0">
                  <wp:extent cx="1590040" cy="377190"/>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a:stretch>
                            <a:fillRect/>
                          </a:stretch>
                        </pic:blipFill>
                        <pic:spPr>
                          <a:xfrm>
                            <a:off x="0" y="0"/>
                            <a:ext cx="1607815" cy="381389"/>
                          </a:xfrm>
                          <a:prstGeom prst="rect">
                            <a:avLst/>
                          </a:prstGeom>
                        </pic:spPr>
                      </pic:pic>
                    </a:graphicData>
                  </a:graphic>
                </wp:inline>
              </w:drawing>
            </w:r>
          </w:p>
          <w:p>
            <w:pPr>
              <w:pStyle w:val="68"/>
              <w:ind w:firstLine="420"/>
              <w:rPr>
                <w:bCs/>
                <w:color w:val="0000FF"/>
                <w:sz w:val="21"/>
                <w:szCs w:val="21"/>
              </w:rPr>
            </w:pPr>
            <w:r>
              <w:rPr>
                <w:bCs/>
                <w:color w:val="0000FF"/>
                <w:sz w:val="21"/>
                <w:szCs w:val="21"/>
              </w:rPr>
              <w:t>式中：</w:t>
            </w:r>
            <w:r>
              <w:rPr>
                <w:color w:val="0000FF"/>
                <w:sz w:val="21"/>
                <w:szCs w:val="21"/>
              </w:rPr>
              <w:t>TL—隔墙（或窗户）倍频带的隔声量，dB。</w:t>
            </w:r>
          </w:p>
          <w:p>
            <w:pPr>
              <w:pStyle w:val="68"/>
              <w:ind w:firstLine="420"/>
              <w:rPr>
                <w:bCs/>
                <w:color w:val="0000FF"/>
                <w:sz w:val="21"/>
                <w:szCs w:val="21"/>
              </w:rPr>
            </w:pPr>
            <w:r>
              <w:rPr>
                <w:bCs/>
                <w:color w:val="0000FF"/>
                <w:sz w:val="21"/>
                <w:szCs w:val="21"/>
              </w:rPr>
              <w:t>L</w:t>
            </w:r>
            <w:r>
              <w:rPr>
                <w:bCs/>
                <w:color w:val="0000FF"/>
                <w:sz w:val="21"/>
                <w:szCs w:val="21"/>
                <w:vertAlign w:val="subscript"/>
              </w:rPr>
              <w:t>p1</w:t>
            </w:r>
            <w:r>
              <w:rPr>
                <w:bCs/>
                <w:color w:val="0000FF"/>
                <w:sz w:val="21"/>
                <w:szCs w:val="21"/>
              </w:rPr>
              <w:t>可根据以下公示计算：</w:t>
            </w:r>
          </w:p>
          <w:p>
            <w:pPr>
              <w:pStyle w:val="68"/>
              <w:ind w:firstLine="0" w:firstLineChars="0"/>
              <w:jc w:val="center"/>
              <w:rPr>
                <w:bCs/>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931670" cy="505460"/>
                  <wp:effectExtent l="0" t="0" r="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1954537" cy="511756"/>
                          </a:xfrm>
                          <a:prstGeom prst="rect">
                            <a:avLst/>
                          </a:prstGeom>
                        </pic:spPr>
                      </pic:pic>
                    </a:graphicData>
                  </a:graphic>
                </wp:inline>
              </w:drawing>
            </w:r>
          </w:p>
          <w:p>
            <w:pPr>
              <w:pStyle w:val="68"/>
              <w:ind w:firstLine="420"/>
              <w:rPr>
                <w:color w:val="0000FF"/>
                <w:sz w:val="21"/>
                <w:szCs w:val="21"/>
              </w:rPr>
            </w:pPr>
            <w:r>
              <w:rPr>
                <w:color w:val="0000FF"/>
                <w:sz w:val="21"/>
                <w:szCs w:val="21"/>
              </w:rPr>
              <w:t>Q—指向性因素；取值为 1。</w:t>
            </w:r>
          </w:p>
          <w:p>
            <w:pPr>
              <w:pStyle w:val="68"/>
              <w:ind w:firstLine="420"/>
              <w:rPr>
                <w:bCs/>
                <w:color w:val="0000FF"/>
                <w:sz w:val="21"/>
                <w:szCs w:val="21"/>
              </w:rPr>
            </w:pPr>
            <w:r>
              <w:rPr>
                <w:color w:val="0000FF"/>
                <w:sz w:val="21"/>
                <w:szCs w:val="21"/>
              </w:rPr>
              <w:t>R—房间常数；R=Sa/（1-a），S 为房间的表面积，m</w:t>
            </w:r>
            <w:r>
              <w:rPr>
                <w:color w:val="0000FF"/>
                <w:sz w:val="21"/>
                <w:szCs w:val="21"/>
                <w:vertAlign w:val="superscript"/>
              </w:rPr>
              <w:t>2</w:t>
            </w:r>
            <w:r>
              <w:rPr>
                <w:color w:val="0000FF"/>
                <w:sz w:val="21"/>
                <w:szCs w:val="21"/>
              </w:rPr>
              <w:t xml:space="preserve"> ；a 为平均吸声系数。</w:t>
            </w:r>
          </w:p>
          <w:p>
            <w:pPr>
              <w:pStyle w:val="68"/>
              <w:ind w:firstLine="420"/>
              <w:rPr>
                <w:bCs/>
                <w:color w:val="0000FF"/>
                <w:sz w:val="21"/>
                <w:szCs w:val="21"/>
              </w:rPr>
            </w:pPr>
            <w:r>
              <w:rPr>
                <w:color w:val="0000FF"/>
                <w:sz w:val="21"/>
                <w:szCs w:val="21"/>
              </w:rPr>
              <w:t>r—声源到靠近围护结构某点处的距离，m。</w:t>
            </w:r>
          </w:p>
          <w:p>
            <w:pPr>
              <w:pStyle w:val="68"/>
              <w:ind w:firstLine="420"/>
              <w:rPr>
                <w:bCs/>
                <w:color w:val="0000FF"/>
                <w:sz w:val="21"/>
                <w:szCs w:val="21"/>
              </w:rPr>
            </w:pPr>
            <w:r>
              <w:rPr>
                <w:bCs/>
                <w:color w:val="0000FF"/>
                <w:sz w:val="21"/>
                <w:szCs w:val="21"/>
              </w:rPr>
              <w:t>声压级合成模式</w:t>
            </w:r>
          </w:p>
          <w:p>
            <w:pPr>
              <w:pStyle w:val="68"/>
              <w:ind w:firstLine="0" w:firstLineChars="0"/>
              <w:jc w:val="center"/>
              <w:rPr>
                <w:bCs/>
                <w:color w:val="0000FF"/>
                <w:sz w:val="21"/>
                <w:szCs w:val="21"/>
                <w:highlight w:val="yellow"/>
              </w:rPr>
            </w:pPr>
            <w:r>
              <w:rPr>
                <w:color w:val="0000FF"/>
                <w:sz w:val="21"/>
                <w:szCs w:val="21"/>
              </w:rPr>
              <w:drawing>
                <wp:inline distT="0" distB="0" distL="0" distR="0">
                  <wp:extent cx="1677670" cy="4445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stretch>
                            <a:fillRect/>
                          </a:stretch>
                        </pic:blipFill>
                        <pic:spPr>
                          <a:xfrm>
                            <a:off x="0" y="0"/>
                            <a:ext cx="1704550" cy="451808"/>
                          </a:xfrm>
                          <a:prstGeom prst="rect">
                            <a:avLst/>
                          </a:prstGeom>
                        </pic:spPr>
                      </pic:pic>
                    </a:graphicData>
                  </a:graphic>
                </wp:inline>
              </w:drawing>
            </w:r>
          </w:p>
          <w:p>
            <w:pPr>
              <w:pStyle w:val="68"/>
              <w:ind w:firstLine="420"/>
              <w:rPr>
                <w:color w:val="0000FF"/>
                <w:sz w:val="21"/>
                <w:szCs w:val="21"/>
              </w:rPr>
            </w:pPr>
            <w:r>
              <w:rPr>
                <w:bCs/>
                <w:color w:val="0000FF"/>
                <w:sz w:val="21"/>
                <w:szCs w:val="21"/>
              </w:rPr>
              <w:t>式中：</w:t>
            </w:r>
            <w:r>
              <w:rPr>
                <w:color w:val="0000FF"/>
                <w:sz w:val="21"/>
                <w:szCs w:val="21"/>
              </w:rPr>
              <w:t xml:space="preserve"> Ln—n个声压级的合成声压级，dB(A)； 、</w:t>
            </w:r>
          </w:p>
          <w:p>
            <w:pPr>
              <w:pStyle w:val="68"/>
              <w:ind w:firstLine="420"/>
              <w:rPr>
                <w:bCs/>
                <w:color w:val="0000FF"/>
                <w:sz w:val="21"/>
                <w:szCs w:val="21"/>
              </w:rPr>
            </w:pPr>
            <w:r>
              <w:rPr>
                <w:color w:val="0000FF"/>
                <w:sz w:val="21"/>
                <w:szCs w:val="21"/>
              </w:rPr>
              <w:t>Li—各声源的 A 声级，dB(A)。</w:t>
            </w:r>
          </w:p>
          <w:p>
            <w:pPr>
              <w:pStyle w:val="68"/>
              <w:ind w:firstLine="420"/>
              <w:rPr>
                <w:bCs/>
                <w:color w:val="0000FF"/>
                <w:sz w:val="21"/>
                <w:szCs w:val="21"/>
              </w:rPr>
            </w:pPr>
            <w:r>
              <w:rPr>
                <w:bCs/>
                <w:color w:val="0000FF"/>
                <w:sz w:val="21"/>
                <w:szCs w:val="21"/>
              </w:rPr>
              <w:t>室外传播衰减预测</w:t>
            </w:r>
          </w:p>
          <w:p>
            <w:pPr>
              <w:pStyle w:val="68"/>
              <w:ind w:firstLine="420"/>
              <w:rPr>
                <w:bCs/>
                <w:color w:val="0000FF"/>
                <w:sz w:val="21"/>
                <w:szCs w:val="21"/>
              </w:rPr>
            </w:pPr>
            <w:r>
              <w:rPr>
                <w:bCs/>
                <w:color w:val="0000FF"/>
                <w:sz w:val="21"/>
                <w:szCs w:val="21"/>
              </w:rPr>
              <w:t>声源近似为点源，采用以下公式计算：</w:t>
            </w:r>
          </w:p>
          <w:p>
            <w:pPr>
              <w:pStyle w:val="68"/>
              <w:ind w:firstLine="0" w:firstLineChars="0"/>
              <w:jc w:val="center"/>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L(r)=L(r0)-20log(r/r0)-ΔL</w:t>
            </w:r>
          </w:p>
          <w:p>
            <w:pPr>
              <w:pStyle w:val="68"/>
              <w:ind w:firstLine="420"/>
              <w:rPr>
                <w:color w:val="0000FF"/>
                <w:sz w:val="21"/>
                <w:szCs w:val="21"/>
              </w:rPr>
            </w:pPr>
            <w:r>
              <w:rPr>
                <w:color w:val="0000FF"/>
                <w:sz w:val="21"/>
                <w:szCs w:val="21"/>
              </w:rPr>
              <w:t xml:space="preserve">式中：L(r)—距噪声源距离为 r 处等效 A 声级值，dB(A)； </w:t>
            </w:r>
          </w:p>
          <w:p>
            <w:pPr>
              <w:pStyle w:val="68"/>
              <w:ind w:firstLine="420"/>
              <w:rPr>
                <w:color w:val="0000FF"/>
                <w:sz w:val="21"/>
                <w:szCs w:val="21"/>
              </w:rPr>
            </w:pPr>
            <w:r>
              <w:rPr>
                <w:color w:val="0000FF"/>
                <w:sz w:val="21"/>
                <w:szCs w:val="21"/>
              </w:rPr>
              <w:t>L(r0)— 距噪声源距离为r0处等效A声级值</w:t>
            </w:r>
            <w:r>
              <w:rPr>
                <w:rFonts w:hint="eastAsia"/>
                <w:color w:val="0000FF"/>
                <w:sz w:val="21"/>
                <w:szCs w:val="21"/>
              </w:rPr>
              <w:t>，</w:t>
            </w:r>
            <w:r>
              <w:rPr>
                <w:color w:val="0000FF"/>
                <w:sz w:val="21"/>
                <w:szCs w:val="21"/>
              </w:rPr>
              <w:t xml:space="preserve">dB(A)； </w:t>
            </w:r>
          </w:p>
          <w:p>
            <w:pPr>
              <w:pStyle w:val="68"/>
              <w:ind w:firstLine="420"/>
              <w:rPr>
                <w:color w:val="0000FF"/>
                <w:sz w:val="21"/>
                <w:szCs w:val="21"/>
              </w:rPr>
            </w:pPr>
            <w:r>
              <w:rPr>
                <w:color w:val="0000FF"/>
                <w:sz w:val="21"/>
                <w:szCs w:val="21"/>
              </w:rPr>
              <w:t xml:space="preserve">ΔL—各种因素引起的衰减量（包括遮挡物、空气吸收、地面效应等引起的衰 减量），dB(A)；本环评不考虑各种因素引起的衰减量，按0计入。 </w:t>
            </w:r>
          </w:p>
          <w:p>
            <w:pPr>
              <w:pStyle w:val="68"/>
              <w:ind w:firstLine="420"/>
              <w:rPr>
                <w:color w:val="0000FF"/>
                <w:sz w:val="21"/>
                <w:szCs w:val="21"/>
              </w:rPr>
            </w:pPr>
            <w:r>
              <w:rPr>
                <w:color w:val="0000FF"/>
                <w:sz w:val="21"/>
                <w:szCs w:val="21"/>
              </w:rPr>
              <w:t>r—关心点距噪声源距离，m；</w:t>
            </w:r>
          </w:p>
          <w:p>
            <w:pPr>
              <w:pStyle w:val="68"/>
              <w:ind w:firstLine="420"/>
              <w:rPr>
                <w:color w:val="0000FF"/>
                <w:sz w:val="21"/>
                <w:szCs w:val="21"/>
              </w:rPr>
            </w:pPr>
            <w:r>
              <w:rPr>
                <w:color w:val="0000FF"/>
                <w:sz w:val="21"/>
                <w:szCs w:val="21"/>
              </w:rPr>
              <w:t xml:space="preserve">r0—参考距离，取1m； </w:t>
            </w:r>
          </w:p>
          <w:p>
            <w:pPr>
              <w:pStyle w:val="68"/>
              <w:ind w:firstLine="420"/>
              <w:rPr>
                <w:color w:val="0000FF"/>
                <w:sz w:val="21"/>
                <w:szCs w:val="21"/>
              </w:rPr>
            </w:pPr>
            <w:r>
              <w:rPr>
                <w:color w:val="0000FF"/>
                <w:sz w:val="21"/>
                <w:szCs w:val="21"/>
              </w:rPr>
              <w:t xml:space="preserve">L—总等效A声压级，dB(A)； </w:t>
            </w:r>
          </w:p>
          <w:p>
            <w:pPr>
              <w:pStyle w:val="68"/>
              <w:ind w:firstLine="420"/>
              <w:rPr>
                <w:bCs/>
                <w:color w:val="0000FF"/>
                <w:sz w:val="21"/>
                <w:szCs w:val="21"/>
              </w:rPr>
            </w:pPr>
            <w:r>
              <w:rPr>
                <w:color w:val="0000FF"/>
                <w:sz w:val="21"/>
                <w:szCs w:val="21"/>
              </w:rPr>
              <w:t>Li—第i个声源在预测点的A声压级，dB(A)。</w:t>
            </w:r>
          </w:p>
          <w:p>
            <w:pPr>
              <w:adjustRightInd w:val="0"/>
              <w:snapToGrid w:val="0"/>
              <w:spacing w:line="360" w:lineRule="auto"/>
              <w:ind w:firstLine="420" w:firstLineChars="200"/>
              <w:rPr>
                <w:b/>
                <w:bCs/>
                <w:color w:val="0000FF"/>
                <w:szCs w:val="21"/>
              </w:rPr>
            </w:pPr>
            <w:r>
              <w:rPr>
                <w:rFonts w:hint="eastAsia"/>
                <w:color w:val="0000FF"/>
                <w:szCs w:val="21"/>
              </w:rPr>
              <w:t>噪声预测按照《环境影响评价技术导则·声环境》（HJ2.4-20</w:t>
            </w:r>
            <w:r>
              <w:rPr>
                <w:color w:val="0000FF"/>
                <w:szCs w:val="21"/>
              </w:rPr>
              <w:t>21</w:t>
            </w:r>
            <w:r>
              <w:rPr>
                <w:rFonts w:hint="eastAsia"/>
                <w:color w:val="0000FF"/>
                <w:szCs w:val="21"/>
              </w:rPr>
              <w:t>）进行，预测设备噪声到厂界的排放值，并判断是否达标。在所有噪声同时存在情况下，考虑各种降噪措施以及隔声、消声作用，厂界噪声预测结果见表4-</w:t>
            </w:r>
            <w:r>
              <w:rPr>
                <w:color w:val="0000FF"/>
                <w:szCs w:val="21"/>
              </w:rPr>
              <w:t>11。</w:t>
            </w:r>
          </w:p>
          <w:p>
            <w:pPr>
              <w:pStyle w:val="2"/>
              <w:jc w:val="center"/>
              <w:rPr>
                <w:rFonts w:ascii="Times New Roman" w:cs="Times New Roman"/>
                <w:b/>
                <w:bCs/>
                <w:color w:val="0000FF"/>
                <w:sz w:val="21"/>
                <w:szCs w:val="21"/>
              </w:rPr>
            </w:pPr>
            <w:r>
              <w:rPr>
                <w:rFonts w:hint="eastAsia" w:ascii="Times New Roman" w:hAnsi="宋体" w:cs="Times New Roman"/>
                <w:b/>
                <w:bCs/>
                <w:color w:val="0000FF"/>
                <w:sz w:val="21"/>
                <w:szCs w:val="21"/>
              </w:rPr>
              <w:t>表</w:t>
            </w:r>
            <w:r>
              <w:rPr>
                <w:rFonts w:ascii="Times New Roman" w:cs="Times New Roman"/>
                <w:b/>
                <w:bCs/>
                <w:color w:val="0000FF"/>
                <w:sz w:val="21"/>
                <w:szCs w:val="21"/>
              </w:rPr>
              <w:t xml:space="preserve">4-11    </w:t>
            </w:r>
            <w:r>
              <w:rPr>
                <w:rFonts w:hint="eastAsia" w:ascii="Times New Roman" w:cs="Times New Roman"/>
                <w:b/>
                <w:bCs/>
                <w:color w:val="0000FF"/>
                <w:sz w:val="21"/>
                <w:szCs w:val="21"/>
              </w:rPr>
              <w:t>运营期</w:t>
            </w:r>
            <w:r>
              <w:rPr>
                <w:rFonts w:hint="eastAsia" w:ascii="Times New Roman" w:hAnsi="宋体" w:cs="Times New Roman"/>
                <w:b/>
                <w:bCs/>
                <w:color w:val="0000FF"/>
                <w:sz w:val="21"/>
                <w:szCs w:val="21"/>
              </w:rPr>
              <w:t>厂界噪声环境影响预测结果    单位</w:t>
            </w:r>
            <w:r>
              <w:rPr>
                <w:rFonts w:ascii="Times New Roman" w:hAnsi="宋体" w:cs="Times New Roman"/>
                <w:b/>
                <w:bCs/>
                <w:color w:val="0000FF"/>
                <w:sz w:val="21"/>
                <w:szCs w:val="21"/>
              </w:rPr>
              <w:t>：</w:t>
            </w:r>
            <w:r>
              <w:rPr>
                <w:rFonts w:hint="eastAsia" w:ascii="Times New Roman" w:hAnsi="宋体" w:cs="Times New Roman"/>
                <w:b/>
                <w:bCs/>
                <w:color w:val="0000FF"/>
                <w:sz w:val="21"/>
                <w:szCs w:val="21"/>
              </w:rPr>
              <w:t>d</w:t>
            </w:r>
            <w:r>
              <w:rPr>
                <w:rFonts w:ascii="Times New Roman" w:hAnsi="宋体" w:cs="Times New Roman"/>
                <w:b/>
                <w:bCs/>
                <w:color w:val="0000FF"/>
                <w:sz w:val="21"/>
                <w:szCs w:val="21"/>
              </w:rPr>
              <w:t>B</w:t>
            </w:r>
            <w:r>
              <w:rPr>
                <w:rFonts w:hint="eastAsia" w:ascii="Times New Roman" w:hAnsi="宋体" w:cs="Times New Roman"/>
                <w:b/>
                <w:bCs/>
                <w:color w:val="0000FF"/>
                <w:sz w:val="21"/>
                <w:szCs w:val="21"/>
              </w:rPr>
              <w:t>（A）</w:t>
            </w:r>
          </w:p>
          <w:tbl>
            <w:tblPr>
              <w:tblStyle w:val="23"/>
              <w:tblW w:w="83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2"/>
              <w:gridCol w:w="831"/>
              <w:gridCol w:w="832"/>
              <w:gridCol w:w="831"/>
              <w:gridCol w:w="832"/>
              <w:gridCol w:w="831"/>
              <w:gridCol w:w="832"/>
              <w:gridCol w:w="831"/>
              <w:gridCol w:w="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1662" w:type="dxa"/>
                  <w:vMerge w:val="restart"/>
                  <w:tcBorders>
                    <w:top w:val="single" w:color="auto" w:sz="12" w:space="0"/>
                    <w:left w:val="single" w:color="auto" w:sz="12" w:space="0"/>
                    <w:bottom w:val="single" w:color="auto" w:sz="6" w:space="0"/>
                    <w:right w:val="single" w:color="auto" w:sz="6" w:space="0"/>
                  </w:tcBorders>
                  <w:vAlign w:val="center"/>
                </w:tcPr>
                <w:p>
                  <w:pPr>
                    <w:widowControl/>
                    <w:jc w:val="center"/>
                    <w:rPr>
                      <w:bCs/>
                      <w:color w:val="0000FF"/>
                      <w:szCs w:val="21"/>
                    </w:rPr>
                  </w:pPr>
                  <w:r>
                    <w:rPr>
                      <w:bCs/>
                      <w:color w:val="0000FF"/>
                      <w:szCs w:val="21"/>
                    </w:rPr>
                    <w:t>预测点位</w:t>
                  </w:r>
                </w:p>
              </w:tc>
              <w:tc>
                <w:tcPr>
                  <w:tcW w:w="1663"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bCs/>
                      <w:color w:val="0000FF"/>
                      <w:szCs w:val="21"/>
                    </w:rPr>
                  </w:pPr>
                  <w:r>
                    <w:rPr>
                      <w:bCs/>
                      <w:color w:val="0000FF"/>
                      <w:szCs w:val="21"/>
                    </w:rPr>
                    <w:t>东厂界</w:t>
                  </w:r>
                </w:p>
              </w:tc>
              <w:tc>
                <w:tcPr>
                  <w:tcW w:w="1663"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bCs/>
                      <w:color w:val="0000FF"/>
                      <w:szCs w:val="21"/>
                    </w:rPr>
                  </w:pPr>
                  <w:r>
                    <w:rPr>
                      <w:bCs/>
                      <w:color w:val="0000FF"/>
                      <w:szCs w:val="21"/>
                    </w:rPr>
                    <w:t>西厂界</w:t>
                  </w:r>
                </w:p>
              </w:tc>
              <w:tc>
                <w:tcPr>
                  <w:tcW w:w="1663" w:type="dxa"/>
                  <w:gridSpan w:val="2"/>
                  <w:tcBorders>
                    <w:top w:val="single" w:color="auto" w:sz="12" w:space="0"/>
                    <w:left w:val="single" w:color="auto" w:sz="6" w:space="0"/>
                    <w:bottom w:val="single" w:color="auto" w:sz="6" w:space="0"/>
                    <w:right w:val="single" w:color="auto" w:sz="6" w:space="0"/>
                  </w:tcBorders>
                  <w:vAlign w:val="center"/>
                </w:tcPr>
                <w:p>
                  <w:pPr>
                    <w:widowControl/>
                    <w:jc w:val="center"/>
                    <w:rPr>
                      <w:bCs/>
                      <w:color w:val="0000FF"/>
                      <w:szCs w:val="21"/>
                    </w:rPr>
                  </w:pPr>
                  <w:r>
                    <w:rPr>
                      <w:bCs/>
                      <w:color w:val="0000FF"/>
                      <w:szCs w:val="21"/>
                    </w:rPr>
                    <w:t>南厂界</w:t>
                  </w:r>
                </w:p>
              </w:tc>
              <w:tc>
                <w:tcPr>
                  <w:tcW w:w="1655" w:type="dxa"/>
                  <w:gridSpan w:val="2"/>
                  <w:tcBorders>
                    <w:top w:val="single" w:color="auto" w:sz="12" w:space="0"/>
                    <w:left w:val="single" w:color="auto" w:sz="6" w:space="0"/>
                    <w:bottom w:val="single" w:color="auto" w:sz="6" w:space="0"/>
                    <w:right w:val="single" w:color="auto" w:sz="12" w:space="0"/>
                  </w:tcBorders>
                  <w:vAlign w:val="center"/>
                </w:tcPr>
                <w:p>
                  <w:pPr>
                    <w:widowControl/>
                    <w:jc w:val="center"/>
                    <w:rPr>
                      <w:bCs/>
                      <w:color w:val="0000FF"/>
                      <w:szCs w:val="21"/>
                    </w:rPr>
                  </w:pPr>
                  <w:r>
                    <w:rPr>
                      <w:bCs/>
                      <w:color w:val="0000FF"/>
                      <w:szCs w:val="21"/>
                    </w:rPr>
                    <w:t>北厂界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662"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bCs/>
                      <w:color w:val="0000FF"/>
                      <w:szCs w:val="21"/>
                    </w:rPr>
                  </w:pP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bCs/>
                      <w:color w:val="0000FF"/>
                      <w:szCs w:val="21"/>
                    </w:rPr>
                  </w:pPr>
                  <w:r>
                    <w:rPr>
                      <w:bCs/>
                      <w:color w:val="0000FF"/>
                      <w:szCs w:val="21"/>
                    </w:rPr>
                    <w:t>昼间</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bCs/>
                      <w:color w:val="0000FF"/>
                      <w:szCs w:val="21"/>
                    </w:rPr>
                  </w:pPr>
                  <w:r>
                    <w:rPr>
                      <w:bCs/>
                      <w:color w:val="0000FF"/>
                      <w:szCs w:val="21"/>
                    </w:rPr>
                    <w:t>夜间</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bCs/>
                      <w:color w:val="0000FF"/>
                      <w:szCs w:val="21"/>
                    </w:rPr>
                  </w:pPr>
                  <w:r>
                    <w:rPr>
                      <w:bCs/>
                      <w:color w:val="0000FF"/>
                      <w:szCs w:val="21"/>
                    </w:rPr>
                    <w:t>昼间</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bCs/>
                      <w:color w:val="0000FF"/>
                      <w:szCs w:val="21"/>
                    </w:rPr>
                  </w:pPr>
                  <w:r>
                    <w:rPr>
                      <w:bCs/>
                      <w:color w:val="0000FF"/>
                      <w:szCs w:val="21"/>
                    </w:rPr>
                    <w:t>夜间</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bCs/>
                      <w:color w:val="0000FF"/>
                      <w:szCs w:val="21"/>
                    </w:rPr>
                  </w:pPr>
                  <w:r>
                    <w:rPr>
                      <w:bCs/>
                      <w:color w:val="0000FF"/>
                      <w:szCs w:val="21"/>
                    </w:rPr>
                    <w:t>昼间</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bCs/>
                      <w:color w:val="0000FF"/>
                      <w:szCs w:val="21"/>
                    </w:rPr>
                  </w:pPr>
                  <w:r>
                    <w:rPr>
                      <w:bCs/>
                      <w:color w:val="0000FF"/>
                      <w:szCs w:val="21"/>
                    </w:rPr>
                    <w:t>夜间</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bCs/>
                      <w:color w:val="0000FF"/>
                      <w:szCs w:val="21"/>
                    </w:rPr>
                  </w:pPr>
                  <w:r>
                    <w:rPr>
                      <w:bCs/>
                      <w:color w:val="0000FF"/>
                      <w:szCs w:val="21"/>
                    </w:rPr>
                    <w:t>昼间</w:t>
                  </w:r>
                </w:p>
              </w:tc>
              <w:tc>
                <w:tcPr>
                  <w:tcW w:w="824" w:type="dxa"/>
                  <w:tcBorders>
                    <w:top w:val="single" w:color="auto" w:sz="6" w:space="0"/>
                    <w:left w:val="single" w:color="auto" w:sz="4" w:space="0"/>
                    <w:bottom w:val="single" w:color="auto" w:sz="6" w:space="0"/>
                    <w:right w:val="single" w:color="auto" w:sz="12" w:space="0"/>
                  </w:tcBorders>
                  <w:vAlign w:val="center"/>
                </w:tcPr>
                <w:p>
                  <w:pPr>
                    <w:widowControl/>
                    <w:jc w:val="center"/>
                    <w:rPr>
                      <w:bCs/>
                      <w:color w:val="0000FF"/>
                      <w:szCs w:val="21"/>
                    </w:rPr>
                  </w:pPr>
                  <w:r>
                    <w:rPr>
                      <w:bCs/>
                      <w:color w:val="0000FF"/>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662" w:type="dxa"/>
                  <w:tcBorders>
                    <w:top w:val="single" w:color="auto" w:sz="6" w:space="0"/>
                    <w:left w:val="single" w:color="auto" w:sz="12" w:space="0"/>
                    <w:bottom w:val="single" w:color="auto" w:sz="6" w:space="0"/>
                    <w:right w:val="single" w:color="auto" w:sz="6" w:space="0"/>
                  </w:tcBorders>
                  <w:vAlign w:val="center"/>
                </w:tcPr>
                <w:p>
                  <w:pPr>
                    <w:widowControl/>
                    <w:jc w:val="center"/>
                    <w:rPr>
                      <w:bCs/>
                      <w:color w:val="0000FF"/>
                      <w:szCs w:val="21"/>
                    </w:rPr>
                  </w:pPr>
                  <w:r>
                    <w:rPr>
                      <w:bCs/>
                      <w:color w:val="0000FF"/>
                      <w:szCs w:val="21"/>
                    </w:rPr>
                    <w:t>贡献值（dB）</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rFonts w:hint="eastAsia"/>
                      <w:color w:val="0000FF"/>
                      <w:szCs w:val="21"/>
                    </w:rPr>
                    <w:t>4</w:t>
                  </w:r>
                  <w:r>
                    <w:rPr>
                      <w:color w:val="0000FF"/>
                      <w:szCs w:val="21"/>
                    </w:rPr>
                    <w:t>5</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color w:val="0000FF"/>
                      <w:szCs w:val="21"/>
                    </w:rPr>
                  </w:pPr>
                  <w:r>
                    <w:rPr>
                      <w:rFonts w:hint="eastAsia"/>
                      <w:color w:val="0000FF"/>
                      <w:szCs w:val="21"/>
                    </w:rPr>
                    <w:t>/</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rFonts w:hint="eastAsia"/>
                      <w:color w:val="0000FF"/>
                      <w:szCs w:val="21"/>
                    </w:rPr>
                    <w:t>4</w:t>
                  </w:r>
                  <w:r>
                    <w:rPr>
                      <w:color w:val="0000FF"/>
                      <w:szCs w:val="21"/>
                    </w:rPr>
                    <w:t>8</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color w:val="0000FF"/>
                      <w:szCs w:val="21"/>
                    </w:rPr>
                  </w:pPr>
                  <w:r>
                    <w:rPr>
                      <w:rFonts w:hint="eastAsia"/>
                      <w:color w:val="0000FF"/>
                      <w:szCs w:val="21"/>
                    </w:rPr>
                    <w:t>/</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rFonts w:hint="eastAsia"/>
                      <w:color w:val="0000FF"/>
                      <w:szCs w:val="21"/>
                    </w:rPr>
                    <w:t>5</w:t>
                  </w:r>
                  <w:r>
                    <w:rPr>
                      <w:color w:val="0000FF"/>
                      <w:szCs w:val="21"/>
                    </w:rPr>
                    <w:t>2</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color w:val="0000FF"/>
                      <w:szCs w:val="21"/>
                    </w:rPr>
                  </w:pPr>
                  <w:r>
                    <w:rPr>
                      <w:rFonts w:hint="eastAsia"/>
                      <w:color w:val="0000FF"/>
                      <w:szCs w:val="21"/>
                    </w:rPr>
                    <w:t>/</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rFonts w:hint="eastAsia"/>
                      <w:color w:val="0000FF"/>
                      <w:szCs w:val="21"/>
                    </w:rPr>
                    <w:t>4</w:t>
                  </w:r>
                  <w:r>
                    <w:rPr>
                      <w:color w:val="0000FF"/>
                      <w:szCs w:val="21"/>
                    </w:rPr>
                    <w:t>8</w:t>
                  </w:r>
                </w:p>
              </w:tc>
              <w:tc>
                <w:tcPr>
                  <w:tcW w:w="824" w:type="dxa"/>
                  <w:tcBorders>
                    <w:top w:val="single" w:color="auto" w:sz="6" w:space="0"/>
                    <w:left w:val="single" w:color="auto" w:sz="4" w:space="0"/>
                    <w:bottom w:val="single" w:color="auto" w:sz="6" w:space="0"/>
                    <w:right w:val="single" w:color="auto" w:sz="12" w:space="0"/>
                  </w:tcBorders>
                  <w:vAlign w:val="center"/>
                </w:tcPr>
                <w:p>
                  <w:pPr>
                    <w:widowControl/>
                    <w:jc w:val="center"/>
                    <w:rPr>
                      <w:color w:val="0000FF"/>
                      <w:szCs w:val="21"/>
                    </w:rPr>
                  </w:pPr>
                  <w:r>
                    <w:rPr>
                      <w:rFonts w:hint="eastAsia"/>
                      <w:color w:val="0000FF"/>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662" w:type="dxa"/>
                  <w:tcBorders>
                    <w:top w:val="single" w:color="auto" w:sz="6" w:space="0"/>
                    <w:left w:val="single" w:color="auto" w:sz="12" w:space="0"/>
                    <w:bottom w:val="single" w:color="auto" w:sz="6" w:space="0"/>
                    <w:right w:val="single" w:color="auto" w:sz="6" w:space="0"/>
                  </w:tcBorders>
                  <w:vAlign w:val="center"/>
                </w:tcPr>
                <w:p>
                  <w:pPr>
                    <w:widowControl/>
                    <w:jc w:val="center"/>
                    <w:rPr>
                      <w:bCs/>
                      <w:color w:val="0000FF"/>
                      <w:szCs w:val="21"/>
                    </w:rPr>
                  </w:pPr>
                  <w:r>
                    <w:rPr>
                      <w:bCs/>
                      <w:color w:val="0000FF"/>
                      <w:szCs w:val="21"/>
                    </w:rPr>
                    <w:t>标准值（dB）</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color w:val="0000FF"/>
                      <w:szCs w:val="21"/>
                    </w:rPr>
                    <w:t>60</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color w:val="0000FF"/>
                      <w:szCs w:val="21"/>
                    </w:rPr>
                  </w:pPr>
                  <w:r>
                    <w:rPr>
                      <w:color w:val="0000FF"/>
                      <w:szCs w:val="21"/>
                    </w:rPr>
                    <w:t>50</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color w:val="0000FF"/>
                      <w:szCs w:val="21"/>
                    </w:rPr>
                    <w:t>60</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color w:val="0000FF"/>
                      <w:szCs w:val="21"/>
                    </w:rPr>
                  </w:pPr>
                  <w:r>
                    <w:rPr>
                      <w:color w:val="0000FF"/>
                      <w:szCs w:val="21"/>
                    </w:rPr>
                    <w:t>50</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color w:val="0000FF"/>
                      <w:szCs w:val="21"/>
                    </w:rPr>
                    <w:t>60</w:t>
                  </w:r>
                </w:p>
              </w:tc>
              <w:tc>
                <w:tcPr>
                  <w:tcW w:w="832" w:type="dxa"/>
                  <w:tcBorders>
                    <w:top w:val="single" w:color="auto" w:sz="6" w:space="0"/>
                    <w:left w:val="single" w:color="auto" w:sz="4" w:space="0"/>
                    <w:bottom w:val="single" w:color="auto" w:sz="6" w:space="0"/>
                    <w:right w:val="single" w:color="auto" w:sz="6" w:space="0"/>
                  </w:tcBorders>
                  <w:vAlign w:val="center"/>
                </w:tcPr>
                <w:p>
                  <w:pPr>
                    <w:widowControl/>
                    <w:jc w:val="center"/>
                    <w:rPr>
                      <w:color w:val="0000FF"/>
                      <w:szCs w:val="21"/>
                    </w:rPr>
                  </w:pPr>
                  <w:r>
                    <w:rPr>
                      <w:color w:val="0000FF"/>
                      <w:szCs w:val="21"/>
                    </w:rPr>
                    <w:t>50</w:t>
                  </w:r>
                </w:p>
              </w:tc>
              <w:tc>
                <w:tcPr>
                  <w:tcW w:w="831" w:type="dxa"/>
                  <w:tcBorders>
                    <w:top w:val="single" w:color="auto" w:sz="6" w:space="0"/>
                    <w:left w:val="single" w:color="auto" w:sz="6" w:space="0"/>
                    <w:bottom w:val="single" w:color="auto" w:sz="6" w:space="0"/>
                    <w:right w:val="single" w:color="auto" w:sz="4" w:space="0"/>
                  </w:tcBorders>
                  <w:vAlign w:val="center"/>
                </w:tcPr>
                <w:p>
                  <w:pPr>
                    <w:widowControl/>
                    <w:jc w:val="center"/>
                    <w:rPr>
                      <w:color w:val="0000FF"/>
                      <w:szCs w:val="21"/>
                    </w:rPr>
                  </w:pPr>
                  <w:r>
                    <w:rPr>
                      <w:color w:val="0000FF"/>
                      <w:szCs w:val="21"/>
                    </w:rPr>
                    <w:t>60</w:t>
                  </w:r>
                </w:p>
              </w:tc>
              <w:tc>
                <w:tcPr>
                  <w:tcW w:w="824" w:type="dxa"/>
                  <w:tcBorders>
                    <w:top w:val="single" w:color="auto" w:sz="6" w:space="0"/>
                    <w:left w:val="single" w:color="auto" w:sz="4" w:space="0"/>
                    <w:bottom w:val="single" w:color="auto" w:sz="6" w:space="0"/>
                    <w:right w:val="single" w:color="auto" w:sz="12" w:space="0"/>
                  </w:tcBorders>
                  <w:vAlign w:val="center"/>
                </w:tcPr>
                <w:p>
                  <w:pPr>
                    <w:widowControl/>
                    <w:jc w:val="center"/>
                    <w:rPr>
                      <w:color w:val="0000FF"/>
                      <w:szCs w:val="21"/>
                    </w:rPr>
                  </w:pPr>
                  <w:r>
                    <w:rPr>
                      <w:color w:val="0000FF"/>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662" w:type="dxa"/>
                  <w:tcBorders>
                    <w:top w:val="single" w:color="auto" w:sz="6" w:space="0"/>
                    <w:left w:val="single" w:color="auto" w:sz="12" w:space="0"/>
                    <w:bottom w:val="single" w:color="auto" w:sz="12" w:space="0"/>
                    <w:right w:val="single" w:color="auto" w:sz="6" w:space="0"/>
                  </w:tcBorders>
                  <w:vAlign w:val="center"/>
                </w:tcPr>
                <w:p>
                  <w:pPr>
                    <w:widowControl/>
                    <w:jc w:val="center"/>
                    <w:rPr>
                      <w:bCs/>
                      <w:color w:val="0000FF"/>
                      <w:szCs w:val="21"/>
                    </w:rPr>
                  </w:pPr>
                  <w:r>
                    <w:rPr>
                      <w:bCs/>
                      <w:color w:val="0000FF"/>
                      <w:szCs w:val="21"/>
                    </w:rPr>
                    <w:t>达标分析</w:t>
                  </w:r>
                </w:p>
              </w:tc>
              <w:tc>
                <w:tcPr>
                  <w:tcW w:w="831" w:type="dxa"/>
                  <w:tcBorders>
                    <w:top w:val="single" w:color="auto" w:sz="6" w:space="0"/>
                    <w:left w:val="single" w:color="auto" w:sz="6" w:space="0"/>
                    <w:bottom w:val="single" w:color="auto" w:sz="12" w:space="0"/>
                    <w:right w:val="single" w:color="auto" w:sz="4" w:space="0"/>
                  </w:tcBorders>
                  <w:vAlign w:val="center"/>
                </w:tcPr>
                <w:p>
                  <w:pPr>
                    <w:widowControl/>
                    <w:jc w:val="center"/>
                    <w:rPr>
                      <w:color w:val="0000FF"/>
                      <w:szCs w:val="21"/>
                    </w:rPr>
                  </w:pPr>
                  <w:r>
                    <w:rPr>
                      <w:color w:val="0000FF"/>
                      <w:szCs w:val="21"/>
                    </w:rPr>
                    <w:t>达标</w:t>
                  </w:r>
                </w:p>
              </w:tc>
              <w:tc>
                <w:tcPr>
                  <w:tcW w:w="832" w:type="dxa"/>
                  <w:tcBorders>
                    <w:top w:val="single" w:color="auto" w:sz="6" w:space="0"/>
                    <w:left w:val="single" w:color="auto" w:sz="4" w:space="0"/>
                    <w:bottom w:val="single" w:color="auto" w:sz="12" w:space="0"/>
                    <w:right w:val="single" w:color="auto" w:sz="6" w:space="0"/>
                  </w:tcBorders>
                  <w:vAlign w:val="center"/>
                </w:tcPr>
                <w:p>
                  <w:pPr>
                    <w:widowControl/>
                    <w:jc w:val="center"/>
                    <w:rPr>
                      <w:color w:val="0000FF"/>
                      <w:szCs w:val="21"/>
                    </w:rPr>
                  </w:pPr>
                  <w:r>
                    <w:rPr>
                      <w:color w:val="0000FF"/>
                      <w:szCs w:val="21"/>
                    </w:rPr>
                    <w:t>达标</w:t>
                  </w:r>
                </w:p>
              </w:tc>
              <w:tc>
                <w:tcPr>
                  <w:tcW w:w="831" w:type="dxa"/>
                  <w:tcBorders>
                    <w:top w:val="single" w:color="auto" w:sz="6" w:space="0"/>
                    <w:left w:val="single" w:color="auto" w:sz="6" w:space="0"/>
                    <w:bottom w:val="single" w:color="auto" w:sz="12" w:space="0"/>
                    <w:right w:val="single" w:color="auto" w:sz="4" w:space="0"/>
                  </w:tcBorders>
                  <w:vAlign w:val="center"/>
                </w:tcPr>
                <w:p>
                  <w:pPr>
                    <w:widowControl/>
                    <w:jc w:val="center"/>
                    <w:rPr>
                      <w:color w:val="0000FF"/>
                      <w:szCs w:val="21"/>
                    </w:rPr>
                  </w:pPr>
                  <w:r>
                    <w:rPr>
                      <w:color w:val="0000FF"/>
                      <w:szCs w:val="21"/>
                    </w:rPr>
                    <w:t>达标</w:t>
                  </w:r>
                </w:p>
              </w:tc>
              <w:tc>
                <w:tcPr>
                  <w:tcW w:w="832" w:type="dxa"/>
                  <w:tcBorders>
                    <w:top w:val="single" w:color="auto" w:sz="6" w:space="0"/>
                    <w:left w:val="single" w:color="auto" w:sz="4" w:space="0"/>
                    <w:bottom w:val="single" w:color="auto" w:sz="12" w:space="0"/>
                    <w:right w:val="single" w:color="auto" w:sz="6" w:space="0"/>
                  </w:tcBorders>
                  <w:vAlign w:val="center"/>
                </w:tcPr>
                <w:p>
                  <w:pPr>
                    <w:widowControl/>
                    <w:jc w:val="center"/>
                    <w:rPr>
                      <w:color w:val="0000FF"/>
                      <w:szCs w:val="21"/>
                    </w:rPr>
                  </w:pPr>
                  <w:r>
                    <w:rPr>
                      <w:color w:val="0000FF"/>
                      <w:szCs w:val="21"/>
                    </w:rPr>
                    <w:t>达标</w:t>
                  </w:r>
                </w:p>
              </w:tc>
              <w:tc>
                <w:tcPr>
                  <w:tcW w:w="831" w:type="dxa"/>
                  <w:tcBorders>
                    <w:top w:val="single" w:color="auto" w:sz="6" w:space="0"/>
                    <w:left w:val="single" w:color="auto" w:sz="6" w:space="0"/>
                    <w:bottom w:val="single" w:color="auto" w:sz="12" w:space="0"/>
                    <w:right w:val="single" w:color="auto" w:sz="4" w:space="0"/>
                  </w:tcBorders>
                  <w:vAlign w:val="center"/>
                </w:tcPr>
                <w:p>
                  <w:pPr>
                    <w:widowControl/>
                    <w:jc w:val="center"/>
                    <w:rPr>
                      <w:color w:val="0000FF"/>
                      <w:szCs w:val="21"/>
                    </w:rPr>
                  </w:pPr>
                  <w:r>
                    <w:rPr>
                      <w:color w:val="0000FF"/>
                      <w:szCs w:val="21"/>
                    </w:rPr>
                    <w:t>达标</w:t>
                  </w:r>
                </w:p>
              </w:tc>
              <w:tc>
                <w:tcPr>
                  <w:tcW w:w="832" w:type="dxa"/>
                  <w:tcBorders>
                    <w:top w:val="single" w:color="auto" w:sz="6" w:space="0"/>
                    <w:left w:val="single" w:color="auto" w:sz="4" w:space="0"/>
                    <w:bottom w:val="single" w:color="auto" w:sz="12" w:space="0"/>
                    <w:right w:val="single" w:color="auto" w:sz="6" w:space="0"/>
                  </w:tcBorders>
                  <w:vAlign w:val="center"/>
                </w:tcPr>
                <w:p>
                  <w:pPr>
                    <w:widowControl/>
                    <w:jc w:val="center"/>
                    <w:rPr>
                      <w:color w:val="0000FF"/>
                      <w:szCs w:val="21"/>
                    </w:rPr>
                  </w:pPr>
                  <w:r>
                    <w:rPr>
                      <w:color w:val="0000FF"/>
                      <w:szCs w:val="21"/>
                    </w:rPr>
                    <w:t>达标</w:t>
                  </w:r>
                </w:p>
              </w:tc>
              <w:tc>
                <w:tcPr>
                  <w:tcW w:w="831" w:type="dxa"/>
                  <w:tcBorders>
                    <w:top w:val="single" w:color="auto" w:sz="6" w:space="0"/>
                    <w:left w:val="single" w:color="auto" w:sz="6" w:space="0"/>
                    <w:bottom w:val="single" w:color="auto" w:sz="12" w:space="0"/>
                    <w:right w:val="single" w:color="auto" w:sz="4" w:space="0"/>
                  </w:tcBorders>
                  <w:vAlign w:val="center"/>
                </w:tcPr>
                <w:p>
                  <w:pPr>
                    <w:widowControl/>
                    <w:jc w:val="center"/>
                    <w:rPr>
                      <w:color w:val="0000FF"/>
                      <w:szCs w:val="21"/>
                    </w:rPr>
                  </w:pPr>
                  <w:r>
                    <w:rPr>
                      <w:color w:val="0000FF"/>
                      <w:szCs w:val="21"/>
                    </w:rPr>
                    <w:t>达标</w:t>
                  </w:r>
                </w:p>
              </w:tc>
              <w:tc>
                <w:tcPr>
                  <w:tcW w:w="824" w:type="dxa"/>
                  <w:tcBorders>
                    <w:top w:val="single" w:color="auto" w:sz="6" w:space="0"/>
                    <w:left w:val="single" w:color="auto" w:sz="4" w:space="0"/>
                    <w:bottom w:val="single" w:color="auto" w:sz="12" w:space="0"/>
                    <w:right w:val="single" w:color="auto" w:sz="12" w:space="0"/>
                  </w:tcBorders>
                  <w:vAlign w:val="center"/>
                </w:tcPr>
                <w:p>
                  <w:pPr>
                    <w:widowControl/>
                    <w:jc w:val="center"/>
                    <w:rPr>
                      <w:color w:val="0000FF"/>
                      <w:szCs w:val="21"/>
                    </w:rPr>
                  </w:pPr>
                  <w:r>
                    <w:rPr>
                      <w:color w:val="0000FF"/>
                      <w:szCs w:val="21"/>
                    </w:rPr>
                    <w:t>达标</w:t>
                  </w:r>
                </w:p>
              </w:tc>
            </w:tr>
          </w:tbl>
          <w:p>
            <w:pPr>
              <w:pStyle w:val="53"/>
              <w:ind w:left="13" w:right="-13" w:firstLine="420"/>
              <w:rPr>
                <w:rFonts w:hAnsi="宋体"/>
                <w:color w:val="0000FF"/>
                <w:sz w:val="21"/>
                <w:szCs w:val="21"/>
              </w:rPr>
            </w:pPr>
            <w:r>
              <w:rPr>
                <w:rFonts w:hAnsi="宋体"/>
                <w:color w:val="0000FF"/>
                <w:sz w:val="21"/>
                <w:szCs w:val="21"/>
              </w:rPr>
              <w:t>从预测结果分析，项目运营后</w:t>
            </w:r>
            <w:r>
              <w:rPr>
                <w:rFonts w:hint="eastAsia" w:hAnsi="宋体"/>
                <w:color w:val="0000FF"/>
                <w:sz w:val="21"/>
                <w:szCs w:val="21"/>
              </w:rPr>
              <w:t>厂界</w:t>
            </w:r>
            <w:r>
              <w:rPr>
                <w:rFonts w:hAnsi="宋体"/>
                <w:color w:val="0000FF"/>
                <w:sz w:val="21"/>
                <w:szCs w:val="21"/>
              </w:rPr>
              <w:t>昼间噪声值满足《工业企业厂界环境噪声排放标准》</w:t>
            </w:r>
            <w:r>
              <w:rPr>
                <w:color w:val="0000FF"/>
                <w:sz w:val="21"/>
                <w:szCs w:val="21"/>
              </w:rPr>
              <w:t>GB12348-2008</w:t>
            </w:r>
            <w:r>
              <w:rPr>
                <w:rFonts w:hint="eastAsia"/>
                <w:color w:val="0000FF"/>
                <w:sz w:val="21"/>
                <w:szCs w:val="21"/>
              </w:rPr>
              <w:t>中2</w:t>
            </w:r>
            <w:r>
              <w:rPr>
                <w:rFonts w:hAnsi="宋体"/>
                <w:color w:val="0000FF"/>
                <w:sz w:val="21"/>
                <w:szCs w:val="21"/>
              </w:rPr>
              <w:t>类标准要求</w:t>
            </w:r>
            <w:r>
              <w:rPr>
                <w:rFonts w:hint="eastAsia" w:hAnsi="宋体"/>
                <w:color w:val="0000FF"/>
                <w:sz w:val="21"/>
                <w:szCs w:val="21"/>
              </w:rPr>
              <w:t>。</w:t>
            </w:r>
          </w:p>
          <w:p>
            <w:pPr>
              <w:pStyle w:val="2"/>
              <w:jc w:val="center"/>
              <w:rPr>
                <w:rFonts w:ascii="Times New Roman" w:hAnsi="宋体" w:cs="Times New Roman"/>
                <w:b/>
                <w:bCs/>
                <w:color w:val="0000FF"/>
                <w:sz w:val="21"/>
                <w:szCs w:val="21"/>
              </w:rPr>
            </w:pPr>
            <w:r>
              <w:rPr>
                <w:rFonts w:hint="eastAsia" w:ascii="Times New Roman" w:hAnsi="宋体" w:cs="Times New Roman"/>
                <w:b/>
                <w:bCs/>
                <w:color w:val="0000FF"/>
                <w:sz w:val="21"/>
                <w:szCs w:val="21"/>
              </w:rPr>
              <w:t>表4</w:t>
            </w:r>
            <w:r>
              <w:rPr>
                <w:rFonts w:ascii="Times New Roman" w:hAnsi="宋体" w:cs="Times New Roman"/>
                <w:b/>
                <w:bCs/>
                <w:color w:val="0000FF"/>
                <w:sz w:val="21"/>
                <w:szCs w:val="21"/>
              </w:rPr>
              <w:t>-12    运营期对声环境敏感点环境影响预测结果</w:t>
            </w:r>
            <w:r>
              <w:rPr>
                <w:rFonts w:hint="eastAsia" w:ascii="Times New Roman" w:hAnsi="宋体" w:cs="Times New Roman"/>
                <w:b/>
                <w:bCs/>
                <w:color w:val="0000FF"/>
                <w:sz w:val="21"/>
                <w:szCs w:val="21"/>
              </w:rPr>
              <w:t xml:space="preserve"> </w:t>
            </w:r>
            <w:r>
              <w:rPr>
                <w:rFonts w:ascii="Times New Roman" w:hAnsi="宋体" w:cs="Times New Roman"/>
                <w:b/>
                <w:bCs/>
                <w:color w:val="0000FF"/>
                <w:sz w:val="21"/>
                <w:szCs w:val="21"/>
              </w:rPr>
              <w:t xml:space="preserve">   </w:t>
            </w:r>
            <w:r>
              <w:rPr>
                <w:rFonts w:hint="eastAsia" w:ascii="Times New Roman" w:hAnsi="宋体" w:cs="Times New Roman"/>
                <w:b/>
                <w:bCs/>
                <w:color w:val="0000FF"/>
                <w:sz w:val="21"/>
                <w:szCs w:val="21"/>
              </w:rPr>
              <w:t>单位</w:t>
            </w:r>
            <w:r>
              <w:rPr>
                <w:rFonts w:ascii="Times New Roman" w:hAnsi="宋体" w:cs="Times New Roman"/>
                <w:b/>
                <w:bCs/>
                <w:color w:val="0000FF"/>
                <w:sz w:val="21"/>
                <w:szCs w:val="21"/>
              </w:rPr>
              <w:t>：</w:t>
            </w:r>
            <w:r>
              <w:rPr>
                <w:rFonts w:hint="eastAsia" w:ascii="Times New Roman" w:hAnsi="宋体" w:cs="Times New Roman"/>
                <w:b/>
                <w:bCs/>
                <w:color w:val="0000FF"/>
                <w:sz w:val="21"/>
                <w:szCs w:val="21"/>
              </w:rPr>
              <w:t>d</w:t>
            </w:r>
            <w:r>
              <w:rPr>
                <w:rFonts w:ascii="Times New Roman" w:hAnsi="宋体" w:cs="Times New Roman"/>
                <w:b/>
                <w:bCs/>
                <w:color w:val="0000FF"/>
                <w:sz w:val="21"/>
                <w:szCs w:val="21"/>
              </w:rPr>
              <w:t>B</w:t>
            </w:r>
            <w:r>
              <w:rPr>
                <w:rFonts w:hint="eastAsia" w:ascii="Times New Roman" w:hAnsi="宋体" w:cs="Times New Roman"/>
                <w:b/>
                <w:bCs/>
                <w:color w:val="0000FF"/>
                <w:sz w:val="21"/>
                <w:szCs w:val="21"/>
              </w:rPr>
              <w:t>（A）</w:t>
            </w:r>
          </w:p>
          <w:tbl>
            <w:tblPr>
              <w:tblStyle w:val="23"/>
              <w:tblW w:w="83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9"/>
              <w:gridCol w:w="2768"/>
              <w:gridCol w:w="2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769" w:type="dxa"/>
                  <w:vMerge w:val="restart"/>
                  <w:vAlign w:val="center"/>
                </w:tcPr>
                <w:p>
                  <w:pPr>
                    <w:widowControl/>
                    <w:jc w:val="center"/>
                    <w:rPr>
                      <w:bCs/>
                      <w:color w:val="0000FF"/>
                      <w:szCs w:val="21"/>
                    </w:rPr>
                  </w:pPr>
                  <w:r>
                    <w:rPr>
                      <w:bCs/>
                      <w:color w:val="0000FF"/>
                      <w:szCs w:val="21"/>
                    </w:rPr>
                    <w:t>预测点位</w:t>
                  </w:r>
                </w:p>
              </w:tc>
              <w:tc>
                <w:tcPr>
                  <w:tcW w:w="2768" w:type="dxa"/>
                  <w:vAlign w:val="center"/>
                </w:tcPr>
                <w:p>
                  <w:pPr>
                    <w:widowControl/>
                    <w:jc w:val="center"/>
                    <w:rPr>
                      <w:bCs/>
                      <w:color w:val="0000FF"/>
                      <w:szCs w:val="21"/>
                    </w:rPr>
                  </w:pPr>
                  <w:r>
                    <w:rPr>
                      <w:bCs/>
                      <w:color w:val="0000FF"/>
                      <w:szCs w:val="21"/>
                    </w:rPr>
                    <w:t>民兴村（项目东25m）</w:t>
                  </w:r>
                </w:p>
              </w:tc>
              <w:tc>
                <w:tcPr>
                  <w:tcW w:w="2769" w:type="dxa"/>
                  <w:vAlign w:val="center"/>
                </w:tcPr>
                <w:p>
                  <w:pPr>
                    <w:widowControl/>
                    <w:jc w:val="center"/>
                    <w:rPr>
                      <w:bCs/>
                      <w:color w:val="0000FF"/>
                      <w:szCs w:val="21"/>
                    </w:rPr>
                  </w:pPr>
                  <w:r>
                    <w:rPr>
                      <w:bCs/>
                      <w:color w:val="0000FF"/>
                      <w:szCs w:val="21"/>
                    </w:rPr>
                    <w:t>民兴村（项目南50m）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769" w:type="dxa"/>
                  <w:vMerge w:val="continue"/>
                  <w:vAlign w:val="center"/>
                </w:tcPr>
                <w:p>
                  <w:pPr>
                    <w:widowControl/>
                    <w:jc w:val="center"/>
                    <w:rPr>
                      <w:bCs/>
                      <w:color w:val="0000FF"/>
                      <w:szCs w:val="21"/>
                    </w:rPr>
                  </w:pPr>
                </w:p>
              </w:tc>
              <w:tc>
                <w:tcPr>
                  <w:tcW w:w="2768" w:type="dxa"/>
                  <w:vAlign w:val="center"/>
                </w:tcPr>
                <w:p>
                  <w:pPr>
                    <w:widowControl/>
                    <w:jc w:val="center"/>
                    <w:rPr>
                      <w:bCs/>
                      <w:color w:val="0000FF"/>
                      <w:szCs w:val="21"/>
                    </w:rPr>
                  </w:pPr>
                  <w:r>
                    <w:rPr>
                      <w:bCs/>
                      <w:color w:val="0000FF"/>
                      <w:szCs w:val="21"/>
                    </w:rPr>
                    <w:t>昼间dB（A）</w:t>
                  </w:r>
                </w:p>
              </w:tc>
              <w:tc>
                <w:tcPr>
                  <w:tcW w:w="2769" w:type="dxa"/>
                  <w:vAlign w:val="center"/>
                </w:tcPr>
                <w:p>
                  <w:pPr>
                    <w:widowControl/>
                    <w:jc w:val="center"/>
                    <w:rPr>
                      <w:bCs/>
                      <w:color w:val="0000FF"/>
                      <w:szCs w:val="21"/>
                    </w:rPr>
                  </w:pPr>
                  <w:r>
                    <w:rPr>
                      <w:bCs/>
                      <w:color w:val="0000FF"/>
                      <w:szCs w:val="21"/>
                    </w:rPr>
                    <w:t>昼间dB（A）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769" w:type="dxa"/>
                  <w:vAlign w:val="center"/>
                </w:tcPr>
                <w:p>
                  <w:pPr>
                    <w:widowControl/>
                    <w:jc w:val="center"/>
                    <w:rPr>
                      <w:bCs/>
                      <w:color w:val="0000FF"/>
                      <w:szCs w:val="21"/>
                    </w:rPr>
                  </w:pPr>
                  <w:r>
                    <w:rPr>
                      <w:bCs/>
                      <w:color w:val="0000FF"/>
                      <w:szCs w:val="21"/>
                    </w:rPr>
                    <w:t>贡献值</w:t>
                  </w:r>
                </w:p>
              </w:tc>
              <w:tc>
                <w:tcPr>
                  <w:tcW w:w="2768" w:type="dxa"/>
                  <w:vAlign w:val="center"/>
                </w:tcPr>
                <w:p>
                  <w:pPr>
                    <w:widowControl/>
                    <w:jc w:val="center"/>
                    <w:rPr>
                      <w:bCs/>
                      <w:color w:val="0000FF"/>
                      <w:szCs w:val="21"/>
                    </w:rPr>
                  </w:pPr>
                  <w:r>
                    <w:rPr>
                      <w:rFonts w:hint="eastAsia"/>
                      <w:bCs/>
                      <w:color w:val="0000FF"/>
                      <w:szCs w:val="21"/>
                    </w:rPr>
                    <w:t>4</w:t>
                  </w:r>
                  <w:r>
                    <w:rPr>
                      <w:bCs/>
                      <w:color w:val="0000FF"/>
                      <w:szCs w:val="21"/>
                    </w:rPr>
                    <w:t>0</w:t>
                  </w:r>
                </w:p>
              </w:tc>
              <w:tc>
                <w:tcPr>
                  <w:tcW w:w="2769" w:type="dxa"/>
                  <w:vAlign w:val="center"/>
                </w:tcPr>
                <w:p>
                  <w:pPr>
                    <w:widowControl/>
                    <w:jc w:val="center"/>
                    <w:rPr>
                      <w:bCs/>
                      <w:color w:val="0000FF"/>
                      <w:szCs w:val="21"/>
                    </w:rPr>
                  </w:pPr>
                  <w:r>
                    <w:rPr>
                      <w:rFonts w:hint="eastAsia"/>
                      <w:bCs/>
                      <w:color w:val="0000FF"/>
                      <w:szCs w:val="21"/>
                    </w:rPr>
                    <w:t>4</w:t>
                  </w:r>
                  <w:r>
                    <w:rPr>
                      <w:bCs/>
                      <w:color w:val="0000FF"/>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769" w:type="dxa"/>
                  <w:vAlign w:val="center"/>
                </w:tcPr>
                <w:p>
                  <w:pPr>
                    <w:widowControl/>
                    <w:jc w:val="center"/>
                    <w:rPr>
                      <w:bCs/>
                      <w:color w:val="0000FF"/>
                      <w:szCs w:val="21"/>
                    </w:rPr>
                  </w:pPr>
                  <w:r>
                    <w:rPr>
                      <w:bCs/>
                      <w:color w:val="0000FF"/>
                      <w:szCs w:val="21"/>
                    </w:rPr>
                    <w:t>背景值</w:t>
                  </w:r>
                </w:p>
              </w:tc>
              <w:tc>
                <w:tcPr>
                  <w:tcW w:w="2768" w:type="dxa"/>
                  <w:vAlign w:val="center"/>
                </w:tcPr>
                <w:p>
                  <w:pPr>
                    <w:widowControl/>
                    <w:jc w:val="center"/>
                    <w:rPr>
                      <w:bCs/>
                      <w:color w:val="0000FF"/>
                      <w:szCs w:val="21"/>
                    </w:rPr>
                  </w:pPr>
                  <w:r>
                    <w:rPr>
                      <w:rFonts w:hint="eastAsia"/>
                      <w:bCs/>
                      <w:color w:val="0000FF"/>
                      <w:szCs w:val="21"/>
                    </w:rPr>
                    <w:t>5</w:t>
                  </w:r>
                  <w:r>
                    <w:rPr>
                      <w:bCs/>
                      <w:color w:val="0000FF"/>
                      <w:szCs w:val="21"/>
                    </w:rPr>
                    <w:t>0</w:t>
                  </w:r>
                </w:p>
              </w:tc>
              <w:tc>
                <w:tcPr>
                  <w:tcW w:w="2769" w:type="dxa"/>
                  <w:vAlign w:val="center"/>
                </w:tcPr>
                <w:p>
                  <w:pPr>
                    <w:widowControl/>
                    <w:jc w:val="center"/>
                    <w:rPr>
                      <w:bCs/>
                      <w:color w:val="0000FF"/>
                      <w:szCs w:val="21"/>
                    </w:rPr>
                  </w:pPr>
                  <w:r>
                    <w:rPr>
                      <w:rFonts w:hint="eastAsia"/>
                      <w:bCs/>
                      <w:color w:val="0000FF"/>
                      <w:szCs w:val="21"/>
                    </w:rPr>
                    <w:t>4</w:t>
                  </w:r>
                  <w:r>
                    <w:rPr>
                      <w:bCs/>
                      <w:color w:val="0000FF"/>
                      <w:szCs w:val="21"/>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769" w:type="dxa"/>
                  <w:vAlign w:val="center"/>
                </w:tcPr>
                <w:p>
                  <w:pPr>
                    <w:widowControl/>
                    <w:jc w:val="center"/>
                    <w:rPr>
                      <w:bCs/>
                      <w:color w:val="0000FF"/>
                      <w:szCs w:val="21"/>
                    </w:rPr>
                  </w:pPr>
                  <w:r>
                    <w:rPr>
                      <w:bCs/>
                      <w:color w:val="0000FF"/>
                      <w:szCs w:val="21"/>
                    </w:rPr>
                    <w:t>预测值</w:t>
                  </w:r>
                </w:p>
              </w:tc>
              <w:tc>
                <w:tcPr>
                  <w:tcW w:w="2768" w:type="dxa"/>
                  <w:vAlign w:val="center"/>
                </w:tcPr>
                <w:p>
                  <w:pPr>
                    <w:widowControl/>
                    <w:jc w:val="center"/>
                    <w:rPr>
                      <w:bCs/>
                      <w:color w:val="0000FF"/>
                      <w:szCs w:val="21"/>
                    </w:rPr>
                  </w:pPr>
                  <w:r>
                    <w:rPr>
                      <w:rFonts w:hint="eastAsia"/>
                      <w:bCs/>
                      <w:color w:val="0000FF"/>
                      <w:szCs w:val="21"/>
                    </w:rPr>
                    <w:t>5</w:t>
                  </w:r>
                  <w:r>
                    <w:rPr>
                      <w:bCs/>
                      <w:color w:val="0000FF"/>
                      <w:szCs w:val="21"/>
                    </w:rPr>
                    <w:t>0</w:t>
                  </w:r>
                </w:p>
              </w:tc>
              <w:tc>
                <w:tcPr>
                  <w:tcW w:w="2769" w:type="dxa"/>
                  <w:vAlign w:val="center"/>
                </w:tcPr>
                <w:p>
                  <w:pPr>
                    <w:widowControl/>
                    <w:jc w:val="center"/>
                    <w:rPr>
                      <w:bCs/>
                      <w:color w:val="0000FF"/>
                      <w:szCs w:val="21"/>
                    </w:rPr>
                  </w:pPr>
                  <w:r>
                    <w:rPr>
                      <w:rFonts w:hint="eastAsia"/>
                      <w:bCs/>
                      <w:color w:val="0000FF"/>
                      <w:szCs w:val="21"/>
                    </w:rPr>
                    <w:t>5</w:t>
                  </w:r>
                  <w:r>
                    <w:rPr>
                      <w:bCs/>
                      <w:color w:val="0000FF"/>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769" w:type="dxa"/>
                  <w:vAlign w:val="center"/>
                </w:tcPr>
                <w:p>
                  <w:pPr>
                    <w:widowControl/>
                    <w:jc w:val="center"/>
                    <w:rPr>
                      <w:bCs/>
                      <w:color w:val="0000FF"/>
                      <w:szCs w:val="21"/>
                    </w:rPr>
                  </w:pPr>
                  <w:r>
                    <w:rPr>
                      <w:bCs/>
                      <w:color w:val="0000FF"/>
                      <w:szCs w:val="21"/>
                    </w:rPr>
                    <w:t>标准值</w:t>
                  </w:r>
                </w:p>
              </w:tc>
              <w:tc>
                <w:tcPr>
                  <w:tcW w:w="2768" w:type="dxa"/>
                  <w:vAlign w:val="center"/>
                </w:tcPr>
                <w:p>
                  <w:pPr>
                    <w:widowControl/>
                    <w:jc w:val="center"/>
                    <w:rPr>
                      <w:bCs/>
                      <w:color w:val="0000FF"/>
                      <w:szCs w:val="21"/>
                    </w:rPr>
                  </w:pPr>
                  <w:r>
                    <w:rPr>
                      <w:bCs/>
                      <w:color w:val="0000FF"/>
                      <w:szCs w:val="21"/>
                    </w:rPr>
                    <w:t>60</w:t>
                  </w:r>
                </w:p>
              </w:tc>
              <w:tc>
                <w:tcPr>
                  <w:tcW w:w="2769" w:type="dxa"/>
                  <w:vAlign w:val="center"/>
                </w:tcPr>
                <w:p>
                  <w:pPr>
                    <w:widowControl/>
                    <w:jc w:val="center"/>
                    <w:rPr>
                      <w:bCs/>
                      <w:color w:val="0000FF"/>
                      <w:szCs w:val="21"/>
                    </w:rPr>
                  </w:pPr>
                  <w:r>
                    <w:rPr>
                      <w:bCs/>
                      <w:color w:val="0000FF"/>
                      <w:szCs w:val="21"/>
                    </w:rPr>
                    <w:t>60</w:t>
                  </w:r>
                </w:p>
              </w:tc>
            </w:tr>
          </w:tbl>
          <w:p>
            <w:pPr>
              <w:pStyle w:val="12"/>
              <w:tabs>
                <w:tab w:val="left" w:pos="4718"/>
              </w:tabs>
              <w:spacing w:line="360" w:lineRule="auto"/>
              <w:ind w:firstLine="420" w:firstLineChars="200"/>
              <w:rPr>
                <w:rFonts w:ascii="Times New Roman" w:hAnsi="Times New Roman"/>
                <w:color w:val="0000FF"/>
                <w:szCs w:val="21"/>
              </w:rPr>
            </w:pPr>
            <w:r>
              <w:rPr>
                <w:rFonts w:ascii="Times New Roman" w:hAnsi="Times New Roman"/>
                <w:color w:val="0000FF"/>
              </w:rPr>
              <w:t>根据预测结果，</w:t>
            </w:r>
            <w:r>
              <w:rPr>
                <w:rFonts w:ascii="Times New Roman" w:hAnsi="Times New Roman"/>
                <w:color w:val="0000FF"/>
                <w:szCs w:val="21"/>
              </w:rPr>
              <w:t>项目运行后东侧、南侧声环境敏感点民兴村声环境质量满足《声环境质量标准》（GB3096-2008）2类标准</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4）噪声监测计划</w:t>
            </w:r>
          </w:p>
          <w:p>
            <w:pPr>
              <w:pStyle w:val="12"/>
              <w:tabs>
                <w:tab w:val="left" w:pos="4718"/>
              </w:tabs>
              <w:spacing w:line="360" w:lineRule="auto"/>
              <w:ind w:firstLine="420" w:firstLineChars="200"/>
              <w:rPr>
                <w:rFonts w:ascii="Times New Roman" w:hAnsi="宋体"/>
              </w:rPr>
            </w:pPr>
            <w:r>
              <w:rPr>
                <w:rFonts w:ascii="Times New Roman" w:hAnsi="宋体"/>
              </w:rPr>
              <w:t>运营期噪声监测计划见表</w:t>
            </w:r>
            <w:r>
              <w:rPr>
                <w:rFonts w:hint="eastAsia" w:ascii="Times New Roman" w:hAnsi="宋体"/>
              </w:rPr>
              <w:t>4</w:t>
            </w:r>
            <w:r>
              <w:rPr>
                <w:rFonts w:ascii="Times New Roman" w:hAnsi="宋体"/>
              </w:rPr>
              <w:t>-13。</w:t>
            </w:r>
          </w:p>
          <w:p>
            <w:pPr>
              <w:ind w:firstLine="422" w:firstLineChars="200"/>
              <w:jc w:val="center"/>
              <w:rPr>
                <w:b/>
                <w:bCs/>
                <w:szCs w:val="21"/>
              </w:rPr>
            </w:pPr>
            <w:r>
              <w:rPr>
                <w:b/>
                <w:bCs/>
                <w:szCs w:val="21"/>
              </w:rPr>
              <w:t>表4-13    运营期噪声污染源自行监测计划（建议）</w:t>
            </w:r>
          </w:p>
          <w:tbl>
            <w:tblPr>
              <w:tblStyle w:val="23"/>
              <w:tblW w:w="83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199"/>
              <w:gridCol w:w="1801"/>
              <w:gridCol w:w="1133"/>
              <w:gridCol w:w="32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882" w:type="dxa"/>
                  <w:vAlign w:val="center"/>
                </w:tcPr>
                <w:p>
                  <w:pPr>
                    <w:adjustRightInd w:val="0"/>
                    <w:snapToGrid w:val="0"/>
                    <w:jc w:val="center"/>
                    <w:rPr>
                      <w:bCs/>
                      <w:szCs w:val="21"/>
                    </w:rPr>
                  </w:pPr>
                  <w:r>
                    <w:rPr>
                      <w:bCs/>
                      <w:szCs w:val="21"/>
                    </w:rPr>
                    <w:t>类别</w:t>
                  </w:r>
                </w:p>
              </w:tc>
              <w:tc>
                <w:tcPr>
                  <w:tcW w:w="1199" w:type="dxa"/>
                  <w:vAlign w:val="center"/>
                </w:tcPr>
                <w:p>
                  <w:pPr>
                    <w:adjustRightInd w:val="0"/>
                    <w:snapToGrid w:val="0"/>
                    <w:jc w:val="center"/>
                    <w:rPr>
                      <w:bCs/>
                      <w:szCs w:val="21"/>
                    </w:rPr>
                  </w:pPr>
                  <w:r>
                    <w:rPr>
                      <w:bCs/>
                      <w:szCs w:val="21"/>
                    </w:rPr>
                    <w:t>监测项目</w:t>
                  </w:r>
                </w:p>
              </w:tc>
              <w:tc>
                <w:tcPr>
                  <w:tcW w:w="1801" w:type="dxa"/>
                  <w:vAlign w:val="center"/>
                </w:tcPr>
                <w:p>
                  <w:pPr>
                    <w:pStyle w:val="17"/>
                    <w:pBdr>
                      <w:bottom w:val="none" w:color="auto" w:sz="0" w:space="0"/>
                    </w:pBdr>
                    <w:tabs>
                      <w:tab w:val="left" w:pos="420"/>
                    </w:tabs>
                    <w:adjustRightInd w:val="0"/>
                    <w:rPr>
                      <w:bCs/>
                      <w:kern w:val="2"/>
                      <w:sz w:val="21"/>
                      <w:szCs w:val="21"/>
                    </w:rPr>
                  </w:pPr>
                  <w:r>
                    <w:rPr>
                      <w:bCs/>
                      <w:kern w:val="2"/>
                      <w:sz w:val="21"/>
                      <w:szCs w:val="21"/>
                    </w:rPr>
                    <w:t>监测点位</w:t>
                  </w:r>
                </w:p>
              </w:tc>
              <w:tc>
                <w:tcPr>
                  <w:tcW w:w="1133" w:type="dxa"/>
                  <w:vAlign w:val="center"/>
                </w:tcPr>
                <w:p>
                  <w:pPr>
                    <w:pStyle w:val="17"/>
                    <w:pBdr>
                      <w:bottom w:val="none" w:color="auto" w:sz="0" w:space="0"/>
                    </w:pBdr>
                    <w:tabs>
                      <w:tab w:val="left" w:pos="420"/>
                    </w:tabs>
                    <w:adjustRightInd w:val="0"/>
                    <w:rPr>
                      <w:bCs/>
                      <w:kern w:val="2"/>
                      <w:sz w:val="21"/>
                      <w:szCs w:val="21"/>
                    </w:rPr>
                  </w:pPr>
                  <w:r>
                    <w:rPr>
                      <w:bCs/>
                      <w:kern w:val="2"/>
                      <w:sz w:val="21"/>
                      <w:szCs w:val="21"/>
                    </w:rPr>
                    <w:t>监测频次</w:t>
                  </w:r>
                </w:p>
              </w:tc>
              <w:tc>
                <w:tcPr>
                  <w:tcW w:w="3291" w:type="dxa"/>
                  <w:vAlign w:val="center"/>
                </w:tcPr>
                <w:p>
                  <w:pPr>
                    <w:adjustRightInd w:val="0"/>
                    <w:snapToGrid w:val="0"/>
                    <w:jc w:val="center"/>
                    <w:rPr>
                      <w:bCs/>
                      <w:szCs w:val="21"/>
                    </w:rPr>
                  </w:pPr>
                  <w:r>
                    <w:rPr>
                      <w:bCs/>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jc w:val="center"/>
              </w:trPr>
              <w:tc>
                <w:tcPr>
                  <w:tcW w:w="882" w:type="dxa"/>
                  <w:vAlign w:val="center"/>
                </w:tcPr>
                <w:p>
                  <w:pPr>
                    <w:adjustRightInd w:val="0"/>
                    <w:snapToGrid w:val="0"/>
                    <w:jc w:val="center"/>
                    <w:rPr>
                      <w:bCs/>
                      <w:szCs w:val="21"/>
                    </w:rPr>
                  </w:pPr>
                  <w:r>
                    <w:rPr>
                      <w:bCs/>
                      <w:szCs w:val="21"/>
                    </w:rPr>
                    <w:t>噪声</w:t>
                  </w:r>
                </w:p>
              </w:tc>
              <w:tc>
                <w:tcPr>
                  <w:tcW w:w="1199" w:type="dxa"/>
                  <w:vAlign w:val="center"/>
                </w:tcPr>
                <w:p>
                  <w:pPr>
                    <w:adjustRightInd w:val="0"/>
                    <w:snapToGrid w:val="0"/>
                    <w:jc w:val="center"/>
                    <w:rPr>
                      <w:bCs/>
                      <w:szCs w:val="21"/>
                    </w:rPr>
                  </w:pPr>
                  <w:r>
                    <w:rPr>
                      <w:bCs/>
                      <w:szCs w:val="21"/>
                    </w:rPr>
                    <w:t>厂界噪声</w:t>
                  </w:r>
                </w:p>
              </w:tc>
              <w:tc>
                <w:tcPr>
                  <w:tcW w:w="1801" w:type="dxa"/>
                  <w:vAlign w:val="center"/>
                </w:tcPr>
                <w:p>
                  <w:pPr>
                    <w:adjustRightInd w:val="0"/>
                    <w:snapToGrid w:val="0"/>
                    <w:jc w:val="center"/>
                    <w:rPr>
                      <w:bCs/>
                      <w:szCs w:val="21"/>
                    </w:rPr>
                  </w:pPr>
                  <w:r>
                    <w:rPr>
                      <w:bCs/>
                      <w:szCs w:val="21"/>
                    </w:rPr>
                    <w:t>东、西、南、北厂界外1m处</w:t>
                  </w:r>
                </w:p>
              </w:tc>
              <w:tc>
                <w:tcPr>
                  <w:tcW w:w="1133" w:type="dxa"/>
                  <w:vAlign w:val="center"/>
                </w:tcPr>
                <w:p>
                  <w:pPr>
                    <w:adjustRightInd w:val="0"/>
                    <w:snapToGrid w:val="0"/>
                    <w:jc w:val="center"/>
                    <w:rPr>
                      <w:bCs/>
                      <w:szCs w:val="21"/>
                    </w:rPr>
                  </w:pPr>
                  <w:r>
                    <w:rPr>
                      <w:bCs/>
                      <w:szCs w:val="21"/>
                    </w:rPr>
                    <w:t>1次/季</w:t>
                  </w:r>
                </w:p>
              </w:tc>
              <w:tc>
                <w:tcPr>
                  <w:tcW w:w="3291" w:type="dxa"/>
                  <w:vAlign w:val="center"/>
                </w:tcPr>
                <w:p>
                  <w:pPr>
                    <w:pStyle w:val="2"/>
                    <w:jc w:val="center"/>
                    <w:rPr>
                      <w:rFonts w:ascii="Times New Roman" w:cs="Times New Roman"/>
                      <w:bCs/>
                      <w:color w:val="auto"/>
                      <w:kern w:val="2"/>
                      <w:sz w:val="21"/>
                      <w:szCs w:val="21"/>
                    </w:rPr>
                  </w:pPr>
                  <w:r>
                    <w:rPr>
                      <w:rFonts w:ascii="Times New Roman" w:cs="Times New Roman"/>
                      <w:color w:val="auto"/>
                      <w:kern w:val="2"/>
                      <w:sz w:val="21"/>
                      <w:szCs w:val="21"/>
                    </w:rPr>
                    <w:t>厂界噪声执行《工业企业厂界环境噪声排放标准》2类标准</w:t>
                  </w:r>
                </w:p>
              </w:tc>
            </w:tr>
          </w:tbl>
          <w:p>
            <w:pPr>
              <w:pStyle w:val="12"/>
              <w:tabs>
                <w:tab w:val="left" w:pos="4718"/>
              </w:tabs>
              <w:spacing w:line="360" w:lineRule="auto"/>
              <w:ind w:firstLine="420" w:firstLineChars="200"/>
              <w:rPr>
                <w:rFonts w:ascii="Times New Roman" w:hAnsi="宋体"/>
              </w:rPr>
            </w:pPr>
            <w:r>
              <w:rPr>
                <w:rFonts w:hint="eastAsia" w:ascii="Times New Roman" w:hAnsi="宋体"/>
              </w:rPr>
              <w:t>4、固体废物</w:t>
            </w:r>
          </w:p>
          <w:p>
            <w:pPr>
              <w:pStyle w:val="12"/>
              <w:tabs>
                <w:tab w:val="left" w:pos="4718"/>
              </w:tabs>
              <w:spacing w:line="360" w:lineRule="auto"/>
              <w:ind w:firstLine="420" w:firstLineChars="200"/>
              <w:rPr>
                <w:rFonts w:ascii="Times New Roman" w:hAnsi="宋体"/>
              </w:rPr>
            </w:pPr>
            <w:r>
              <w:rPr>
                <w:rFonts w:ascii="Times New Roman" w:hAnsi="宋体"/>
              </w:rPr>
              <w:t>（</w:t>
            </w:r>
            <w:r>
              <w:rPr>
                <w:rFonts w:hint="eastAsia" w:ascii="Times New Roman" w:hAnsi="宋体"/>
              </w:rPr>
              <w:t>1）源强核算</w:t>
            </w:r>
          </w:p>
          <w:p>
            <w:pPr>
              <w:pStyle w:val="12"/>
              <w:tabs>
                <w:tab w:val="left" w:pos="4718"/>
              </w:tabs>
              <w:spacing w:line="360" w:lineRule="auto"/>
              <w:ind w:firstLine="420" w:firstLineChars="200"/>
              <w:rPr>
                <w:rFonts w:ascii="Times New Roman" w:hAnsi="宋体"/>
              </w:rPr>
            </w:pPr>
            <w:r>
              <w:rPr>
                <w:rFonts w:hint="eastAsia" w:ascii="Times New Roman" w:hAnsi="宋体"/>
              </w:rPr>
              <w:t>1）一般固废</w:t>
            </w:r>
          </w:p>
          <w:p>
            <w:pPr>
              <w:pStyle w:val="12"/>
              <w:tabs>
                <w:tab w:val="left" w:pos="4718"/>
              </w:tabs>
              <w:spacing w:line="360" w:lineRule="auto"/>
              <w:ind w:firstLine="420" w:firstLineChars="200"/>
              <w:rPr>
                <w:rFonts w:ascii="Times New Roman" w:hAnsi="宋体"/>
              </w:rPr>
            </w:pPr>
            <w:r>
              <w:rPr>
                <w:rFonts w:hAnsi="宋体" w:cs="宋体"/>
              </w:rPr>
              <w:t>①</w:t>
            </w:r>
            <w:r>
              <w:rPr>
                <w:rFonts w:ascii="Times New Roman" w:hAnsi="宋体"/>
              </w:rPr>
              <w:t>废边角料</w:t>
            </w:r>
          </w:p>
          <w:p>
            <w:pPr>
              <w:pStyle w:val="12"/>
              <w:tabs>
                <w:tab w:val="left" w:pos="4718"/>
              </w:tabs>
              <w:spacing w:line="360" w:lineRule="auto"/>
              <w:ind w:firstLine="420" w:firstLineChars="200"/>
              <w:rPr>
                <w:rFonts w:ascii="Times New Roman" w:hAnsi="宋体"/>
              </w:rPr>
            </w:pPr>
            <w:r>
              <w:rPr>
                <w:rFonts w:ascii="Times New Roman" w:hAnsi="宋体"/>
              </w:rPr>
              <w:t>参考同类行业验收数据，切割产生的废边角料约为原料用量的</w:t>
            </w:r>
            <w:r>
              <w:rPr>
                <w:rFonts w:hint="eastAsia" w:ascii="Times New Roman" w:hAnsi="宋体"/>
              </w:rPr>
              <w:t>3</w:t>
            </w:r>
            <w:r>
              <w:rPr>
                <w:rFonts w:ascii="Times New Roman" w:hAnsi="宋体"/>
              </w:rPr>
              <w:t>%-6%，本项目废边角料产生量约</w:t>
            </w:r>
            <w:r>
              <w:rPr>
                <w:rFonts w:hint="eastAsia" w:ascii="Times New Roman" w:hAnsi="宋体"/>
              </w:rPr>
              <w:t>5万m</w:t>
            </w:r>
            <w:r>
              <w:rPr>
                <w:rFonts w:ascii="Times New Roman" w:hAnsi="宋体"/>
                <w:vertAlign w:val="superscript"/>
              </w:rPr>
              <w:t>2</w:t>
            </w:r>
            <w:r>
              <w:rPr>
                <w:rFonts w:hint="eastAsia" w:ascii="Times New Roman" w:hAnsi="宋体"/>
              </w:rPr>
              <w:t>/</w:t>
            </w:r>
            <w:r>
              <w:rPr>
                <w:rFonts w:ascii="Times New Roman" w:hAnsi="宋体"/>
              </w:rPr>
              <w:t>a，每平米玻璃按</w:t>
            </w:r>
            <w:r>
              <w:rPr>
                <w:rFonts w:hint="eastAsia" w:ascii="Times New Roman" w:hAnsi="宋体"/>
              </w:rPr>
              <w:t>1</w:t>
            </w:r>
            <w:r>
              <w:rPr>
                <w:rFonts w:ascii="Times New Roman" w:hAnsi="宋体"/>
              </w:rPr>
              <w:t>5kg/m</w:t>
            </w:r>
            <w:r>
              <w:rPr>
                <w:rFonts w:ascii="Times New Roman" w:hAnsi="宋体"/>
                <w:vertAlign w:val="superscript"/>
              </w:rPr>
              <w:t>2</w:t>
            </w:r>
            <w:r>
              <w:rPr>
                <w:rFonts w:ascii="Times New Roman" w:hAnsi="宋体"/>
              </w:rPr>
              <w:t>，</w:t>
            </w:r>
            <w:r>
              <w:rPr>
                <w:rFonts w:hint="eastAsia" w:ascii="Times New Roman" w:hAnsi="宋体"/>
              </w:rPr>
              <w:t xml:space="preserve"> 经计算废边角料产生量7</w:t>
            </w:r>
            <w:r>
              <w:rPr>
                <w:rFonts w:ascii="Times New Roman" w:hAnsi="宋体"/>
              </w:rPr>
              <w:t>50t/a。</w:t>
            </w:r>
          </w:p>
          <w:p>
            <w:pPr>
              <w:pStyle w:val="12"/>
              <w:tabs>
                <w:tab w:val="left" w:pos="4718"/>
              </w:tabs>
              <w:spacing w:line="360" w:lineRule="auto"/>
              <w:ind w:firstLine="420" w:firstLineChars="200"/>
              <w:rPr>
                <w:rFonts w:ascii="Times New Roman" w:hAnsi="宋体"/>
              </w:rPr>
            </w:pPr>
            <w:r>
              <w:rPr>
                <w:rFonts w:hAnsi="宋体" w:cs="宋体"/>
              </w:rPr>
              <w:t>②</w:t>
            </w:r>
            <w:r>
              <w:rPr>
                <w:rFonts w:ascii="Times New Roman" w:hAnsi="宋体"/>
              </w:rPr>
              <w:t>废包装物</w:t>
            </w:r>
          </w:p>
          <w:p>
            <w:pPr>
              <w:pStyle w:val="12"/>
              <w:tabs>
                <w:tab w:val="left" w:pos="4718"/>
              </w:tabs>
              <w:spacing w:line="360" w:lineRule="auto"/>
              <w:ind w:firstLine="420" w:firstLineChars="200"/>
              <w:rPr>
                <w:rFonts w:ascii="Times New Roman" w:hAnsi="宋体"/>
              </w:rPr>
            </w:pPr>
            <w:r>
              <w:rPr>
                <w:rFonts w:ascii="Times New Roman" w:hAnsi="宋体"/>
              </w:rPr>
              <w:t>主要成分为纸、塑料类，初步估算年产生量约</w:t>
            </w:r>
            <w:r>
              <w:rPr>
                <w:rFonts w:hint="eastAsia" w:ascii="Times New Roman" w:hAnsi="宋体"/>
              </w:rPr>
              <w:t>0</w:t>
            </w:r>
            <w:r>
              <w:rPr>
                <w:rFonts w:ascii="Times New Roman" w:hAnsi="宋体"/>
              </w:rPr>
              <w:t>.5t/a。</w:t>
            </w:r>
          </w:p>
          <w:p>
            <w:pPr>
              <w:pStyle w:val="12"/>
              <w:tabs>
                <w:tab w:val="left" w:pos="4718"/>
              </w:tabs>
              <w:spacing w:line="360" w:lineRule="auto"/>
              <w:ind w:firstLine="420" w:firstLineChars="200"/>
              <w:rPr>
                <w:rFonts w:ascii="Times New Roman" w:hAnsi="宋体"/>
              </w:rPr>
            </w:pPr>
            <w:r>
              <w:rPr>
                <w:rFonts w:hAnsi="宋体" w:cs="宋体"/>
              </w:rPr>
              <w:t>③</w:t>
            </w:r>
            <w:r>
              <w:rPr>
                <w:rFonts w:ascii="Times New Roman" w:hAnsi="宋体"/>
              </w:rPr>
              <w:t>玻璃沉渣</w:t>
            </w:r>
          </w:p>
          <w:p>
            <w:pPr>
              <w:pStyle w:val="12"/>
              <w:tabs>
                <w:tab w:val="left" w:pos="4718"/>
              </w:tabs>
              <w:spacing w:line="360" w:lineRule="auto"/>
              <w:ind w:firstLine="420" w:firstLineChars="200"/>
              <w:rPr>
                <w:rFonts w:ascii="Times New Roman" w:hAnsi="宋体"/>
              </w:rPr>
            </w:pPr>
            <w:r>
              <w:rPr>
                <w:rFonts w:hint="eastAsia" w:ascii="Times New Roman" w:hAnsi="宋体"/>
              </w:rPr>
              <w:t>玻璃沉渣来自循环水箱定期清理，参考</w:t>
            </w:r>
            <w:r>
              <w:rPr>
                <w:rFonts w:ascii="Times New Roman" w:hAnsi="宋体"/>
              </w:rPr>
              <w:t>同类行业验收数据，玻璃沉渣产生量约</w:t>
            </w:r>
            <w:r>
              <w:rPr>
                <w:rFonts w:hint="eastAsia" w:ascii="Times New Roman" w:hAnsi="宋体"/>
              </w:rPr>
              <w:t>2</w:t>
            </w:r>
            <w:r>
              <w:rPr>
                <w:rFonts w:ascii="Times New Roman" w:hAnsi="宋体"/>
              </w:rPr>
              <w:t>.5t/a。</w:t>
            </w:r>
          </w:p>
          <w:p>
            <w:pPr>
              <w:pStyle w:val="12"/>
              <w:tabs>
                <w:tab w:val="left" w:pos="4718"/>
              </w:tabs>
              <w:spacing w:line="360" w:lineRule="auto"/>
              <w:ind w:firstLine="420" w:firstLineChars="200"/>
              <w:rPr>
                <w:rFonts w:ascii="Times New Roman" w:hAnsi="宋体"/>
              </w:rPr>
            </w:pPr>
            <w:r>
              <w:rPr>
                <w:rFonts w:hint="eastAsia" w:ascii="Times New Roman" w:hAnsi="宋体"/>
              </w:rPr>
              <w:t>2）生活垃圾</w:t>
            </w:r>
          </w:p>
          <w:p>
            <w:pPr>
              <w:pStyle w:val="12"/>
              <w:tabs>
                <w:tab w:val="left" w:pos="4718"/>
              </w:tabs>
              <w:spacing w:line="360" w:lineRule="auto"/>
              <w:ind w:firstLine="420" w:firstLineChars="200"/>
              <w:rPr>
                <w:rFonts w:ascii="Times New Roman" w:hAnsi="Times New Roman"/>
              </w:rPr>
            </w:pPr>
            <w:r>
              <w:rPr>
                <w:rFonts w:ascii="Times New Roman" w:hAnsi="Times New Roman"/>
              </w:rPr>
              <w:t>本项目劳动定员10人，厂区不为员工提供住宿，生活垃圾产生量按0.5kg/人·天计算，</w:t>
            </w:r>
            <w:r>
              <w:rPr>
                <w:rFonts w:ascii="Times New Roman" w:hAnsi="Times New Roman"/>
                <w:kern w:val="0"/>
                <w:szCs w:val="21"/>
              </w:rPr>
              <w:t>则生活垃圾产生量5kg/d，1.5t/a。经车间内垃圾桶收集后交当地环卫部门处置。</w:t>
            </w:r>
          </w:p>
          <w:p>
            <w:pPr>
              <w:pStyle w:val="12"/>
              <w:tabs>
                <w:tab w:val="left" w:pos="4718"/>
              </w:tabs>
              <w:spacing w:line="360" w:lineRule="auto"/>
              <w:ind w:firstLine="420" w:firstLineChars="200"/>
              <w:rPr>
                <w:rFonts w:ascii="Times New Roman" w:hAnsi="宋体"/>
              </w:rPr>
            </w:pPr>
            <w:r>
              <w:rPr>
                <w:rFonts w:hint="eastAsia" w:ascii="Times New Roman" w:hAnsi="宋体"/>
              </w:rPr>
              <w:t>3）危险废物</w:t>
            </w:r>
          </w:p>
          <w:p>
            <w:pPr>
              <w:pStyle w:val="12"/>
              <w:tabs>
                <w:tab w:val="left" w:pos="4718"/>
              </w:tabs>
              <w:spacing w:line="360" w:lineRule="auto"/>
              <w:ind w:firstLine="420" w:firstLineChars="200"/>
              <w:rPr>
                <w:rFonts w:ascii="Times New Roman" w:hAnsi="宋体"/>
              </w:rPr>
            </w:pPr>
            <w:r>
              <w:rPr>
                <w:rFonts w:hAnsi="宋体" w:cs="宋体"/>
              </w:rPr>
              <w:t>①</w:t>
            </w:r>
            <w:r>
              <w:rPr>
                <w:rFonts w:ascii="Times New Roman" w:hAnsi="宋体"/>
              </w:rPr>
              <w:t>废活性炭</w:t>
            </w:r>
          </w:p>
          <w:p>
            <w:pPr>
              <w:pStyle w:val="12"/>
              <w:tabs>
                <w:tab w:val="left" w:pos="4718"/>
              </w:tabs>
              <w:spacing w:line="360" w:lineRule="auto"/>
              <w:ind w:firstLine="420" w:firstLineChars="200"/>
              <w:rPr>
                <w:rFonts w:ascii="Times New Roman" w:hAnsi="Times New Roman"/>
                <w:szCs w:val="21"/>
              </w:rPr>
            </w:pPr>
            <w:r>
              <w:rPr>
                <w:rFonts w:ascii="Times New Roman" w:hAnsi="Times New Roman"/>
                <w:szCs w:val="21"/>
              </w:rPr>
              <w:t>本项目采用活性炭吸附装置处理非甲烷总烃，活性炭需要定期进行更换，更换周期为3个月一次，更换下的废活性炭属于危险废物（HW49 900-039-49），暂存于危废贮存库，委托有资质单位定期处置。</w:t>
            </w:r>
          </w:p>
          <w:p>
            <w:pPr>
              <w:pStyle w:val="12"/>
              <w:tabs>
                <w:tab w:val="left" w:pos="4718"/>
              </w:tabs>
              <w:spacing w:line="360" w:lineRule="auto"/>
              <w:ind w:firstLine="420" w:firstLineChars="200"/>
              <w:rPr>
                <w:rFonts w:ascii="Times New Roman" w:hAnsi="Times New Roman"/>
                <w:color w:val="0000FF"/>
                <w:szCs w:val="21"/>
              </w:rPr>
            </w:pPr>
            <w:r>
              <w:rPr>
                <w:rFonts w:ascii="Times New Roman" w:hAnsi="Times New Roman"/>
                <w:color w:val="0000FF"/>
                <w:szCs w:val="21"/>
              </w:rPr>
              <w:t>本项目活性炭吸附装置处理效率≥40%，对非甲烷总烃吸附量为0.2602t/a。</w:t>
            </w:r>
            <w:r>
              <w:rPr>
                <w:rFonts w:ascii="Times New Roman" w:hAnsi="Times New Roman"/>
                <w:color w:val="0000FF"/>
              </w:rPr>
              <w:t>根据《挥发性有机物的物化性质与活性炭饱和吸附量的相关研究》（《化工环保》2007年第27卷第5期）中内容，挥发性有机物活性炭饱和吸附量为200mg-300mg/g，本项目取250mg/g，经计算，废活性炭产生量1.30t/a（活性炭与有机废气总和）。环评要求：根据《2020年挥发性有机物治理攻坚方案》相关要求，本项目所用活性炭碘值不应低于800mg/g。</w:t>
            </w:r>
          </w:p>
          <w:p>
            <w:pPr>
              <w:pStyle w:val="12"/>
              <w:tabs>
                <w:tab w:val="left" w:pos="4718"/>
              </w:tabs>
              <w:spacing w:line="360" w:lineRule="auto"/>
              <w:ind w:firstLine="420" w:firstLineChars="200"/>
              <w:rPr>
                <w:rFonts w:ascii="Times New Roman" w:hAnsi="宋体"/>
              </w:rPr>
            </w:pPr>
            <w:r>
              <w:rPr>
                <w:rFonts w:hAnsi="宋体" w:cs="宋体"/>
              </w:rPr>
              <w:t>②</w:t>
            </w:r>
            <w:r>
              <w:rPr>
                <w:rFonts w:ascii="Times New Roman" w:hAnsi="宋体"/>
              </w:rPr>
              <w:t>废胶桶</w:t>
            </w:r>
          </w:p>
          <w:p>
            <w:pPr>
              <w:pStyle w:val="12"/>
              <w:tabs>
                <w:tab w:val="left" w:pos="4718"/>
              </w:tabs>
              <w:spacing w:line="360" w:lineRule="auto"/>
              <w:ind w:firstLine="420" w:firstLineChars="200"/>
              <w:rPr>
                <w:rFonts w:ascii="Times New Roman" w:hAnsi="Times New Roman"/>
              </w:rPr>
            </w:pPr>
            <w:r>
              <w:rPr>
                <w:rFonts w:ascii="Times New Roman" w:hAnsi="Times New Roman"/>
              </w:rPr>
              <w:t>产生于丁基密封胶和硅酮密封胶等物质的存放过程，</w:t>
            </w:r>
            <w:r>
              <w:rPr>
                <w:rFonts w:ascii="Times New Roman" w:hAnsi="Times New Roman"/>
                <w:kern w:val="0"/>
                <w:szCs w:val="21"/>
              </w:rPr>
              <w:t>经估算年产生量0.02t/a，属于危险废物，HW49 900-41-49，专用容器收集后</w:t>
            </w:r>
            <w:r>
              <w:rPr>
                <w:rFonts w:ascii="Times New Roman" w:hAnsi="Times New Roman"/>
              </w:rPr>
              <w:t>放于危废贮存库内，定期交有资质单位处置。</w:t>
            </w:r>
          </w:p>
          <w:p>
            <w:pPr>
              <w:pStyle w:val="12"/>
              <w:tabs>
                <w:tab w:val="left" w:pos="4718"/>
              </w:tabs>
              <w:spacing w:line="360" w:lineRule="auto"/>
              <w:ind w:firstLine="420" w:firstLineChars="200"/>
              <w:rPr>
                <w:rFonts w:ascii="Times New Roman" w:hAnsi="Times New Roman"/>
              </w:rPr>
            </w:pPr>
            <w:r>
              <w:rPr>
                <w:rFonts w:hint="eastAsia" w:hAnsi="宋体" w:cs="宋体"/>
              </w:rPr>
              <w:t>③</w:t>
            </w:r>
            <w:r>
              <w:rPr>
                <w:rFonts w:ascii="Times New Roman" w:hAnsi="Times New Roman"/>
              </w:rPr>
              <w:t>废机油、含油棉纱</w:t>
            </w:r>
          </w:p>
          <w:p>
            <w:pPr>
              <w:pStyle w:val="12"/>
              <w:tabs>
                <w:tab w:val="left" w:pos="4718"/>
              </w:tabs>
              <w:spacing w:line="360" w:lineRule="auto"/>
              <w:ind w:firstLine="420" w:firstLineChars="200"/>
              <w:rPr>
                <w:rFonts w:ascii="Times New Roman" w:hAnsi="Times New Roman"/>
              </w:rPr>
            </w:pPr>
            <w:r>
              <w:rPr>
                <w:rFonts w:ascii="Times New Roman" w:hAnsi="Times New Roman"/>
              </w:rPr>
              <w:t>产生于设备维护保养过程中，初步估算废机油产生量0.01t/a（</w:t>
            </w:r>
            <w:r>
              <w:rPr>
                <w:rFonts w:ascii="Times New Roman" w:hAnsi="Times New Roman"/>
                <w:kern w:val="0"/>
                <w:szCs w:val="21"/>
              </w:rPr>
              <w:t>HW08 900-249-08</w:t>
            </w:r>
            <w:r>
              <w:rPr>
                <w:rFonts w:ascii="Times New Roman" w:hAnsi="Times New Roman"/>
              </w:rPr>
              <w:t>），含油棉纱0.02t/a（</w:t>
            </w:r>
            <w:r>
              <w:rPr>
                <w:rFonts w:ascii="Times New Roman" w:hAnsi="Times New Roman"/>
                <w:kern w:val="0"/>
                <w:szCs w:val="21"/>
              </w:rPr>
              <w:t>HW49 900-041-49</w:t>
            </w:r>
            <w:r>
              <w:rPr>
                <w:rFonts w:ascii="Times New Roman" w:hAnsi="Times New Roman"/>
              </w:rPr>
              <w:t>），属危险废物，</w:t>
            </w:r>
            <w:r>
              <w:rPr>
                <w:rFonts w:hint="eastAsia" w:ascii="Times New Roman" w:hAnsi="Times New Roman"/>
                <w:color w:val="0000FF"/>
              </w:rPr>
              <w:t>分类</w:t>
            </w:r>
            <w:r>
              <w:rPr>
                <w:rFonts w:ascii="Times New Roman" w:hAnsi="Times New Roman"/>
                <w:color w:val="0000FF"/>
              </w:rPr>
              <w:t>收集后暂存于危废</w:t>
            </w:r>
            <w:r>
              <w:rPr>
                <w:rFonts w:hint="eastAsia" w:ascii="Times New Roman" w:hAnsi="Times New Roman"/>
                <w:color w:val="0000FF"/>
              </w:rPr>
              <w:t>贮存库</w:t>
            </w:r>
            <w:r>
              <w:rPr>
                <w:rFonts w:ascii="Times New Roman" w:hAnsi="Times New Roman"/>
                <w:color w:val="0000FF"/>
              </w:rPr>
              <w:t>内</w:t>
            </w:r>
            <w:r>
              <w:rPr>
                <w:rFonts w:ascii="Times New Roman" w:hAnsi="Times New Roman"/>
              </w:rPr>
              <w:t>，定期交有资质单位处置</w:t>
            </w:r>
            <w:r>
              <w:rPr>
                <w:rFonts w:hint="eastAsia" w:ascii="Times New Roman" w:hAnsi="Times New Roman"/>
                <w:color w:val="0000FF"/>
              </w:rPr>
              <w:t>（根据《国家危险废物名录.（2</w:t>
            </w:r>
            <w:r>
              <w:rPr>
                <w:rFonts w:ascii="Times New Roman" w:hAnsi="Times New Roman"/>
                <w:color w:val="0000FF"/>
              </w:rPr>
              <w:t>021</w:t>
            </w:r>
            <w:r>
              <w:rPr>
                <w:rFonts w:hint="eastAsia" w:ascii="Times New Roman" w:hAnsi="Times New Roman"/>
                <w:color w:val="0000FF"/>
              </w:rPr>
              <w:t>版）》“危险废物豁免管理清单”，本项目废含油抹布未分类收集情况下，全过程可不按危险废物管理）</w:t>
            </w:r>
            <w:r>
              <w:rPr>
                <w:rFonts w:ascii="Times New Roman" w:hAnsi="Times New Roman"/>
                <w:color w:val="0000FF"/>
              </w:rPr>
              <w:t>。</w:t>
            </w:r>
          </w:p>
          <w:p>
            <w:pPr>
              <w:ind w:leftChars="-3" w:hanging="6" w:hangingChars="3"/>
              <w:jc w:val="center"/>
              <w:rPr>
                <w:rFonts w:hAnsi="宋体"/>
                <w:b/>
                <w:bCs/>
                <w:szCs w:val="21"/>
              </w:rPr>
            </w:pPr>
            <w:r>
              <w:rPr>
                <w:rFonts w:hAnsi="宋体"/>
                <w:b/>
                <w:bCs/>
                <w:szCs w:val="21"/>
              </w:rPr>
              <w:t xml:space="preserve">表 4-14    </w:t>
            </w:r>
            <w:r>
              <w:rPr>
                <w:rFonts w:hint="eastAsia" w:hAnsi="宋体"/>
                <w:b/>
                <w:bCs/>
                <w:szCs w:val="21"/>
              </w:rPr>
              <w:t>本项目</w:t>
            </w:r>
            <w:r>
              <w:rPr>
                <w:rFonts w:hAnsi="宋体"/>
                <w:b/>
                <w:bCs/>
                <w:szCs w:val="21"/>
              </w:rPr>
              <w:t>固体废物利用处置方式一览表</w:t>
            </w:r>
          </w:p>
          <w:tbl>
            <w:tblPr>
              <w:tblStyle w:val="23"/>
              <w:tblW w:w="83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264"/>
              <w:gridCol w:w="1125"/>
              <w:gridCol w:w="842"/>
              <w:gridCol w:w="701"/>
              <w:gridCol w:w="983"/>
              <w:gridCol w:w="1407"/>
              <w:gridCol w:w="1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bCs/>
                      <w:szCs w:val="21"/>
                    </w:rPr>
                    <w:t>序号</w:t>
                  </w:r>
                </w:p>
              </w:tc>
              <w:tc>
                <w:tcPr>
                  <w:tcW w:w="1264" w:type="dxa"/>
                  <w:tcBorders>
                    <w:left w:val="single" w:color="auto" w:sz="4" w:space="0"/>
                    <w:right w:val="single" w:color="auto" w:sz="4" w:space="0"/>
                  </w:tcBorders>
                  <w:vAlign w:val="center"/>
                </w:tcPr>
                <w:p>
                  <w:pPr>
                    <w:widowControl/>
                    <w:jc w:val="center"/>
                    <w:rPr>
                      <w:bCs/>
                      <w:szCs w:val="21"/>
                    </w:rPr>
                  </w:pPr>
                  <w:r>
                    <w:rPr>
                      <w:bCs/>
                      <w:szCs w:val="21"/>
                    </w:rPr>
                    <w:t>名称</w:t>
                  </w:r>
                </w:p>
              </w:tc>
              <w:tc>
                <w:tcPr>
                  <w:tcW w:w="1125" w:type="dxa"/>
                  <w:tcBorders>
                    <w:left w:val="single" w:color="auto" w:sz="4" w:space="0"/>
                    <w:right w:val="single" w:color="auto" w:sz="4" w:space="0"/>
                  </w:tcBorders>
                  <w:vAlign w:val="center"/>
                </w:tcPr>
                <w:p>
                  <w:pPr>
                    <w:widowControl/>
                    <w:jc w:val="center"/>
                    <w:rPr>
                      <w:bCs/>
                      <w:szCs w:val="21"/>
                    </w:rPr>
                  </w:pPr>
                  <w:r>
                    <w:rPr>
                      <w:bCs/>
                      <w:szCs w:val="21"/>
                    </w:rPr>
                    <w:t>产生工序</w:t>
                  </w:r>
                </w:p>
              </w:tc>
              <w:tc>
                <w:tcPr>
                  <w:tcW w:w="842" w:type="dxa"/>
                  <w:tcBorders>
                    <w:left w:val="single" w:color="auto" w:sz="4" w:space="0"/>
                    <w:right w:val="single" w:color="auto" w:sz="4" w:space="0"/>
                  </w:tcBorders>
                  <w:vAlign w:val="center"/>
                </w:tcPr>
                <w:p>
                  <w:pPr>
                    <w:widowControl/>
                    <w:jc w:val="center"/>
                    <w:rPr>
                      <w:bCs/>
                      <w:szCs w:val="21"/>
                    </w:rPr>
                  </w:pPr>
                  <w:r>
                    <w:rPr>
                      <w:szCs w:val="21"/>
                    </w:rPr>
                    <w:t>形态</w:t>
                  </w:r>
                </w:p>
              </w:tc>
              <w:tc>
                <w:tcPr>
                  <w:tcW w:w="701" w:type="dxa"/>
                  <w:tcBorders>
                    <w:left w:val="single" w:color="auto" w:sz="4" w:space="0"/>
                  </w:tcBorders>
                  <w:vAlign w:val="center"/>
                </w:tcPr>
                <w:p>
                  <w:pPr>
                    <w:widowControl/>
                    <w:jc w:val="center"/>
                    <w:rPr>
                      <w:bCs/>
                      <w:szCs w:val="21"/>
                    </w:rPr>
                  </w:pPr>
                  <w:r>
                    <w:rPr>
                      <w:szCs w:val="21"/>
                    </w:rPr>
                    <w:t>属性</w:t>
                  </w:r>
                </w:p>
              </w:tc>
              <w:tc>
                <w:tcPr>
                  <w:tcW w:w="983" w:type="dxa"/>
                  <w:tcBorders>
                    <w:right w:val="single" w:color="auto" w:sz="4" w:space="0"/>
                  </w:tcBorders>
                  <w:vAlign w:val="center"/>
                </w:tcPr>
                <w:p>
                  <w:pPr>
                    <w:adjustRightInd w:val="0"/>
                    <w:snapToGrid w:val="0"/>
                    <w:jc w:val="center"/>
                    <w:rPr>
                      <w:szCs w:val="21"/>
                    </w:rPr>
                  </w:pPr>
                  <w:r>
                    <w:rPr>
                      <w:szCs w:val="21"/>
                    </w:rPr>
                    <w:t>产生量</w:t>
                  </w:r>
                </w:p>
                <w:p>
                  <w:pPr>
                    <w:widowControl/>
                    <w:jc w:val="center"/>
                    <w:rPr>
                      <w:bCs/>
                      <w:szCs w:val="21"/>
                    </w:rPr>
                  </w:pPr>
                  <w:r>
                    <w:rPr>
                      <w:szCs w:val="21"/>
                    </w:rPr>
                    <w:t>（t/a）</w:t>
                  </w:r>
                </w:p>
              </w:tc>
              <w:tc>
                <w:tcPr>
                  <w:tcW w:w="1407" w:type="dxa"/>
                  <w:tcBorders>
                    <w:left w:val="single" w:color="auto" w:sz="4" w:space="0"/>
                    <w:bottom w:val="single" w:color="auto" w:sz="4" w:space="0"/>
                    <w:right w:val="single" w:color="auto" w:sz="4" w:space="0"/>
                  </w:tcBorders>
                  <w:vAlign w:val="center"/>
                </w:tcPr>
                <w:p>
                  <w:pPr>
                    <w:widowControl/>
                    <w:jc w:val="center"/>
                    <w:rPr>
                      <w:bCs/>
                      <w:szCs w:val="21"/>
                    </w:rPr>
                  </w:pPr>
                  <w:r>
                    <w:rPr>
                      <w:szCs w:val="21"/>
                    </w:rPr>
                    <w:t>废物代码</w:t>
                  </w:r>
                </w:p>
              </w:tc>
              <w:tc>
                <w:tcPr>
                  <w:tcW w:w="1543" w:type="dxa"/>
                  <w:tcBorders>
                    <w:left w:val="single" w:color="auto" w:sz="4" w:space="0"/>
                  </w:tcBorders>
                  <w:vAlign w:val="center"/>
                </w:tcPr>
                <w:p>
                  <w:pPr>
                    <w:adjustRightInd w:val="0"/>
                    <w:jc w:val="center"/>
                    <w:textAlignment w:val="center"/>
                    <w:rPr>
                      <w:szCs w:val="21"/>
                    </w:rPr>
                  </w:pPr>
                  <w:r>
                    <w:rPr>
                      <w:szCs w:val="21"/>
                    </w:rPr>
                    <w:t>(拟)采取</w:t>
                  </w:r>
                </w:p>
                <w:p>
                  <w:pPr>
                    <w:widowControl/>
                    <w:jc w:val="center"/>
                    <w:rPr>
                      <w:bCs/>
                      <w:szCs w:val="21"/>
                    </w:rPr>
                  </w:pPr>
                  <w:r>
                    <w:rPr>
                      <w:szCs w:val="21"/>
                    </w:rPr>
                    <w:t>处理措施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1</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废边角料</w:t>
                  </w:r>
                </w:p>
              </w:tc>
              <w:tc>
                <w:tcPr>
                  <w:tcW w:w="1125" w:type="dxa"/>
                  <w:vMerge w:val="restart"/>
                  <w:tcBorders>
                    <w:left w:val="single" w:color="auto" w:sz="4" w:space="0"/>
                    <w:right w:val="single" w:color="auto" w:sz="4" w:space="0"/>
                  </w:tcBorders>
                  <w:vAlign w:val="center"/>
                </w:tcPr>
                <w:p>
                  <w:pPr>
                    <w:widowControl/>
                    <w:jc w:val="center"/>
                    <w:rPr>
                      <w:bCs/>
                      <w:szCs w:val="21"/>
                    </w:rPr>
                  </w:pPr>
                  <w:r>
                    <w:rPr>
                      <w:rFonts w:hint="eastAsia"/>
                      <w:bCs/>
                      <w:szCs w:val="21"/>
                    </w:rPr>
                    <w:t>生产</w:t>
                  </w: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固态</w:t>
                  </w:r>
                </w:p>
              </w:tc>
              <w:tc>
                <w:tcPr>
                  <w:tcW w:w="701" w:type="dxa"/>
                  <w:vMerge w:val="restart"/>
                  <w:tcBorders>
                    <w:left w:val="single" w:color="auto" w:sz="4" w:space="0"/>
                  </w:tcBorders>
                  <w:vAlign w:val="center"/>
                </w:tcPr>
                <w:p>
                  <w:pPr>
                    <w:widowControl/>
                    <w:jc w:val="center"/>
                    <w:rPr>
                      <w:bCs/>
                      <w:szCs w:val="21"/>
                    </w:rPr>
                  </w:pPr>
                  <w:r>
                    <w:rPr>
                      <w:rFonts w:hint="eastAsia"/>
                      <w:bCs/>
                      <w:szCs w:val="21"/>
                    </w:rPr>
                    <w:t>一般固废</w:t>
                  </w:r>
                </w:p>
              </w:tc>
              <w:tc>
                <w:tcPr>
                  <w:tcW w:w="983" w:type="dxa"/>
                  <w:tcBorders>
                    <w:right w:val="single" w:color="auto" w:sz="4" w:space="0"/>
                  </w:tcBorders>
                  <w:vAlign w:val="center"/>
                </w:tcPr>
                <w:p>
                  <w:pPr>
                    <w:widowControl/>
                    <w:jc w:val="center"/>
                    <w:rPr>
                      <w:bCs/>
                      <w:szCs w:val="21"/>
                    </w:rPr>
                  </w:pPr>
                  <w:r>
                    <w:rPr>
                      <w:rFonts w:hint="eastAsia"/>
                      <w:bCs/>
                      <w:szCs w:val="21"/>
                    </w:rPr>
                    <w:t>7</w:t>
                  </w:r>
                  <w:r>
                    <w:rPr>
                      <w:bCs/>
                      <w:szCs w:val="21"/>
                    </w:rPr>
                    <w:t>50</w:t>
                  </w:r>
                </w:p>
              </w:tc>
              <w:tc>
                <w:tcPr>
                  <w:tcW w:w="1407" w:type="dxa"/>
                  <w:tcBorders>
                    <w:top w:val="single" w:color="auto" w:sz="4" w:space="0"/>
                    <w:left w:val="single" w:color="auto" w:sz="4" w:space="0"/>
                    <w:right w:val="single" w:color="auto" w:sz="4" w:space="0"/>
                  </w:tcBorders>
                  <w:vAlign w:val="center"/>
                </w:tcPr>
                <w:p>
                  <w:pPr>
                    <w:widowControl/>
                    <w:jc w:val="center"/>
                    <w:rPr>
                      <w:bCs/>
                      <w:szCs w:val="21"/>
                    </w:rPr>
                  </w:pPr>
                  <w:r>
                    <w:rPr>
                      <w:rFonts w:hint="eastAsia"/>
                      <w:bCs/>
                      <w:szCs w:val="21"/>
                    </w:rPr>
                    <w:t>9</w:t>
                  </w:r>
                  <w:r>
                    <w:rPr>
                      <w:bCs/>
                      <w:szCs w:val="21"/>
                    </w:rPr>
                    <w:t>9</w:t>
                  </w:r>
                  <w:r>
                    <w:rPr>
                      <w:rFonts w:hint="eastAsia"/>
                      <w:bCs/>
                      <w:szCs w:val="21"/>
                    </w:rPr>
                    <w:t>其他废物</w:t>
                  </w:r>
                </w:p>
              </w:tc>
              <w:tc>
                <w:tcPr>
                  <w:tcW w:w="1543" w:type="dxa"/>
                  <w:vMerge w:val="restart"/>
                  <w:tcBorders>
                    <w:left w:val="single" w:color="auto" w:sz="4" w:space="0"/>
                  </w:tcBorders>
                  <w:vAlign w:val="center"/>
                </w:tcPr>
                <w:p>
                  <w:pPr>
                    <w:widowControl/>
                    <w:jc w:val="center"/>
                    <w:rPr>
                      <w:bCs/>
                      <w:szCs w:val="21"/>
                    </w:rPr>
                  </w:pPr>
                  <w:r>
                    <w:rPr>
                      <w:rFonts w:hint="eastAsia"/>
                      <w:bCs/>
                      <w:szCs w:val="21"/>
                    </w:rPr>
                    <w:t>分类收集后，外售专业回收单位处置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2</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废包装物</w:t>
                  </w:r>
                </w:p>
              </w:tc>
              <w:tc>
                <w:tcPr>
                  <w:tcW w:w="1125" w:type="dxa"/>
                  <w:vMerge w:val="continue"/>
                  <w:tcBorders>
                    <w:left w:val="single" w:color="auto" w:sz="4" w:space="0"/>
                    <w:right w:val="single" w:color="auto" w:sz="4" w:space="0"/>
                  </w:tcBorders>
                  <w:vAlign w:val="center"/>
                </w:tcPr>
                <w:p>
                  <w:pPr>
                    <w:widowControl/>
                    <w:jc w:val="center"/>
                    <w:rPr>
                      <w:bCs/>
                      <w:szCs w:val="21"/>
                    </w:rPr>
                  </w:pP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固态</w:t>
                  </w:r>
                </w:p>
              </w:tc>
              <w:tc>
                <w:tcPr>
                  <w:tcW w:w="701" w:type="dxa"/>
                  <w:vMerge w:val="continue"/>
                  <w:tcBorders>
                    <w:left w:val="single" w:color="auto" w:sz="4" w:space="0"/>
                  </w:tcBorders>
                  <w:vAlign w:val="center"/>
                </w:tcPr>
                <w:p>
                  <w:pPr>
                    <w:widowControl/>
                    <w:jc w:val="center"/>
                    <w:rPr>
                      <w:bCs/>
                      <w:szCs w:val="21"/>
                    </w:rPr>
                  </w:pPr>
                </w:p>
              </w:tc>
              <w:tc>
                <w:tcPr>
                  <w:tcW w:w="983" w:type="dxa"/>
                  <w:tcBorders>
                    <w:right w:val="single" w:color="auto" w:sz="4" w:space="0"/>
                  </w:tcBorders>
                  <w:vAlign w:val="center"/>
                </w:tcPr>
                <w:p>
                  <w:pPr>
                    <w:widowControl/>
                    <w:jc w:val="center"/>
                    <w:rPr>
                      <w:bCs/>
                      <w:szCs w:val="21"/>
                    </w:rPr>
                  </w:pPr>
                  <w:r>
                    <w:rPr>
                      <w:rFonts w:hint="eastAsia"/>
                      <w:bCs/>
                      <w:szCs w:val="21"/>
                    </w:rPr>
                    <w:t>0</w:t>
                  </w:r>
                  <w:r>
                    <w:rPr>
                      <w:bCs/>
                      <w:szCs w:val="21"/>
                    </w:rPr>
                    <w:t>.5</w:t>
                  </w:r>
                </w:p>
              </w:tc>
              <w:tc>
                <w:tcPr>
                  <w:tcW w:w="1407" w:type="dxa"/>
                  <w:tcBorders>
                    <w:left w:val="single" w:color="auto" w:sz="4" w:space="0"/>
                    <w:right w:val="single" w:color="auto" w:sz="4" w:space="0"/>
                  </w:tcBorders>
                  <w:vAlign w:val="center"/>
                </w:tcPr>
                <w:p>
                  <w:pPr>
                    <w:widowControl/>
                    <w:jc w:val="center"/>
                    <w:rPr>
                      <w:bCs/>
                      <w:szCs w:val="21"/>
                    </w:rPr>
                  </w:pPr>
                  <w:r>
                    <w:rPr>
                      <w:rFonts w:hint="eastAsia"/>
                      <w:bCs/>
                      <w:szCs w:val="21"/>
                    </w:rPr>
                    <w:t>9</w:t>
                  </w:r>
                  <w:r>
                    <w:rPr>
                      <w:bCs/>
                      <w:szCs w:val="21"/>
                    </w:rPr>
                    <w:t>9</w:t>
                  </w:r>
                  <w:r>
                    <w:rPr>
                      <w:rFonts w:hint="eastAsia"/>
                      <w:bCs/>
                      <w:szCs w:val="21"/>
                    </w:rPr>
                    <w:t>其他废物</w:t>
                  </w:r>
                </w:p>
              </w:tc>
              <w:tc>
                <w:tcPr>
                  <w:tcW w:w="1543" w:type="dxa"/>
                  <w:vMerge w:val="continue"/>
                  <w:tcBorders>
                    <w:left w:val="single" w:color="auto" w:sz="4" w:space="0"/>
                  </w:tcBorders>
                  <w:vAlign w:val="center"/>
                </w:tcPr>
                <w:p>
                  <w:pPr>
                    <w:widowControl/>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3</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玻璃沉渣</w:t>
                  </w:r>
                </w:p>
              </w:tc>
              <w:tc>
                <w:tcPr>
                  <w:tcW w:w="1125" w:type="dxa"/>
                  <w:vMerge w:val="continue"/>
                  <w:tcBorders>
                    <w:left w:val="single" w:color="auto" w:sz="4" w:space="0"/>
                    <w:right w:val="single" w:color="auto" w:sz="4" w:space="0"/>
                  </w:tcBorders>
                  <w:vAlign w:val="center"/>
                </w:tcPr>
                <w:p>
                  <w:pPr>
                    <w:widowControl/>
                    <w:jc w:val="center"/>
                    <w:rPr>
                      <w:bCs/>
                      <w:szCs w:val="21"/>
                    </w:rPr>
                  </w:pP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固态</w:t>
                  </w:r>
                </w:p>
              </w:tc>
              <w:tc>
                <w:tcPr>
                  <w:tcW w:w="701" w:type="dxa"/>
                  <w:vMerge w:val="continue"/>
                  <w:tcBorders>
                    <w:left w:val="single" w:color="auto" w:sz="4" w:space="0"/>
                  </w:tcBorders>
                  <w:vAlign w:val="center"/>
                </w:tcPr>
                <w:p>
                  <w:pPr>
                    <w:widowControl/>
                    <w:jc w:val="center"/>
                    <w:rPr>
                      <w:bCs/>
                      <w:szCs w:val="21"/>
                    </w:rPr>
                  </w:pPr>
                </w:p>
              </w:tc>
              <w:tc>
                <w:tcPr>
                  <w:tcW w:w="983" w:type="dxa"/>
                  <w:tcBorders>
                    <w:right w:val="single" w:color="auto" w:sz="4" w:space="0"/>
                  </w:tcBorders>
                  <w:vAlign w:val="center"/>
                </w:tcPr>
                <w:p>
                  <w:pPr>
                    <w:widowControl/>
                    <w:jc w:val="center"/>
                    <w:rPr>
                      <w:bCs/>
                      <w:szCs w:val="21"/>
                    </w:rPr>
                  </w:pPr>
                  <w:r>
                    <w:rPr>
                      <w:rFonts w:hint="eastAsia"/>
                      <w:bCs/>
                      <w:szCs w:val="21"/>
                    </w:rPr>
                    <w:t>2</w:t>
                  </w:r>
                  <w:r>
                    <w:rPr>
                      <w:bCs/>
                      <w:szCs w:val="21"/>
                    </w:rPr>
                    <w:t>.5</w:t>
                  </w:r>
                </w:p>
              </w:tc>
              <w:tc>
                <w:tcPr>
                  <w:tcW w:w="1407" w:type="dxa"/>
                  <w:tcBorders>
                    <w:left w:val="single" w:color="auto" w:sz="4" w:space="0"/>
                    <w:right w:val="single" w:color="auto" w:sz="4" w:space="0"/>
                  </w:tcBorders>
                  <w:vAlign w:val="center"/>
                </w:tcPr>
                <w:p>
                  <w:pPr>
                    <w:widowControl/>
                    <w:jc w:val="center"/>
                    <w:rPr>
                      <w:bCs/>
                      <w:szCs w:val="21"/>
                    </w:rPr>
                  </w:pPr>
                  <w:r>
                    <w:rPr>
                      <w:rFonts w:hint="eastAsia"/>
                      <w:bCs/>
                      <w:szCs w:val="21"/>
                    </w:rPr>
                    <w:t>9</w:t>
                  </w:r>
                  <w:r>
                    <w:rPr>
                      <w:bCs/>
                      <w:szCs w:val="21"/>
                    </w:rPr>
                    <w:t>9</w:t>
                  </w:r>
                  <w:r>
                    <w:rPr>
                      <w:rFonts w:hint="eastAsia"/>
                      <w:bCs/>
                      <w:szCs w:val="21"/>
                    </w:rPr>
                    <w:t>其他废物</w:t>
                  </w:r>
                </w:p>
              </w:tc>
              <w:tc>
                <w:tcPr>
                  <w:tcW w:w="1543" w:type="dxa"/>
                  <w:vMerge w:val="continue"/>
                  <w:tcBorders>
                    <w:left w:val="single" w:color="auto" w:sz="4" w:space="0"/>
                  </w:tcBorders>
                  <w:vAlign w:val="center"/>
                </w:tcPr>
                <w:p>
                  <w:pPr>
                    <w:widowControl/>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4</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生活垃圾</w:t>
                  </w:r>
                </w:p>
              </w:tc>
              <w:tc>
                <w:tcPr>
                  <w:tcW w:w="1125" w:type="dxa"/>
                  <w:tcBorders>
                    <w:left w:val="single" w:color="auto" w:sz="4" w:space="0"/>
                    <w:right w:val="single" w:color="auto" w:sz="4" w:space="0"/>
                  </w:tcBorders>
                  <w:vAlign w:val="center"/>
                </w:tcPr>
                <w:p>
                  <w:pPr>
                    <w:widowControl/>
                    <w:jc w:val="center"/>
                    <w:rPr>
                      <w:bCs/>
                      <w:szCs w:val="21"/>
                    </w:rPr>
                  </w:pPr>
                  <w:r>
                    <w:rPr>
                      <w:rFonts w:hint="eastAsia"/>
                      <w:bCs/>
                      <w:szCs w:val="21"/>
                    </w:rPr>
                    <w:t>办公生活</w:t>
                  </w: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固态</w:t>
                  </w:r>
                </w:p>
              </w:tc>
              <w:tc>
                <w:tcPr>
                  <w:tcW w:w="701" w:type="dxa"/>
                  <w:vMerge w:val="continue"/>
                  <w:tcBorders>
                    <w:left w:val="single" w:color="auto" w:sz="4" w:space="0"/>
                  </w:tcBorders>
                  <w:vAlign w:val="center"/>
                </w:tcPr>
                <w:p>
                  <w:pPr>
                    <w:widowControl/>
                    <w:jc w:val="center"/>
                    <w:rPr>
                      <w:bCs/>
                      <w:szCs w:val="21"/>
                    </w:rPr>
                  </w:pPr>
                </w:p>
              </w:tc>
              <w:tc>
                <w:tcPr>
                  <w:tcW w:w="983" w:type="dxa"/>
                  <w:tcBorders>
                    <w:right w:val="single" w:color="auto" w:sz="4" w:space="0"/>
                  </w:tcBorders>
                  <w:vAlign w:val="center"/>
                </w:tcPr>
                <w:p>
                  <w:pPr>
                    <w:widowControl/>
                    <w:jc w:val="center"/>
                    <w:rPr>
                      <w:bCs/>
                      <w:szCs w:val="21"/>
                    </w:rPr>
                  </w:pPr>
                  <w:r>
                    <w:rPr>
                      <w:rFonts w:hint="eastAsia"/>
                      <w:bCs/>
                      <w:szCs w:val="21"/>
                    </w:rPr>
                    <w:t>1</w:t>
                  </w:r>
                  <w:r>
                    <w:rPr>
                      <w:bCs/>
                      <w:szCs w:val="21"/>
                    </w:rPr>
                    <w:t>.5</w:t>
                  </w:r>
                </w:p>
              </w:tc>
              <w:tc>
                <w:tcPr>
                  <w:tcW w:w="1407" w:type="dxa"/>
                  <w:tcBorders>
                    <w:left w:val="single" w:color="auto" w:sz="4" w:space="0"/>
                    <w:right w:val="single" w:color="auto" w:sz="4" w:space="0"/>
                  </w:tcBorders>
                  <w:vAlign w:val="center"/>
                </w:tcPr>
                <w:p>
                  <w:pPr>
                    <w:widowControl/>
                    <w:jc w:val="center"/>
                    <w:rPr>
                      <w:bCs/>
                      <w:szCs w:val="21"/>
                    </w:rPr>
                  </w:pPr>
                  <w:r>
                    <w:rPr>
                      <w:rFonts w:hint="eastAsia"/>
                      <w:bCs/>
                      <w:szCs w:val="21"/>
                    </w:rPr>
                    <w:t>/</w:t>
                  </w:r>
                </w:p>
              </w:tc>
              <w:tc>
                <w:tcPr>
                  <w:tcW w:w="1543" w:type="dxa"/>
                  <w:tcBorders>
                    <w:left w:val="single" w:color="auto" w:sz="4" w:space="0"/>
                  </w:tcBorders>
                  <w:vAlign w:val="center"/>
                </w:tcPr>
                <w:p>
                  <w:pPr>
                    <w:widowControl/>
                    <w:jc w:val="center"/>
                    <w:rPr>
                      <w:bCs/>
                      <w:szCs w:val="21"/>
                    </w:rPr>
                  </w:pPr>
                  <w:r>
                    <w:rPr>
                      <w:rFonts w:hint="eastAsia"/>
                      <w:bCs/>
                      <w:szCs w:val="21"/>
                    </w:rPr>
                    <w:t>收集定期交环卫部门处置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5</w:t>
                  </w:r>
                </w:p>
              </w:tc>
              <w:tc>
                <w:tcPr>
                  <w:tcW w:w="1264" w:type="dxa"/>
                  <w:tcBorders>
                    <w:left w:val="single" w:color="auto" w:sz="4" w:space="0"/>
                    <w:right w:val="single" w:color="auto" w:sz="4" w:space="0"/>
                  </w:tcBorders>
                  <w:vAlign w:val="center"/>
                </w:tcPr>
                <w:p>
                  <w:pPr>
                    <w:widowControl/>
                    <w:jc w:val="center"/>
                    <w:rPr>
                      <w:bCs/>
                      <w:color w:val="0000FF"/>
                      <w:szCs w:val="21"/>
                    </w:rPr>
                  </w:pPr>
                  <w:r>
                    <w:rPr>
                      <w:rFonts w:hint="eastAsia"/>
                      <w:bCs/>
                      <w:color w:val="0000FF"/>
                      <w:szCs w:val="21"/>
                    </w:rPr>
                    <w:t>废活性炭</w:t>
                  </w:r>
                </w:p>
              </w:tc>
              <w:tc>
                <w:tcPr>
                  <w:tcW w:w="1125" w:type="dxa"/>
                  <w:tcBorders>
                    <w:left w:val="single" w:color="auto" w:sz="4" w:space="0"/>
                    <w:right w:val="single" w:color="auto" w:sz="4" w:space="0"/>
                  </w:tcBorders>
                  <w:vAlign w:val="center"/>
                </w:tcPr>
                <w:p>
                  <w:pPr>
                    <w:widowControl/>
                    <w:jc w:val="center"/>
                    <w:rPr>
                      <w:bCs/>
                      <w:color w:val="0000FF"/>
                      <w:szCs w:val="21"/>
                    </w:rPr>
                  </w:pPr>
                  <w:r>
                    <w:rPr>
                      <w:rFonts w:hint="eastAsia"/>
                      <w:bCs/>
                      <w:color w:val="0000FF"/>
                      <w:szCs w:val="21"/>
                    </w:rPr>
                    <w:t>废气处理</w:t>
                  </w:r>
                </w:p>
              </w:tc>
              <w:tc>
                <w:tcPr>
                  <w:tcW w:w="842" w:type="dxa"/>
                  <w:tcBorders>
                    <w:left w:val="single" w:color="auto" w:sz="4" w:space="0"/>
                    <w:right w:val="single" w:color="auto" w:sz="4" w:space="0"/>
                  </w:tcBorders>
                  <w:vAlign w:val="center"/>
                </w:tcPr>
                <w:p>
                  <w:pPr>
                    <w:widowControl/>
                    <w:jc w:val="center"/>
                    <w:rPr>
                      <w:bCs/>
                      <w:color w:val="0000FF"/>
                      <w:szCs w:val="21"/>
                    </w:rPr>
                  </w:pPr>
                  <w:r>
                    <w:rPr>
                      <w:rFonts w:hint="eastAsia"/>
                      <w:bCs/>
                      <w:color w:val="0000FF"/>
                      <w:szCs w:val="21"/>
                    </w:rPr>
                    <w:t>固态</w:t>
                  </w:r>
                </w:p>
              </w:tc>
              <w:tc>
                <w:tcPr>
                  <w:tcW w:w="701" w:type="dxa"/>
                  <w:vMerge w:val="restart"/>
                  <w:tcBorders>
                    <w:left w:val="single" w:color="auto" w:sz="4" w:space="0"/>
                  </w:tcBorders>
                  <w:vAlign w:val="center"/>
                </w:tcPr>
                <w:p>
                  <w:pPr>
                    <w:widowControl/>
                    <w:jc w:val="center"/>
                    <w:rPr>
                      <w:bCs/>
                      <w:color w:val="0000FF"/>
                      <w:szCs w:val="21"/>
                    </w:rPr>
                  </w:pPr>
                  <w:r>
                    <w:rPr>
                      <w:rFonts w:hint="eastAsia"/>
                      <w:bCs/>
                      <w:szCs w:val="21"/>
                    </w:rPr>
                    <w:t>危险废物</w:t>
                  </w:r>
                </w:p>
              </w:tc>
              <w:tc>
                <w:tcPr>
                  <w:tcW w:w="983" w:type="dxa"/>
                  <w:tcBorders>
                    <w:right w:val="single" w:color="auto" w:sz="4" w:space="0"/>
                  </w:tcBorders>
                  <w:vAlign w:val="center"/>
                </w:tcPr>
                <w:p>
                  <w:pPr>
                    <w:widowControl/>
                    <w:jc w:val="center"/>
                    <w:rPr>
                      <w:bCs/>
                      <w:color w:val="0000FF"/>
                      <w:szCs w:val="21"/>
                    </w:rPr>
                  </w:pPr>
                  <w:r>
                    <w:rPr>
                      <w:bCs/>
                      <w:color w:val="0000FF"/>
                      <w:szCs w:val="21"/>
                    </w:rPr>
                    <w:t>1.30</w:t>
                  </w:r>
                </w:p>
              </w:tc>
              <w:tc>
                <w:tcPr>
                  <w:tcW w:w="1407" w:type="dxa"/>
                  <w:tcBorders>
                    <w:left w:val="single" w:color="auto" w:sz="4" w:space="0"/>
                    <w:right w:val="single" w:color="auto" w:sz="4" w:space="0"/>
                  </w:tcBorders>
                  <w:vAlign w:val="center"/>
                </w:tcPr>
                <w:p>
                  <w:pPr>
                    <w:widowControl/>
                    <w:jc w:val="center"/>
                    <w:rPr>
                      <w:bCs/>
                      <w:szCs w:val="21"/>
                    </w:rPr>
                  </w:pPr>
                  <w:r>
                    <w:rPr>
                      <w:szCs w:val="21"/>
                    </w:rPr>
                    <w:t>HW49 900-039-49</w:t>
                  </w:r>
                </w:p>
              </w:tc>
              <w:tc>
                <w:tcPr>
                  <w:tcW w:w="1543" w:type="dxa"/>
                  <w:vMerge w:val="restart"/>
                  <w:tcBorders>
                    <w:left w:val="single" w:color="auto" w:sz="4" w:space="0"/>
                  </w:tcBorders>
                  <w:vAlign w:val="center"/>
                </w:tcPr>
                <w:p>
                  <w:pPr>
                    <w:widowControl/>
                    <w:jc w:val="center"/>
                    <w:rPr>
                      <w:bCs/>
                      <w:szCs w:val="21"/>
                    </w:rPr>
                  </w:pPr>
                  <w:r>
                    <w:rPr>
                      <w:rFonts w:hint="eastAsia"/>
                      <w:bCs/>
                      <w:szCs w:val="21"/>
                    </w:rPr>
                    <w:t>专用容器收集后存放于危废间内，定期交有资质单位处置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6</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废胶桶</w:t>
                  </w:r>
                </w:p>
              </w:tc>
              <w:tc>
                <w:tcPr>
                  <w:tcW w:w="1125" w:type="dxa"/>
                  <w:tcBorders>
                    <w:left w:val="single" w:color="auto" w:sz="4" w:space="0"/>
                    <w:right w:val="single" w:color="auto" w:sz="4" w:space="0"/>
                  </w:tcBorders>
                  <w:vAlign w:val="center"/>
                </w:tcPr>
                <w:p>
                  <w:pPr>
                    <w:widowControl/>
                    <w:jc w:val="center"/>
                    <w:rPr>
                      <w:bCs/>
                      <w:szCs w:val="21"/>
                    </w:rPr>
                  </w:pPr>
                  <w:r>
                    <w:rPr>
                      <w:rFonts w:hint="eastAsia"/>
                      <w:bCs/>
                      <w:szCs w:val="21"/>
                    </w:rPr>
                    <w:t>包装存储</w:t>
                  </w: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固态</w:t>
                  </w:r>
                </w:p>
              </w:tc>
              <w:tc>
                <w:tcPr>
                  <w:tcW w:w="701" w:type="dxa"/>
                  <w:vMerge w:val="continue"/>
                  <w:tcBorders>
                    <w:left w:val="single" w:color="auto" w:sz="4" w:space="0"/>
                  </w:tcBorders>
                  <w:vAlign w:val="center"/>
                </w:tcPr>
                <w:p>
                  <w:pPr>
                    <w:widowControl/>
                    <w:jc w:val="center"/>
                    <w:rPr>
                      <w:bCs/>
                      <w:szCs w:val="21"/>
                    </w:rPr>
                  </w:pPr>
                </w:p>
              </w:tc>
              <w:tc>
                <w:tcPr>
                  <w:tcW w:w="983" w:type="dxa"/>
                  <w:tcBorders>
                    <w:right w:val="single" w:color="auto" w:sz="4" w:space="0"/>
                  </w:tcBorders>
                  <w:vAlign w:val="center"/>
                </w:tcPr>
                <w:p>
                  <w:pPr>
                    <w:widowControl/>
                    <w:jc w:val="center"/>
                    <w:rPr>
                      <w:bCs/>
                      <w:szCs w:val="21"/>
                    </w:rPr>
                  </w:pPr>
                  <w:r>
                    <w:rPr>
                      <w:rFonts w:hint="eastAsia"/>
                      <w:bCs/>
                      <w:szCs w:val="21"/>
                    </w:rPr>
                    <w:t>0</w:t>
                  </w:r>
                  <w:r>
                    <w:rPr>
                      <w:bCs/>
                      <w:szCs w:val="21"/>
                    </w:rPr>
                    <w:t>.02</w:t>
                  </w:r>
                </w:p>
              </w:tc>
              <w:tc>
                <w:tcPr>
                  <w:tcW w:w="1407" w:type="dxa"/>
                  <w:tcBorders>
                    <w:left w:val="single" w:color="auto" w:sz="4" w:space="0"/>
                    <w:right w:val="single" w:color="auto" w:sz="4" w:space="0"/>
                  </w:tcBorders>
                  <w:vAlign w:val="center"/>
                </w:tcPr>
                <w:p>
                  <w:pPr>
                    <w:widowControl/>
                    <w:jc w:val="center"/>
                    <w:rPr>
                      <w:bCs/>
                      <w:szCs w:val="21"/>
                    </w:rPr>
                  </w:pPr>
                  <w:r>
                    <w:rPr>
                      <w:kern w:val="0"/>
                      <w:szCs w:val="21"/>
                    </w:rPr>
                    <w:t>HW49 900-41-49</w:t>
                  </w:r>
                </w:p>
              </w:tc>
              <w:tc>
                <w:tcPr>
                  <w:tcW w:w="1543" w:type="dxa"/>
                  <w:vMerge w:val="continue"/>
                  <w:tcBorders>
                    <w:left w:val="single" w:color="auto" w:sz="4" w:space="0"/>
                  </w:tcBorders>
                  <w:vAlign w:val="center"/>
                </w:tcPr>
                <w:p>
                  <w:pPr>
                    <w:widowControl/>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7</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废机油</w:t>
                  </w:r>
                </w:p>
              </w:tc>
              <w:tc>
                <w:tcPr>
                  <w:tcW w:w="1125" w:type="dxa"/>
                  <w:vMerge w:val="restart"/>
                  <w:tcBorders>
                    <w:left w:val="single" w:color="auto" w:sz="4" w:space="0"/>
                    <w:right w:val="single" w:color="auto" w:sz="4" w:space="0"/>
                  </w:tcBorders>
                  <w:vAlign w:val="center"/>
                </w:tcPr>
                <w:p>
                  <w:pPr>
                    <w:widowControl/>
                    <w:jc w:val="center"/>
                    <w:rPr>
                      <w:bCs/>
                      <w:szCs w:val="21"/>
                    </w:rPr>
                  </w:pPr>
                  <w:r>
                    <w:rPr>
                      <w:rFonts w:hint="eastAsia"/>
                      <w:bCs/>
                      <w:szCs w:val="21"/>
                    </w:rPr>
                    <w:t>设备维护</w:t>
                  </w: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液态</w:t>
                  </w:r>
                </w:p>
              </w:tc>
              <w:tc>
                <w:tcPr>
                  <w:tcW w:w="701" w:type="dxa"/>
                  <w:vMerge w:val="continue"/>
                  <w:tcBorders>
                    <w:left w:val="single" w:color="auto" w:sz="4" w:space="0"/>
                  </w:tcBorders>
                  <w:vAlign w:val="center"/>
                </w:tcPr>
                <w:p>
                  <w:pPr>
                    <w:widowControl/>
                    <w:jc w:val="center"/>
                    <w:rPr>
                      <w:bCs/>
                      <w:szCs w:val="21"/>
                    </w:rPr>
                  </w:pPr>
                </w:p>
              </w:tc>
              <w:tc>
                <w:tcPr>
                  <w:tcW w:w="983" w:type="dxa"/>
                  <w:tcBorders>
                    <w:right w:val="single" w:color="auto" w:sz="4" w:space="0"/>
                  </w:tcBorders>
                  <w:vAlign w:val="center"/>
                </w:tcPr>
                <w:p>
                  <w:pPr>
                    <w:widowControl/>
                    <w:jc w:val="center"/>
                    <w:rPr>
                      <w:bCs/>
                      <w:szCs w:val="21"/>
                    </w:rPr>
                  </w:pPr>
                  <w:r>
                    <w:rPr>
                      <w:rFonts w:hint="eastAsia"/>
                      <w:bCs/>
                      <w:szCs w:val="21"/>
                    </w:rPr>
                    <w:t>0</w:t>
                  </w:r>
                  <w:r>
                    <w:rPr>
                      <w:bCs/>
                      <w:szCs w:val="21"/>
                    </w:rPr>
                    <w:t>.01</w:t>
                  </w:r>
                </w:p>
              </w:tc>
              <w:tc>
                <w:tcPr>
                  <w:tcW w:w="1407" w:type="dxa"/>
                  <w:tcBorders>
                    <w:left w:val="single" w:color="auto" w:sz="4" w:space="0"/>
                    <w:right w:val="single" w:color="auto" w:sz="4" w:space="0"/>
                  </w:tcBorders>
                  <w:vAlign w:val="center"/>
                </w:tcPr>
                <w:p>
                  <w:pPr>
                    <w:widowControl/>
                    <w:jc w:val="center"/>
                    <w:rPr>
                      <w:bCs/>
                      <w:szCs w:val="21"/>
                    </w:rPr>
                  </w:pPr>
                  <w:r>
                    <w:rPr>
                      <w:kern w:val="0"/>
                      <w:szCs w:val="21"/>
                    </w:rPr>
                    <w:t>HW08 900-249-08</w:t>
                  </w:r>
                </w:p>
              </w:tc>
              <w:tc>
                <w:tcPr>
                  <w:tcW w:w="1543" w:type="dxa"/>
                  <w:vMerge w:val="continue"/>
                  <w:tcBorders>
                    <w:left w:val="single" w:color="auto" w:sz="4" w:space="0"/>
                  </w:tcBorders>
                  <w:vAlign w:val="center"/>
                </w:tcPr>
                <w:p>
                  <w:pPr>
                    <w:widowControl/>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441" w:type="dxa"/>
                  <w:tcBorders>
                    <w:right w:val="single" w:color="auto" w:sz="4" w:space="0"/>
                  </w:tcBorders>
                  <w:vAlign w:val="center"/>
                </w:tcPr>
                <w:p>
                  <w:pPr>
                    <w:widowControl/>
                    <w:jc w:val="center"/>
                    <w:rPr>
                      <w:bCs/>
                      <w:szCs w:val="21"/>
                    </w:rPr>
                  </w:pPr>
                  <w:r>
                    <w:rPr>
                      <w:rFonts w:hint="eastAsia"/>
                      <w:bCs/>
                      <w:szCs w:val="21"/>
                    </w:rPr>
                    <w:t>7</w:t>
                  </w:r>
                </w:p>
              </w:tc>
              <w:tc>
                <w:tcPr>
                  <w:tcW w:w="1264" w:type="dxa"/>
                  <w:tcBorders>
                    <w:left w:val="single" w:color="auto" w:sz="4" w:space="0"/>
                    <w:right w:val="single" w:color="auto" w:sz="4" w:space="0"/>
                  </w:tcBorders>
                  <w:vAlign w:val="center"/>
                </w:tcPr>
                <w:p>
                  <w:pPr>
                    <w:widowControl/>
                    <w:jc w:val="center"/>
                    <w:rPr>
                      <w:bCs/>
                      <w:szCs w:val="21"/>
                    </w:rPr>
                  </w:pPr>
                  <w:r>
                    <w:rPr>
                      <w:rFonts w:hint="eastAsia"/>
                      <w:bCs/>
                      <w:szCs w:val="21"/>
                    </w:rPr>
                    <w:t>含油棉纱</w:t>
                  </w:r>
                </w:p>
              </w:tc>
              <w:tc>
                <w:tcPr>
                  <w:tcW w:w="1125" w:type="dxa"/>
                  <w:vMerge w:val="continue"/>
                  <w:tcBorders>
                    <w:left w:val="single" w:color="auto" w:sz="4" w:space="0"/>
                    <w:right w:val="single" w:color="auto" w:sz="4" w:space="0"/>
                  </w:tcBorders>
                  <w:vAlign w:val="center"/>
                </w:tcPr>
                <w:p>
                  <w:pPr>
                    <w:widowControl/>
                    <w:jc w:val="center"/>
                    <w:rPr>
                      <w:bCs/>
                      <w:szCs w:val="21"/>
                    </w:rPr>
                  </w:pPr>
                </w:p>
              </w:tc>
              <w:tc>
                <w:tcPr>
                  <w:tcW w:w="842" w:type="dxa"/>
                  <w:tcBorders>
                    <w:left w:val="single" w:color="auto" w:sz="4" w:space="0"/>
                    <w:right w:val="single" w:color="auto" w:sz="4" w:space="0"/>
                  </w:tcBorders>
                  <w:vAlign w:val="center"/>
                </w:tcPr>
                <w:p>
                  <w:pPr>
                    <w:widowControl/>
                    <w:jc w:val="center"/>
                    <w:rPr>
                      <w:bCs/>
                      <w:szCs w:val="21"/>
                    </w:rPr>
                  </w:pPr>
                  <w:r>
                    <w:rPr>
                      <w:rFonts w:hint="eastAsia"/>
                      <w:bCs/>
                      <w:szCs w:val="21"/>
                    </w:rPr>
                    <w:t>固态</w:t>
                  </w:r>
                </w:p>
              </w:tc>
              <w:tc>
                <w:tcPr>
                  <w:tcW w:w="701" w:type="dxa"/>
                  <w:vMerge w:val="continue"/>
                  <w:tcBorders>
                    <w:left w:val="single" w:color="auto" w:sz="4" w:space="0"/>
                  </w:tcBorders>
                  <w:vAlign w:val="center"/>
                </w:tcPr>
                <w:p>
                  <w:pPr>
                    <w:widowControl/>
                    <w:jc w:val="center"/>
                    <w:rPr>
                      <w:bCs/>
                      <w:szCs w:val="21"/>
                    </w:rPr>
                  </w:pPr>
                </w:p>
              </w:tc>
              <w:tc>
                <w:tcPr>
                  <w:tcW w:w="983" w:type="dxa"/>
                  <w:tcBorders>
                    <w:right w:val="single" w:color="auto" w:sz="4" w:space="0"/>
                  </w:tcBorders>
                  <w:vAlign w:val="center"/>
                </w:tcPr>
                <w:p>
                  <w:pPr>
                    <w:widowControl/>
                    <w:jc w:val="center"/>
                    <w:rPr>
                      <w:bCs/>
                      <w:szCs w:val="21"/>
                    </w:rPr>
                  </w:pPr>
                  <w:r>
                    <w:rPr>
                      <w:rFonts w:hint="eastAsia"/>
                      <w:bCs/>
                      <w:szCs w:val="21"/>
                    </w:rPr>
                    <w:t>0</w:t>
                  </w:r>
                  <w:r>
                    <w:rPr>
                      <w:bCs/>
                      <w:szCs w:val="21"/>
                    </w:rPr>
                    <w:t>.02</w:t>
                  </w:r>
                </w:p>
              </w:tc>
              <w:tc>
                <w:tcPr>
                  <w:tcW w:w="1407" w:type="dxa"/>
                  <w:tcBorders>
                    <w:left w:val="single" w:color="auto" w:sz="4" w:space="0"/>
                    <w:right w:val="single" w:color="auto" w:sz="4" w:space="0"/>
                  </w:tcBorders>
                  <w:vAlign w:val="center"/>
                </w:tcPr>
                <w:p>
                  <w:pPr>
                    <w:widowControl/>
                    <w:jc w:val="center"/>
                    <w:rPr>
                      <w:bCs/>
                      <w:szCs w:val="21"/>
                    </w:rPr>
                  </w:pPr>
                  <w:r>
                    <w:rPr>
                      <w:kern w:val="0"/>
                      <w:szCs w:val="21"/>
                    </w:rPr>
                    <w:t>HW49 900-041-49</w:t>
                  </w:r>
                </w:p>
              </w:tc>
              <w:tc>
                <w:tcPr>
                  <w:tcW w:w="1543" w:type="dxa"/>
                  <w:vMerge w:val="continue"/>
                  <w:tcBorders>
                    <w:left w:val="single" w:color="auto" w:sz="4" w:space="0"/>
                  </w:tcBorders>
                  <w:vAlign w:val="center"/>
                </w:tcPr>
                <w:p>
                  <w:pPr>
                    <w:widowControl/>
                    <w:jc w:val="center"/>
                    <w:rPr>
                      <w:bCs/>
                      <w:szCs w:val="21"/>
                    </w:rPr>
                  </w:pPr>
                </w:p>
              </w:tc>
            </w:tr>
          </w:tbl>
          <w:p>
            <w:pPr>
              <w:adjustRightInd w:val="0"/>
              <w:snapToGrid w:val="0"/>
              <w:spacing w:line="360" w:lineRule="auto"/>
              <w:ind w:firstLine="420" w:firstLineChars="200"/>
            </w:pPr>
            <w:r>
              <w:t>综上，本项目固体废物进行统一收集，分类处置，</w:t>
            </w:r>
            <w:r>
              <w:rPr>
                <w:szCs w:val="21"/>
              </w:rPr>
              <w:t>在严格按照固废处理的相关规定前提下</w:t>
            </w:r>
            <w:r>
              <w:t>不会对周围环境产生明显影响。</w:t>
            </w:r>
          </w:p>
          <w:p>
            <w:pPr>
              <w:pStyle w:val="12"/>
              <w:tabs>
                <w:tab w:val="left" w:pos="4718"/>
              </w:tabs>
              <w:spacing w:line="360" w:lineRule="auto"/>
              <w:ind w:firstLine="420" w:firstLineChars="200"/>
              <w:rPr>
                <w:rFonts w:ascii="Times New Roman" w:hAnsi="宋体"/>
              </w:rPr>
            </w:pPr>
            <w:r>
              <w:rPr>
                <w:rFonts w:hint="eastAsia" w:ascii="Times New Roman" w:hAnsi="宋体"/>
              </w:rPr>
              <w:t>（2）</w:t>
            </w:r>
            <w:r>
              <w:rPr>
                <w:szCs w:val="21"/>
              </w:rPr>
              <w:t>固废暂存场所（设施）环境影响分析</w:t>
            </w:r>
          </w:p>
          <w:p>
            <w:pPr>
              <w:pStyle w:val="12"/>
              <w:tabs>
                <w:tab w:val="left" w:pos="4718"/>
              </w:tabs>
              <w:spacing w:line="360" w:lineRule="auto"/>
              <w:ind w:firstLine="420" w:firstLineChars="200"/>
              <w:rPr>
                <w:rFonts w:ascii="Times New Roman" w:hAnsi="Times New Roman"/>
              </w:rPr>
            </w:pPr>
            <w:r>
              <w:rPr>
                <w:rFonts w:hAnsi="宋体" w:cs="宋体"/>
              </w:rPr>
              <w:t>①</w:t>
            </w:r>
            <w:r>
              <w:rPr>
                <w:rFonts w:ascii="Times New Roman" w:hAnsi="Times New Roman"/>
              </w:rPr>
              <w:t>一般固废</w:t>
            </w:r>
          </w:p>
          <w:p>
            <w:pPr>
              <w:pStyle w:val="12"/>
              <w:tabs>
                <w:tab w:val="left" w:pos="4718"/>
              </w:tabs>
              <w:spacing w:line="360" w:lineRule="auto"/>
              <w:ind w:firstLine="420" w:firstLineChars="200"/>
              <w:rPr>
                <w:rFonts w:ascii="Times New Roman" w:hAnsi="Times New Roman"/>
              </w:rPr>
            </w:pPr>
            <w:r>
              <w:rPr>
                <w:rFonts w:ascii="Times New Roman" w:hAnsi="Times New Roman"/>
                <w:szCs w:val="21"/>
              </w:rPr>
              <w:t>本项目</w:t>
            </w:r>
            <w:r>
              <w:rPr>
                <w:rFonts w:ascii="Times New Roman" w:hAnsi="Times New Roman"/>
              </w:rPr>
              <w:t>拟设一个一般固废暂存区，位于2#车间东部，建筑面积120m</w:t>
            </w:r>
            <w:r>
              <w:rPr>
                <w:rFonts w:ascii="Times New Roman" w:hAnsi="Times New Roman"/>
                <w:vertAlign w:val="superscript"/>
              </w:rPr>
              <w:t>2</w:t>
            </w:r>
            <w:r>
              <w:rPr>
                <w:rFonts w:ascii="Times New Roman" w:hAnsi="Times New Roman"/>
              </w:rPr>
              <w:t>。环评要求：一般固废暂存区应按照《一般工业固体废物贮存和填埋污染控制标准》(GB18599-2020)相关要求设置，同时企业应建立检查维护制度，并对员工进行相关培训，对于固体废物的运输、收集实施专人专职管理，并建立相关档案，保障项目运营后一般固废堆存区正常运行。</w:t>
            </w:r>
          </w:p>
          <w:p>
            <w:pPr>
              <w:pStyle w:val="12"/>
              <w:tabs>
                <w:tab w:val="left" w:pos="4718"/>
              </w:tabs>
              <w:spacing w:line="360" w:lineRule="auto"/>
              <w:ind w:firstLine="420" w:firstLineChars="200"/>
              <w:rPr>
                <w:rFonts w:ascii="Times New Roman" w:hAnsi="Times New Roman"/>
              </w:rPr>
            </w:pPr>
            <w:r>
              <w:rPr>
                <w:rFonts w:hAnsi="宋体" w:cs="宋体"/>
              </w:rPr>
              <w:t>②</w:t>
            </w:r>
            <w:r>
              <w:rPr>
                <w:rFonts w:ascii="Times New Roman" w:hAnsi="Times New Roman"/>
              </w:rPr>
              <w:t>危险废物</w:t>
            </w:r>
          </w:p>
          <w:p>
            <w:pPr>
              <w:pStyle w:val="12"/>
              <w:tabs>
                <w:tab w:val="left" w:pos="4718"/>
              </w:tabs>
              <w:spacing w:line="360" w:lineRule="auto"/>
              <w:ind w:firstLine="420" w:firstLineChars="200"/>
              <w:rPr>
                <w:rFonts w:ascii="Times New Roman" w:hAnsi="Times New Roman"/>
              </w:rPr>
            </w:pPr>
            <w:r>
              <w:rPr>
                <w:rFonts w:ascii="Times New Roman" w:hAnsi="Times New Roman"/>
              </w:rPr>
              <w:t>本项目拟设一个</w:t>
            </w:r>
            <w:r>
              <w:rPr>
                <w:rFonts w:hint="eastAsia" w:ascii="Times New Roman" w:hAnsi="Times New Roman"/>
              </w:rPr>
              <w:t>危废贮存库</w:t>
            </w:r>
            <w:r>
              <w:rPr>
                <w:rFonts w:ascii="Times New Roman" w:hAnsi="Times New Roman"/>
              </w:rPr>
              <w:t>，位于2#车间东北角，占地面积20m</w:t>
            </w:r>
            <w:r>
              <w:rPr>
                <w:rFonts w:ascii="Times New Roman" w:hAnsi="Times New Roman"/>
                <w:vertAlign w:val="superscript"/>
              </w:rPr>
              <w:t>2</w:t>
            </w:r>
            <w:r>
              <w:rPr>
                <w:rFonts w:ascii="Times New Roman" w:hAnsi="Times New Roman"/>
              </w:rPr>
              <w:t>。环评要求：该危废贮存库应按照《危险废物贮存污染控制标准》（GB18597-2023）相关规定设置：有明确标识；并做到防风、防雨、防晒、防火、防渗漏、防腐蚀</w:t>
            </w:r>
            <w:r>
              <w:rPr>
                <w:rFonts w:hint="eastAsia" w:ascii="Times New Roman" w:hAnsi="Times New Roman"/>
              </w:rPr>
              <w:t>等</w:t>
            </w:r>
            <w:r>
              <w:rPr>
                <w:rFonts w:ascii="Times New Roman" w:hAnsi="Times New Roman"/>
              </w:rPr>
              <w:t>。各危险废物根据理化性质的不同采取相应的容器分类分区暂存，且必须将危险废物装入符合标准的容器内，不相容的危险废物必须分开存放，并设有隔离间隔断，危废定期委托有资质单位外运处置。</w:t>
            </w:r>
          </w:p>
          <w:p>
            <w:pPr>
              <w:adjustRightInd w:val="0"/>
              <w:snapToGrid w:val="0"/>
              <w:spacing w:line="360" w:lineRule="auto"/>
              <w:ind w:firstLine="420" w:firstLineChars="200"/>
            </w:pPr>
            <w:r>
              <w:t>综上，本项目根据以上措施对固体废物进行统一收集，分类处置，在严格按照固废处理的相关规定前提下不会对周围环境产生明显影响。</w:t>
            </w:r>
          </w:p>
          <w:p>
            <w:pPr>
              <w:pStyle w:val="12"/>
              <w:tabs>
                <w:tab w:val="left" w:pos="4718"/>
              </w:tabs>
              <w:spacing w:line="360" w:lineRule="auto"/>
              <w:ind w:firstLine="422" w:firstLineChars="200"/>
              <w:rPr>
                <w:rFonts w:ascii="Times New Roman" w:hAnsi="宋体"/>
                <w:b/>
              </w:rPr>
            </w:pPr>
            <w:r>
              <w:rPr>
                <w:rFonts w:hint="eastAsia" w:ascii="Times New Roman" w:hAnsi="宋体"/>
                <w:b/>
              </w:rPr>
              <w:t>5、土壤、地下水</w:t>
            </w:r>
          </w:p>
          <w:p>
            <w:pPr>
              <w:pStyle w:val="12"/>
              <w:tabs>
                <w:tab w:val="left" w:pos="4718"/>
              </w:tabs>
              <w:spacing w:line="360" w:lineRule="auto"/>
              <w:ind w:firstLine="420" w:firstLineChars="200"/>
              <w:rPr>
                <w:rFonts w:ascii="Times New Roman" w:hAnsi="Times New Roman"/>
              </w:rPr>
            </w:pPr>
            <w:r>
              <w:rPr>
                <w:rFonts w:hint="eastAsia" w:ascii="Times New Roman" w:hAnsi="宋体"/>
              </w:rPr>
              <w:t>本项目</w:t>
            </w:r>
            <w:r>
              <w:rPr>
                <w:rFonts w:hAnsi="宋体"/>
                <w:szCs w:val="21"/>
              </w:rPr>
              <w:t>土壤、地下水保护应以预防为主，减少污染物进入土壤和地下水含水层的几率和途径，</w:t>
            </w:r>
            <w:r>
              <w:rPr>
                <w:rFonts w:ascii="Times New Roman" w:hAnsi="Times New Roman"/>
                <w:szCs w:val="21"/>
              </w:rPr>
              <w:t>一旦发现土壤、地下水遭受污染，应及时采取补救措施。</w:t>
            </w:r>
          </w:p>
          <w:p>
            <w:pPr>
              <w:autoSpaceDE w:val="0"/>
              <w:autoSpaceDN w:val="0"/>
              <w:adjustRightInd w:val="0"/>
              <w:spacing w:line="360" w:lineRule="auto"/>
              <w:ind w:firstLine="420" w:firstLineChars="200"/>
              <w:jc w:val="left"/>
              <w:rPr>
                <w:szCs w:val="21"/>
              </w:rPr>
            </w:pPr>
            <w:r>
              <w:rPr>
                <w:szCs w:val="21"/>
              </w:rPr>
              <w:t>（1）污染源和污染途径识别</w:t>
            </w:r>
          </w:p>
          <w:p>
            <w:pPr>
              <w:autoSpaceDE w:val="0"/>
              <w:autoSpaceDN w:val="0"/>
              <w:adjustRightInd w:val="0"/>
              <w:spacing w:line="360" w:lineRule="auto"/>
              <w:ind w:firstLine="420" w:firstLineChars="200"/>
              <w:jc w:val="left"/>
              <w:rPr>
                <w:szCs w:val="21"/>
              </w:rPr>
            </w:pPr>
            <w:r>
              <w:rPr>
                <w:rFonts w:hint="eastAsia" w:ascii="宋体" w:hAnsi="宋体" w:cs="宋体"/>
                <w:szCs w:val="21"/>
              </w:rPr>
              <w:t>①</w:t>
            </w:r>
            <w:r>
              <w:rPr>
                <w:szCs w:val="21"/>
              </w:rPr>
              <w:t>土壤环境污染源和污染途径识别</w:t>
            </w:r>
          </w:p>
          <w:p>
            <w:pPr>
              <w:autoSpaceDE w:val="0"/>
              <w:autoSpaceDN w:val="0"/>
              <w:adjustRightInd w:val="0"/>
              <w:spacing w:line="360" w:lineRule="auto"/>
              <w:ind w:firstLine="420" w:firstLineChars="200"/>
              <w:jc w:val="left"/>
              <w:rPr>
                <w:szCs w:val="21"/>
              </w:rPr>
            </w:pPr>
            <w:r>
              <w:rPr>
                <w:szCs w:val="21"/>
              </w:rPr>
              <w:t>本项目对土壤环境影响途径为主要受垂直入渗影响，见表4-15。</w:t>
            </w:r>
          </w:p>
          <w:p>
            <w:pPr>
              <w:ind w:firstLine="422" w:firstLineChars="200"/>
              <w:jc w:val="center"/>
              <w:rPr>
                <w:b/>
                <w:bCs/>
                <w:szCs w:val="21"/>
              </w:rPr>
            </w:pPr>
            <w:r>
              <w:rPr>
                <w:b/>
                <w:bCs/>
                <w:szCs w:val="21"/>
              </w:rPr>
              <w:t>表4-15    建设项目土壤环境影响类型与影响途径表</w:t>
            </w:r>
          </w:p>
          <w:tbl>
            <w:tblPr>
              <w:tblStyle w:val="23"/>
              <w:tblW w:w="830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1013"/>
              <w:gridCol w:w="1052"/>
              <w:gridCol w:w="1080"/>
              <w:gridCol w:w="777"/>
              <w:gridCol w:w="771"/>
              <w:gridCol w:w="771"/>
              <w:gridCol w:w="769"/>
              <w:gridCol w:w="7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299" w:type="dxa"/>
                  <w:vMerge w:val="restart"/>
                  <w:vAlign w:val="center"/>
                </w:tcPr>
                <w:p>
                  <w:pPr>
                    <w:adjustRightInd w:val="0"/>
                    <w:snapToGrid w:val="0"/>
                    <w:jc w:val="center"/>
                    <w:rPr>
                      <w:bCs/>
                      <w:szCs w:val="21"/>
                    </w:rPr>
                  </w:pPr>
                  <w:r>
                    <w:rPr>
                      <w:bCs/>
                      <w:szCs w:val="21"/>
                    </w:rPr>
                    <w:t>不同时段</w:t>
                  </w:r>
                </w:p>
              </w:tc>
              <w:tc>
                <w:tcPr>
                  <w:tcW w:w="3922" w:type="dxa"/>
                  <w:gridSpan w:val="4"/>
                  <w:vAlign w:val="center"/>
                </w:tcPr>
                <w:p>
                  <w:pPr>
                    <w:adjustRightInd w:val="0"/>
                    <w:snapToGrid w:val="0"/>
                    <w:jc w:val="center"/>
                    <w:rPr>
                      <w:bCs/>
                      <w:szCs w:val="21"/>
                    </w:rPr>
                  </w:pPr>
                  <w:r>
                    <w:rPr>
                      <w:bCs/>
                      <w:szCs w:val="21"/>
                    </w:rPr>
                    <w:t>污染影响型</w:t>
                  </w:r>
                </w:p>
              </w:tc>
              <w:tc>
                <w:tcPr>
                  <w:tcW w:w="3085" w:type="dxa"/>
                  <w:gridSpan w:val="4"/>
                  <w:vAlign w:val="center"/>
                </w:tcPr>
                <w:p>
                  <w:pPr>
                    <w:adjustRightInd w:val="0"/>
                    <w:snapToGrid w:val="0"/>
                    <w:jc w:val="center"/>
                    <w:rPr>
                      <w:bCs/>
                      <w:szCs w:val="21"/>
                    </w:rPr>
                  </w:pPr>
                  <w:r>
                    <w:rPr>
                      <w:bCs/>
                      <w:szCs w:val="21"/>
                    </w:rPr>
                    <w:t>生态影响型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299" w:type="dxa"/>
                  <w:vMerge w:val="continue"/>
                  <w:vAlign w:val="center"/>
                </w:tcPr>
                <w:p>
                  <w:pPr>
                    <w:adjustRightInd w:val="0"/>
                    <w:snapToGrid w:val="0"/>
                    <w:jc w:val="center"/>
                    <w:rPr>
                      <w:bCs/>
                      <w:szCs w:val="21"/>
                    </w:rPr>
                  </w:pPr>
                </w:p>
              </w:tc>
              <w:tc>
                <w:tcPr>
                  <w:tcW w:w="1013" w:type="dxa"/>
                  <w:vAlign w:val="center"/>
                </w:tcPr>
                <w:p>
                  <w:pPr>
                    <w:adjustRightInd w:val="0"/>
                    <w:snapToGrid w:val="0"/>
                    <w:jc w:val="center"/>
                    <w:rPr>
                      <w:bCs/>
                      <w:szCs w:val="21"/>
                    </w:rPr>
                  </w:pPr>
                  <w:r>
                    <w:rPr>
                      <w:bCs/>
                      <w:szCs w:val="21"/>
                    </w:rPr>
                    <w:t>大气沉降</w:t>
                  </w:r>
                </w:p>
              </w:tc>
              <w:tc>
                <w:tcPr>
                  <w:tcW w:w="1052" w:type="dxa"/>
                  <w:vAlign w:val="center"/>
                </w:tcPr>
                <w:p>
                  <w:pPr>
                    <w:adjustRightInd w:val="0"/>
                    <w:snapToGrid w:val="0"/>
                    <w:jc w:val="center"/>
                    <w:rPr>
                      <w:bCs/>
                      <w:szCs w:val="21"/>
                    </w:rPr>
                  </w:pPr>
                  <w:r>
                    <w:rPr>
                      <w:bCs/>
                      <w:szCs w:val="21"/>
                    </w:rPr>
                    <w:t>地面漫流</w:t>
                  </w:r>
                </w:p>
              </w:tc>
              <w:tc>
                <w:tcPr>
                  <w:tcW w:w="1080" w:type="dxa"/>
                  <w:vAlign w:val="center"/>
                </w:tcPr>
                <w:p>
                  <w:pPr>
                    <w:adjustRightInd w:val="0"/>
                    <w:snapToGrid w:val="0"/>
                    <w:jc w:val="center"/>
                    <w:rPr>
                      <w:bCs/>
                      <w:szCs w:val="21"/>
                    </w:rPr>
                  </w:pPr>
                  <w:r>
                    <w:rPr>
                      <w:bCs/>
                      <w:szCs w:val="21"/>
                    </w:rPr>
                    <w:t>垂直入渗</w:t>
                  </w:r>
                </w:p>
              </w:tc>
              <w:tc>
                <w:tcPr>
                  <w:tcW w:w="777" w:type="dxa"/>
                  <w:vAlign w:val="center"/>
                </w:tcPr>
                <w:p>
                  <w:pPr>
                    <w:adjustRightInd w:val="0"/>
                    <w:snapToGrid w:val="0"/>
                    <w:jc w:val="center"/>
                    <w:rPr>
                      <w:bCs/>
                      <w:szCs w:val="21"/>
                    </w:rPr>
                  </w:pPr>
                  <w:r>
                    <w:rPr>
                      <w:bCs/>
                      <w:szCs w:val="21"/>
                    </w:rPr>
                    <w:t>其它</w:t>
                  </w:r>
                </w:p>
              </w:tc>
              <w:tc>
                <w:tcPr>
                  <w:tcW w:w="771" w:type="dxa"/>
                  <w:vAlign w:val="center"/>
                </w:tcPr>
                <w:p>
                  <w:pPr>
                    <w:adjustRightInd w:val="0"/>
                    <w:snapToGrid w:val="0"/>
                    <w:jc w:val="center"/>
                    <w:rPr>
                      <w:bCs/>
                      <w:szCs w:val="21"/>
                    </w:rPr>
                  </w:pPr>
                  <w:r>
                    <w:rPr>
                      <w:bCs/>
                      <w:szCs w:val="21"/>
                    </w:rPr>
                    <w:t>盐化</w:t>
                  </w:r>
                </w:p>
              </w:tc>
              <w:tc>
                <w:tcPr>
                  <w:tcW w:w="771" w:type="dxa"/>
                  <w:vAlign w:val="center"/>
                </w:tcPr>
                <w:p>
                  <w:pPr>
                    <w:adjustRightInd w:val="0"/>
                    <w:snapToGrid w:val="0"/>
                    <w:jc w:val="center"/>
                    <w:rPr>
                      <w:bCs/>
                      <w:szCs w:val="21"/>
                    </w:rPr>
                  </w:pPr>
                  <w:r>
                    <w:rPr>
                      <w:bCs/>
                      <w:szCs w:val="21"/>
                    </w:rPr>
                    <w:t>碱化</w:t>
                  </w:r>
                </w:p>
              </w:tc>
              <w:tc>
                <w:tcPr>
                  <w:tcW w:w="769" w:type="dxa"/>
                  <w:vAlign w:val="center"/>
                </w:tcPr>
                <w:p>
                  <w:pPr>
                    <w:adjustRightInd w:val="0"/>
                    <w:snapToGrid w:val="0"/>
                    <w:jc w:val="center"/>
                    <w:rPr>
                      <w:bCs/>
                      <w:szCs w:val="21"/>
                    </w:rPr>
                  </w:pPr>
                  <w:r>
                    <w:rPr>
                      <w:bCs/>
                      <w:szCs w:val="21"/>
                    </w:rPr>
                    <w:t>酸化</w:t>
                  </w:r>
                </w:p>
              </w:tc>
              <w:tc>
                <w:tcPr>
                  <w:tcW w:w="774" w:type="dxa"/>
                  <w:vAlign w:val="center"/>
                </w:tcPr>
                <w:p>
                  <w:pPr>
                    <w:adjustRightInd w:val="0"/>
                    <w:snapToGrid w:val="0"/>
                    <w:jc w:val="center"/>
                    <w:rPr>
                      <w:bCs/>
                      <w:szCs w:val="21"/>
                    </w:rPr>
                  </w:pPr>
                  <w:r>
                    <w:rPr>
                      <w:bCs/>
                      <w:szCs w:val="21"/>
                    </w:rPr>
                    <w:t>其它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299" w:type="dxa"/>
                  <w:vAlign w:val="center"/>
                </w:tcPr>
                <w:p>
                  <w:pPr>
                    <w:adjustRightInd w:val="0"/>
                    <w:snapToGrid w:val="0"/>
                    <w:jc w:val="center"/>
                    <w:rPr>
                      <w:bCs/>
                      <w:szCs w:val="21"/>
                    </w:rPr>
                  </w:pPr>
                  <w:r>
                    <w:rPr>
                      <w:bCs/>
                      <w:szCs w:val="21"/>
                    </w:rPr>
                    <w:t>建设期</w:t>
                  </w:r>
                </w:p>
              </w:tc>
              <w:tc>
                <w:tcPr>
                  <w:tcW w:w="1013" w:type="dxa"/>
                  <w:vAlign w:val="center"/>
                </w:tcPr>
                <w:p>
                  <w:pPr>
                    <w:adjustRightInd w:val="0"/>
                    <w:snapToGrid w:val="0"/>
                    <w:jc w:val="center"/>
                    <w:rPr>
                      <w:bCs/>
                      <w:szCs w:val="21"/>
                    </w:rPr>
                  </w:pPr>
                </w:p>
              </w:tc>
              <w:tc>
                <w:tcPr>
                  <w:tcW w:w="1052" w:type="dxa"/>
                  <w:vAlign w:val="center"/>
                </w:tcPr>
                <w:p>
                  <w:pPr>
                    <w:adjustRightInd w:val="0"/>
                    <w:snapToGrid w:val="0"/>
                    <w:jc w:val="center"/>
                    <w:rPr>
                      <w:bCs/>
                      <w:szCs w:val="21"/>
                    </w:rPr>
                  </w:pPr>
                </w:p>
              </w:tc>
              <w:tc>
                <w:tcPr>
                  <w:tcW w:w="1080" w:type="dxa"/>
                  <w:vAlign w:val="center"/>
                </w:tcPr>
                <w:p>
                  <w:pPr>
                    <w:adjustRightInd w:val="0"/>
                    <w:snapToGrid w:val="0"/>
                    <w:jc w:val="center"/>
                    <w:rPr>
                      <w:bCs/>
                      <w:szCs w:val="21"/>
                    </w:rPr>
                  </w:pPr>
                </w:p>
              </w:tc>
              <w:tc>
                <w:tcPr>
                  <w:tcW w:w="777" w:type="dxa"/>
                  <w:vAlign w:val="center"/>
                </w:tcPr>
                <w:p>
                  <w:pPr>
                    <w:adjustRightInd w:val="0"/>
                    <w:snapToGrid w:val="0"/>
                    <w:jc w:val="center"/>
                    <w:rPr>
                      <w:bCs/>
                      <w:szCs w:val="21"/>
                    </w:rPr>
                  </w:pPr>
                </w:p>
              </w:tc>
              <w:tc>
                <w:tcPr>
                  <w:tcW w:w="771" w:type="dxa"/>
                  <w:vAlign w:val="center"/>
                </w:tcPr>
                <w:p>
                  <w:pPr>
                    <w:adjustRightInd w:val="0"/>
                    <w:snapToGrid w:val="0"/>
                    <w:jc w:val="center"/>
                    <w:rPr>
                      <w:bCs/>
                      <w:szCs w:val="21"/>
                    </w:rPr>
                  </w:pPr>
                </w:p>
              </w:tc>
              <w:tc>
                <w:tcPr>
                  <w:tcW w:w="771" w:type="dxa"/>
                  <w:vAlign w:val="center"/>
                </w:tcPr>
                <w:p>
                  <w:pPr>
                    <w:adjustRightInd w:val="0"/>
                    <w:snapToGrid w:val="0"/>
                    <w:jc w:val="center"/>
                    <w:rPr>
                      <w:bCs/>
                      <w:szCs w:val="21"/>
                    </w:rPr>
                  </w:pPr>
                </w:p>
              </w:tc>
              <w:tc>
                <w:tcPr>
                  <w:tcW w:w="769" w:type="dxa"/>
                  <w:vAlign w:val="center"/>
                </w:tcPr>
                <w:p>
                  <w:pPr>
                    <w:adjustRightInd w:val="0"/>
                    <w:snapToGrid w:val="0"/>
                    <w:jc w:val="center"/>
                    <w:rPr>
                      <w:bCs/>
                      <w:szCs w:val="21"/>
                    </w:rPr>
                  </w:pPr>
                </w:p>
              </w:tc>
              <w:tc>
                <w:tcPr>
                  <w:tcW w:w="774" w:type="dxa"/>
                  <w:vAlign w:val="center"/>
                </w:tcPr>
                <w:p>
                  <w:pPr>
                    <w:adjustRightInd w:val="0"/>
                    <w:snapToGrid w:val="0"/>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299" w:type="dxa"/>
                  <w:vAlign w:val="center"/>
                </w:tcPr>
                <w:p>
                  <w:pPr>
                    <w:adjustRightInd w:val="0"/>
                    <w:snapToGrid w:val="0"/>
                    <w:jc w:val="center"/>
                    <w:rPr>
                      <w:bCs/>
                      <w:szCs w:val="21"/>
                    </w:rPr>
                  </w:pPr>
                  <w:r>
                    <w:rPr>
                      <w:bCs/>
                      <w:szCs w:val="21"/>
                    </w:rPr>
                    <w:t>运营期</w:t>
                  </w:r>
                </w:p>
              </w:tc>
              <w:tc>
                <w:tcPr>
                  <w:tcW w:w="1013" w:type="dxa"/>
                  <w:vAlign w:val="center"/>
                </w:tcPr>
                <w:p>
                  <w:pPr>
                    <w:adjustRightInd w:val="0"/>
                    <w:snapToGrid w:val="0"/>
                    <w:jc w:val="center"/>
                    <w:rPr>
                      <w:bCs/>
                      <w:szCs w:val="21"/>
                    </w:rPr>
                  </w:pPr>
                </w:p>
              </w:tc>
              <w:tc>
                <w:tcPr>
                  <w:tcW w:w="1052" w:type="dxa"/>
                  <w:vAlign w:val="center"/>
                </w:tcPr>
                <w:p>
                  <w:pPr>
                    <w:adjustRightInd w:val="0"/>
                    <w:snapToGrid w:val="0"/>
                    <w:jc w:val="center"/>
                    <w:rPr>
                      <w:bCs/>
                      <w:szCs w:val="21"/>
                    </w:rPr>
                  </w:pPr>
                </w:p>
              </w:tc>
              <w:tc>
                <w:tcPr>
                  <w:tcW w:w="1080" w:type="dxa"/>
                  <w:vAlign w:val="center"/>
                </w:tcPr>
                <w:p>
                  <w:pPr>
                    <w:adjustRightInd w:val="0"/>
                    <w:snapToGrid w:val="0"/>
                    <w:jc w:val="center"/>
                    <w:rPr>
                      <w:bCs/>
                      <w:szCs w:val="21"/>
                    </w:rPr>
                  </w:pPr>
                  <w:r>
                    <w:rPr>
                      <w:bCs/>
                      <w:szCs w:val="21"/>
                    </w:rPr>
                    <w:t>√</w:t>
                  </w:r>
                </w:p>
              </w:tc>
              <w:tc>
                <w:tcPr>
                  <w:tcW w:w="777" w:type="dxa"/>
                  <w:vAlign w:val="center"/>
                </w:tcPr>
                <w:p>
                  <w:pPr>
                    <w:adjustRightInd w:val="0"/>
                    <w:snapToGrid w:val="0"/>
                    <w:jc w:val="center"/>
                    <w:rPr>
                      <w:bCs/>
                      <w:szCs w:val="21"/>
                    </w:rPr>
                  </w:pPr>
                </w:p>
              </w:tc>
              <w:tc>
                <w:tcPr>
                  <w:tcW w:w="771" w:type="dxa"/>
                  <w:vAlign w:val="center"/>
                </w:tcPr>
                <w:p>
                  <w:pPr>
                    <w:adjustRightInd w:val="0"/>
                    <w:snapToGrid w:val="0"/>
                    <w:jc w:val="center"/>
                    <w:rPr>
                      <w:bCs/>
                      <w:szCs w:val="21"/>
                    </w:rPr>
                  </w:pPr>
                </w:p>
              </w:tc>
              <w:tc>
                <w:tcPr>
                  <w:tcW w:w="771" w:type="dxa"/>
                  <w:vAlign w:val="center"/>
                </w:tcPr>
                <w:p>
                  <w:pPr>
                    <w:adjustRightInd w:val="0"/>
                    <w:snapToGrid w:val="0"/>
                    <w:jc w:val="center"/>
                    <w:rPr>
                      <w:bCs/>
                      <w:szCs w:val="21"/>
                    </w:rPr>
                  </w:pPr>
                </w:p>
              </w:tc>
              <w:tc>
                <w:tcPr>
                  <w:tcW w:w="769" w:type="dxa"/>
                  <w:vAlign w:val="center"/>
                </w:tcPr>
                <w:p>
                  <w:pPr>
                    <w:adjustRightInd w:val="0"/>
                    <w:snapToGrid w:val="0"/>
                    <w:jc w:val="center"/>
                    <w:rPr>
                      <w:bCs/>
                      <w:szCs w:val="21"/>
                    </w:rPr>
                  </w:pPr>
                </w:p>
              </w:tc>
              <w:tc>
                <w:tcPr>
                  <w:tcW w:w="774" w:type="dxa"/>
                  <w:vAlign w:val="center"/>
                </w:tcPr>
                <w:p>
                  <w:pPr>
                    <w:adjustRightInd w:val="0"/>
                    <w:snapToGrid w:val="0"/>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299" w:type="dxa"/>
                  <w:vAlign w:val="center"/>
                </w:tcPr>
                <w:p>
                  <w:pPr>
                    <w:adjustRightInd w:val="0"/>
                    <w:snapToGrid w:val="0"/>
                    <w:jc w:val="center"/>
                    <w:rPr>
                      <w:bCs/>
                      <w:szCs w:val="21"/>
                    </w:rPr>
                  </w:pPr>
                  <w:r>
                    <w:rPr>
                      <w:bCs/>
                      <w:szCs w:val="21"/>
                    </w:rPr>
                    <w:t>服务期满后</w:t>
                  </w:r>
                </w:p>
              </w:tc>
              <w:tc>
                <w:tcPr>
                  <w:tcW w:w="1013" w:type="dxa"/>
                  <w:vAlign w:val="center"/>
                </w:tcPr>
                <w:p>
                  <w:pPr>
                    <w:adjustRightInd w:val="0"/>
                    <w:snapToGrid w:val="0"/>
                    <w:jc w:val="center"/>
                    <w:rPr>
                      <w:bCs/>
                      <w:szCs w:val="21"/>
                    </w:rPr>
                  </w:pPr>
                </w:p>
              </w:tc>
              <w:tc>
                <w:tcPr>
                  <w:tcW w:w="1052" w:type="dxa"/>
                  <w:vAlign w:val="center"/>
                </w:tcPr>
                <w:p>
                  <w:pPr>
                    <w:adjustRightInd w:val="0"/>
                    <w:snapToGrid w:val="0"/>
                    <w:jc w:val="center"/>
                    <w:rPr>
                      <w:bCs/>
                      <w:szCs w:val="21"/>
                    </w:rPr>
                  </w:pPr>
                </w:p>
              </w:tc>
              <w:tc>
                <w:tcPr>
                  <w:tcW w:w="1080" w:type="dxa"/>
                  <w:vAlign w:val="center"/>
                </w:tcPr>
                <w:p>
                  <w:pPr>
                    <w:adjustRightInd w:val="0"/>
                    <w:snapToGrid w:val="0"/>
                    <w:jc w:val="center"/>
                    <w:rPr>
                      <w:bCs/>
                      <w:szCs w:val="21"/>
                    </w:rPr>
                  </w:pPr>
                </w:p>
              </w:tc>
              <w:tc>
                <w:tcPr>
                  <w:tcW w:w="777" w:type="dxa"/>
                  <w:vAlign w:val="center"/>
                </w:tcPr>
                <w:p>
                  <w:pPr>
                    <w:adjustRightInd w:val="0"/>
                    <w:snapToGrid w:val="0"/>
                    <w:jc w:val="center"/>
                    <w:rPr>
                      <w:bCs/>
                      <w:szCs w:val="21"/>
                    </w:rPr>
                  </w:pPr>
                </w:p>
              </w:tc>
              <w:tc>
                <w:tcPr>
                  <w:tcW w:w="771" w:type="dxa"/>
                  <w:vAlign w:val="center"/>
                </w:tcPr>
                <w:p>
                  <w:pPr>
                    <w:adjustRightInd w:val="0"/>
                    <w:snapToGrid w:val="0"/>
                    <w:jc w:val="center"/>
                    <w:rPr>
                      <w:bCs/>
                      <w:szCs w:val="21"/>
                    </w:rPr>
                  </w:pPr>
                </w:p>
              </w:tc>
              <w:tc>
                <w:tcPr>
                  <w:tcW w:w="771" w:type="dxa"/>
                  <w:vAlign w:val="center"/>
                </w:tcPr>
                <w:p>
                  <w:pPr>
                    <w:adjustRightInd w:val="0"/>
                    <w:snapToGrid w:val="0"/>
                    <w:jc w:val="center"/>
                    <w:rPr>
                      <w:bCs/>
                      <w:szCs w:val="21"/>
                    </w:rPr>
                  </w:pPr>
                </w:p>
              </w:tc>
              <w:tc>
                <w:tcPr>
                  <w:tcW w:w="769" w:type="dxa"/>
                  <w:vAlign w:val="center"/>
                </w:tcPr>
                <w:p>
                  <w:pPr>
                    <w:adjustRightInd w:val="0"/>
                    <w:snapToGrid w:val="0"/>
                    <w:jc w:val="center"/>
                    <w:rPr>
                      <w:bCs/>
                      <w:szCs w:val="21"/>
                    </w:rPr>
                  </w:pPr>
                </w:p>
              </w:tc>
              <w:tc>
                <w:tcPr>
                  <w:tcW w:w="774" w:type="dxa"/>
                  <w:vAlign w:val="center"/>
                </w:tcPr>
                <w:p>
                  <w:pPr>
                    <w:adjustRightInd w:val="0"/>
                    <w:snapToGrid w:val="0"/>
                    <w:jc w:val="center"/>
                    <w:rPr>
                      <w:bCs/>
                      <w:szCs w:val="21"/>
                    </w:rPr>
                  </w:pPr>
                </w:p>
              </w:tc>
            </w:tr>
          </w:tbl>
          <w:p>
            <w:pPr>
              <w:pStyle w:val="55"/>
              <w:spacing w:line="360" w:lineRule="auto"/>
              <w:ind w:firstLine="420"/>
              <w:rPr>
                <w:rFonts w:ascii="Times New Roman" w:hAnsi="Times New Roman"/>
                <w:snapToGrid/>
                <w:kern w:val="2"/>
                <w:sz w:val="21"/>
                <w:szCs w:val="21"/>
              </w:rPr>
            </w:pPr>
            <w:r>
              <w:rPr>
                <w:rFonts w:ascii="Times New Roman" w:hAnsi="Times New Roman"/>
                <w:snapToGrid/>
                <w:kern w:val="2"/>
                <w:sz w:val="21"/>
                <w:szCs w:val="21"/>
              </w:rPr>
              <w:t>污染影响型建设项目土壤环境影响源及影响因子识别见4-16。</w:t>
            </w:r>
          </w:p>
          <w:p>
            <w:pPr>
              <w:ind w:firstLine="422" w:firstLineChars="200"/>
              <w:jc w:val="center"/>
              <w:rPr>
                <w:b/>
                <w:bCs/>
                <w:szCs w:val="21"/>
              </w:rPr>
            </w:pPr>
            <w:r>
              <w:rPr>
                <w:b/>
                <w:bCs/>
                <w:szCs w:val="21"/>
              </w:rPr>
              <w:t>表4-16   污染影响型建设项目土壤环境影响源及影响因子识别表</w:t>
            </w:r>
          </w:p>
          <w:tbl>
            <w:tblPr>
              <w:tblStyle w:val="23"/>
              <w:tblW w:w="83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2"/>
              <w:gridCol w:w="1661"/>
              <w:gridCol w:w="1661"/>
              <w:gridCol w:w="1661"/>
              <w:gridCol w:w="1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662" w:type="dxa"/>
                  <w:vAlign w:val="center"/>
                </w:tcPr>
                <w:p>
                  <w:pPr>
                    <w:widowControl/>
                    <w:jc w:val="center"/>
                    <w:rPr>
                      <w:szCs w:val="21"/>
                    </w:rPr>
                  </w:pPr>
                  <w:r>
                    <w:rPr>
                      <w:szCs w:val="21"/>
                    </w:rPr>
                    <w:t>污染源</w:t>
                  </w:r>
                </w:p>
              </w:tc>
              <w:tc>
                <w:tcPr>
                  <w:tcW w:w="1661" w:type="dxa"/>
                  <w:vAlign w:val="center"/>
                </w:tcPr>
                <w:p>
                  <w:pPr>
                    <w:widowControl/>
                    <w:jc w:val="center"/>
                    <w:rPr>
                      <w:szCs w:val="21"/>
                    </w:rPr>
                  </w:pPr>
                  <w:r>
                    <w:rPr>
                      <w:bCs/>
                      <w:szCs w:val="21"/>
                    </w:rPr>
                    <w:t>工艺流程/节点</w:t>
                  </w:r>
                </w:p>
              </w:tc>
              <w:tc>
                <w:tcPr>
                  <w:tcW w:w="1661" w:type="dxa"/>
                  <w:vAlign w:val="center"/>
                </w:tcPr>
                <w:p>
                  <w:pPr>
                    <w:widowControl/>
                    <w:jc w:val="center"/>
                    <w:rPr>
                      <w:szCs w:val="21"/>
                    </w:rPr>
                  </w:pPr>
                  <w:r>
                    <w:rPr>
                      <w:bCs/>
                      <w:szCs w:val="21"/>
                    </w:rPr>
                    <w:t>污染途径</w:t>
                  </w:r>
                </w:p>
              </w:tc>
              <w:tc>
                <w:tcPr>
                  <w:tcW w:w="1661" w:type="dxa"/>
                  <w:vAlign w:val="center"/>
                </w:tcPr>
                <w:p>
                  <w:pPr>
                    <w:widowControl/>
                    <w:jc w:val="center"/>
                    <w:rPr>
                      <w:szCs w:val="21"/>
                    </w:rPr>
                  </w:pPr>
                  <w:r>
                    <w:rPr>
                      <w:szCs w:val="21"/>
                    </w:rPr>
                    <w:t>污染物指标</w:t>
                  </w:r>
                </w:p>
              </w:tc>
              <w:tc>
                <w:tcPr>
                  <w:tcW w:w="1661" w:type="dxa"/>
                  <w:vAlign w:val="center"/>
                </w:tcPr>
                <w:p>
                  <w:pPr>
                    <w:widowControl/>
                    <w:jc w:val="center"/>
                    <w:rPr>
                      <w:szCs w:val="21"/>
                    </w:rPr>
                  </w:pPr>
                  <w:r>
                    <w:rPr>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662" w:type="dxa"/>
                  <w:vAlign w:val="center"/>
                </w:tcPr>
                <w:p>
                  <w:pPr>
                    <w:widowControl/>
                    <w:jc w:val="center"/>
                    <w:rPr>
                      <w:szCs w:val="21"/>
                    </w:rPr>
                  </w:pPr>
                  <w:r>
                    <w:rPr>
                      <w:szCs w:val="21"/>
                    </w:rPr>
                    <w:t>辅料库</w:t>
                  </w:r>
                </w:p>
              </w:tc>
              <w:tc>
                <w:tcPr>
                  <w:tcW w:w="1661" w:type="dxa"/>
                  <w:vAlign w:val="center"/>
                </w:tcPr>
                <w:p>
                  <w:pPr>
                    <w:widowControl/>
                    <w:jc w:val="center"/>
                    <w:rPr>
                      <w:szCs w:val="21"/>
                    </w:rPr>
                  </w:pPr>
                  <w:r>
                    <w:rPr>
                      <w:rFonts w:hint="eastAsia"/>
                      <w:szCs w:val="21"/>
                    </w:rPr>
                    <w:t>机油存储</w:t>
                  </w:r>
                </w:p>
              </w:tc>
              <w:tc>
                <w:tcPr>
                  <w:tcW w:w="1661" w:type="dxa"/>
                  <w:vAlign w:val="center"/>
                </w:tcPr>
                <w:p>
                  <w:pPr>
                    <w:widowControl/>
                    <w:jc w:val="center"/>
                    <w:rPr>
                      <w:szCs w:val="21"/>
                    </w:rPr>
                  </w:pPr>
                  <w:r>
                    <w:rPr>
                      <w:bCs/>
                      <w:szCs w:val="21"/>
                    </w:rPr>
                    <w:t>垂直入渗</w:t>
                  </w:r>
                </w:p>
              </w:tc>
              <w:tc>
                <w:tcPr>
                  <w:tcW w:w="1661" w:type="dxa"/>
                  <w:vAlign w:val="center"/>
                </w:tcPr>
                <w:p>
                  <w:pPr>
                    <w:widowControl/>
                    <w:jc w:val="center"/>
                    <w:rPr>
                      <w:szCs w:val="21"/>
                    </w:rPr>
                  </w:pPr>
                  <w:r>
                    <w:rPr>
                      <w:szCs w:val="21"/>
                    </w:rPr>
                    <w:t>石油类</w:t>
                  </w:r>
                </w:p>
              </w:tc>
              <w:tc>
                <w:tcPr>
                  <w:tcW w:w="1661" w:type="dxa"/>
                  <w:vAlign w:val="center"/>
                </w:tcPr>
                <w:p>
                  <w:pPr>
                    <w:widowControl/>
                    <w:jc w:val="center"/>
                    <w:rPr>
                      <w:szCs w:val="21"/>
                    </w:rPr>
                  </w:pPr>
                  <w:r>
                    <w:rPr>
                      <w:bCs/>
                      <w:szCs w:val="21"/>
                    </w:rPr>
                    <w:t>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 w:hRule="atLeast"/>
                <w:jc w:val="center"/>
              </w:trPr>
              <w:tc>
                <w:tcPr>
                  <w:tcW w:w="1662" w:type="dxa"/>
                  <w:vAlign w:val="center"/>
                </w:tcPr>
                <w:p>
                  <w:pPr>
                    <w:widowControl/>
                    <w:jc w:val="center"/>
                    <w:rPr>
                      <w:szCs w:val="21"/>
                    </w:rPr>
                  </w:pPr>
                  <w:r>
                    <w:rPr>
                      <w:bCs/>
                      <w:szCs w:val="21"/>
                    </w:rPr>
                    <w:t>危废贮存库</w:t>
                  </w:r>
                </w:p>
              </w:tc>
              <w:tc>
                <w:tcPr>
                  <w:tcW w:w="1661" w:type="dxa"/>
                  <w:vAlign w:val="center"/>
                </w:tcPr>
                <w:p>
                  <w:pPr>
                    <w:widowControl/>
                    <w:jc w:val="center"/>
                    <w:rPr>
                      <w:szCs w:val="21"/>
                    </w:rPr>
                  </w:pPr>
                  <w:r>
                    <w:rPr>
                      <w:rFonts w:hint="eastAsia"/>
                      <w:szCs w:val="21"/>
                    </w:rPr>
                    <w:t>危险废物存储</w:t>
                  </w:r>
                </w:p>
              </w:tc>
              <w:tc>
                <w:tcPr>
                  <w:tcW w:w="1661" w:type="dxa"/>
                  <w:vAlign w:val="center"/>
                </w:tcPr>
                <w:p>
                  <w:pPr>
                    <w:widowControl/>
                    <w:jc w:val="center"/>
                    <w:rPr>
                      <w:szCs w:val="21"/>
                    </w:rPr>
                  </w:pPr>
                  <w:r>
                    <w:rPr>
                      <w:bCs/>
                      <w:szCs w:val="21"/>
                    </w:rPr>
                    <w:t>垂直入渗</w:t>
                  </w:r>
                </w:p>
              </w:tc>
              <w:tc>
                <w:tcPr>
                  <w:tcW w:w="1661" w:type="dxa"/>
                  <w:vAlign w:val="center"/>
                </w:tcPr>
                <w:p>
                  <w:pPr>
                    <w:widowControl/>
                    <w:jc w:val="center"/>
                    <w:rPr>
                      <w:szCs w:val="21"/>
                    </w:rPr>
                  </w:pPr>
                  <w:r>
                    <w:rPr>
                      <w:bCs/>
                      <w:szCs w:val="21"/>
                    </w:rPr>
                    <w:t>石油类</w:t>
                  </w:r>
                </w:p>
              </w:tc>
              <w:tc>
                <w:tcPr>
                  <w:tcW w:w="1661" w:type="dxa"/>
                  <w:vAlign w:val="center"/>
                </w:tcPr>
                <w:p>
                  <w:pPr>
                    <w:widowControl/>
                    <w:jc w:val="center"/>
                    <w:rPr>
                      <w:szCs w:val="21"/>
                    </w:rPr>
                  </w:pPr>
                  <w:r>
                    <w:rPr>
                      <w:bCs/>
                      <w:szCs w:val="21"/>
                    </w:rPr>
                    <w:t>泄漏</w:t>
                  </w:r>
                </w:p>
              </w:tc>
            </w:tr>
          </w:tbl>
          <w:p>
            <w:pPr>
              <w:autoSpaceDE w:val="0"/>
              <w:autoSpaceDN w:val="0"/>
              <w:adjustRightInd w:val="0"/>
              <w:spacing w:line="360" w:lineRule="auto"/>
              <w:ind w:firstLine="420" w:firstLineChars="200"/>
              <w:jc w:val="left"/>
              <w:rPr>
                <w:szCs w:val="21"/>
              </w:rPr>
            </w:pPr>
            <w:r>
              <w:rPr>
                <w:rFonts w:hAnsi="宋体"/>
                <w:szCs w:val="21"/>
              </w:rPr>
              <w:t>②</w:t>
            </w:r>
            <w:r>
              <w:rPr>
                <w:szCs w:val="21"/>
              </w:rPr>
              <w:t>地下水环境污染源和污染途径识别</w:t>
            </w:r>
          </w:p>
          <w:p>
            <w:pPr>
              <w:autoSpaceDE w:val="0"/>
              <w:autoSpaceDN w:val="0"/>
              <w:adjustRightInd w:val="0"/>
              <w:spacing w:line="360" w:lineRule="auto"/>
              <w:ind w:firstLine="420" w:firstLineChars="200"/>
              <w:jc w:val="left"/>
              <w:rPr>
                <w:szCs w:val="21"/>
              </w:rPr>
            </w:pPr>
            <w:r>
              <w:rPr>
                <w:szCs w:val="21"/>
              </w:rPr>
              <w:t>本项目对地下水环境影响途径为</w:t>
            </w:r>
            <w:r>
              <w:rPr>
                <w:rFonts w:hint="eastAsia"/>
                <w:szCs w:val="21"/>
              </w:rPr>
              <w:t>：在环境风险物质存储、设备维护、危险废物存储过程中，环境风险物质</w:t>
            </w:r>
            <w:r>
              <w:rPr>
                <w:szCs w:val="21"/>
              </w:rPr>
              <w:t>发生泄漏从而污染地下水</w:t>
            </w:r>
            <w:r>
              <w:rPr>
                <w:rFonts w:hint="eastAsia"/>
                <w:szCs w:val="21"/>
              </w:rPr>
              <w:t>。</w:t>
            </w:r>
          </w:p>
          <w:p>
            <w:pPr>
              <w:autoSpaceDE w:val="0"/>
              <w:autoSpaceDN w:val="0"/>
              <w:adjustRightInd w:val="0"/>
              <w:spacing w:line="360" w:lineRule="auto"/>
              <w:ind w:firstLine="420" w:firstLineChars="200"/>
              <w:jc w:val="left"/>
              <w:rPr>
                <w:szCs w:val="21"/>
              </w:rPr>
            </w:pPr>
            <w:r>
              <w:rPr>
                <w:rFonts w:hAnsi="宋体"/>
                <w:szCs w:val="21"/>
              </w:rPr>
              <w:t>（</w:t>
            </w:r>
            <w:r>
              <w:rPr>
                <w:szCs w:val="21"/>
              </w:rPr>
              <w:t>2</w:t>
            </w:r>
            <w:r>
              <w:rPr>
                <w:rFonts w:hAnsi="宋体"/>
                <w:szCs w:val="21"/>
              </w:rPr>
              <w:t>）地下水、土壤环境影响分析</w:t>
            </w:r>
          </w:p>
          <w:p>
            <w:pPr>
              <w:autoSpaceDE w:val="0"/>
              <w:autoSpaceDN w:val="0"/>
              <w:adjustRightInd w:val="0"/>
              <w:spacing w:line="360" w:lineRule="auto"/>
              <w:ind w:firstLine="420" w:firstLineChars="200"/>
              <w:jc w:val="left"/>
              <w:rPr>
                <w:rFonts w:ascii="宋体" w:hAnsi="宋体"/>
              </w:rPr>
            </w:pPr>
            <w:r>
              <w:rPr>
                <w:rFonts w:hAnsi="宋体"/>
                <w:szCs w:val="21"/>
              </w:rPr>
              <w:t>项目生产工序不涉及土壤污染重点污染物（镉、汞、砷</w:t>
            </w:r>
            <w:r>
              <w:rPr>
                <w:rFonts w:hint="eastAsia" w:hAnsi="宋体"/>
                <w:szCs w:val="21"/>
              </w:rPr>
              <w:t>、</w:t>
            </w:r>
            <w:r>
              <w:rPr>
                <w:rFonts w:hAnsi="宋体"/>
                <w:szCs w:val="21"/>
              </w:rPr>
              <w:t>铅、六价铬铜、镍）及持久性土壤污染物，可能对土壤、地下水产生垂直入渗污染影响的主要</w:t>
            </w:r>
            <w:r>
              <w:rPr>
                <w:rFonts w:hint="eastAsia" w:hAnsi="宋体"/>
                <w:szCs w:val="21"/>
              </w:rPr>
              <w:t>为</w:t>
            </w:r>
            <w:r>
              <w:rPr>
                <w:rFonts w:hAnsi="宋体"/>
                <w:szCs w:val="21"/>
              </w:rPr>
              <w:t>矿物油类。本项目</w:t>
            </w:r>
            <w:r>
              <w:rPr>
                <w:rFonts w:hint="eastAsia" w:hAnsi="宋体"/>
                <w:szCs w:val="21"/>
              </w:rPr>
              <w:t>辅料库</w:t>
            </w:r>
            <w:r>
              <w:rPr>
                <w:rFonts w:ascii="宋体" w:hAnsi="宋体"/>
              </w:rPr>
              <w:t>进行硬化防渗处理，不直接接触土壤；废</w:t>
            </w:r>
            <w:r>
              <w:rPr>
                <w:rFonts w:hint="eastAsia" w:ascii="宋体" w:hAnsi="宋体"/>
              </w:rPr>
              <w:t>机</w:t>
            </w:r>
            <w:r>
              <w:rPr>
                <w:rFonts w:ascii="宋体" w:hAnsi="宋体"/>
              </w:rPr>
              <w:t>油、含油棉纱等危险废物专用容器收集后</w:t>
            </w:r>
            <w:r>
              <w:rPr>
                <w:rFonts w:hint="eastAsia" w:ascii="宋体" w:hAnsi="宋体"/>
              </w:rPr>
              <w:t>暂存于危废贮存库内，地面进行防腐、防渗处理，在采取上述措施后不会对土壤、地下水产生明显影响。</w:t>
            </w:r>
          </w:p>
          <w:p>
            <w:pPr>
              <w:autoSpaceDE w:val="0"/>
              <w:autoSpaceDN w:val="0"/>
              <w:adjustRightInd w:val="0"/>
              <w:spacing w:line="360" w:lineRule="auto"/>
              <w:ind w:firstLine="420" w:firstLineChars="200"/>
              <w:jc w:val="left"/>
              <w:rPr>
                <w:rFonts w:hAnsi="宋体"/>
                <w:szCs w:val="21"/>
              </w:rPr>
            </w:pPr>
            <w:r>
              <w:rPr>
                <w:rFonts w:hAnsi="宋体"/>
                <w:szCs w:val="21"/>
              </w:rPr>
              <w:t>（</w:t>
            </w:r>
            <w:r>
              <w:rPr>
                <w:rFonts w:hint="eastAsia" w:hAnsi="宋体"/>
                <w:szCs w:val="21"/>
              </w:rPr>
              <w:t>3）环境保护措施</w:t>
            </w:r>
          </w:p>
          <w:p>
            <w:pPr>
              <w:autoSpaceDE w:val="0"/>
              <w:autoSpaceDN w:val="0"/>
              <w:adjustRightInd w:val="0"/>
              <w:spacing w:line="360" w:lineRule="auto"/>
              <w:ind w:firstLine="420" w:firstLineChars="200"/>
              <w:jc w:val="left"/>
              <w:rPr>
                <w:rFonts w:hAnsi="宋体"/>
                <w:szCs w:val="21"/>
              </w:rPr>
            </w:pPr>
            <w:r>
              <w:rPr>
                <w:rFonts w:hAnsi="宋体"/>
                <w:szCs w:val="21"/>
              </w:rPr>
              <w:t>本</w:t>
            </w:r>
            <w:r>
              <w:rPr>
                <w:rFonts w:ascii="宋体" w:hAnsi="宋体"/>
              </w:rPr>
              <w:t>项目污染防治措施按照</w:t>
            </w:r>
            <w:r>
              <w:t>“</w:t>
            </w:r>
            <w:r>
              <w:rPr>
                <w:rFonts w:ascii="宋体" w:hAnsi="宋体"/>
              </w:rPr>
              <w:t>源头控制、过程防控、跟踪监测、应急响应</w:t>
            </w:r>
            <w:r>
              <w:t>”</w:t>
            </w:r>
            <w:r>
              <w:rPr>
                <w:rFonts w:ascii="宋体" w:hAnsi="宋体"/>
              </w:rPr>
              <w:t>相结合的原则，从污染物的产生、运移、扩散、应急响应全阶段进行控制。</w:t>
            </w:r>
          </w:p>
          <w:p>
            <w:pPr>
              <w:autoSpaceDE w:val="0"/>
              <w:autoSpaceDN w:val="0"/>
              <w:adjustRightInd w:val="0"/>
              <w:spacing w:line="360" w:lineRule="auto"/>
              <w:ind w:firstLine="420" w:firstLineChars="200"/>
              <w:jc w:val="left"/>
              <w:rPr>
                <w:rFonts w:ascii="宋体" w:hAnsi="宋体"/>
              </w:rPr>
            </w:pPr>
            <w:r>
              <w:t>1</w:t>
            </w:r>
            <w:r>
              <w:rPr>
                <w:rFonts w:ascii="宋体" w:hAnsi="宋体"/>
              </w:rPr>
              <w:t>）源头控制：设危废贮存库，</w:t>
            </w:r>
            <w:r>
              <w:rPr>
                <w:rFonts w:hint="eastAsia" w:ascii="宋体" w:hAnsi="宋体"/>
              </w:rPr>
              <w:t>废机油、含油棉纱等</w:t>
            </w:r>
            <w:r>
              <w:rPr>
                <w:rFonts w:ascii="宋体" w:hAnsi="宋体"/>
              </w:rPr>
              <w:t>经专用容器收集后暂存于危废贮存库内，定期交有资质单位处置。</w:t>
            </w:r>
          </w:p>
          <w:p>
            <w:pPr>
              <w:autoSpaceDE w:val="0"/>
              <w:autoSpaceDN w:val="0"/>
              <w:adjustRightInd w:val="0"/>
              <w:spacing w:line="360" w:lineRule="auto"/>
              <w:ind w:firstLine="420" w:firstLineChars="200"/>
              <w:jc w:val="left"/>
            </w:pPr>
            <w:r>
              <w:t>2</w:t>
            </w:r>
            <w:r>
              <w:rPr>
                <w:rFonts w:ascii="宋体" w:hAnsi="宋体"/>
              </w:rPr>
              <w:t>）过程防控：</w:t>
            </w:r>
          </w:p>
          <w:p>
            <w:pPr>
              <w:autoSpaceDE w:val="0"/>
              <w:autoSpaceDN w:val="0"/>
              <w:adjustRightInd w:val="0"/>
              <w:spacing w:line="360" w:lineRule="auto"/>
              <w:ind w:firstLine="420" w:firstLineChars="200"/>
              <w:jc w:val="left"/>
            </w:pPr>
            <w:r>
              <w:rPr>
                <w:rFonts w:ascii="宋体" w:hAnsi="宋体"/>
              </w:rPr>
              <w:t>企业运营过程中，为减小项目对土壤、地下水的污染，采取如下措施：</w:t>
            </w:r>
          </w:p>
          <w:p>
            <w:pPr>
              <w:autoSpaceDE w:val="0"/>
              <w:autoSpaceDN w:val="0"/>
              <w:adjustRightInd w:val="0"/>
              <w:spacing w:line="360" w:lineRule="auto"/>
              <w:ind w:firstLine="420" w:firstLineChars="200"/>
              <w:jc w:val="left"/>
            </w:pPr>
            <w:r>
              <w:rPr>
                <w:rFonts w:hAnsi="宋体"/>
              </w:rPr>
              <w:t>①设置一般固废暂存区，临时贮存区满足</w:t>
            </w:r>
            <w:r>
              <w:rPr>
                <w:rFonts w:ascii="宋体" w:hAnsi="宋体"/>
              </w:rPr>
              <w:t>《一般工业固体废物贮存和填埋污染控制标准》（</w:t>
            </w:r>
            <w:r>
              <w:t>GB18599</w:t>
            </w:r>
            <w:r>
              <w:rPr>
                <w:rFonts w:ascii="宋体" w:hAnsi="宋体"/>
              </w:rPr>
              <w:t>－</w:t>
            </w:r>
            <w:r>
              <w:t>2020</w:t>
            </w:r>
            <w:r>
              <w:rPr>
                <w:rFonts w:ascii="宋体" w:hAnsi="宋体"/>
              </w:rPr>
              <w:t>）的相关规定。贮存场所防风、防雨、防晒。</w:t>
            </w:r>
          </w:p>
          <w:p>
            <w:pPr>
              <w:autoSpaceDE w:val="0"/>
              <w:autoSpaceDN w:val="0"/>
              <w:adjustRightInd w:val="0"/>
              <w:spacing w:line="360" w:lineRule="auto"/>
              <w:ind w:firstLine="420" w:firstLineChars="200"/>
              <w:jc w:val="left"/>
            </w:pPr>
            <w:r>
              <w:rPr>
                <w:rFonts w:hAnsi="宋体"/>
              </w:rPr>
              <w:t>②一旦发生物料等泄漏事故，企业应及时采取必要的安全措施，减少事故损失，防止事故蔓延、扩大；企业建立严格的规章制度，随时检查设备的运转情况，一旦有非正常情况发生，立即停产。</w:t>
            </w:r>
          </w:p>
          <w:p>
            <w:pPr>
              <w:autoSpaceDE w:val="0"/>
              <w:autoSpaceDN w:val="0"/>
              <w:adjustRightInd w:val="0"/>
              <w:spacing w:line="360" w:lineRule="auto"/>
              <w:ind w:firstLine="420" w:firstLineChars="200"/>
              <w:jc w:val="left"/>
              <w:rPr>
                <w:rFonts w:ascii="宋体" w:hAnsi="宋体"/>
              </w:rPr>
            </w:pPr>
            <w:r>
              <w:rPr>
                <w:rFonts w:hAnsi="宋体"/>
              </w:rPr>
              <w:t>③为了防止项目</w:t>
            </w:r>
            <w:r>
              <w:rPr>
                <w:rFonts w:hint="eastAsia" w:ascii="宋体" w:hAnsi="宋体"/>
              </w:rPr>
              <w:t>废水</w:t>
            </w:r>
            <w:r>
              <w:rPr>
                <w:rFonts w:ascii="宋体" w:hAnsi="宋体"/>
              </w:rPr>
              <w:t>下渗对当地的地下水、土壤产生不利影响，项目以水平防渗为主，建设单位对厂区</w:t>
            </w:r>
            <w:r>
              <w:rPr>
                <w:rFonts w:hint="eastAsia" w:ascii="宋体" w:hAnsi="宋体"/>
              </w:rPr>
              <w:t>车间地面、危废贮存库</w:t>
            </w:r>
            <w:r>
              <w:rPr>
                <w:rFonts w:ascii="宋体" w:hAnsi="宋体"/>
              </w:rPr>
              <w:t>等进行防渗漏、防腐蚀处理，防止物料发生</w:t>
            </w:r>
            <w:r>
              <w:t>“</w:t>
            </w:r>
            <w:r>
              <w:rPr>
                <w:rFonts w:ascii="宋体" w:hAnsi="宋体"/>
              </w:rPr>
              <w:t>跑、冒、滴、漏</w:t>
            </w:r>
            <w:r>
              <w:t>”</w:t>
            </w:r>
            <w:r>
              <w:rPr>
                <w:rFonts w:ascii="宋体" w:hAnsi="宋体"/>
              </w:rPr>
              <w:t>现象时污染地下水环境。</w:t>
            </w:r>
          </w:p>
          <w:p>
            <w:pPr>
              <w:autoSpaceDE w:val="0"/>
              <w:autoSpaceDN w:val="0"/>
              <w:adjustRightInd w:val="0"/>
              <w:spacing w:line="360" w:lineRule="auto"/>
              <w:ind w:firstLine="420" w:firstLineChars="200"/>
              <w:jc w:val="left"/>
            </w:pPr>
            <w:r>
              <w:rPr>
                <w:rFonts w:ascii="宋体" w:hAnsi="宋体"/>
              </w:rPr>
              <w:t>在采取了以上各项措施后，本项目对当地的土壤产生影响较小。</w:t>
            </w:r>
          </w:p>
          <w:p>
            <w:pPr>
              <w:autoSpaceDE w:val="0"/>
              <w:autoSpaceDN w:val="0"/>
              <w:adjustRightInd w:val="0"/>
              <w:spacing w:line="360" w:lineRule="auto"/>
              <w:ind w:firstLine="420" w:firstLineChars="200"/>
              <w:jc w:val="left"/>
            </w:pPr>
            <w:r>
              <w:rPr>
                <w:rFonts w:ascii="宋体" w:hAnsi="宋体"/>
              </w:rPr>
              <w:t>（</w:t>
            </w:r>
            <w:r>
              <w:t>4</w:t>
            </w:r>
            <w:r>
              <w:rPr>
                <w:rFonts w:ascii="宋体" w:hAnsi="宋体"/>
              </w:rPr>
              <w:t>）跟踪监测要求</w:t>
            </w:r>
          </w:p>
          <w:p>
            <w:pPr>
              <w:autoSpaceDE w:val="0"/>
              <w:autoSpaceDN w:val="0"/>
              <w:adjustRightInd w:val="0"/>
              <w:spacing w:line="360" w:lineRule="auto"/>
              <w:ind w:firstLine="420" w:firstLineChars="200"/>
              <w:jc w:val="left"/>
              <w:rPr>
                <w:rFonts w:ascii="宋体" w:hAnsi="宋体"/>
              </w:rPr>
            </w:pPr>
            <w:r>
              <w:rPr>
                <w:rFonts w:hint="eastAsia" w:ascii="宋体" w:hAnsi="宋体"/>
              </w:rPr>
              <w:t>①地下水</w:t>
            </w:r>
          </w:p>
          <w:p>
            <w:pPr>
              <w:autoSpaceDE w:val="0"/>
              <w:autoSpaceDN w:val="0"/>
              <w:adjustRightInd w:val="0"/>
              <w:spacing w:line="360" w:lineRule="auto"/>
              <w:ind w:firstLine="420" w:firstLineChars="200"/>
              <w:jc w:val="left"/>
              <w:rPr>
                <w:rFonts w:ascii="宋体" w:hAnsi="宋体"/>
              </w:rPr>
            </w:pPr>
            <w:r>
              <w:rPr>
                <w:rFonts w:ascii="宋体" w:hAnsi="宋体"/>
              </w:rPr>
              <w:t>《环境影响评价技术导则</w:t>
            </w:r>
            <w:r>
              <w:t xml:space="preserve"> </w:t>
            </w:r>
            <w:r>
              <w:rPr>
                <w:rFonts w:ascii="宋体" w:hAnsi="宋体"/>
              </w:rPr>
              <w:t>地下水环境》（</w:t>
            </w:r>
            <w:r>
              <w:t>HJ610-2016</w:t>
            </w:r>
            <w:r>
              <w:rPr>
                <w:rFonts w:ascii="宋体" w:hAnsi="宋体"/>
              </w:rPr>
              <w:t>），本项目不需进行地下水评价，因此本项目</w:t>
            </w:r>
            <w:r>
              <w:rPr>
                <w:rFonts w:hint="eastAsia" w:ascii="宋体" w:hAnsi="宋体"/>
              </w:rPr>
              <w:t>无</w:t>
            </w:r>
            <w:r>
              <w:rPr>
                <w:rFonts w:ascii="宋体" w:hAnsi="宋体"/>
              </w:rPr>
              <w:t>地下水跟踪监测</w:t>
            </w:r>
            <w:r>
              <w:rPr>
                <w:rFonts w:hint="eastAsia" w:ascii="宋体" w:hAnsi="宋体"/>
              </w:rPr>
              <w:t>相关</w:t>
            </w:r>
            <w:r>
              <w:rPr>
                <w:rFonts w:ascii="宋体" w:hAnsi="宋体"/>
              </w:rPr>
              <w:t>要求。</w:t>
            </w:r>
          </w:p>
          <w:p>
            <w:pPr>
              <w:autoSpaceDE w:val="0"/>
              <w:autoSpaceDN w:val="0"/>
              <w:adjustRightInd w:val="0"/>
              <w:spacing w:line="360" w:lineRule="auto"/>
              <w:ind w:firstLine="420" w:firstLineChars="200"/>
              <w:jc w:val="left"/>
              <w:rPr>
                <w:rFonts w:ascii="宋体" w:hAnsi="宋体"/>
              </w:rPr>
            </w:pPr>
            <w:r>
              <w:rPr>
                <w:rFonts w:hint="eastAsia" w:ascii="宋体" w:hAnsi="宋体"/>
              </w:rPr>
              <w:t>②土壤</w:t>
            </w:r>
          </w:p>
          <w:p>
            <w:pPr>
              <w:autoSpaceDE w:val="0"/>
              <w:autoSpaceDN w:val="0"/>
              <w:adjustRightInd w:val="0"/>
              <w:spacing w:line="360" w:lineRule="auto"/>
              <w:ind w:firstLine="420" w:firstLineChars="200"/>
              <w:jc w:val="left"/>
              <w:rPr>
                <w:rFonts w:ascii="宋体" w:hAnsi="宋体"/>
              </w:rPr>
            </w:pPr>
            <w:r>
              <w:rPr>
                <w:rFonts w:ascii="宋体" w:hAnsi="宋体"/>
              </w:rPr>
              <w:t>根据《环境影响评价技术导则</w:t>
            </w:r>
            <w:r>
              <w:t xml:space="preserve"> </w:t>
            </w:r>
            <w:r>
              <w:rPr>
                <w:rFonts w:hint="eastAsia" w:ascii="宋体" w:hAnsi="宋体"/>
              </w:rPr>
              <w:t>土壤</w:t>
            </w:r>
            <w:r>
              <w:rPr>
                <w:rFonts w:ascii="宋体" w:hAnsi="宋体"/>
              </w:rPr>
              <w:t>环境》（</w:t>
            </w:r>
            <w:r>
              <w:t>HJ</w:t>
            </w:r>
            <w:r>
              <w:rPr>
                <w:rFonts w:hint="eastAsia"/>
              </w:rPr>
              <w:t>964-2018</w:t>
            </w:r>
            <w:r>
              <w:rPr>
                <w:rFonts w:ascii="宋体" w:hAnsi="宋体"/>
              </w:rPr>
              <w:t>）</w:t>
            </w:r>
            <w:r>
              <w:rPr>
                <w:rFonts w:hint="eastAsia" w:ascii="宋体" w:hAnsi="宋体"/>
              </w:rPr>
              <w:t>跟踪监测相关要求，评价工作等级为一级的建设项目一般每</w:t>
            </w:r>
            <w:r>
              <w:rPr>
                <w:rFonts w:hint="eastAsia"/>
              </w:rPr>
              <w:t>3</w:t>
            </w:r>
            <w:r>
              <w:rPr>
                <w:rFonts w:hint="eastAsia" w:ascii="宋体" w:hAnsi="宋体"/>
              </w:rPr>
              <w:t>年开展一次监测工作，二级的每五年开展一次，三级的必要时可开展必要监测。</w:t>
            </w:r>
          </w:p>
          <w:p>
            <w:pPr>
              <w:autoSpaceDE w:val="0"/>
              <w:autoSpaceDN w:val="0"/>
              <w:adjustRightInd w:val="0"/>
              <w:spacing w:line="360" w:lineRule="auto"/>
              <w:ind w:firstLine="420" w:firstLineChars="200"/>
              <w:jc w:val="left"/>
              <w:rPr>
                <w:rFonts w:ascii="宋体" w:hAnsi="宋体"/>
              </w:rPr>
            </w:pPr>
            <w:r>
              <w:rPr>
                <w:rFonts w:hint="eastAsia" w:ascii="宋体" w:hAnsi="宋体"/>
              </w:rPr>
              <w:t>根据《建设项目环境影响报告表编制技术指南（污染影响类）》，建设项目产生的环境影响需要深入论证的，应按照环境影响评价相关技术导则开展专项评价工作，土壤不开展专项评价。因此，本项目原则上无跟踪监测相关要求。若确需必要，建设单位可参照</w:t>
            </w:r>
            <w:r>
              <w:rPr>
                <w:rFonts w:ascii="宋体" w:hAnsi="宋体"/>
              </w:rPr>
              <w:t>《环境影响评价技术导则</w:t>
            </w:r>
            <w:r>
              <w:t xml:space="preserve"> </w:t>
            </w:r>
            <w:r>
              <w:rPr>
                <w:rFonts w:hint="eastAsia" w:ascii="宋体" w:hAnsi="宋体"/>
              </w:rPr>
              <w:t>土壤</w:t>
            </w:r>
            <w:r>
              <w:rPr>
                <w:rFonts w:ascii="宋体" w:hAnsi="宋体"/>
              </w:rPr>
              <w:t>环境》（</w:t>
            </w:r>
            <w:r>
              <w:t>HJ</w:t>
            </w:r>
            <w:r>
              <w:rPr>
                <w:rFonts w:hint="eastAsia"/>
              </w:rPr>
              <w:t>964-2018</w:t>
            </w:r>
            <w:r>
              <w:rPr>
                <w:rFonts w:ascii="宋体" w:hAnsi="宋体"/>
              </w:rPr>
              <w:t>）</w:t>
            </w:r>
            <w:r>
              <w:rPr>
                <w:rFonts w:hint="eastAsia" w:ascii="宋体" w:hAnsi="宋体"/>
              </w:rPr>
              <w:t>相关要求进行土壤跟踪监测。</w:t>
            </w:r>
          </w:p>
          <w:p>
            <w:pPr>
              <w:pStyle w:val="12"/>
              <w:tabs>
                <w:tab w:val="left" w:pos="4718"/>
              </w:tabs>
              <w:spacing w:line="360" w:lineRule="auto"/>
              <w:ind w:firstLine="422" w:firstLineChars="200"/>
              <w:rPr>
                <w:rFonts w:ascii="Times New Roman" w:hAnsi="宋体"/>
                <w:b/>
              </w:rPr>
            </w:pPr>
            <w:r>
              <w:rPr>
                <w:rFonts w:hint="eastAsia" w:ascii="Times New Roman" w:hAnsi="宋体"/>
                <w:b/>
              </w:rPr>
              <w:t>6、环境风险</w:t>
            </w:r>
          </w:p>
          <w:p>
            <w:pPr>
              <w:autoSpaceDE w:val="0"/>
              <w:autoSpaceDN w:val="0"/>
              <w:adjustRightInd w:val="0"/>
              <w:spacing w:line="360" w:lineRule="auto"/>
              <w:ind w:firstLine="420" w:firstLineChars="200"/>
              <w:jc w:val="left"/>
              <w:rPr>
                <w:rFonts w:hAnsi="宋体"/>
                <w:szCs w:val="21"/>
              </w:rPr>
            </w:pPr>
            <w:r>
              <w:rPr>
                <w:rFonts w:hAnsi="宋体"/>
                <w:szCs w:val="21"/>
              </w:rPr>
              <w:t>（</w:t>
            </w:r>
            <w:r>
              <w:rPr>
                <w:szCs w:val="21"/>
              </w:rPr>
              <w:t>1</w:t>
            </w:r>
            <w:r>
              <w:rPr>
                <w:rFonts w:hAnsi="宋体"/>
                <w:szCs w:val="21"/>
              </w:rPr>
              <w:t>）环境风险潜势判定</w:t>
            </w:r>
          </w:p>
          <w:p>
            <w:pPr>
              <w:autoSpaceDE w:val="0"/>
              <w:autoSpaceDN w:val="0"/>
              <w:adjustRightInd w:val="0"/>
              <w:spacing w:line="360" w:lineRule="auto"/>
              <w:ind w:firstLine="420" w:firstLineChars="200"/>
              <w:jc w:val="left"/>
              <w:rPr>
                <w:rFonts w:hAnsi="宋体"/>
                <w:szCs w:val="21"/>
              </w:rPr>
            </w:pPr>
            <w:r>
              <w:rPr>
                <w:rFonts w:hAnsi="宋体"/>
                <w:szCs w:val="21"/>
              </w:rPr>
              <w:t>根据《建设项目环境风险评价技术导则》（</w:t>
            </w:r>
            <w:r>
              <w:rPr>
                <w:szCs w:val="21"/>
              </w:rPr>
              <w:t>HJ/T169-2018</w:t>
            </w:r>
            <w:r>
              <w:rPr>
                <w:rFonts w:hAnsi="宋体"/>
                <w:szCs w:val="21"/>
              </w:rPr>
              <w:t>）附录</w:t>
            </w:r>
            <w:r>
              <w:rPr>
                <w:rFonts w:hint="eastAsia" w:hAnsi="宋体"/>
                <w:szCs w:val="21"/>
              </w:rPr>
              <w:t>B</w:t>
            </w:r>
            <w:r>
              <w:rPr>
                <w:rFonts w:hAnsi="宋体"/>
                <w:szCs w:val="21"/>
              </w:rPr>
              <w:t>及《</w:t>
            </w:r>
            <w:r>
              <w:rPr>
                <w:rFonts w:hint="eastAsia"/>
                <w:kern w:val="0"/>
                <w:szCs w:val="21"/>
              </w:rPr>
              <w:t>危险化学品重大危险源辨识</w:t>
            </w:r>
            <w:r>
              <w:rPr>
                <w:kern w:val="0"/>
                <w:szCs w:val="21"/>
              </w:rPr>
              <w:t>》（</w:t>
            </w:r>
            <w:r>
              <w:rPr>
                <w:rFonts w:hint="eastAsia"/>
                <w:kern w:val="0"/>
                <w:szCs w:val="21"/>
              </w:rPr>
              <w:t>G</w:t>
            </w:r>
            <w:r>
              <w:rPr>
                <w:kern w:val="0"/>
                <w:szCs w:val="21"/>
              </w:rPr>
              <w:t>B18218-2018）</w:t>
            </w:r>
            <w:r>
              <w:rPr>
                <w:rFonts w:hAnsi="宋体"/>
                <w:szCs w:val="21"/>
              </w:rPr>
              <w:t>，同时结合本项目原辅材料理化性质及污染物产生情况，本项目涉及的风险物质主要</w:t>
            </w:r>
            <w:r>
              <w:rPr>
                <w:rFonts w:hint="eastAsia" w:hAnsi="宋体"/>
                <w:szCs w:val="21"/>
              </w:rPr>
              <w:t>为矿物油类。</w:t>
            </w:r>
          </w:p>
          <w:p>
            <w:pPr>
              <w:ind w:firstLine="422" w:firstLineChars="200"/>
              <w:jc w:val="center"/>
              <w:rPr>
                <w:rFonts w:hAnsi="宋体"/>
                <w:b/>
                <w:bCs/>
                <w:szCs w:val="21"/>
              </w:rPr>
            </w:pPr>
            <w:r>
              <w:rPr>
                <w:rFonts w:hint="eastAsia" w:hAnsi="宋体"/>
                <w:b/>
                <w:bCs/>
                <w:szCs w:val="21"/>
              </w:rPr>
              <w:t>表4-</w:t>
            </w:r>
            <w:r>
              <w:rPr>
                <w:rFonts w:hAnsi="宋体"/>
                <w:b/>
                <w:bCs/>
                <w:szCs w:val="21"/>
              </w:rPr>
              <w:t>17</w:t>
            </w:r>
            <w:r>
              <w:rPr>
                <w:rFonts w:hint="eastAsia" w:hAnsi="宋体"/>
                <w:b/>
                <w:bCs/>
                <w:szCs w:val="21"/>
              </w:rPr>
              <w:t xml:space="preserve">    环境风险物质临界量表</w:t>
            </w:r>
          </w:p>
          <w:tbl>
            <w:tblPr>
              <w:tblStyle w:val="23"/>
              <w:tblW w:w="8306"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1696"/>
              <w:gridCol w:w="1910"/>
              <w:gridCol w:w="1375"/>
              <w:gridCol w:w="13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961" w:type="dxa"/>
                  <w:vAlign w:val="center"/>
                </w:tcPr>
                <w:p>
                  <w:pPr>
                    <w:adjustRightInd w:val="0"/>
                    <w:snapToGrid w:val="0"/>
                    <w:jc w:val="center"/>
                    <w:rPr>
                      <w:bCs/>
                      <w:szCs w:val="21"/>
                    </w:rPr>
                  </w:pPr>
                  <w:r>
                    <w:rPr>
                      <w:bCs/>
                      <w:szCs w:val="21"/>
                    </w:rPr>
                    <w:t>名称</w:t>
                  </w:r>
                </w:p>
              </w:tc>
              <w:tc>
                <w:tcPr>
                  <w:tcW w:w="1696" w:type="dxa"/>
                  <w:vAlign w:val="center"/>
                </w:tcPr>
                <w:p>
                  <w:pPr>
                    <w:adjustRightInd w:val="0"/>
                    <w:snapToGrid w:val="0"/>
                    <w:jc w:val="center"/>
                    <w:rPr>
                      <w:bCs/>
                      <w:szCs w:val="21"/>
                    </w:rPr>
                  </w:pPr>
                  <w:r>
                    <w:rPr>
                      <w:bCs/>
                      <w:szCs w:val="21"/>
                    </w:rPr>
                    <w:t>CAS号</w:t>
                  </w:r>
                </w:p>
              </w:tc>
              <w:tc>
                <w:tcPr>
                  <w:tcW w:w="1910" w:type="dxa"/>
                  <w:vAlign w:val="center"/>
                </w:tcPr>
                <w:p>
                  <w:pPr>
                    <w:adjustRightInd w:val="0"/>
                    <w:snapToGrid w:val="0"/>
                    <w:jc w:val="center"/>
                    <w:rPr>
                      <w:bCs/>
                      <w:szCs w:val="21"/>
                    </w:rPr>
                  </w:pPr>
                  <w:r>
                    <w:rPr>
                      <w:bCs/>
                      <w:szCs w:val="21"/>
                    </w:rPr>
                    <w:t>最大存储量</w:t>
                  </w:r>
                  <w:r>
                    <w:rPr>
                      <w:rFonts w:hint="eastAsia"/>
                      <w:bCs/>
                      <w:szCs w:val="21"/>
                    </w:rPr>
                    <w:t>t</w:t>
                  </w:r>
                </w:p>
              </w:tc>
              <w:tc>
                <w:tcPr>
                  <w:tcW w:w="1375" w:type="dxa"/>
                  <w:vAlign w:val="center"/>
                </w:tcPr>
                <w:p>
                  <w:pPr>
                    <w:adjustRightInd w:val="0"/>
                    <w:snapToGrid w:val="0"/>
                    <w:jc w:val="center"/>
                    <w:rPr>
                      <w:bCs/>
                      <w:szCs w:val="21"/>
                    </w:rPr>
                  </w:pPr>
                  <w:r>
                    <w:rPr>
                      <w:bCs/>
                      <w:szCs w:val="21"/>
                    </w:rPr>
                    <w:t>临界量</w:t>
                  </w:r>
                  <w:r>
                    <w:rPr>
                      <w:rFonts w:hint="eastAsia"/>
                      <w:bCs/>
                      <w:szCs w:val="21"/>
                    </w:rPr>
                    <w:t>t</w:t>
                  </w:r>
                </w:p>
              </w:tc>
              <w:tc>
                <w:tcPr>
                  <w:tcW w:w="1364" w:type="dxa"/>
                  <w:vAlign w:val="center"/>
                </w:tcPr>
                <w:p>
                  <w:pPr>
                    <w:adjustRightInd w:val="0"/>
                    <w:snapToGrid w:val="0"/>
                    <w:jc w:val="center"/>
                    <w:rPr>
                      <w:bCs/>
                      <w:szCs w:val="21"/>
                    </w:rPr>
                  </w:pPr>
                  <w:r>
                    <w:rPr>
                      <w:bCs/>
                      <w:szCs w:val="21"/>
                    </w:rPr>
                    <w:t>q/Q值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961" w:type="dxa"/>
                  <w:vAlign w:val="center"/>
                </w:tcPr>
                <w:p>
                  <w:pPr>
                    <w:adjustRightInd w:val="0"/>
                    <w:snapToGrid w:val="0"/>
                    <w:jc w:val="center"/>
                    <w:rPr>
                      <w:bCs/>
                      <w:szCs w:val="21"/>
                    </w:rPr>
                  </w:pPr>
                  <w:r>
                    <w:rPr>
                      <w:rFonts w:hint="eastAsia"/>
                      <w:bCs/>
                      <w:szCs w:val="21"/>
                    </w:rPr>
                    <w:t>矿物油类</w:t>
                  </w:r>
                </w:p>
              </w:tc>
              <w:tc>
                <w:tcPr>
                  <w:tcW w:w="1696" w:type="dxa"/>
                  <w:vAlign w:val="center"/>
                </w:tcPr>
                <w:p>
                  <w:pPr>
                    <w:adjustRightInd w:val="0"/>
                    <w:snapToGrid w:val="0"/>
                    <w:jc w:val="center"/>
                    <w:rPr>
                      <w:bCs/>
                      <w:szCs w:val="21"/>
                    </w:rPr>
                  </w:pPr>
                  <w:r>
                    <w:rPr>
                      <w:rFonts w:hint="eastAsia"/>
                      <w:bCs/>
                      <w:szCs w:val="21"/>
                    </w:rPr>
                    <w:t>/</w:t>
                  </w:r>
                </w:p>
              </w:tc>
              <w:tc>
                <w:tcPr>
                  <w:tcW w:w="1910" w:type="dxa"/>
                  <w:vAlign w:val="center"/>
                </w:tcPr>
                <w:p>
                  <w:pPr>
                    <w:adjustRightInd w:val="0"/>
                    <w:snapToGrid w:val="0"/>
                    <w:jc w:val="center"/>
                    <w:rPr>
                      <w:bCs/>
                      <w:szCs w:val="21"/>
                    </w:rPr>
                  </w:pPr>
                  <w:r>
                    <w:rPr>
                      <w:bCs/>
                      <w:szCs w:val="21"/>
                    </w:rPr>
                    <w:t>0.01</w:t>
                  </w:r>
                </w:p>
              </w:tc>
              <w:tc>
                <w:tcPr>
                  <w:tcW w:w="1375" w:type="dxa"/>
                  <w:vAlign w:val="center"/>
                </w:tcPr>
                <w:p>
                  <w:pPr>
                    <w:adjustRightInd w:val="0"/>
                    <w:snapToGrid w:val="0"/>
                    <w:jc w:val="center"/>
                    <w:rPr>
                      <w:bCs/>
                      <w:szCs w:val="21"/>
                    </w:rPr>
                  </w:pPr>
                  <w:r>
                    <w:rPr>
                      <w:rFonts w:hint="eastAsia"/>
                      <w:bCs/>
                      <w:szCs w:val="21"/>
                    </w:rPr>
                    <w:t>2</w:t>
                  </w:r>
                  <w:r>
                    <w:rPr>
                      <w:bCs/>
                      <w:szCs w:val="21"/>
                    </w:rPr>
                    <w:t>500</w:t>
                  </w:r>
                </w:p>
              </w:tc>
              <w:tc>
                <w:tcPr>
                  <w:tcW w:w="1364" w:type="dxa"/>
                  <w:vAlign w:val="center"/>
                </w:tcPr>
                <w:p>
                  <w:pPr>
                    <w:adjustRightInd w:val="0"/>
                    <w:snapToGrid w:val="0"/>
                    <w:jc w:val="center"/>
                    <w:rPr>
                      <w:bCs/>
                      <w:szCs w:val="21"/>
                    </w:rPr>
                  </w:pPr>
                  <w:r>
                    <w:rPr>
                      <w:bCs/>
                      <w:szCs w:val="21"/>
                    </w:rPr>
                    <w:t>0.000004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6942" w:type="dxa"/>
                  <w:gridSpan w:val="4"/>
                  <w:vAlign w:val="center"/>
                </w:tcPr>
                <w:p>
                  <w:pPr>
                    <w:adjustRightInd w:val="0"/>
                    <w:snapToGrid w:val="0"/>
                    <w:jc w:val="center"/>
                    <w:rPr>
                      <w:bCs/>
                      <w:szCs w:val="21"/>
                    </w:rPr>
                  </w:pPr>
                  <w:r>
                    <w:rPr>
                      <w:bCs/>
                      <w:szCs w:val="21"/>
                    </w:rPr>
                    <w:t>合计</w:t>
                  </w:r>
                </w:p>
              </w:tc>
              <w:tc>
                <w:tcPr>
                  <w:tcW w:w="1364" w:type="dxa"/>
                  <w:vAlign w:val="center"/>
                </w:tcPr>
                <w:p>
                  <w:pPr>
                    <w:adjustRightInd w:val="0"/>
                    <w:snapToGrid w:val="0"/>
                    <w:jc w:val="center"/>
                    <w:rPr>
                      <w:bCs/>
                      <w:szCs w:val="21"/>
                    </w:rPr>
                  </w:pPr>
                  <w:r>
                    <w:rPr>
                      <w:bCs/>
                      <w:szCs w:val="21"/>
                    </w:rPr>
                    <w:t>0.000004</w:t>
                  </w:r>
                </w:p>
              </w:tc>
            </w:tr>
          </w:tbl>
          <w:p>
            <w:pPr>
              <w:pStyle w:val="10"/>
              <w:keepNext/>
              <w:keepLines/>
              <w:spacing w:after="0" w:line="360" w:lineRule="auto"/>
              <w:ind w:firstLine="420" w:firstLineChars="200"/>
              <w:rPr>
                <w:sz w:val="21"/>
                <w:szCs w:val="21"/>
              </w:rPr>
            </w:pPr>
            <w:r>
              <w:rPr>
                <w:rFonts w:hint="eastAsia" w:hAnsi="宋体"/>
                <w:sz w:val="21"/>
                <w:szCs w:val="21"/>
                <w:lang w:eastAsia="zh-CN"/>
              </w:rPr>
              <w:t>本项目环境风险物质与临界量比值Q</w:t>
            </w:r>
            <w:r>
              <w:rPr>
                <w:sz w:val="21"/>
                <w:szCs w:val="21"/>
              </w:rPr>
              <w:t xml:space="preserve"> =0.000004</w:t>
            </w:r>
            <w:r>
              <w:rPr>
                <w:rFonts w:hAnsi="宋体"/>
                <w:sz w:val="21"/>
                <w:szCs w:val="21"/>
              </w:rPr>
              <w:t>＜</w:t>
            </w:r>
            <w:r>
              <w:rPr>
                <w:sz w:val="21"/>
                <w:szCs w:val="21"/>
              </w:rPr>
              <w:t>1</w:t>
            </w:r>
            <w:r>
              <w:rPr>
                <w:rFonts w:hAnsi="宋体"/>
                <w:sz w:val="21"/>
                <w:szCs w:val="21"/>
              </w:rPr>
              <w:t>，本项目风险潜势为</w:t>
            </w:r>
            <w:r>
              <w:rPr>
                <w:rFonts w:ascii="宋体" w:hAnsi="宋体"/>
                <w:sz w:val="21"/>
                <w:szCs w:val="21"/>
              </w:rPr>
              <w:t>Ⅰ</w:t>
            </w:r>
            <w:r>
              <w:rPr>
                <w:rFonts w:hAnsi="宋体"/>
                <w:sz w:val="21"/>
                <w:szCs w:val="21"/>
              </w:rPr>
              <w:t>，不存在重大风险源。</w:t>
            </w:r>
          </w:p>
          <w:p>
            <w:pPr>
              <w:pStyle w:val="10"/>
              <w:keepNext/>
              <w:keepLines/>
              <w:spacing w:after="0" w:line="360" w:lineRule="auto"/>
              <w:ind w:firstLine="420" w:firstLineChars="200"/>
              <w:rPr>
                <w:sz w:val="21"/>
                <w:szCs w:val="21"/>
              </w:rPr>
            </w:pPr>
            <w:r>
              <w:rPr>
                <w:rFonts w:hAnsi="宋体"/>
                <w:sz w:val="21"/>
                <w:szCs w:val="21"/>
              </w:rPr>
              <w:t>（</w:t>
            </w:r>
            <w:r>
              <w:rPr>
                <w:sz w:val="21"/>
                <w:szCs w:val="21"/>
              </w:rPr>
              <w:t>2</w:t>
            </w:r>
            <w:r>
              <w:rPr>
                <w:rFonts w:hAnsi="宋体"/>
                <w:sz w:val="21"/>
                <w:szCs w:val="21"/>
              </w:rPr>
              <w:t>）风险识别</w:t>
            </w:r>
          </w:p>
          <w:p>
            <w:pPr>
              <w:spacing w:line="360" w:lineRule="auto"/>
              <w:ind w:firstLine="424" w:firstLineChars="202"/>
              <w:rPr>
                <w:rFonts w:hAnsi="宋体"/>
                <w:szCs w:val="21"/>
              </w:rPr>
            </w:pPr>
            <w:r>
              <w:rPr>
                <w:rFonts w:ascii="宋体" w:hAnsi="宋体"/>
                <w:szCs w:val="21"/>
              </w:rPr>
              <w:t>①</w:t>
            </w:r>
            <w:r>
              <w:rPr>
                <w:rFonts w:hint="eastAsia" w:hAnsi="宋体"/>
                <w:szCs w:val="21"/>
              </w:rPr>
              <w:t>环境风险物质（矿物油类</w:t>
            </w:r>
            <w:r>
              <w:rPr>
                <w:rFonts w:hAnsi="宋体"/>
                <w:szCs w:val="21"/>
              </w:rPr>
              <w:t>）等存储不当泄漏引起的土壤、地表水污染；</w:t>
            </w:r>
          </w:p>
          <w:p>
            <w:pPr>
              <w:spacing w:line="360" w:lineRule="auto"/>
              <w:ind w:firstLine="424" w:firstLineChars="202"/>
              <w:rPr>
                <w:rFonts w:ascii="宋体" w:hAnsi="宋体"/>
                <w:szCs w:val="21"/>
              </w:rPr>
            </w:pPr>
            <w:r>
              <w:rPr>
                <w:rFonts w:ascii="宋体" w:hAnsi="宋体"/>
                <w:szCs w:val="21"/>
              </w:rPr>
              <w:t>②</w:t>
            </w:r>
            <w:r>
              <w:rPr>
                <w:rFonts w:hint="eastAsia" w:ascii="宋体" w:hAnsi="宋体"/>
                <w:szCs w:val="21"/>
              </w:rPr>
              <w:t>矿物油类物质</w:t>
            </w:r>
            <w:r>
              <w:rPr>
                <w:rFonts w:hAnsi="宋体"/>
                <w:szCs w:val="21"/>
              </w:rPr>
              <w:t>等泄漏后遇明火、高温发生燃烧。</w:t>
            </w:r>
          </w:p>
          <w:p>
            <w:pPr>
              <w:spacing w:line="360" w:lineRule="auto"/>
              <w:ind w:firstLine="424" w:firstLineChars="202"/>
              <w:rPr>
                <w:szCs w:val="21"/>
              </w:rPr>
            </w:pPr>
            <w:r>
              <w:rPr>
                <w:rFonts w:ascii="宋体" w:hAnsi="宋体"/>
                <w:szCs w:val="21"/>
              </w:rPr>
              <w:t>③</w:t>
            </w:r>
            <w:r>
              <w:rPr>
                <w:rFonts w:hAnsi="宋体"/>
                <w:szCs w:val="21"/>
              </w:rPr>
              <w:t>发生火灾后，燃烧产生的</w:t>
            </w:r>
            <w:r>
              <w:rPr>
                <w:szCs w:val="21"/>
              </w:rPr>
              <w:t>CO</w:t>
            </w:r>
            <w:r>
              <w:rPr>
                <w:rFonts w:hAnsi="宋体"/>
                <w:szCs w:val="21"/>
              </w:rPr>
              <w:t>、非甲烷</w:t>
            </w:r>
            <w:r>
              <w:rPr>
                <w:rFonts w:hint="eastAsia" w:hAnsi="宋体"/>
                <w:szCs w:val="21"/>
              </w:rPr>
              <w:t>总烃</w:t>
            </w:r>
            <w:r>
              <w:rPr>
                <w:rFonts w:hAnsi="宋体"/>
                <w:szCs w:val="21"/>
              </w:rPr>
              <w:t>等扩散对周边居民健康或环境空气造成影响。</w:t>
            </w:r>
          </w:p>
          <w:p>
            <w:pPr>
              <w:spacing w:line="360" w:lineRule="auto"/>
              <w:ind w:firstLine="424" w:firstLineChars="202"/>
              <w:rPr>
                <w:szCs w:val="21"/>
              </w:rPr>
            </w:pPr>
            <w:r>
              <w:rPr>
                <w:rFonts w:hAnsi="宋体"/>
                <w:szCs w:val="21"/>
              </w:rPr>
              <w:t>（</w:t>
            </w:r>
            <w:r>
              <w:rPr>
                <w:szCs w:val="21"/>
              </w:rPr>
              <w:t>3</w:t>
            </w:r>
            <w:r>
              <w:rPr>
                <w:rFonts w:hAnsi="宋体"/>
                <w:szCs w:val="21"/>
              </w:rPr>
              <w:t>）风险防范措施</w:t>
            </w:r>
          </w:p>
          <w:p>
            <w:pPr>
              <w:spacing w:line="360" w:lineRule="auto"/>
              <w:ind w:firstLine="424" w:firstLineChars="202"/>
              <w:rPr>
                <w:szCs w:val="21"/>
              </w:rPr>
            </w:pPr>
            <w:r>
              <w:rPr>
                <w:rFonts w:hAnsi="宋体"/>
                <w:szCs w:val="21"/>
              </w:rPr>
              <w:t>①储存过程中风险防范措施</w:t>
            </w:r>
          </w:p>
          <w:p>
            <w:pPr>
              <w:spacing w:line="360" w:lineRule="auto"/>
              <w:ind w:firstLine="424" w:firstLineChars="202"/>
              <w:rPr>
                <w:rFonts w:hAnsi="宋体"/>
                <w:kern w:val="0"/>
                <w:szCs w:val="21"/>
              </w:rPr>
            </w:pPr>
            <w:r>
              <w:rPr>
                <w:rFonts w:hAnsi="宋体"/>
                <w:kern w:val="0"/>
                <w:szCs w:val="21"/>
              </w:rPr>
              <w:t>贮存过程事故风险主要是因</w:t>
            </w:r>
            <w:r>
              <w:rPr>
                <w:rFonts w:hint="eastAsia" w:hAnsi="宋体"/>
                <w:kern w:val="0"/>
                <w:szCs w:val="21"/>
              </w:rPr>
              <w:t>环境风险物质</w:t>
            </w:r>
            <w:r>
              <w:rPr>
                <w:rFonts w:hAnsi="宋体"/>
                <w:kern w:val="0"/>
                <w:szCs w:val="21"/>
              </w:rPr>
              <w:t>泄漏而造成的火灾爆炸、环境污染等事故。建设单位针对其防范措施，应该做到以下几点：油类物质的存放场所必须符合防火要求，远离明火，存放场所不得堆放其他物品，应有良好的通风、降温措施，附近应有干粉、二氧化碳灭火器</w:t>
            </w:r>
            <w:r>
              <w:rPr>
                <w:rFonts w:hAnsi="宋体"/>
                <w:szCs w:val="21"/>
              </w:rPr>
              <w:t>。</w:t>
            </w:r>
          </w:p>
          <w:p>
            <w:pPr>
              <w:wordWrap w:val="0"/>
              <w:spacing w:line="360" w:lineRule="auto"/>
              <w:ind w:firstLine="482"/>
              <w:rPr>
                <w:rFonts w:hAnsi="宋体"/>
                <w:szCs w:val="21"/>
              </w:rPr>
            </w:pPr>
            <w:r>
              <w:rPr>
                <w:rFonts w:hAnsi="宋体"/>
                <w:szCs w:val="21"/>
              </w:rPr>
              <w:t>②</w:t>
            </w:r>
            <w:r>
              <w:rPr>
                <w:rFonts w:hint="eastAsia" w:hAnsi="宋体"/>
                <w:szCs w:val="21"/>
              </w:rPr>
              <w:t>生产过程风险防范措施</w:t>
            </w:r>
          </w:p>
          <w:p>
            <w:pPr>
              <w:wordWrap w:val="0"/>
              <w:spacing w:line="360" w:lineRule="auto"/>
              <w:ind w:firstLine="482"/>
              <w:rPr>
                <w:rFonts w:hAnsi="宋体"/>
                <w:kern w:val="0"/>
                <w:szCs w:val="21"/>
              </w:rPr>
            </w:pPr>
            <w:r>
              <w:rPr>
                <w:rFonts w:hAnsi="宋体"/>
                <w:kern w:val="0"/>
                <w:szCs w:val="21"/>
              </w:rPr>
              <w:t>设备在规定使用期限内，生产设备应满足使用环境要求，特别是满足抗腐蚀、耐磨损、抗疲劳、抗老化的要求，要密切关注事故易发部位，做好运行监督检查和维修保养，防患于未然；提高盛装</w:t>
            </w:r>
            <w:r>
              <w:rPr>
                <w:rFonts w:hint="eastAsia" w:hAnsi="宋体"/>
                <w:kern w:val="0"/>
                <w:szCs w:val="21"/>
              </w:rPr>
              <w:t>油类物质、丁基胶、硅酮胶</w:t>
            </w:r>
            <w:r>
              <w:rPr>
                <w:rFonts w:hAnsi="宋体"/>
                <w:kern w:val="0"/>
                <w:szCs w:val="21"/>
              </w:rPr>
              <w:t>等容器的密封性能，尽可能减少无组织泄漏；组织专门人员每天进行巡回检查，有跑冒滴漏或其他异常现象的应及时检修，必要时停产检修。</w:t>
            </w:r>
          </w:p>
          <w:p>
            <w:pPr>
              <w:wordWrap w:val="0"/>
              <w:spacing w:line="360" w:lineRule="auto"/>
              <w:ind w:firstLine="482"/>
              <w:rPr>
                <w:rFonts w:hAnsi="宋体"/>
                <w:szCs w:val="21"/>
              </w:rPr>
            </w:pPr>
            <w:r>
              <w:rPr>
                <w:rFonts w:hAnsi="宋体"/>
                <w:szCs w:val="21"/>
              </w:rPr>
              <w:t>③</w:t>
            </w:r>
            <w:r>
              <w:rPr>
                <w:rFonts w:hint="eastAsia" w:hAnsi="宋体"/>
                <w:szCs w:val="21"/>
              </w:rPr>
              <w:t>废物处理过程风险防范措施</w:t>
            </w:r>
          </w:p>
          <w:p>
            <w:pPr>
              <w:wordWrap w:val="0"/>
              <w:spacing w:line="360" w:lineRule="auto"/>
              <w:ind w:firstLine="482"/>
              <w:rPr>
                <w:kern w:val="0"/>
                <w:szCs w:val="21"/>
              </w:rPr>
            </w:pPr>
            <w:r>
              <w:rPr>
                <w:rFonts w:hAnsi="宋体"/>
                <w:kern w:val="0"/>
                <w:szCs w:val="21"/>
              </w:rPr>
              <w:t>设备进行定期检修和循环检查的过程中，应对废物处理设备和设施进行检修和检查，同时对废物处理的设施应设置专人进行日常维护；一旦环保设施出现故障时，应立即停产检修；环</w:t>
            </w:r>
            <w:r>
              <w:rPr>
                <w:kern w:val="0"/>
                <w:szCs w:val="21"/>
              </w:rPr>
              <w:t>保设施应确保日常运行，如发生人为原因导致设施未正常运行，责任人应接受处罚并废物处理设施因故未能运行，应该停产检修。</w:t>
            </w:r>
          </w:p>
          <w:p>
            <w:pPr>
              <w:wordWrap w:val="0"/>
              <w:spacing w:line="360" w:lineRule="auto"/>
              <w:ind w:firstLine="482"/>
              <w:rPr>
                <w:szCs w:val="21"/>
              </w:rPr>
            </w:pPr>
            <w:r>
              <w:rPr>
                <w:rFonts w:hint="eastAsia" w:ascii="宋体" w:hAnsi="宋体" w:cs="宋体"/>
                <w:szCs w:val="21"/>
              </w:rPr>
              <w:t>④</w:t>
            </w:r>
            <w:r>
              <w:rPr>
                <w:szCs w:val="21"/>
              </w:rPr>
              <w:t>日常管理要求</w:t>
            </w:r>
          </w:p>
          <w:p>
            <w:pPr>
              <w:wordWrap w:val="0"/>
              <w:spacing w:line="360" w:lineRule="auto"/>
              <w:ind w:firstLine="482"/>
              <w:rPr>
                <w:kern w:val="0"/>
                <w:szCs w:val="21"/>
              </w:rPr>
            </w:pPr>
            <w:r>
              <w:rPr>
                <w:kern w:val="0"/>
                <w:szCs w:val="21"/>
              </w:rPr>
              <w:t>制定企业环境风险防范管理制度。以预防为主、全面覆盖、突出重点为主要原则，将厂区内突发环境风险事故的控制和处置行为进行规定，成立相关部门及相关人员负责风险防范事宜。应定期对制度内容进行培训，梳理严谨规范的防范意识和管理。</w:t>
            </w:r>
          </w:p>
          <w:p>
            <w:pPr>
              <w:wordWrap w:val="0"/>
              <w:spacing w:line="360" w:lineRule="auto"/>
              <w:ind w:firstLine="482"/>
              <w:rPr>
                <w:kern w:val="0"/>
                <w:szCs w:val="21"/>
              </w:rPr>
            </w:pPr>
            <w:r>
              <w:rPr>
                <w:kern w:val="0"/>
                <w:szCs w:val="21"/>
              </w:rPr>
              <w:t>综上，本项目</w:t>
            </w:r>
            <w:r>
              <w:rPr>
                <w:rFonts w:hint="eastAsia"/>
                <w:kern w:val="0"/>
                <w:szCs w:val="21"/>
              </w:rPr>
              <w:t>在认真落实环评提出的环境风险防范措施后，可以在最大程度上降低事故的发生率。项目的环境风险在可接受范围之内。</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pPr>
          </w:p>
          <w:p>
            <w:pPr>
              <w:pStyle w:val="2"/>
            </w:pPr>
          </w:p>
          <w:p>
            <w:pPr>
              <w:pStyle w:val="2"/>
            </w:pPr>
          </w:p>
          <w:p>
            <w:pPr>
              <w:pStyle w:val="2"/>
            </w:pPr>
          </w:p>
          <w:p>
            <w:pPr>
              <w:pStyle w:val="2"/>
            </w:pPr>
          </w:p>
          <w:p>
            <w:pPr>
              <w:pStyle w:val="2"/>
            </w:pPr>
          </w:p>
          <w:p>
            <w:pPr>
              <w:pStyle w:val="2"/>
            </w:pPr>
          </w:p>
          <w:p/>
          <w:p>
            <w:pPr>
              <w:pStyle w:val="2"/>
              <w:rPr>
                <w:color w:val="auto"/>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tc>
      </w:tr>
    </w:tbl>
    <w:p>
      <w:pPr>
        <w:adjustRightInd w:val="0"/>
        <w:snapToGrid w:val="0"/>
        <w:spacing w:line="360" w:lineRule="auto"/>
        <w:rPr>
          <w:rFonts w:ascii="宋体" w:cs="宋体"/>
          <w:b/>
          <w:kern w:val="0"/>
          <w:sz w:val="28"/>
          <w:szCs w:val="28"/>
        </w:rPr>
        <w:sectPr>
          <w:pgSz w:w="11907" w:h="16840"/>
          <w:pgMar w:top="1701" w:right="1531" w:bottom="1418" w:left="1531" w:header="1134" w:footer="1134" w:gutter="0"/>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3" w:name="_Hlk54167917"/>
      <w:r>
        <w:rPr>
          <w:rFonts w:hint="eastAsia" w:ascii="黑体" w:hAnsi="黑体" w:eastAsia="黑体"/>
          <w:snapToGrid w:val="0"/>
          <w:sz w:val="30"/>
          <w:szCs w:val="30"/>
        </w:rPr>
        <w:t>环境保护措施监督检查清单</w:t>
      </w:r>
      <w:bookmarkEnd w:id="3"/>
    </w:p>
    <w:tbl>
      <w:tblPr>
        <w:tblStyle w:val="23"/>
        <w:tblW w:w="881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45"/>
        <w:gridCol w:w="1875"/>
        <w:gridCol w:w="2130"/>
        <w:gridCol w:w="2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101" w:type="dxa"/>
            <w:tcBorders>
              <w:tl2br w:val="single" w:color="auto" w:sz="4" w:space="0"/>
            </w:tcBorders>
          </w:tcPr>
          <w:p>
            <w:pPr>
              <w:adjustRightInd w:val="0"/>
              <w:snapToGrid w:val="0"/>
              <w:ind w:firstLine="420" w:firstLineChars="200"/>
              <w:rPr>
                <w:szCs w:val="21"/>
              </w:rPr>
            </w:pPr>
            <w:r>
              <w:rPr>
                <w:rFonts w:hAnsi="宋体"/>
                <w:szCs w:val="21"/>
              </w:rPr>
              <w:t>内容</w:t>
            </w:r>
          </w:p>
          <w:p>
            <w:pPr>
              <w:adjustRightInd w:val="0"/>
              <w:snapToGrid w:val="0"/>
              <w:rPr>
                <w:szCs w:val="21"/>
              </w:rPr>
            </w:pPr>
            <w:r>
              <w:rPr>
                <w:rFonts w:hAnsi="宋体"/>
                <w:szCs w:val="21"/>
              </w:rPr>
              <w:t>要素</w:t>
            </w:r>
          </w:p>
        </w:tc>
        <w:tc>
          <w:tcPr>
            <w:tcW w:w="1545" w:type="dxa"/>
            <w:vAlign w:val="center"/>
          </w:tcPr>
          <w:p>
            <w:pPr>
              <w:adjustRightInd w:val="0"/>
              <w:snapToGrid w:val="0"/>
              <w:jc w:val="center"/>
              <w:rPr>
                <w:szCs w:val="21"/>
              </w:rPr>
            </w:pPr>
            <w:r>
              <w:rPr>
                <w:rFonts w:hAnsi="宋体"/>
                <w:szCs w:val="21"/>
              </w:rPr>
              <w:t>排放口</w:t>
            </w:r>
            <w:r>
              <w:rPr>
                <w:szCs w:val="21"/>
              </w:rPr>
              <w:t>(</w:t>
            </w:r>
            <w:r>
              <w:rPr>
                <w:rFonts w:hAnsi="宋体"/>
                <w:szCs w:val="21"/>
              </w:rPr>
              <w:t>编号、</w:t>
            </w:r>
          </w:p>
          <w:p>
            <w:pPr>
              <w:adjustRightInd w:val="0"/>
              <w:snapToGrid w:val="0"/>
              <w:jc w:val="center"/>
              <w:rPr>
                <w:szCs w:val="21"/>
              </w:rPr>
            </w:pPr>
            <w:r>
              <w:rPr>
                <w:rFonts w:hAnsi="宋体"/>
                <w:szCs w:val="21"/>
              </w:rPr>
              <w:t>名称</w:t>
            </w:r>
            <w:r>
              <w:rPr>
                <w:szCs w:val="21"/>
              </w:rPr>
              <w:t>)/</w:t>
            </w:r>
            <w:r>
              <w:rPr>
                <w:rFonts w:hAnsi="宋体"/>
                <w:szCs w:val="21"/>
              </w:rPr>
              <w:t>污染源</w:t>
            </w:r>
          </w:p>
        </w:tc>
        <w:tc>
          <w:tcPr>
            <w:tcW w:w="1875" w:type="dxa"/>
            <w:vAlign w:val="center"/>
          </w:tcPr>
          <w:p>
            <w:pPr>
              <w:adjustRightInd w:val="0"/>
              <w:snapToGrid w:val="0"/>
              <w:jc w:val="center"/>
              <w:rPr>
                <w:szCs w:val="21"/>
              </w:rPr>
            </w:pPr>
            <w:r>
              <w:rPr>
                <w:rFonts w:hAnsi="宋体"/>
                <w:szCs w:val="21"/>
              </w:rPr>
              <w:t>污染物项目</w:t>
            </w:r>
          </w:p>
        </w:tc>
        <w:tc>
          <w:tcPr>
            <w:tcW w:w="2130" w:type="dxa"/>
            <w:vAlign w:val="center"/>
          </w:tcPr>
          <w:p>
            <w:pPr>
              <w:adjustRightInd w:val="0"/>
              <w:snapToGrid w:val="0"/>
              <w:jc w:val="center"/>
              <w:rPr>
                <w:szCs w:val="21"/>
              </w:rPr>
            </w:pPr>
            <w:r>
              <w:rPr>
                <w:rFonts w:hAnsi="宋体"/>
                <w:szCs w:val="21"/>
              </w:rPr>
              <w:t>环境保护</w:t>
            </w:r>
          </w:p>
          <w:p>
            <w:pPr>
              <w:adjustRightInd w:val="0"/>
              <w:snapToGrid w:val="0"/>
              <w:jc w:val="center"/>
              <w:rPr>
                <w:szCs w:val="21"/>
              </w:rPr>
            </w:pPr>
            <w:r>
              <w:rPr>
                <w:rFonts w:hAnsi="宋体"/>
                <w:szCs w:val="21"/>
              </w:rPr>
              <w:t>措施</w:t>
            </w:r>
          </w:p>
        </w:tc>
        <w:tc>
          <w:tcPr>
            <w:tcW w:w="2165" w:type="dxa"/>
            <w:vAlign w:val="center"/>
          </w:tcPr>
          <w:p>
            <w:pPr>
              <w:adjustRightInd w:val="0"/>
              <w:snapToGrid w:val="0"/>
              <w:jc w:val="center"/>
              <w:rPr>
                <w:szCs w:val="21"/>
              </w:rPr>
            </w:pPr>
            <w:r>
              <w:rPr>
                <w:rFonts w:hAnsi="宋体"/>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Merge w:val="restart"/>
            <w:vAlign w:val="center"/>
          </w:tcPr>
          <w:p>
            <w:pPr>
              <w:adjustRightInd w:val="0"/>
              <w:snapToGrid w:val="0"/>
              <w:jc w:val="center"/>
              <w:rPr>
                <w:szCs w:val="21"/>
              </w:rPr>
            </w:pPr>
            <w:r>
              <w:rPr>
                <w:szCs w:val="21"/>
              </w:rPr>
              <w:t>大气环境</w:t>
            </w:r>
          </w:p>
        </w:tc>
        <w:tc>
          <w:tcPr>
            <w:tcW w:w="1545" w:type="dxa"/>
            <w:vAlign w:val="center"/>
          </w:tcPr>
          <w:p>
            <w:pPr>
              <w:adjustRightInd w:val="0"/>
              <w:snapToGrid w:val="0"/>
              <w:jc w:val="center"/>
              <w:rPr>
                <w:szCs w:val="21"/>
              </w:rPr>
            </w:pPr>
            <w:r>
              <w:rPr>
                <w:szCs w:val="21"/>
              </w:rPr>
              <w:t>DA001</w:t>
            </w:r>
          </w:p>
        </w:tc>
        <w:tc>
          <w:tcPr>
            <w:tcW w:w="1875" w:type="dxa"/>
            <w:vAlign w:val="center"/>
          </w:tcPr>
          <w:p>
            <w:pPr>
              <w:adjustRightInd w:val="0"/>
              <w:snapToGrid w:val="0"/>
              <w:jc w:val="center"/>
              <w:rPr>
                <w:szCs w:val="21"/>
              </w:rPr>
            </w:pPr>
            <w:r>
              <w:rPr>
                <w:szCs w:val="21"/>
              </w:rPr>
              <w:t>非甲烷总烃</w:t>
            </w:r>
          </w:p>
        </w:tc>
        <w:tc>
          <w:tcPr>
            <w:tcW w:w="2130" w:type="dxa"/>
            <w:vAlign w:val="center"/>
          </w:tcPr>
          <w:p>
            <w:pPr>
              <w:adjustRightInd w:val="0"/>
              <w:snapToGrid w:val="0"/>
              <w:jc w:val="center"/>
              <w:rPr>
                <w:szCs w:val="21"/>
              </w:rPr>
            </w:pPr>
            <w:r>
              <w:rPr>
                <w:szCs w:val="21"/>
              </w:rPr>
              <w:t>集气罩+活性炭吸附装置+15m排气筒</w:t>
            </w:r>
          </w:p>
        </w:tc>
        <w:tc>
          <w:tcPr>
            <w:tcW w:w="2165" w:type="dxa"/>
            <w:vAlign w:val="center"/>
          </w:tcPr>
          <w:p>
            <w:pPr>
              <w:adjustRightInd w:val="0"/>
              <w:snapToGrid w:val="0"/>
              <w:jc w:val="center"/>
              <w:rPr>
                <w:szCs w:val="21"/>
              </w:rPr>
            </w:pPr>
            <w:r>
              <w:rPr>
                <w:rFonts w:hint="eastAsia" w:hAnsi="宋体"/>
                <w:bCs/>
                <w:color w:val="0000FF"/>
                <w:szCs w:val="21"/>
              </w:rPr>
              <w:t>《挥发性有机物排放控制标准》（D</w:t>
            </w:r>
            <w:r>
              <w:rPr>
                <w:rFonts w:hAnsi="宋体"/>
                <w:bCs/>
                <w:color w:val="0000FF"/>
                <w:szCs w:val="21"/>
              </w:rPr>
              <w:t>B61/T1061-2017</w:t>
            </w:r>
            <w:r>
              <w:rPr>
                <w:rFonts w:hint="eastAsia" w:hAnsi="宋体"/>
                <w:bCs/>
                <w:color w:val="0000FF"/>
                <w:szCs w:val="21"/>
              </w:rPr>
              <w:t xml:space="preserve">）表面涂装行业有组织排放限值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Merge w:val="continue"/>
            <w:vAlign w:val="center"/>
          </w:tcPr>
          <w:p>
            <w:pPr>
              <w:adjustRightInd w:val="0"/>
              <w:snapToGrid w:val="0"/>
              <w:jc w:val="center"/>
              <w:rPr>
                <w:szCs w:val="21"/>
              </w:rPr>
            </w:pPr>
          </w:p>
        </w:tc>
        <w:tc>
          <w:tcPr>
            <w:tcW w:w="1545" w:type="dxa"/>
            <w:vAlign w:val="center"/>
          </w:tcPr>
          <w:p>
            <w:pPr>
              <w:adjustRightInd w:val="0"/>
              <w:snapToGrid w:val="0"/>
              <w:jc w:val="center"/>
              <w:rPr>
                <w:szCs w:val="21"/>
              </w:rPr>
            </w:pPr>
            <w:r>
              <w:rPr>
                <w:szCs w:val="21"/>
              </w:rPr>
              <w:t>厂界</w:t>
            </w:r>
          </w:p>
        </w:tc>
        <w:tc>
          <w:tcPr>
            <w:tcW w:w="1875" w:type="dxa"/>
            <w:vAlign w:val="center"/>
          </w:tcPr>
          <w:p>
            <w:pPr>
              <w:adjustRightInd w:val="0"/>
              <w:snapToGrid w:val="0"/>
              <w:jc w:val="center"/>
              <w:rPr>
                <w:szCs w:val="21"/>
              </w:rPr>
            </w:pPr>
            <w:r>
              <w:rPr>
                <w:szCs w:val="21"/>
              </w:rPr>
              <w:t>非甲烷总烃</w:t>
            </w:r>
          </w:p>
        </w:tc>
        <w:tc>
          <w:tcPr>
            <w:tcW w:w="2130" w:type="dxa"/>
            <w:vAlign w:val="center"/>
          </w:tcPr>
          <w:p>
            <w:pPr>
              <w:adjustRightInd w:val="0"/>
              <w:snapToGrid w:val="0"/>
              <w:jc w:val="center"/>
              <w:rPr>
                <w:szCs w:val="21"/>
              </w:rPr>
            </w:pPr>
            <w:r>
              <w:rPr>
                <w:szCs w:val="21"/>
              </w:rPr>
              <w:t>/</w:t>
            </w:r>
          </w:p>
        </w:tc>
        <w:tc>
          <w:tcPr>
            <w:tcW w:w="2165" w:type="dxa"/>
            <w:vAlign w:val="center"/>
          </w:tcPr>
          <w:p>
            <w:pPr>
              <w:adjustRightInd w:val="0"/>
              <w:snapToGrid w:val="0"/>
              <w:jc w:val="center"/>
              <w:rPr>
                <w:szCs w:val="21"/>
              </w:rPr>
            </w:pPr>
            <w:r>
              <w:rPr>
                <w:rFonts w:hint="eastAsia" w:hAnsi="宋体"/>
                <w:bCs/>
                <w:color w:val="0000FF"/>
                <w:szCs w:val="21"/>
              </w:rPr>
              <w:t>《挥发性有机物排放控制标准》（D</w:t>
            </w:r>
            <w:r>
              <w:rPr>
                <w:rFonts w:hAnsi="宋体"/>
                <w:bCs/>
                <w:color w:val="0000FF"/>
                <w:szCs w:val="21"/>
              </w:rPr>
              <w:t>B61/T1061-2017</w:t>
            </w:r>
            <w:r>
              <w:rPr>
                <w:rFonts w:hint="eastAsia" w:hAnsi="宋体"/>
                <w:bCs/>
                <w:color w:val="0000FF"/>
                <w:szCs w:val="21"/>
              </w:rPr>
              <w:t>）企业边界监控点浓度限值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Merge w:val="continue"/>
            <w:vAlign w:val="center"/>
          </w:tcPr>
          <w:p>
            <w:pPr>
              <w:adjustRightInd w:val="0"/>
              <w:snapToGrid w:val="0"/>
              <w:jc w:val="center"/>
              <w:rPr>
                <w:szCs w:val="21"/>
              </w:rPr>
            </w:pPr>
          </w:p>
        </w:tc>
        <w:tc>
          <w:tcPr>
            <w:tcW w:w="1545" w:type="dxa"/>
            <w:vAlign w:val="center"/>
          </w:tcPr>
          <w:p>
            <w:pPr>
              <w:adjustRightInd w:val="0"/>
              <w:snapToGrid w:val="0"/>
              <w:jc w:val="center"/>
              <w:rPr>
                <w:szCs w:val="21"/>
              </w:rPr>
            </w:pPr>
            <w:r>
              <w:rPr>
                <w:szCs w:val="21"/>
              </w:rPr>
              <w:t>厂内</w:t>
            </w:r>
          </w:p>
        </w:tc>
        <w:tc>
          <w:tcPr>
            <w:tcW w:w="1875" w:type="dxa"/>
            <w:vAlign w:val="center"/>
          </w:tcPr>
          <w:p>
            <w:pPr>
              <w:adjustRightInd w:val="0"/>
              <w:snapToGrid w:val="0"/>
              <w:jc w:val="center"/>
              <w:rPr>
                <w:szCs w:val="21"/>
              </w:rPr>
            </w:pPr>
            <w:r>
              <w:rPr>
                <w:szCs w:val="21"/>
              </w:rPr>
              <w:t>非甲烷总烃</w:t>
            </w:r>
          </w:p>
        </w:tc>
        <w:tc>
          <w:tcPr>
            <w:tcW w:w="2130" w:type="dxa"/>
            <w:vAlign w:val="center"/>
          </w:tcPr>
          <w:p>
            <w:pPr>
              <w:adjustRightInd w:val="0"/>
              <w:snapToGrid w:val="0"/>
              <w:jc w:val="center"/>
              <w:rPr>
                <w:szCs w:val="21"/>
              </w:rPr>
            </w:pPr>
            <w:r>
              <w:rPr>
                <w:bCs/>
                <w:kern w:val="0"/>
                <w:szCs w:val="21"/>
              </w:rPr>
              <w:t>/</w:t>
            </w:r>
          </w:p>
        </w:tc>
        <w:tc>
          <w:tcPr>
            <w:tcW w:w="2165" w:type="dxa"/>
            <w:vAlign w:val="center"/>
          </w:tcPr>
          <w:p>
            <w:pPr>
              <w:adjustRightInd w:val="0"/>
              <w:snapToGrid w:val="0"/>
              <w:jc w:val="center"/>
              <w:rPr>
                <w:szCs w:val="21"/>
              </w:rPr>
            </w:pPr>
            <w:r>
              <w:rPr>
                <w:bCs/>
                <w:szCs w:val="21"/>
              </w:rPr>
              <w:t>《挥发性有机物无组织排放控制标准》（GB37822-2019）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Merge w:val="restart"/>
            <w:vAlign w:val="center"/>
          </w:tcPr>
          <w:p>
            <w:pPr>
              <w:adjustRightInd w:val="0"/>
              <w:snapToGrid w:val="0"/>
              <w:jc w:val="center"/>
              <w:rPr>
                <w:szCs w:val="21"/>
              </w:rPr>
            </w:pPr>
            <w:r>
              <w:rPr>
                <w:szCs w:val="21"/>
              </w:rPr>
              <w:t>地表水</w:t>
            </w:r>
          </w:p>
          <w:p>
            <w:pPr>
              <w:adjustRightInd w:val="0"/>
              <w:snapToGrid w:val="0"/>
              <w:jc w:val="center"/>
              <w:rPr>
                <w:szCs w:val="21"/>
              </w:rPr>
            </w:pPr>
            <w:r>
              <w:rPr>
                <w:szCs w:val="21"/>
              </w:rPr>
              <w:t>环境</w:t>
            </w:r>
          </w:p>
        </w:tc>
        <w:tc>
          <w:tcPr>
            <w:tcW w:w="1545" w:type="dxa"/>
            <w:vAlign w:val="center"/>
          </w:tcPr>
          <w:p>
            <w:pPr>
              <w:adjustRightInd w:val="0"/>
              <w:snapToGrid w:val="0"/>
              <w:jc w:val="center"/>
              <w:rPr>
                <w:szCs w:val="21"/>
              </w:rPr>
            </w:pPr>
            <w:r>
              <w:rPr>
                <w:szCs w:val="21"/>
              </w:rPr>
              <w:t>生活污水</w:t>
            </w:r>
          </w:p>
        </w:tc>
        <w:tc>
          <w:tcPr>
            <w:tcW w:w="1875" w:type="dxa"/>
            <w:vAlign w:val="center"/>
          </w:tcPr>
          <w:p>
            <w:pPr>
              <w:adjustRightInd w:val="0"/>
              <w:snapToGrid w:val="0"/>
              <w:jc w:val="center"/>
              <w:rPr>
                <w:szCs w:val="21"/>
              </w:rPr>
            </w:pPr>
            <w:r>
              <w:rPr>
                <w:szCs w:val="21"/>
              </w:rPr>
              <w:t>COD、BOD</w:t>
            </w:r>
            <w:r>
              <w:rPr>
                <w:szCs w:val="21"/>
                <w:vertAlign w:val="subscript"/>
              </w:rPr>
              <w:t>5</w:t>
            </w:r>
            <w:r>
              <w:rPr>
                <w:szCs w:val="21"/>
              </w:rPr>
              <w:t>、SS、氨氮、总磷、总氮</w:t>
            </w:r>
          </w:p>
        </w:tc>
        <w:tc>
          <w:tcPr>
            <w:tcW w:w="2130" w:type="dxa"/>
            <w:vAlign w:val="center"/>
          </w:tcPr>
          <w:p>
            <w:pPr>
              <w:adjustRightInd w:val="0"/>
              <w:snapToGrid w:val="0"/>
              <w:jc w:val="center"/>
              <w:rPr>
                <w:szCs w:val="21"/>
              </w:rPr>
            </w:pPr>
            <w:r>
              <w:rPr>
                <w:szCs w:val="21"/>
              </w:rPr>
              <w:t>化粪池（5m</w:t>
            </w:r>
            <w:r>
              <w:rPr>
                <w:szCs w:val="21"/>
                <w:vertAlign w:val="superscript"/>
              </w:rPr>
              <w:t>3</w:t>
            </w:r>
            <w:r>
              <w:rPr>
                <w:szCs w:val="21"/>
              </w:rPr>
              <w:t>）1座</w:t>
            </w:r>
          </w:p>
        </w:tc>
        <w:tc>
          <w:tcPr>
            <w:tcW w:w="2165" w:type="dxa"/>
            <w:vAlign w:val="center"/>
          </w:tcPr>
          <w:p>
            <w:pPr>
              <w:adjustRightInd w:val="0"/>
              <w:snapToGrid w:val="0"/>
              <w:jc w:val="center"/>
              <w:rPr>
                <w:szCs w:val="21"/>
              </w:rPr>
            </w:pPr>
            <w:r>
              <w:rPr>
                <w:szCs w:val="21"/>
              </w:rPr>
              <w:t>《污水综合排放标准》（GB8978-1996）三级</w:t>
            </w:r>
          </w:p>
          <w:p>
            <w:pPr>
              <w:adjustRightInd w:val="0"/>
              <w:snapToGrid w:val="0"/>
              <w:jc w:val="center"/>
              <w:rPr>
                <w:szCs w:val="21"/>
              </w:rPr>
            </w:pPr>
            <w:r>
              <w:rPr>
                <w:szCs w:val="21"/>
              </w:rPr>
              <w:t>《污水排入城镇下水道水质标准》（GB/T31962-2015）B级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Merge w:val="continue"/>
            <w:vAlign w:val="center"/>
          </w:tcPr>
          <w:p>
            <w:pPr>
              <w:adjustRightInd w:val="0"/>
              <w:snapToGrid w:val="0"/>
              <w:jc w:val="center"/>
              <w:rPr>
                <w:szCs w:val="21"/>
              </w:rPr>
            </w:pPr>
          </w:p>
        </w:tc>
        <w:tc>
          <w:tcPr>
            <w:tcW w:w="1545" w:type="dxa"/>
            <w:vAlign w:val="center"/>
          </w:tcPr>
          <w:p>
            <w:pPr>
              <w:adjustRightInd w:val="0"/>
              <w:snapToGrid w:val="0"/>
              <w:jc w:val="center"/>
              <w:rPr>
                <w:szCs w:val="21"/>
              </w:rPr>
            </w:pPr>
            <w:r>
              <w:rPr>
                <w:szCs w:val="21"/>
              </w:rPr>
              <w:t>磨边废水</w:t>
            </w:r>
          </w:p>
        </w:tc>
        <w:tc>
          <w:tcPr>
            <w:tcW w:w="1875" w:type="dxa"/>
            <w:vAlign w:val="center"/>
          </w:tcPr>
          <w:p>
            <w:pPr>
              <w:adjustRightInd w:val="0"/>
              <w:snapToGrid w:val="0"/>
              <w:jc w:val="center"/>
              <w:rPr>
                <w:szCs w:val="21"/>
              </w:rPr>
            </w:pPr>
            <w:r>
              <w:rPr>
                <w:szCs w:val="21"/>
              </w:rPr>
              <w:t>SS</w:t>
            </w:r>
          </w:p>
        </w:tc>
        <w:tc>
          <w:tcPr>
            <w:tcW w:w="2130" w:type="dxa"/>
            <w:vAlign w:val="center"/>
          </w:tcPr>
          <w:p>
            <w:pPr>
              <w:adjustRightInd w:val="0"/>
              <w:snapToGrid w:val="0"/>
              <w:jc w:val="center"/>
              <w:rPr>
                <w:szCs w:val="21"/>
              </w:rPr>
            </w:pPr>
            <w:r>
              <w:rPr>
                <w:szCs w:val="21"/>
              </w:rPr>
              <w:t>5m</w:t>
            </w:r>
            <w:r>
              <w:rPr>
                <w:szCs w:val="21"/>
                <w:vertAlign w:val="superscript"/>
              </w:rPr>
              <w:t>3</w:t>
            </w:r>
            <w:r>
              <w:rPr>
                <w:szCs w:val="21"/>
              </w:rPr>
              <w:t>循环水箱1个</w:t>
            </w:r>
          </w:p>
        </w:tc>
        <w:tc>
          <w:tcPr>
            <w:tcW w:w="2165" w:type="dxa"/>
            <w:vAlign w:val="center"/>
          </w:tcPr>
          <w:p>
            <w:pPr>
              <w:adjustRightInd w:val="0"/>
              <w:snapToGrid w:val="0"/>
              <w:jc w:val="center"/>
              <w:rPr>
                <w:szCs w:val="21"/>
              </w:rPr>
            </w:pPr>
            <w:r>
              <w:rPr>
                <w:szCs w:val="21"/>
              </w:rPr>
              <w:t>不外排，经沉淀后上清液循环使用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Merge w:val="continue"/>
            <w:vAlign w:val="center"/>
          </w:tcPr>
          <w:p>
            <w:pPr>
              <w:adjustRightInd w:val="0"/>
              <w:snapToGrid w:val="0"/>
              <w:jc w:val="center"/>
              <w:rPr>
                <w:szCs w:val="21"/>
              </w:rPr>
            </w:pPr>
          </w:p>
        </w:tc>
        <w:tc>
          <w:tcPr>
            <w:tcW w:w="1545" w:type="dxa"/>
            <w:vAlign w:val="center"/>
          </w:tcPr>
          <w:p>
            <w:pPr>
              <w:adjustRightInd w:val="0"/>
              <w:snapToGrid w:val="0"/>
              <w:jc w:val="center"/>
              <w:rPr>
                <w:szCs w:val="21"/>
              </w:rPr>
            </w:pPr>
            <w:r>
              <w:rPr>
                <w:szCs w:val="21"/>
              </w:rPr>
              <w:t>清洗废水</w:t>
            </w:r>
          </w:p>
        </w:tc>
        <w:tc>
          <w:tcPr>
            <w:tcW w:w="1875" w:type="dxa"/>
            <w:vAlign w:val="center"/>
          </w:tcPr>
          <w:p>
            <w:pPr>
              <w:adjustRightInd w:val="0"/>
              <w:snapToGrid w:val="0"/>
              <w:jc w:val="center"/>
              <w:rPr>
                <w:szCs w:val="21"/>
              </w:rPr>
            </w:pPr>
            <w:r>
              <w:rPr>
                <w:szCs w:val="21"/>
              </w:rPr>
              <w:t>SS</w:t>
            </w:r>
          </w:p>
        </w:tc>
        <w:tc>
          <w:tcPr>
            <w:tcW w:w="2130" w:type="dxa"/>
            <w:vAlign w:val="center"/>
          </w:tcPr>
          <w:p>
            <w:pPr>
              <w:adjustRightInd w:val="0"/>
              <w:snapToGrid w:val="0"/>
              <w:jc w:val="center"/>
              <w:rPr>
                <w:szCs w:val="21"/>
              </w:rPr>
            </w:pPr>
            <w:r>
              <w:rPr>
                <w:szCs w:val="21"/>
              </w:rPr>
              <w:t>10m</w:t>
            </w:r>
            <w:r>
              <w:rPr>
                <w:szCs w:val="21"/>
                <w:vertAlign w:val="superscript"/>
              </w:rPr>
              <w:t>3</w:t>
            </w:r>
            <w:r>
              <w:rPr>
                <w:szCs w:val="21"/>
              </w:rPr>
              <w:t>循环水箱1个</w:t>
            </w:r>
          </w:p>
        </w:tc>
        <w:tc>
          <w:tcPr>
            <w:tcW w:w="2165" w:type="dxa"/>
            <w:vAlign w:val="center"/>
          </w:tcPr>
          <w:p>
            <w:pPr>
              <w:adjustRightInd w:val="0"/>
              <w:snapToGrid w:val="0"/>
              <w:jc w:val="center"/>
              <w:rPr>
                <w:szCs w:val="21"/>
              </w:rPr>
            </w:pPr>
            <w:r>
              <w:rPr>
                <w:szCs w:val="21"/>
              </w:rPr>
              <w:t>不外排，经沉淀后上清液循环使用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1" w:type="dxa"/>
            <w:vAlign w:val="center"/>
          </w:tcPr>
          <w:p>
            <w:pPr>
              <w:adjustRightInd w:val="0"/>
              <w:snapToGrid w:val="0"/>
              <w:jc w:val="center"/>
              <w:rPr>
                <w:szCs w:val="21"/>
              </w:rPr>
            </w:pPr>
            <w:r>
              <w:rPr>
                <w:szCs w:val="21"/>
              </w:rPr>
              <w:t>声环境</w:t>
            </w:r>
          </w:p>
        </w:tc>
        <w:tc>
          <w:tcPr>
            <w:tcW w:w="1545" w:type="dxa"/>
            <w:vAlign w:val="center"/>
          </w:tcPr>
          <w:p>
            <w:pPr>
              <w:adjustRightInd w:val="0"/>
              <w:snapToGrid w:val="0"/>
              <w:jc w:val="center"/>
              <w:rPr>
                <w:szCs w:val="21"/>
              </w:rPr>
            </w:pPr>
            <w:r>
              <w:rPr>
                <w:szCs w:val="21"/>
              </w:rPr>
              <w:t>厂界噪声</w:t>
            </w:r>
          </w:p>
        </w:tc>
        <w:tc>
          <w:tcPr>
            <w:tcW w:w="1875" w:type="dxa"/>
            <w:vAlign w:val="center"/>
          </w:tcPr>
          <w:p>
            <w:pPr>
              <w:adjustRightInd w:val="0"/>
              <w:snapToGrid w:val="0"/>
              <w:jc w:val="center"/>
              <w:rPr>
                <w:szCs w:val="21"/>
              </w:rPr>
            </w:pPr>
            <w:r>
              <w:rPr>
                <w:szCs w:val="21"/>
              </w:rPr>
              <w:t>等效连续A声级</w:t>
            </w:r>
          </w:p>
        </w:tc>
        <w:tc>
          <w:tcPr>
            <w:tcW w:w="2130" w:type="dxa"/>
            <w:vAlign w:val="center"/>
          </w:tcPr>
          <w:p>
            <w:pPr>
              <w:adjustRightInd w:val="0"/>
              <w:snapToGrid w:val="0"/>
              <w:jc w:val="center"/>
              <w:rPr>
                <w:szCs w:val="21"/>
              </w:rPr>
            </w:pPr>
            <w:r>
              <w:rPr>
                <w:szCs w:val="21"/>
              </w:rPr>
              <w:t>合理布局、选用低噪音设备；基础减振、厂房隔声、强化生产管理、加强设备管理与维护，有异常及时检修</w:t>
            </w:r>
          </w:p>
        </w:tc>
        <w:tc>
          <w:tcPr>
            <w:tcW w:w="2165" w:type="dxa"/>
            <w:vAlign w:val="center"/>
          </w:tcPr>
          <w:p>
            <w:pPr>
              <w:adjustRightInd w:val="0"/>
              <w:snapToGrid w:val="0"/>
              <w:jc w:val="center"/>
              <w:rPr>
                <w:szCs w:val="21"/>
              </w:rPr>
            </w:pPr>
            <w:r>
              <w:rPr>
                <w:szCs w:val="21"/>
              </w:rPr>
              <w:t>《工业企业厂界环境噪声排放标准》（GB12348-2008）2类标准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1101" w:type="dxa"/>
            <w:vAlign w:val="center"/>
          </w:tcPr>
          <w:p>
            <w:pPr>
              <w:adjustRightInd w:val="0"/>
              <w:snapToGrid w:val="0"/>
              <w:jc w:val="center"/>
              <w:rPr>
                <w:szCs w:val="21"/>
              </w:rPr>
            </w:pPr>
            <w:r>
              <w:rPr>
                <w:rFonts w:hAnsi="宋体"/>
                <w:szCs w:val="21"/>
              </w:rPr>
              <w:t>固体废物</w:t>
            </w:r>
          </w:p>
        </w:tc>
        <w:tc>
          <w:tcPr>
            <w:tcW w:w="7715" w:type="dxa"/>
            <w:gridSpan w:val="4"/>
            <w:vAlign w:val="center"/>
          </w:tcPr>
          <w:p>
            <w:pPr>
              <w:spacing w:line="360" w:lineRule="auto"/>
              <w:ind w:firstLine="476" w:firstLineChars="227"/>
              <w:jc w:val="left"/>
              <w:rPr>
                <w:szCs w:val="21"/>
              </w:rPr>
            </w:pPr>
            <w:r>
              <w:rPr>
                <w:szCs w:val="21"/>
              </w:rPr>
              <w:t>1、生活垃圾：经厂区内垃圾桶收集后交环卫部门处置。</w:t>
            </w:r>
          </w:p>
          <w:p>
            <w:pPr>
              <w:pStyle w:val="2"/>
              <w:spacing w:line="360" w:lineRule="auto"/>
              <w:ind w:firstLine="476" w:firstLineChars="227"/>
              <w:rPr>
                <w:rFonts w:ascii="Times New Roman" w:cs="Times New Roman"/>
                <w:color w:val="auto"/>
                <w:sz w:val="21"/>
                <w:szCs w:val="21"/>
              </w:rPr>
            </w:pPr>
            <w:r>
              <w:rPr>
                <w:rFonts w:ascii="Times New Roman" w:cs="Times New Roman"/>
                <w:color w:val="auto"/>
                <w:sz w:val="21"/>
                <w:szCs w:val="21"/>
              </w:rPr>
              <w:t>2、一般固体废物：拟设一个一般固废暂存区，位于2#车间东部，建筑面积120m</w:t>
            </w:r>
            <w:r>
              <w:rPr>
                <w:rFonts w:ascii="Times New Roman" w:cs="Times New Roman"/>
                <w:color w:val="auto"/>
                <w:sz w:val="21"/>
                <w:szCs w:val="21"/>
                <w:vertAlign w:val="superscript"/>
              </w:rPr>
              <w:t>2</w:t>
            </w:r>
            <w:r>
              <w:rPr>
                <w:rFonts w:ascii="Times New Roman" w:cs="Times New Roman"/>
                <w:color w:val="auto"/>
                <w:sz w:val="21"/>
                <w:szCs w:val="21"/>
              </w:rPr>
              <w:t>。环评要求：一般固废暂存区应按照《一般工业固体废物贮存和填埋污染控制标准》(GB18599-2020)相关要求设置。废边角料、废包装、玻璃沉渣收集后外售专业回收单位处置。</w:t>
            </w:r>
          </w:p>
          <w:p>
            <w:pPr>
              <w:pStyle w:val="2"/>
              <w:spacing w:line="360" w:lineRule="auto"/>
              <w:ind w:firstLine="476" w:firstLineChars="227"/>
              <w:rPr>
                <w:rFonts w:ascii="Times New Roman" w:cs="Times New Roman"/>
                <w:color w:val="auto"/>
                <w:sz w:val="21"/>
                <w:szCs w:val="21"/>
              </w:rPr>
            </w:pPr>
            <w:r>
              <w:rPr>
                <w:rFonts w:ascii="Times New Roman" w:cs="Times New Roman"/>
                <w:color w:val="auto"/>
                <w:sz w:val="21"/>
                <w:szCs w:val="21"/>
              </w:rPr>
              <w:t>3、危险废物：拟设一个</w:t>
            </w:r>
            <w:r>
              <w:rPr>
                <w:rFonts w:hint="eastAsia" w:ascii="Times New Roman" w:cs="Times New Roman"/>
                <w:color w:val="auto"/>
                <w:sz w:val="21"/>
                <w:szCs w:val="21"/>
              </w:rPr>
              <w:t>危废贮存库</w:t>
            </w:r>
            <w:r>
              <w:rPr>
                <w:rFonts w:ascii="Times New Roman" w:cs="Times New Roman"/>
                <w:color w:val="auto"/>
                <w:sz w:val="21"/>
                <w:szCs w:val="21"/>
              </w:rPr>
              <w:t>，位于2#车间东北角，占地面积20m</w:t>
            </w:r>
            <w:r>
              <w:rPr>
                <w:rFonts w:ascii="Times New Roman" w:cs="Times New Roman"/>
                <w:color w:val="auto"/>
                <w:sz w:val="21"/>
                <w:szCs w:val="21"/>
                <w:vertAlign w:val="superscript"/>
              </w:rPr>
              <w:t>2</w:t>
            </w:r>
            <w:r>
              <w:rPr>
                <w:rFonts w:ascii="Times New Roman" w:cs="Times New Roman"/>
                <w:color w:val="auto"/>
                <w:sz w:val="21"/>
                <w:szCs w:val="21"/>
              </w:rPr>
              <w:t>。环评要求：该危废贮存库应按照《危险废物贮存污染控制标准》（GB18597-2023）相关规定设置：有明确标识；并做到防风、防雨、防晒、防火、防渗漏、防腐蚀</w:t>
            </w:r>
            <w:r>
              <w:rPr>
                <w:rFonts w:hint="eastAsia" w:ascii="Times New Roman" w:cs="Times New Roman"/>
                <w:color w:val="auto"/>
                <w:sz w:val="21"/>
                <w:szCs w:val="21"/>
              </w:rPr>
              <w:t>等</w:t>
            </w:r>
            <w:r>
              <w:rPr>
                <w:rFonts w:ascii="Times New Roman" w:cs="Times New Roman"/>
                <w:color w:val="auto"/>
                <w:sz w:val="21"/>
                <w:szCs w:val="21"/>
              </w:rPr>
              <w:t>。各危险废物根据理化性质的不同采取相应的容器分类分区暂存，且必须将危险废物装入符合标准的容器内，不相容的危险废物必须分开存放，并设有隔离间隔断，危废定期委托有资质单位外运处置。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60" w:hRule="atLeast"/>
          <w:jc w:val="center"/>
        </w:trPr>
        <w:tc>
          <w:tcPr>
            <w:tcW w:w="1101" w:type="dxa"/>
            <w:vAlign w:val="center"/>
          </w:tcPr>
          <w:p>
            <w:pPr>
              <w:adjustRightInd w:val="0"/>
              <w:snapToGrid w:val="0"/>
              <w:jc w:val="center"/>
              <w:rPr>
                <w:rFonts w:hAnsi="宋体"/>
                <w:szCs w:val="21"/>
              </w:rPr>
            </w:pPr>
            <w:r>
              <w:rPr>
                <w:rFonts w:hint="eastAsia" w:hAnsi="宋体"/>
                <w:szCs w:val="21"/>
              </w:rPr>
              <w:t>环境风险</w:t>
            </w:r>
          </w:p>
        </w:tc>
        <w:tc>
          <w:tcPr>
            <w:tcW w:w="7715" w:type="dxa"/>
            <w:gridSpan w:val="4"/>
            <w:vAlign w:val="center"/>
          </w:tcPr>
          <w:p>
            <w:pPr>
              <w:spacing w:line="360" w:lineRule="auto"/>
              <w:ind w:firstLine="476" w:firstLineChars="227"/>
              <w:jc w:val="left"/>
              <w:rPr>
                <w:szCs w:val="21"/>
              </w:rPr>
            </w:pPr>
            <w:r>
              <w:rPr>
                <w:rFonts w:hint="eastAsia" w:ascii="宋体" w:hAnsi="宋体" w:cs="宋体"/>
                <w:szCs w:val="21"/>
              </w:rPr>
              <w:t>①</w:t>
            </w:r>
            <w:r>
              <w:rPr>
                <w:szCs w:val="21"/>
              </w:rPr>
              <w:t>车间地面、</w:t>
            </w:r>
            <w:r>
              <w:rPr>
                <w:rFonts w:hint="eastAsia"/>
                <w:szCs w:val="21"/>
              </w:rPr>
              <w:t>辅料库、危废贮存库等</w:t>
            </w:r>
            <w:r>
              <w:rPr>
                <w:szCs w:val="21"/>
              </w:rPr>
              <w:t>进行防渗漏、防腐蚀处理。设置一般固废暂存区，满足《一般工业固体废物贮存和填埋污染控制标准》（GB18599－2020）的相关规定。防止物料发生“跑、冒、滴、漏”现象时污染地下水环境。设危险废物暂存间，满足《危险废物贮存污染控制标准》（GB18597-2023）相关规定。</w:t>
            </w:r>
          </w:p>
          <w:p>
            <w:pPr>
              <w:spacing w:line="360" w:lineRule="auto"/>
              <w:ind w:firstLine="476" w:firstLineChars="227"/>
              <w:jc w:val="left"/>
              <w:rPr>
                <w:szCs w:val="21"/>
              </w:rPr>
            </w:pPr>
            <w:r>
              <w:rPr>
                <w:rFonts w:hint="eastAsia"/>
                <w:szCs w:val="21"/>
              </w:rPr>
              <w:t>②</w:t>
            </w:r>
            <w:r>
              <w:rPr>
                <w:szCs w:val="21"/>
              </w:rPr>
              <w:t>定期组织员工学习、组织专门人员每天进行巡回检查，有跑</w:t>
            </w:r>
            <w:r>
              <w:rPr>
                <w:rFonts w:hint="eastAsia"/>
                <w:szCs w:val="21"/>
              </w:rPr>
              <w:t>、</w:t>
            </w:r>
            <w:r>
              <w:rPr>
                <w:szCs w:val="21"/>
              </w:rPr>
              <w:t>冒</w:t>
            </w:r>
            <w:r>
              <w:rPr>
                <w:rFonts w:hint="eastAsia"/>
                <w:szCs w:val="21"/>
              </w:rPr>
              <w:t>、</w:t>
            </w:r>
            <w:r>
              <w:rPr>
                <w:szCs w:val="21"/>
              </w:rPr>
              <w:t>滴</w:t>
            </w:r>
            <w:r>
              <w:rPr>
                <w:rFonts w:hint="eastAsia"/>
                <w:szCs w:val="21"/>
              </w:rPr>
              <w:t>、</w:t>
            </w:r>
            <w:r>
              <w:rPr>
                <w:szCs w:val="21"/>
              </w:rPr>
              <w:t>漏或其他异常现象的应及时检修，必要时停产检修。</w:t>
            </w:r>
          </w:p>
          <w:p>
            <w:pPr>
              <w:spacing w:line="360" w:lineRule="auto"/>
              <w:ind w:firstLine="476" w:firstLineChars="227"/>
              <w:jc w:val="left"/>
              <w:rPr>
                <w:kern w:val="0"/>
                <w:szCs w:val="21"/>
              </w:rPr>
            </w:pPr>
            <w:r>
              <w:rPr>
                <w:rFonts w:hint="eastAsia"/>
                <w:szCs w:val="21"/>
              </w:rPr>
              <w:t>③</w:t>
            </w:r>
            <w:r>
              <w:rPr>
                <w:szCs w:val="21"/>
              </w:rPr>
              <w:t>制定企业环境风险防范管理制度。将厂区内突发环境风险事故的控制和处置行为进行规定，成立相关部门及相关人员负责风险防范事宜。应定期对制度内容进行培训，梳理严谨规范的防范意识和管理。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2" w:hRule="atLeast"/>
          <w:jc w:val="center"/>
        </w:trPr>
        <w:tc>
          <w:tcPr>
            <w:tcW w:w="1101" w:type="dxa"/>
            <w:vAlign w:val="center"/>
          </w:tcPr>
          <w:p>
            <w:pPr>
              <w:adjustRightInd w:val="0"/>
              <w:snapToGrid w:val="0"/>
              <w:jc w:val="center"/>
              <w:rPr>
                <w:szCs w:val="21"/>
              </w:rPr>
            </w:pPr>
            <w:r>
              <w:rPr>
                <w:rFonts w:hAnsi="宋体"/>
                <w:szCs w:val="21"/>
              </w:rPr>
              <w:t>土壤及地下水</w:t>
            </w:r>
          </w:p>
          <w:p>
            <w:pPr>
              <w:adjustRightInd w:val="0"/>
              <w:snapToGrid w:val="0"/>
              <w:jc w:val="center"/>
              <w:rPr>
                <w:szCs w:val="21"/>
              </w:rPr>
            </w:pPr>
            <w:r>
              <w:rPr>
                <w:rFonts w:hAnsi="宋体"/>
                <w:szCs w:val="21"/>
              </w:rPr>
              <w:t>污染防治措施</w:t>
            </w:r>
          </w:p>
        </w:tc>
        <w:tc>
          <w:tcPr>
            <w:tcW w:w="7715" w:type="dxa"/>
            <w:gridSpan w:val="4"/>
            <w:vAlign w:val="center"/>
          </w:tcPr>
          <w:p>
            <w:pPr>
              <w:spacing w:line="360" w:lineRule="auto"/>
              <w:ind w:firstLine="476" w:firstLineChars="227"/>
              <w:jc w:val="left"/>
              <w:rPr>
                <w:szCs w:val="21"/>
              </w:rPr>
            </w:pPr>
            <w:r>
              <w:rPr>
                <w:szCs w:val="21"/>
              </w:rPr>
              <w:t>项目污染防治措施按照“源头控制、过程防控、跟踪监测、应急响应”相结合的原则，从污染物的产生、运移、扩散、应急响应全阶段进行控制。车间、</w:t>
            </w:r>
            <w:r>
              <w:rPr>
                <w:rFonts w:hint="eastAsia"/>
                <w:szCs w:val="21"/>
              </w:rPr>
              <w:t>辅料</w:t>
            </w:r>
            <w:r>
              <w:rPr>
                <w:szCs w:val="21"/>
              </w:rPr>
              <w:t>库、危险废物暂存间所在区域均进行防渗漏、防腐蚀处理。设置一般固废暂存区，满足《一般工业固体废物贮存和填埋污染控制标准》（GB18599－2020）的相关规定。防止物料发生“跑、冒、滴、漏”现象时污染地下水环境。危险废物暂存间</w:t>
            </w:r>
            <w:r>
              <w:rPr>
                <w:rFonts w:hint="eastAsia"/>
                <w:szCs w:val="21"/>
              </w:rPr>
              <w:t>建设</w:t>
            </w:r>
            <w:r>
              <w:rPr>
                <w:szCs w:val="21"/>
              </w:rPr>
              <w:t>应满足《危险废物贮存污染控制标准》（GB18597-2023）相关规定，通过环保设施验收。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101" w:type="dxa"/>
            <w:vAlign w:val="center"/>
          </w:tcPr>
          <w:p>
            <w:pPr>
              <w:adjustRightInd w:val="0"/>
              <w:snapToGrid w:val="0"/>
              <w:jc w:val="center"/>
              <w:rPr>
                <w:rFonts w:hAnsi="宋体"/>
                <w:szCs w:val="21"/>
              </w:rPr>
            </w:pPr>
            <w:r>
              <w:rPr>
                <w:rFonts w:hint="eastAsia" w:hAnsi="宋体"/>
                <w:szCs w:val="21"/>
              </w:rPr>
              <w:t>生态保护措施</w:t>
            </w:r>
          </w:p>
        </w:tc>
        <w:tc>
          <w:tcPr>
            <w:tcW w:w="7715" w:type="dxa"/>
            <w:gridSpan w:val="4"/>
            <w:vAlign w:val="center"/>
          </w:tcPr>
          <w:p>
            <w:pPr>
              <w:spacing w:line="360" w:lineRule="auto"/>
              <w:ind w:firstLine="476" w:firstLineChars="227"/>
              <w:jc w:val="left"/>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34" w:hRule="atLeast"/>
          <w:jc w:val="center"/>
        </w:trPr>
        <w:tc>
          <w:tcPr>
            <w:tcW w:w="1101" w:type="dxa"/>
            <w:vAlign w:val="center"/>
          </w:tcPr>
          <w:p>
            <w:pPr>
              <w:adjustRightInd w:val="0"/>
              <w:snapToGrid w:val="0"/>
              <w:jc w:val="center"/>
              <w:rPr>
                <w:spacing w:val="-8"/>
                <w:szCs w:val="21"/>
              </w:rPr>
            </w:pPr>
            <w:r>
              <w:rPr>
                <w:rFonts w:hAnsi="宋体"/>
                <w:spacing w:val="-8"/>
                <w:szCs w:val="21"/>
              </w:rPr>
              <w:t>其他环境</w:t>
            </w:r>
          </w:p>
          <w:p>
            <w:pPr>
              <w:adjustRightInd w:val="0"/>
              <w:snapToGrid w:val="0"/>
              <w:jc w:val="center"/>
              <w:rPr>
                <w:spacing w:val="-8"/>
                <w:szCs w:val="21"/>
              </w:rPr>
            </w:pPr>
            <w:r>
              <w:rPr>
                <w:rFonts w:hAnsi="宋体"/>
                <w:spacing w:val="-8"/>
                <w:szCs w:val="21"/>
              </w:rPr>
              <w:t>管理要求</w:t>
            </w:r>
          </w:p>
        </w:tc>
        <w:tc>
          <w:tcPr>
            <w:tcW w:w="7715" w:type="dxa"/>
            <w:gridSpan w:val="4"/>
            <w:vAlign w:val="center"/>
          </w:tcPr>
          <w:p>
            <w:pPr>
              <w:spacing w:line="360" w:lineRule="auto"/>
              <w:ind w:firstLine="476" w:firstLineChars="227"/>
              <w:jc w:val="left"/>
              <w:rPr>
                <w:szCs w:val="21"/>
              </w:rPr>
            </w:pPr>
            <w:r>
              <w:rPr>
                <w:szCs w:val="21"/>
              </w:rPr>
              <w:t>1</w:t>
            </w:r>
            <w:r>
              <w:rPr>
                <w:rFonts w:hint="eastAsia"/>
                <w:szCs w:val="21"/>
              </w:rPr>
              <w:t>、环保投资</w:t>
            </w:r>
          </w:p>
          <w:p>
            <w:pPr>
              <w:ind w:firstLine="422" w:firstLineChars="200"/>
              <w:jc w:val="center"/>
              <w:rPr>
                <w:b/>
                <w:bCs/>
                <w:szCs w:val="21"/>
              </w:rPr>
            </w:pPr>
            <w:r>
              <w:rPr>
                <w:b/>
                <w:bCs/>
                <w:szCs w:val="21"/>
              </w:rPr>
              <w:t>表5-1    项目环保投资一览表（建议）</w:t>
            </w:r>
          </w:p>
          <w:tbl>
            <w:tblPr>
              <w:tblStyle w:val="23"/>
              <w:tblW w:w="746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2976"/>
              <w:gridCol w:w="711"/>
              <w:gridCol w:w="1525"/>
              <w:gridCol w:w="12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Align w:val="center"/>
                </w:tcPr>
                <w:p>
                  <w:pPr>
                    <w:adjustRightInd w:val="0"/>
                    <w:snapToGrid w:val="0"/>
                    <w:jc w:val="center"/>
                    <w:rPr>
                      <w:bCs/>
                      <w:color w:val="0000FF"/>
                      <w:szCs w:val="21"/>
                    </w:rPr>
                  </w:pPr>
                  <w:r>
                    <w:rPr>
                      <w:bCs/>
                      <w:color w:val="0000FF"/>
                      <w:szCs w:val="21"/>
                    </w:rPr>
                    <w:t>分类</w:t>
                  </w:r>
                </w:p>
              </w:tc>
              <w:tc>
                <w:tcPr>
                  <w:tcW w:w="2976" w:type="dxa"/>
                  <w:vAlign w:val="center"/>
                </w:tcPr>
                <w:p>
                  <w:pPr>
                    <w:adjustRightInd w:val="0"/>
                    <w:snapToGrid w:val="0"/>
                    <w:jc w:val="center"/>
                    <w:rPr>
                      <w:bCs/>
                      <w:color w:val="0000FF"/>
                      <w:szCs w:val="21"/>
                    </w:rPr>
                  </w:pPr>
                  <w:r>
                    <w:rPr>
                      <w:bCs/>
                      <w:color w:val="0000FF"/>
                      <w:szCs w:val="21"/>
                    </w:rPr>
                    <w:t>建设内容</w:t>
                  </w:r>
                </w:p>
              </w:tc>
              <w:tc>
                <w:tcPr>
                  <w:tcW w:w="711" w:type="dxa"/>
                  <w:vAlign w:val="center"/>
                </w:tcPr>
                <w:p>
                  <w:pPr>
                    <w:adjustRightInd w:val="0"/>
                    <w:snapToGrid w:val="0"/>
                    <w:jc w:val="center"/>
                    <w:rPr>
                      <w:bCs/>
                      <w:color w:val="0000FF"/>
                      <w:szCs w:val="21"/>
                    </w:rPr>
                  </w:pPr>
                  <w:r>
                    <w:rPr>
                      <w:bCs/>
                      <w:color w:val="0000FF"/>
                      <w:szCs w:val="21"/>
                    </w:rPr>
                    <w:t>数量</w:t>
                  </w:r>
                </w:p>
              </w:tc>
              <w:tc>
                <w:tcPr>
                  <w:tcW w:w="1525" w:type="dxa"/>
                  <w:vAlign w:val="center"/>
                </w:tcPr>
                <w:p>
                  <w:pPr>
                    <w:adjustRightInd w:val="0"/>
                    <w:snapToGrid w:val="0"/>
                    <w:jc w:val="center"/>
                    <w:rPr>
                      <w:bCs/>
                      <w:color w:val="0000FF"/>
                      <w:szCs w:val="21"/>
                    </w:rPr>
                  </w:pPr>
                  <w:r>
                    <w:rPr>
                      <w:bCs/>
                      <w:color w:val="0000FF"/>
                      <w:szCs w:val="21"/>
                    </w:rPr>
                    <w:t>投资（万元）</w:t>
                  </w:r>
                </w:p>
              </w:tc>
              <w:tc>
                <w:tcPr>
                  <w:tcW w:w="1223" w:type="dxa"/>
                  <w:vAlign w:val="center"/>
                </w:tcPr>
                <w:p>
                  <w:pPr>
                    <w:adjustRightInd w:val="0"/>
                    <w:snapToGrid w:val="0"/>
                    <w:jc w:val="center"/>
                    <w:rPr>
                      <w:bCs/>
                      <w:color w:val="0000FF"/>
                      <w:szCs w:val="21"/>
                    </w:rPr>
                  </w:pPr>
                  <w:r>
                    <w:rPr>
                      <w:bCs/>
                      <w:color w:val="0000FF"/>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restart"/>
                  <w:vAlign w:val="center"/>
                </w:tcPr>
                <w:p>
                  <w:pPr>
                    <w:adjustRightInd w:val="0"/>
                    <w:snapToGrid w:val="0"/>
                    <w:jc w:val="center"/>
                    <w:rPr>
                      <w:bCs/>
                      <w:color w:val="0000FF"/>
                      <w:szCs w:val="21"/>
                    </w:rPr>
                  </w:pPr>
                  <w:r>
                    <w:rPr>
                      <w:bCs/>
                      <w:color w:val="0000FF"/>
                      <w:szCs w:val="21"/>
                    </w:rPr>
                    <w:t>废气</w:t>
                  </w:r>
                </w:p>
              </w:tc>
              <w:tc>
                <w:tcPr>
                  <w:tcW w:w="2976" w:type="dxa"/>
                  <w:vAlign w:val="center"/>
                </w:tcPr>
                <w:p>
                  <w:pPr>
                    <w:adjustRightInd w:val="0"/>
                    <w:snapToGrid w:val="0"/>
                    <w:jc w:val="center"/>
                    <w:rPr>
                      <w:bCs/>
                      <w:color w:val="0000FF"/>
                      <w:szCs w:val="21"/>
                    </w:rPr>
                  </w:pPr>
                  <w:r>
                    <w:rPr>
                      <w:bCs/>
                      <w:color w:val="0000FF"/>
                      <w:szCs w:val="21"/>
                    </w:rPr>
                    <w:t>集气罩</w:t>
                  </w:r>
                </w:p>
              </w:tc>
              <w:tc>
                <w:tcPr>
                  <w:tcW w:w="711" w:type="dxa"/>
                  <w:vAlign w:val="center"/>
                </w:tcPr>
                <w:p>
                  <w:pPr>
                    <w:adjustRightInd w:val="0"/>
                    <w:snapToGrid w:val="0"/>
                    <w:jc w:val="center"/>
                    <w:rPr>
                      <w:bCs/>
                      <w:color w:val="0000FF"/>
                      <w:szCs w:val="21"/>
                    </w:rPr>
                  </w:pPr>
                  <w:r>
                    <w:rPr>
                      <w:bCs/>
                      <w:color w:val="0000FF"/>
                      <w:szCs w:val="21"/>
                    </w:rPr>
                    <w:t>4</w:t>
                  </w:r>
                </w:p>
              </w:tc>
              <w:tc>
                <w:tcPr>
                  <w:tcW w:w="1525" w:type="dxa"/>
                  <w:vAlign w:val="center"/>
                </w:tcPr>
                <w:p>
                  <w:pPr>
                    <w:adjustRightInd w:val="0"/>
                    <w:snapToGrid w:val="0"/>
                    <w:jc w:val="center"/>
                    <w:rPr>
                      <w:bCs/>
                      <w:color w:val="0000FF"/>
                      <w:szCs w:val="21"/>
                    </w:rPr>
                  </w:pPr>
                  <w:r>
                    <w:rPr>
                      <w:bCs/>
                      <w:color w:val="0000FF"/>
                      <w:szCs w:val="21"/>
                    </w:rPr>
                    <w:t>0.5</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continue"/>
                  <w:vAlign w:val="center"/>
                </w:tcPr>
                <w:p>
                  <w:pPr>
                    <w:adjustRightInd w:val="0"/>
                    <w:snapToGrid w:val="0"/>
                    <w:jc w:val="center"/>
                    <w:rPr>
                      <w:bCs/>
                      <w:color w:val="0000FF"/>
                      <w:szCs w:val="21"/>
                    </w:rPr>
                  </w:pPr>
                </w:p>
              </w:tc>
              <w:tc>
                <w:tcPr>
                  <w:tcW w:w="2976" w:type="dxa"/>
                  <w:vAlign w:val="center"/>
                </w:tcPr>
                <w:p>
                  <w:pPr>
                    <w:adjustRightInd w:val="0"/>
                    <w:snapToGrid w:val="0"/>
                    <w:jc w:val="center"/>
                    <w:rPr>
                      <w:bCs/>
                      <w:color w:val="0000FF"/>
                      <w:szCs w:val="21"/>
                    </w:rPr>
                  </w:pPr>
                  <w:r>
                    <w:rPr>
                      <w:bCs/>
                      <w:color w:val="0000FF"/>
                      <w:szCs w:val="21"/>
                    </w:rPr>
                    <w:t>活性炭吸附装置</w:t>
                  </w:r>
                </w:p>
              </w:tc>
              <w:tc>
                <w:tcPr>
                  <w:tcW w:w="711" w:type="dxa"/>
                  <w:vAlign w:val="center"/>
                </w:tcPr>
                <w:p>
                  <w:pPr>
                    <w:adjustRightInd w:val="0"/>
                    <w:snapToGrid w:val="0"/>
                    <w:jc w:val="center"/>
                    <w:rPr>
                      <w:bCs/>
                      <w:color w:val="0000FF"/>
                      <w:szCs w:val="21"/>
                    </w:rPr>
                  </w:pPr>
                  <w:r>
                    <w:rPr>
                      <w:bCs/>
                      <w:color w:val="0000FF"/>
                      <w:szCs w:val="21"/>
                    </w:rPr>
                    <w:t>1</w:t>
                  </w:r>
                </w:p>
              </w:tc>
              <w:tc>
                <w:tcPr>
                  <w:tcW w:w="1525" w:type="dxa"/>
                  <w:vAlign w:val="center"/>
                </w:tcPr>
                <w:p>
                  <w:pPr>
                    <w:adjustRightInd w:val="0"/>
                    <w:snapToGrid w:val="0"/>
                    <w:jc w:val="center"/>
                    <w:rPr>
                      <w:bCs/>
                      <w:color w:val="0000FF"/>
                      <w:szCs w:val="21"/>
                    </w:rPr>
                  </w:pPr>
                  <w:r>
                    <w:rPr>
                      <w:bCs/>
                      <w:color w:val="0000FF"/>
                      <w:szCs w:val="21"/>
                    </w:rPr>
                    <w:t>8</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continue"/>
                  <w:vAlign w:val="center"/>
                </w:tcPr>
                <w:p>
                  <w:pPr>
                    <w:adjustRightInd w:val="0"/>
                    <w:snapToGrid w:val="0"/>
                    <w:jc w:val="center"/>
                    <w:rPr>
                      <w:bCs/>
                      <w:color w:val="0000FF"/>
                      <w:szCs w:val="21"/>
                    </w:rPr>
                  </w:pPr>
                </w:p>
              </w:tc>
              <w:tc>
                <w:tcPr>
                  <w:tcW w:w="2976" w:type="dxa"/>
                  <w:vAlign w:val="center"/>
                </w:tcPr>
                <w:p>
                  <w:pPr>
                    <w:adjustRightInd w:val="0"/>
                    <w:snapToGrid w:val="0"/>
                    <w:jc w:val="center"/>
                    <w:rPr>
                      <w:bCs/>
                      <w:color w:val="0000FF"/>
                      <w:szCs w:val="21"/>
                    </w:rPr>
                  </w:pPr>
                  <w:r>
                    <w:rPr>
                      <w:bCs/>
                      <w:color w:val="0000FF"/>
                      <w:szCs w:val="21"/>
                    </w:rPr>
                    <w:t>排气筒</w:t>
                  </w:r>
                </w:p>
              </w:tc>
              <w:tc>
                <w:tcPr>
                  <w:tcW w:w="711" w:type="dxa"/>
                  <w:vAlign w:val="center"/>
                </w:tcPr>
                <w:p>
                  <w:pPr>
                    <w:adjustRightInd w:val="0"/>
                    <w:snapToGrid w:val="0"/>
                    <w:jc w:val="center"/>
                    <w:rPr>
                      <w:bCs/>
                      <w:color w:val="0000FF"/>
                      <w:szCs w:val="21"/>
                    </w:rPr>
                  </w:pPr>
                  <w:r>
                    <w:rPr>
                      <w:bCs/>
                      <w:color w:val="0000FF"/>
                      <w:szCs w:val="21"/>
                    </w:rPr>
                    <w:t>1</w:t>
                  </w:r>
                </w:p>
              </w:tc>
              <w:tc>
                <w:tcPr>
                  <w:tcW w:w="1525" w:type="dxa"/>
                  <w:vAlign w:val="center"/>
                </w:tcPr>
                <w:p>
                  <w:pPr>
                    <w:adjustRightInd w:val="0"/>
                    <w:snapToGrid w:val="0"/>
                    <w:jc w:val="center"/>
                    <w:rPr>
                      <w:bCs/>
                      <w:color w:val="0000FF"/>
                      <w:szCs w:val="21"/>
                    </w:rPr>
                  </w:pPr>
                  <w:r>
                    <w:rPr>
                      <w:bCs/>
                      <w:color w:val="0000FF"/>
                      <w:szCs w:val="21"/>
                    </w:rPr>
                    <w:t>0.2</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Align w:val="center"/>
                </w:tcPr>
                <w:p>
                  <w:pPr>
                    <w:adjustRightInd w:val="0"/>
                    <w:snapToGrid w:val="0"/>
                    <w:jc w:val="center"/>
                    <w:rPr>
                      <w:bCs/>
                      <w:color w:val="0000FF"/>
                      <w:szCs w:val="21"/>
                    </w:rPr>
                  </w:pPr>
                  <w:r>
                    <w:rPr>
                      <w:bCs/>
                      <w:color w:val="0000FF"/>
                      <w:szCs w:val="21"/>
                    </w:rPr>
                    <w:t>废水</w:t>
                  </w:r>
                </w:p>
              </w:tc>
              <w:tc>
                <w:tcPr>
                  <w:tcW w:w="2976" w:type="dxa"/>
                  <w:vAlign w:val="center"/>
                </w:tcPr>
                <w:p>
                  <w:pPr>
                    <w:adjustRightInd w:val="0"/>
                    <w:snapToGrid w:val="0"/>
                    <w:jc w:val="center"/>
                    <w:rPr>
                      <w:bCs/>
                      <w:color w:val="0000FF"/>
                      <w:szCs w:val="21"/>
                    </w:rPr>
                  </w:pPr>
                  <w:r>
                    <w:rPr>
                      <w:bCs/>
                      <w:color w:val="0000FF"/>
                      <w:szCs w:val="21"/>
                    </w:rPr>
                    <w:t>循环水箱</w:t>
                  </w:r>
                </w:p>
              </w:tc>
              <w:tc>
                <w:tcPr>
                  <w:tcW w:w="711" w:type="dxa"/>
                  <w:vAlign w:val="center"/>
                </w:tcPr>
                <w:p>
                  <w:pPr>
                    <w:adjustRightInd w:val="0"/>
                    <w:snapToGrid w:val="0"/>
                    <w:jc w:val="center"/>
                    <w:rPr>
                      <w:bCs/>
                      <w:color w:val="0000FF"/>
                      <w:szCs w:val="21"/>
                    </w:rPr>
                  </w:pPr>
                  <w:r>
                    <w:rPr>
                      <w:bCs/>
                      <w:color w:val="0000FF"/>
                      <w:szCs w:val="21"/>
                    </w:rPr>
                    <w:t>2</w:t>
                  </w:r>
                </w:p>
              </w:tc>
              <w:tc>
                <w:tcPr>
                  <w:tcW w:w="1525" w:type="dxa"/>
                  <w:vAlign w:val="center"/>
                </w:tcPr>
                <w:p>
                  <w:pPr>
                    <w:adjustRightInd w:val="0"/>
                    <w:snapToGrid w:val="0"/>
                    <w:jc w:val="center"/>
                    <w:rPr>
                      <w:bCs/>
                      <w:color w:val="0000FF"/>
                      <w:szCs w:val="21"/>
                    </w:rPr>
                  </w:pPr>
                  <w:r>
                    <w:rPr>
                      <w:bCs/>
                      <w:color w:val="0000FF"/>
                      <w:szCs w:val="21"/>
                    </w:rPr>
                    <w:t>/</w:t>
                  </w:r>
                </w:p>
              </w:tc>
              <w:tc>
                <w:tcPr>
                  <w:tcW w:w="1223" w:type="dxa"/>
                  <w:vAlign w:val="center"/>
                </w:tcPr>
                <w:p>
                  <w:pPr>
                    <w:adjustRightInd w:val="0"/>
                    <w:snapToGrid w:val="0"/>
                    <w:jc w:val="center"/>
                    <w:rPr>
                      <w:bCs/>
                      <w:color w:val="0000FF"/>
                      <w:szCs w:val="21"/>
                    </w:rPr>
                  </w:pPr>
                  <w:r>
                    <w:rPr>
                      <w:bCs/>
                      <w:color w:val="0000FF"/>
                      <w:szCs w:val="21"/>
                    </w:rPr>
                    <w:t>设备自带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Align w:val="center"/>
                </w:tcPr>
                <w:p>
                  <w:pPr>
                    <w:adjustRightInd w:val="0"/>
                    <w:snapToGrid w:val="0"/>
                    <w:jc w:val="center"/>
                    <w:rPr>
                      <w:bCs/>
                      <w:color w:val="0000FF"/>
                      <w:szCs w:val="21"/>
                    </w:rPr>
                  </w:pPr>
                  <w:r>
                    <w:rPr>
                      <w:bCs/>
                      <w:color w:val="0000FF"/>
                      <w:szCs w:val="21"/>
                    </w:rPr>
                    <w:t>噪声</w:t>
                  </w:r>
                </w:p>
              </w:tc>
              <w:tc>
                <w:tcPr>
                  <w:tcW w:w="2976" w:type="dxa"/>
                  <w:vAlign w:val="center"/>
                </w:tcPr>
                <w:p>
                  <w:pPr>
                    <w:adjustRightInd w:val="0"/>
                    <w:snapToGrid w:val="0"/>
                    <w:jc w:val="center"/>
                    <w:rPr>
                      <w:bCs/>
                      <w:color w:val="0000FF"/>
                      <w:szCs w:val="21"/>
                    </w:rPr>
                  </w:pPr>
                  <w:r>
                    <w:rPr>
                      <w:bCs/>
                      <w:color w:val="0000FF"/>
                      <w:szCs w:val="21"/>
                    </w:rPr>
                    <w:t>基础减振、消声器、软管连接等</w:t>
                  </w:r>
                </w:p>
              </w:tc>
              <w:tc>
                <w:tcPr>
                  <w:tcW w:w="711" w:type="dxa"/>
                  <w:vAlign w:val="center"/>
                </w:tcPr>
                <w:p>
                  <w:pPr>
                    <w:adjustRightInd w:val="0"/>
                    <w:snapToGrid w:val="0"/>
                    <w:jc w:val="center"/>
                    <w:rPr>
                      <w:bCs/>
                      <w:color w:val="0000FF"/>
                      <w:szCs w:val="21"/>
                    </w:rPr>
                  </w:pPr>
                  <w:r>
                    <w:rPr>
                      <w:bCs/>
                      <w:color w:val="0000FF"/>
                      <w:szCs w:val="21"/>
                    </w:rPr>
                    <w:t>配套</w:t>
                  </w:r>
                </w:p>
              </w:tc>
              <w:tc>
                <w:tcPr>
                  <w:tcW w:w="1525" w:type="dxa"/>
                  <w:vAlign w:val="center"/>
                </w:tcPr>
                <w:p>
                  <w:pPr>
                    <w:adjustRightInd w:val="0"/>
                    <w:snapToGrid w:val="0"/>
                    <w:jc w:val="center"/>
                    <w:rPr>
                      <w:bCs/>
                      <w:color w:val="0000FF"/>
                      <w:szCs w:val="21"/>
                    </w:rPr>
                  </w:pPr>
                  <w:r>
                    <w:rPr>
                      <w:bCs/>
                      <w:color w:val="0000FF"/>
                      <w:szCs w:val="21"/>
                    </w:rPr>
                    <w:t>6.0</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restart"/>
                  <w:vAlign w:val="center"/>
                </w:tcPr>
                <w:p>
                  <w:pPr>
                    <w:adjustRightInd w:val="0"/>
                    <w:snapToGrid w:val="0"/>
                    <w:jc w:val="center"/>
                    <w:rPr>
                      <w:bCs/>
                      <w:color w:val="0000FF"/>
                      <w:szCs w:val="21"/>
                    </w:rPr>
                  </w:pPr>
                  <w:r>
                    <w:rPr>
                      <w:bCs/>
                      <w:color w:val="0000FF"/>
                      <w:szCs w:val="21"/>
                    </w:rPr>
                    <w:t>固体废物</w:t>
                  </w:r>
                </w:p>
              </w:tc>
              <w:tc>
                <w:tcPr>
                  <w:tcW w:w="2976" w:type="dxa"/>
                  <w:vAlign w:val="center"/>
                </w:tcPr>
                <w:p>
                  <w:pPr>
                    <w:adjustRightInd w:val="0"/>
                    <w:snapToGrid w:val="0"/>
                    <w:jc w:val="center"/>
                    <w:rPr>
                      <w:bCs/>
                      <w:color w:val="0000FF"/>
                      <w:szCs w:val="21"/>
                    </w:rPr>
                  </w:pPr>
                  <w:r>
                    <w:rPr>
                      <w:bCs/>
                      <w:color w:val="0000FF"/>
                      <w:szCs w:val="21"/>
                    </w:rPr>
                    <w:t>垃圾箱/垃圾桶</w:t>
                  </w:r>
                </w:p>
              </w:tc>
              <w:tc>
                <w:tcPr>
                  <w:tcW w:w="711" w:type="dxa"/>
                  <w:vAlign w:val="center"/>
                </w:tcPr>
                <w:p>
                  <w:pPr>
                    <w:adjustRightInd w:val="0"/>
                    <w:snapToGrid w:val="0"/>
                    <w:jc w:val="center"/>
                    <w:rPr>
                      <w:bCs/>
                      <w:color w:val="0000FF"/>
                      <w:szCs w:val="21"/>
                    </w:rPr>
                  </w:pPr>
                  <w:r>
                    <w:rPr>
                      <w:bCs/>
                      <w:color w:val="0000FF"/>
                      <w:szCs w:val="21"/>
                    </w:rPr>
                    <w:t>2</w:t>
                  </w:r>
                </w:p>
              </w:tc>
              <w:tc>
                <w:tcPr>
                  <w:tcW w:w="1525" w:type="dxa"/>
                  <w:vAlign w:val="center"/>
                </w:tcPr>
                <w:p>
                  <w:pPr>
                    <w:adjustRightInd w:val="0"/>
                    <w:snapToGrid w:val="0"/>
                    <w:jc w:val="center"/>
                    <w:rPr>
                      <w:bCs/>
                      <w:color w:val="0000FF"/>
                      <w:szCs w:val="21"/>
                    </w:rPr>
                  </w:pPr>
                  <w:r>
                    <w:rPr>
                      <w:bCs/>
                      <w:color w:val="0000FF"/>
                      <w:szCs w:val="21"/>
                    </w:rPr>
                    <w:t>0.1</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continue"/>
                  <w:vAlign w:val="center"/>
                </w:tcPr>
                <w:p>
                  <w:pPr>
                    <w:adjustRightInd w:val="0"/>
                    <w:snapToGrid w:val="0"/>
                    <w:jc w:val="center"/>
                    <w:rPr>
                      <w:bCs/>
                      <w:color w:val="0000FF"/>
                      <w:szCs w:val="21"/>
                    </w:rPr>
                  </w:pPr>
                </w:p>
              </w:tc>
              <w:tc>
                <w:tcPr>
                  <w:tcW w:w="2976" w:type="dxa"/>
                  <w:vAlign w:val="center"/>
                </w:tcPr>
                <w:p>
                  <w:pPr>
                    <w:adjustRightInd w:val="0"/>
                    <w:snapToGrid w:val="0"/>
                    <w:jc w:val="center"/>
                    <w:rPr>
                      <w:bCs/>
                      <w:color w:val="0000FF"/>
                      <w:szCs w:val="21"/>
                    </w:rPr>
                  </w:pPr>
                  <w:r>
                    <w:rPr>
                      <w:bCs/>
                      <w:color w:val="0000FF"/>
                      <w:szCs w:val="21"/>
                    </w:rPr>
                    <w:t>危废贮存库</w:t>
                  </w:r>
                </w:p>
              </w:tc>
              <w:tc>
                <w:tcPr>
                  <w:tcW w:w="711" w:type="dxa"/>
                  <w:vAlign w:val="center"/>
                </w:tcPr>
                <w:p>
                  <w:pPr>
                    <w:adjustRightInd w:val="0"/>
                    <w:snapToGrid w:val="0"/>
                    <w:jc w:val="center"/>
                    <w:rPr>
                      <w:bCs/>
                      <w:color w:val="0000FF"/>
                      <w:szCs w:val="21"/>
                    </w:rPr>
                  </w:pPr>
                  <w:r>
                    <w:rPr>
                      <w:bCs/>
                      <w:color w:val="0000FF"/>
                      <w:szCs w:val="21"/>
                    </w:rPr>
                    <w:t>1</w:t>
                  </w:r>
                </w:p>
              </w:tc>
              <w:tc>
                <w:tcPr>
                  <w:tcW w:w="1525" w:type="dxa"/>
                  <w:vAlign w:val="center"/>
                </w:tcPr>
                <w:p>
                  <w:pPr>
                    <w:adjustRightInd w:val="0"/>
                    <w:snapToGrid w:val="0"/>
                    <w:jc w:val="center"/>
                    <w:rPr>
                      <w:bCs/>
                      <w:color w:val="0000FF"/>
                      <w:szCs w:val="21"/>
                    </w:rPr>
                  </w:pPr>
                  <w:r>
                    <w:rPr>
                      <w:bCs/>
                      <w:color w:val="0000FF"/>
                      <w:szCs w:val="21"/>
                    </w:rPr>
                    <w:t>5</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continue"/>
                  <w:vAlign w:val="center"/>
                </w:tcPr>
                <w:p>
                  <w:pPr>
                    <w:adjustRightInd w:val="0"/>
                    <w:snapToGrid w:val="0"/>
                    <w:jc w:val="center"/>
                    <w:rPr>
                      <w:bCs/>
                      <w:color w:val="0000FF"/>
                      <w:szCs w:val="21"/>
                    </w:rPr>
                  </w:pPr>
                </w:p>
              </w:tc>
              <w:tc>
                <w:tcPr>
                  <w:tcW w:w="2976" w:type="dxa"/>
                  <w:vAlign w:val="center"/>
                </w:tcPr>
                <w:p>
                  <w:pPr>
                    <w:adjustRightInd w:val="0"/>
                    <w:snapToGrid w:val="0"/>
                    <w:jc w:val="center"/>
                    <w:rPr>
                      <w:bCs/>
                      <w:color w:val="0000FF"/>
                      <w:szCs w:val="21"/>
                    </w:rPr>
                  </w:pPr>
                  <w:r>
                    <w:rPr>
                      <w:bCs/>
                      <w:color w:val="0000FF"/>
                      <w:szCs w:val="21"/>
                    </w:rPr>
                    <w:t>危废收集桶</w:t>
                  </w:r>
                </w:p>
              </w:tc>
              <w:tc>
                <w:tcPr>
                  <w:tcW w:w="711" w:type="dxa"/>
                  <w:vAlign w:val="center"/>
                </w:tcPr>
                <w:p>
                  <w:pPr>
                    <w:adjustRightInd w:val="0"/>
                    <w:snapToGrid w:val="0"/>
                    <w:jc w:val="center"/>
                    <w:rPr>
                      <w:bCs/>
                      <w:color w:val="0000FF"/>
                      <w:szCs w:val="21"/>
                    </w:rPr>
                  </w:pPr>
                  <w:r>
                    <w:rPr>
                      <w:bCs/>
                      <w:color w:val="0000FF"/>
                      <w:szCs w:val="21"/>
                    </w:rPr>
                    <w:t>5</w:t>
                  </w:r>
                </w:p>
              </w:tc>
              <w:tc>
                <w:tcPr>
                  <w:tcW w:w="1525" w:type="dxa"/>
                  <w:vAlign w:val="center"/>
                </w:tcPr>
                <w:p>
                  <w:pPr>
                    <w:adjustRightInd w:val="0"/>
                    <w:snapToGrid w:val="0"/>
                    <w:jc w:val="center"/>
                    <w:rPr>
                      <w:bCs/>
                      <w:color w:val="0000FF"/>
                      <w:szCs w:val="21"/>
                    </w:rPr>
                  </w:pPr>
                  <w:r>
                    <w:rPr>
                      <w:bCs/>
                      <w:color w:val="0000FF"/>
                      <w:szCs w:val="21"/>
                    </w:rPr>
                    <w:t>0.5</w:t>
                  </w:r>
                </w:p>
              </w:tc>
              <w:tc>
                <w:tcPr>
                  <w:tcW w:w="1223" w:type="dxa"/>
                  <w:vAlign w:val="center"/>
                </w:tcPr>
                <w:p>
                  <w:pPr>
                    <w:adjustRightInd w:val="0"/>
                    <w:snapToGrid w:val="0"/>
                    <w:jc w:val="center"/>
                    <w:rPr>
                      <w:bCs/>
                      <w:color w:val="0000FF"/>
                      <w:szCs w:val="21"/>
                    </w:rPr>
                  </w:pPr>
                  <w:r>
                    <w:rPr>
                      <w:bCs/>
                      <w:color w:val="0000FF"/>
                      <w:szCs w:val="21"/>
                    </w:rPr>
                    <w:t>新建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restart"/>
                  <w:vAlign w:val="center"/>
                </w:tcPr>
                <w:p>
                  <w:pPr>
                    <w:adjustRightInd w:val="0"/>
                    <w:snapToGrid w:val="0"/>
                    <w:jc w:val="center"/>
                    <w:rPr>
                      <w:bCs/>
                      <w:color w:val="0000FF"/>
                      <w:szCs w:val="21"/>
                    </w:rPr>
                  </w:pPr>
                  <w:r>
                    <w:rPr>
                      <w:bCs/>
                      <w:color w:val="0000FF"/>
                      <w:szCs w:val="21"/>
                    </w:rPr>
                    <w:t>其他</w:t>
                  </w:r>
                </w:p>
              </w:tc>
              <w:tc>
                <w:tcPr>
                  <w:tcW w:w="3687" w:type="dxa"/>
                  <w:gridSpan w:val="2"/>
                  <w:vAlign w:val="center"/>
                </w:tcPr>
                <w:p>
                  <w:pPr>
                    <w:adjustRightInd w:val="0"/>
                    <w:snapToGrid w:val="0"/>
                    <w:jc w:val="center"/>
                    <w:rPr>
                      <w:bCs/>
                      <w:color w:val="0000FF"/>
                      <w:szCs w:val="21"/>
                    </w:rPr>
                  </w:pPr>
                  <w:r>
                    <w:rPr>
                      <w:bCs/>
                      <w:color w:val="0000FF"/>
                      <w:szCs w:val="21"/>
                    </w:rPr>
                    <w:t>例行监测</w:t>
                  </w:r>
                </w:p>
              </w:tc>
              <w:tc>
                <w:tcPr>
                  <w:tcW w:w="1525" w:type="dxa"/>
                  <w:vAlign w:val="center"/>
                </w:tcPr>
                <w:p>
                  <w:pPr>
                    <w:adjustRightInd w:val="0"/>
                    <w:snapToGrid w:val="0"/>
                    <w:jc w:val="center"/>
                    <w:rPr>
                      <w:bCs/>
                      <w:color w:val="0000FF"/>
                      <w:szCs w:val="21"/>
                    </w:rPr>
                  </w:pPr>
                  <w:r>
                    <w:rPr>
                      <w:bCs/>
                      <w:color w:val="0000FF"/>
                      <w:szCs w:val="21"/>
                    </w:rPr>
                    <w:t>1.5</w:t>
                  </w:r>
                </w:p>
              </w:tc>
              <w:tc>
                <w:tcPr>
                  <w:tcW w:w="1223" w:type="dxa"/>
                  <w:vAlign w:val="center"/>
                </w:tcPr>
                <w:p>
                  <w:pPr>
                    <w:adjustRightInd w:val="0"/>
                    <w:snapToGrid w:val="0"/>
                    <w:jc w:val="center"/>
                    <w:rPr>
                      <w:bCs/>
                      <w:color w:val="0000FF"/>
                      <w:szCs w:val="21"/>
                    </w:rPr>
                  </w:pPr>
                  <w:r>
                    <w:rPr>
                      <w:bCs/>
                      <w:color w:val="0000FF"/>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continue"/>
                  <w:vAlign w:val="center"/>
                </w:tcPr>
                <w:p>
                  <w:pPr>
                    <w:adjustRightInd w:val="0"/>
                    <w:snapToGrid w:val="0"/>
                    <w:jc w:val="center"/>
                    <w:rPr>
                      <w:bCs/>
                      <w:color w:val="0000FF"/>
                      <w:szCs w:val="21"/>
                    </w:rPr>
                  </w:pPr>
                </w:p>
              </w:tc>
              <w:tc>
                <w:tcPr>
                  <w:tcW w:w="3687" w:type="dxa"/>
                  <w:gridSpan w:val="2"/>
                  <w:vAlign w:val="center"/>
                </w:tcPr>
                <w:p>
                  <w:pPr>
                    <w:adjustRightInd w:val="0"/>
                    <w:snapToGrid w:val="0"/>
                    <w:jc w:val="center"/>
                    <w:rPr>
                      <w:bCs/>
                      <w:color w:val="0000FF"/>
                      <w:szCs w:val="21"/>
                    </w:rPr>
                  </w:pPr>
                  <w:r>
                    <w:rPr>
                      <w:rFonts w:hint="eastAsia"/>
                      <w:bCs/>
                      <w:color w:val="0000FF"/>
                      <w:szCs w:val="21"/>
                    </w:rPr>
                    <w:t>环保设施验收</w:t>
                  </w:r>
                </w:p>
              </w:tc>
              <w:tc>
                <w:tcPr>
                  <w:tcW w:w="1525" w:type="dxa"/>
                  <w:vAlign w:val="center"/>
                </w:tcPr>
                <w:p>
                  <w:pPr>
                    <w:adjustRightInd w:val="0"/>
                    <w:snapToGrid w:val="0"/>
                    <w:jc w:val="center"/>
                    <w:rPr>
                      <w:bCs/>
                      <w:color w:val="0000FF"/>
                      <w:szCs w:val="21"/>
                    </w:rPr>
                  </w:pPr>
                  <w:r>
                    <w:rPr>
                      <w:rFonts w:hint="eastAsia"/>
                      <w:bCs/>
                      <w:color w:val="0000FF"/>
                      <w:szCs w:val="21"/>
                    </w:rPr>
                    <w:t>2</w:t>
                  </w:r>
                  <w:r>
                    <w:rPr>
                      <w:bCs/>
                      <w:color w:val="0000FF"/>
                      <w:szCs w:val="21"/>
                    </w:rPr>
                    <w:t>.5</w:t>
                  </w:r>
                </w:p>
              </w:tc>
              <w:tc>
                <w:tcPr>
                  <w:tcW w:w="1223" w:type="dxa"/>
                  <w:vAlign w:val="center"/>
                </w:tcPr>
                <w:p>
                  <w:pPr>
                    <w:adjustRightInd w:val="0"/>
                    <w:snapToGrid w:val="0"/>
                    <w:jc w:val="center"/>
                    <w:rPr>
                      <w:bCs/>
                      <w:color w:val="0000FF"/>
                      <w:szCs w:val="21"/>
                    </w:rPr>
                  </w:pPr>
                  <w:r>
                    <w:rPr>
                      <w:rFonts w:hint="eastAsia"/>
                      <w:bCs/>
                      <w:color w:val="0000FF"/>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1034" w:type="dxa"/>
                  <w:vMerge w:val="continue"/>
                  <w:vAlign w:val="center"/>
                </w:tcPr>
                <w:p>
                  <w:pPr>
                    <w:adjustRightInd w:val="0"/>
                    <w:snapToGrid w:val="0"/>
                    <w:jc w:val="center"/>
                    <w:rPr>
                      <w:bCs/>
                      <w:color w:val="0000FF"/>
                      <w:szCs w:val="21"/>
                    </w:rPr>
                  </w:pPr>
                </w:p>
              </w:tc>
              <w:tc>
                <w:tcPr>
                  <w:tcW w:w="3687" w:type="dxa"/>
                  <w:gridSpan w:val="2"/>
                  <w:vAlign w:val="center"/>
                </w:tcPr>
                <w:p>
                  <w:pPr>
                    <w:adjustRightInd w:val="0"/>
                    <w:snapToGrid w:val="0"/>
                    <w:jc w:val="center"/>
                    <w:rPr>
                      <w:bCs/>
                      <w:color w:val="0000FF"/>
                      <w:szCs w:val="21"/>
                    </w:rPr>
                  </w:pPr>
                  <w:r>
                    <w:rPr>
                      <w:rFonts w:hint="eastAsia"/>
                      <w:bCs/>
                      <w:color w:val="0000FF"/>
                      <w:szCs w:val="21"/>
                    </w:rPr>
                    <w:t>日常管理</w:t>
                  </w:r>
                </w:p>
              </w:tc>
              <w:tc>
                <w:tcPr>
                  <w:tcW w:w="1525" w:type="dxa"/>
                  <w:vAlign w:val="center"/>
                </w:tcPr>
                <w:p>
                  <w:pPr>
                    <w:adjustRightInd w:val="0"/>
                    <w:snapToGrid w:val="0"/>
                    <w:jc w:val="center"/>
                    <w:rPr>
                      <w:bCs/>
                      <w:color w:val="0000FF"/>
                      <w:szCs w:val="21"/>
                    </w:rPr>
                  </w:pPr>
                  <w:r>
                    <w:rPr>
                      <w:rFonts w:hint="eastAsia"/>
                      <w:bCs/>
                      <w:color w:val="0000FF"/>
                      <w:szCs w:val="21"/>
                    </w:rPr>
                    <w:t>1</w:t>
                  </w:r>
                  <w:r>
                    <w:rPr>
                      <w:bCs/>
                      <w:color w:val="0000FF"/>
                      <w:szCs w:val="21"/>
                    </w:rPr>
                    <w:t>.0</w:t>
                  </w:r>
                </w:p>
              </w:tc>
              <w:tc>
                <w:tcPr>
                  <w:tcW w:w="1223" w:type="dxa"/>
                  <w:vAlign w:val="center"/>
                </w:tcPr>
                <w:p>
                  <w:pPr>
                    <w:adjustRightInd w:val="0"/>
                    <w:snapToGrid w:val="0"/>
                    <w:jc w:val="center"/>
                    <w:rPr>
                      <w:bCs/>
                      <w:color w:val="0000FF"/>
                      <w:szCs w:val="21"/>
                    </w:rPr>
                  </w:pPr>
                  <w:r>
                    <w:rPr>
                      <w:rFonts w:hint="eastAsia"/>
                      <w:bCs/>
                      <w:color w:val="0000FF"/>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4721" w:type="dxa"/>
                  <w:gridSpan w:val="3"/>
                  <w:vAlign w:val="center"/>
                </w:tcPr>
                <w:p>
                  <w:pPr>
                    <w:adjustRightInd w:val="0"/>
                    <w:snapToGrid w:val="0"/>
                    <w:jc w:val="center"/>
                    <w:rPr>
                      <w:bCs/>
                      <w:color w:val="0000FF"/>
                      <w:szCs w:val="21"/>
                    </w:rPr>
                  </w:pPr>
                  <w:r>
                    <w:rPr>
                      <w:bCs/>
                      <w:color w:val="0000FF"/>
                      <w:szCs w:val="21"/>
                    </w:rPr>
                    <w:t>合计</w:t>
                  </w:r>
                </w:p>
              </w:tc>
              <w:tc>
                <w:tcPr>
                  <w:tcW w:w="2748" w:type="dxa"/>
                  <w:gridSpan w:val="2"/>
                  <w:vAlign w:val="center"/>
                </w:tcPr>
                <w:p>
                  <w:pPr>
                    <w:adjustRightInd w:val="0"/>
                    <w:snapToGrid w:val="0"/>
                    <w:jc w:val="center"/>
                    <w:rPr>
                      <w:bCs/>
                      <w:color w:val="0000FF"/>
                      <w:szCs w:val="21"/>
                    </w:rPr>
                  </w:pPr>
                  <w:r>
                    <w:rPr>
                      <w:bCs/>
                      <w:color w:val="0000FF"/>
                      <w:szCs w:val="21"/>
                    </w:rPr>
                    <w:t>25.3</w:t>
                  </w:r>
                </w:p>
              </w:tc>
            </w:tr>
          </w:tbl>
          <w:p>
            <w:pPr>
              <w:spacing w:line="360" w:lineRule="auto"/>
              <w:ind w:firstLine="476" w:firstLineChars="227"/>
              <w:jc w:val="left"/>
              <w:rPr>
                <w:szCs w:val="21"/>
              </w:rPr>
            </w:pPr>
            <w:r>
              <w:rPr>
                <w:rFonts w:hint="eastAsia"/>
                <w:szCs w:val="21"/>
              </w:rPr>
              <w:t>2、环境管理</w:t>
            </w:r>
          </w:p>
          <w:p>
            <w:pPr>
              <w:spacing w:line="360" w:lineRule="auto"/>
              <w:ind w:firstLine="476" w:firstLineChars="227"/>
              <w:jc w:val="left"/>
              <w:rPr>
                <w:szCs w:val="21"/>
              </w:rPr>
            </w:pPr>
            <w:r>
              <w:rPr>
                <w:szCs w:val="21"/>
              </w:rPr>
              <w:t>项目环评批复后，应及时进行竣工环保验收，按《建设项目竣工环境保护验收技术指南 染影响类》（生态环境部令第9号）要求进行监测；项目竣工环保验收合格后，企业应根据监测计划，定期对污染源进行监测，监测结果按排污许可相关管理要求进行公示公开。企业应将监测数据和报告存档，监测数据应长期保存，并定期接受当地环保主管部门的考核。</w:t>
            </w:r>
          </w:p>
          <w:p>
            <w:pPr>
              <w:ind w:firstLine="422" w:firstLineChars="200"/>
              <w:jc w:val="center"/>
              <w:rPr>
                <w:b/>
                <w:bCs/>
                <w:szCs w:val="21"/>
              </w:rPr>
            </w:pPr>
            <w:r>
              <w:rPr>
                <w:b/>
                <w:bCs/>
                <w:szCs w:val="21"/>
              </w:rPr>
              <w:t>表5-2    运营期环境管理台账清单</w:t>
            </w:r>
          </w:p>
          <w:tbl>
            <w:tblPr>
              <w:tblStyle w:val="23"/>
              <w:tblW w:w="746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06"/>
              <w:gridCol w:w="1134"/>
              <w:gridCol w:w="57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606" w:type="dxa"/>
                  <w:vMerge w:val="restart"/>
                  <w:vAlign w:val="center"/>
                </w:tcPr>
                <w:p>
                  <w:pPr>
                    <w:adjustRightInd w:val="0"/>
                    <w:snapToGrid w:val="0"/>
                    <w:jc w:val="center"/>
                    <w:rPr>
                      <w:bCs/>
                      <w:szCs w:val="21"/>
                    </w:rPr>
                  </w:pPr>
                  <w:r>
                    <w:rPr>
                      <w:bCs/>
                      <w:szCs w:val="21"/>
                    </w:rPr>
                    <w:t>环境管理台账</w:t>
                  </w:r>
                </w:p>
              </w:tc>
              <w:tc>
                <w:tcPr>
                  <w:tcW w:w="1134" w:type="dxa"/>
                  <w:vAlign w:val="center"/>
                </w:tcPr>
                <w:p>
                  <w:pPr>
                    <w:adjustRightInd w:val="0"/>
                    <w:snapToGrid w:val="0"/>
                    <w:jc w:val="center"/>
                    <w:rPr>
                      <w:bCs/>
                      <w:szCs w:val="21"/>
                    </w:rPr>
                  </w:pPr>
                  <w:r>
                    <w:rPr>
                      <w:bCs/>
                      <w:szCs w:val="21"/>
                    </w:rPr>
                    <w:t>污染管理措施/设施环境管理信息</w:t>
                  </w:r>
                </w:p>
              </w:tc>
              <w:tc>
                <w:tcPr>
                  <w:tcW w:w="5729" w:type="dxa"/>
                  <w:vAlign w:val="center"/>
                </w:tcPr>
                <w:p>
                  <w:pPr>
                    <w:adjustRightInd w:val="0"/>
                    <w:snapToGrid w:val="0"/>
                    <w:jc w:val="center"/>
                    <w:rPr>
                      <w:bCs/>
                      <w:szCs w:val="21"/>
                    </w:rPr>
                  </w:pPr>
                  <w:r>
                    <w:rPr>
                      <w:rFonts w:hint="eastAsia" w:ascii="宋体" w:hAnsi="宋体" w:cs="宋体"/>
                      <w:bCs/>
                      <w:szCs w:val="21"/>
                    </w:rPr>
                    <w:t>①</w:t>
                  </w:r>
                  <w:r>
                    <w:rPr>
                      <w:bCs/>
                      <w:szCs w:val="21"/>
                    </w:rPr>
                    <w:t>废气治理设施日常运行信息：记录设施名称、废气排放量、污染物排放情况、排放时段、信息来源等；</w:t>
                  </w:r>
                </w:p>
                <w:p>
                  <w:pPr>
                    <w:adjustRightInd w:val="0"/>
                    <w:snapToGrid w:val="0"/>
                    <w:jc w:val="center"/>
                    <w:rPr>
                      <w:bCs/>
                      <w:szCs w:val="21"/>
                    </w:rPr>
                  </w:pPr>
                  <w:r>
                    <w:rPr>
                      <w:rFonts w:hint="eastAsia" w:ascii="宋体" w:hAnsi="宋体" w:cs="宋体"/>
                      <w:bCs/>
                      <w:szCs w:val="21"/>
                    </w:rPr>
                    <w:t>②</w:t>
                  </w:r>
                  <w:r>
                    <w:rPr>
                      <w:bCs/>
                      <w:szCs w:val="21"/>
                    </w:rPr>
                    <w:t>固体废物日常运行信息：记录各类固体废物厂区暂存量、综合利用量、自行处置量、委托处置利用量、委托单位名称等。</w:t>
                  </w:r>
                </w:p>
                <w:p>
                  <w:pPr>
                    <w:adjustRightInd w:val="0"/>
                    <w:snapToGrid w:val="0"/>
                    <w:jc w:val="center"/>
                    <w:rPr>
                      <w:bCs/>
                      <w:szCs w:val="21"/>
                    </w:rPr>
                  </w:pPr>
                  <w:r>
                    <w:rPr>
                      <w:rFonts w:hint="eastAsia" w:ascii="宋体" w:hAnsi="宋体" w:cs="宋体"/>
                      <w:bCs/>
                      <w:szCs w:val="21"/>
                    </w:rPr>
                    <w:t>③</w:t>
                  </w:r>
                  <w:r>
                    <w:rPr>
                      <w:bCs/>
                      <w:szCs w:val="21"/>
                    </w:rPr>
                    <w:t>污染治理设施运行及维护记录：记录设施故障（事故、维护状态），故障（事故、维护）时刻、恢复（启动）时刻、事故原因、污染物排放量、排放浓度等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606" w:type="dxa"/>
                  <w:vMerge w:val="continue"/>
                  <w:vAlign w:val="center"/>
                </w:tcPr>
                <w:p>
                  <w:pPr>
                    <w:adjustRightInd w:val="0"/>
                    <w:snapToGrid w:val="0"/>
                    <w:jc w:val="center"/>
                    <w:rPr>
                      <w:bCs/>
                      <w:szCs w:val="21"/>
                    </w:rPr>
                  </w:pPr>
                </w:p>
              </w:tc>
              <w:tc>
                <w:tcPr>
                  <w:tcW w:w="1134" w:type="dxa"/>
                  <w:vAlign w:val="center"/>
                </w:tcPr>
                <w:p>
                  <w:pPr>
                    <w:adjustRightInd w:val="0"/>
                    <w:snapToGrid w:val="0"/>
                    <w:jc w:val="center"/>
                    <w:rPr>
                      <w:bCs/>
                      <w:szCs w:val="21"/>
                    </w:rPr>
                  </w:pPr>
                  <w:r>
                    <w:rPr>
                      <w:bCs/>
                      <w:szCs w:val="21"/>
                    </w:rPr>
                    <w:t>监测记录信息</w:t>
                  </w:r>
                </w:p>
              </w:tc>
              <w:tc>
                <w:tcPr>
                  <w:tcW w:w="5729" w:type="dxa"/>
                  <w:vAlign w:val="center"/>
                </w:tcPr>
                <w:p>
                  <w:pPr>
                    <w:adjustRightInd w:val="0"/>
                    <w:snapToGrid w:val="0"/>
                    <w:jc w:val="center"/>
                    <w:rPr>
                      <w:bCs/>
                      <w:szCs w:val="21"/>
                    </w:rPr>
                  </w:pPr>
                  <w:r>
                    <w:rPr>
                      <w:bCs/>
                      <w:szCs w:val="21"/>
                    </w:rPr>
                    <w:t>按监测计划执行。监测质量控制按HJ/T、HJ819等规定执行。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606" w:type="dxa"/>
                  <w:vMerge w:val="continue"/>
                  <w:vAlign w:val="center"/>
                </w:tcPr>
                <w:p>
                  <w:pPr>
                    <w:adjustRightInd w:val="0"/>
                    <w:snapToGrid w:val="0"/>
                    <w:jc w:val="center"/>
                    <w:rPr>
                      <w:bCs/>
                      <w:szCs w:val="21"/>
                    </w:rPr>
                  </w:pPr>
                </w:p>
              </w:tc>
              <w:tc>
                <w:tcPr>
                  <w:tcW w:w="1134" w:type="dxa"/>
                  <w:vAlign w:val="center"/>
                </w:tcPr>
                <w:p>
                  <w:pPr>
                    <w:adjustRightInd w:val="0"/>
                    <w:snapToGrid w:val="0"/>
                    <w:jc w:val="center"/>
                    <w:rPr>
                      <w:bCs/>
                      <w:szCs w:val="21"/>
                    </w:rPr>
                  </w:pPr>
                  <w:r>
                    <w:rPr>
                      <w:bCs/>
                      <w:szCs w:val="21"/>
                    </w:rPr>
                    <w:t>其他环境管理信息</w:t>
                  </w:r>
                </w:p>
              </w:tc>
              <w:tc>
                <w:tcPr>
                  <w:tcW w:w="5729" w:type="dxa"/>
                  <w:vAlign w:val="center"/>
                </w:tcPr>
                <w:p>
                  <w:pPr>
                    <w:adjustRightInd w:val="0"/>
                    <w:snapToGrid w:val="0"/>
                    <w:jc w:val="center"/>
                    <w:rPr>
                      <w:bCs/>
                      <w:szCs w:val="21"/>
                    </w:rPr>
                  </w:pPr>
                  <w:r>
                    <w:rPr>
                      <w:bCs/>
                      <w:szCs w:val="21"/>
                    </w:rPr>
                    <w:t>对于停产或错峰生产的，记录起止时间。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jc w:val="center"/>
              </w:trPr>
              <w:tc>
                <w:tcPr>
                  <w:tcW w:w="606" w:type="dxa"/>
                  <w:vMerge w:val="continue"/>
                  <w:vAlign w:val="center"/>
                </w:tcPr>
                <w:p>
                  <w:pPr>
                    <w:adjustRightInd w:val="0"/>
                    <w:snapToGrid w:val="0"/>
                    <w:jc w:val="center"/>
                    <w:rPr>
                      <w:bCs/>
                      <w:szCs w:val="21"/>
                    </w:rPr>
                  </w:pPr>
                </w:p>
              </w:tc>
              <w:tc>
                <w:tcPr>
                  <w:tcW w:w="1134" w:type="dxa"/>
                  <w:vAlign w:val="center"/>
                </w:tcPr>
                <w:p>
                  <w:pPr>
                    <w:adjustRightInd w:val="0"/>
                    <w:snapToGrid w:val="0"/>
                    <w:jc w:val="center"/>
                    <w:rPr>
                      <w:bCs/>
                      <w:szCs w:val="21"/>
                    </w:rPr>
                  </w:pPr>
                  <w:r>
                    <w:rPr>
                      <w:bCs/>
                      <w:szCs w:val="21"/>
                    </w:rPr>
                    <w:t>记录、存储及保存</w:t>
                  </w:r>
                </w:p>
              </w:tc>
              <w:tc>
                <w:tcPr>
                  <w:tcW w:w="5729" w:type="dxa"/>
                  <w:vAlign w:val="center"/>
                </w:tcPr>
                <w:p>
                  <w:pPr>
                    <w:adjustRightInd w:val="0"/>
                    <w:snapToGrid w:val="0"/>
                    <w:jc w:val="center"/>
                    <w:rPr>
                      <w:bCs/>
                      <w:szCs w:val="21"/>
                    </w:rPr>
                  </w:pPr>
                  <w:r>
                    <w:rPr>
                      <w:rFonts w:hint="eastAsia" w:ascii="宋体" w:hAnsi="宋体" w:cs="宋体"/>
                      <w:bCs/>
                      <w:szCs w:val="21"/>
                    </w:rPr>
                    <w:t>①</w:t>
                  </w:r>
                  <w:r>
                    <w:rPr>
                      <w:bCs/>
                      <w:szCs w:val="21"/>
                    </w:rPr>
                    <w:t>纸质存储：将纸质台账存放于档案袋等保存介质中，由专人签字，定点保存，保存期限不少于3年；</w:t>
                  </w:r>
                </w:p>
                <w:p>
                  <w:pPr>
                    <w:adjustRightInd w:val="0"/>
                    <w:snapToGrid w:val="0"/>
                    <w:jc w:val="center"/>
                    <w:rPr>
                      <w:bCs/>
                      <w:szCs w:val="21"/>
                    </w:rPr>
                  </w:pPr>
                  <w:r>
                    <w:rPr>
                      <w:rFonts w:hint="eastAsia" w:ascii="宋体" w:hAnsi="宋体" w:cs="宋体"/>
                      <w:bCs/>
                      <w:szCs w:val="21"/>
                    </w:rPr>
                    <w:t>②</w:t>
                  </w:r>
                  <w:r>
                    <w:rPr>
                      <w:bCs/>
                      <w:szCs w:val="21"/>
                    </w:rPr>
                    <w:t>电子化存储：存放于电子储存介质中，并进行数据备份；可在排污许可信息管理平台填报保存，由专人定期管理，保存期限不少于3年。</w:t>
                  </w:r>
                </w:p>
              </w:tc>
            </w:tr>
          </w:tbl>
          <w:p>
            <w:pPr>
              <w:spacing w:line="360" w:lineRule="auto"/>
              <w:ind w:firstLine="476" w:firstLineChars="227"/>
              <w:jc w:val="left"/>
              <w:rPr>
                <w:szCs w:val="21"/>
              </w:rPr>
            </w:pPr>
            <w:r>
              <w:rPr>
                <w:rFonts w:hint="eastAsia"/>
                <w:szCs w:val="21"/>
              </w:rPr>
              <w:t>3、排污口规范化设置</w:t>
            </w:r>
          </w:p>
          <w:p>
            <w:pPr>
              <w:spacing w:line="360" w:lineRule="auto"/>
              <w:ind w:firstLine="476" w:firstLineChars="227"/>
              <w:jc w:val="left"/>
              <w:rPr>
                <w:szCs w:val="21"/>
              </w:rPr>
            </w:pPr>
            <w:r>
              <w:rPr>
                <w:szCs w:val="21"/>
              </w:rPr>
              <w:t>（1）废气排气筒</w:t>
            </w:r>
          </w:p>
          <w:p>
            <w:pPr>
              <w:spacing w:line="360" w:lineRule="auto"/>
              <w:ind w:firstLine="476" w:firstLineChars="227"/>
              <w:jc w:val="left"/>
              <w:rPr>
                <w:szCs w:val="21"/>
              </w:rPr>
            </w:pPr>
            <w:r>
              <w:rPr>
                <w:rFonts w:hint="eastAsia"/>
                <w:szCs w:val="21"/>
              </w:rPr>
              <w:t>①</w:t>
            </w:r>
            <w:r>
              <w:rPr>
                <w:szCs w:val="21"/>
              </w:rPr>
              <w:t>排气筒设置便于采样、监测的采样口和采样监测平台。采用位置优先选择在垂直管段，并设置在距离弯头、阀门、变径管下游方向不小于6倍直径和距离上述部件上游方向不小于3倍直径处。采样口内径应不小于80mm，长度应不大于50mm，不使用时采用盖板、管堵或管帽封闭。采样平台面积应不小于1.5m2，并设有1.1m高的护栏，采样口距离平台面约为1.2～1.3m。</w:t>
            </w:r>
          </w:p>
          <w:p>
            <w:pPr>
              <w:spacing w:line="360" w:lineRule="auto"/>
              <w:ind w:firstLine="476" w:firstLineChars="227"/>
              <w:jc w:val="left"/>
              <w:rPr>
                <w:szCs w:val="21"/>
              </w:rPr>
            </w:pPr>
            <w:r>
              <w:rPr>
                <w:rFonts w:hint="eastAsia"/>
                <w:szCs w:val="21"/>
              </w:rPr>
              <w:t>②</w:t>
            </w:r>
            <w:r>
              <w:rPr>
                <w:szCs w:val="21"/>
              </w:rPr>
              <w:t>废气净化设施的进出口均设置采样口。</w:t>
            </w:r>
          </w:p>
          <w:p>
            <w:pPr>
              <w:spacing w:line="360" w:lineRule="auto"/>
              <w:ind w:firstLine="476" w:firstLineChars="227"/>
              <w:jc w:val="left"/>
              <w:rPr>
                <w:szCs w:val="21"/>
              </w:rPr>
            </w:pPr>
            <w:r>
              <w:rPr>
                <w:rFonts w:hint="eastAsia"/>
                <w:szCs w:val="21"/>
              </w:rPr>
              <w:t>③</w:t>
            </w:r>
            <w:r>
              <w:rPr>
                <w:szCs w:val="21"/>
              </w:rPr>
              <w:t>在排气筒附近地面醒目处设置环境保护图形标志牌。</w:t>
            </w:r>
          </w:p>
          <w:p>
            <w:pPr>
              <w:spacing w:line="360" w:lineRule="auto"/>
              <w:ind w:firstLine="476" w:firstLineChars="227"/>
              <w:jc w:val="left"/>
              <w:rPr>
                <w:szCs w:val="21"/>
              </w:rPr>
            </w:pPr>
            <w:r>
              <w:rPr>
                <w:szCs w:val="21"/>
              </w:rPr>
              <w:t>（2）固定噪声源</w:t>
            </w:r>
          </w:p>
          <w:p>
            <w:pPr>
              <w:spacing w:line="360" w:lineRule="auto"/>
              <w:ind w:firstLine="476" w:firstLineChars="227"/>
              <w:jc w:val="left"/>
              <w:rPr>
                <w:szCs w:val="21"/>
              </w:rPr>
            </w:pPr>
            <w:r>
              <w:rPr>
                <w:szCs w:val="21"/>
              </w:rPr>
              <w:t>在固定声源对厂界影响最大处设置环境保护标识牌。</w:t>
            </w:r>
          </w:p>
          <w:p>
            <w:pPr>
              <w:spacing w:line="360" w:lineRule="auto"/>
              <w:ind w:firstLine="476" w:firstLineChars="227"/>
              <w:jc w:val="left"/>
              <w:rPr>
                <w:szCs w:val="21"/>
              </w:rPr>
            </w:pPr>
            <w:r>
              <w:rPr>
                <w:szCs w:val="21"/>
              </w:rPr>
              <w:t>（3）固体废物贮存场所</w:t>
            </w:r>
          </w:p>
          <w:p>
            <w:pPr>
              <w:spacing w:line="360" w:lineRule="auto"/>
              <w:ind w:firstLine="476" w:firstLineChars="227"/>
              <w:jc w:val="left"/>
              <w:rPr>
                <w:szCs w:val="21"/>
              </w:rPr>
            </w:pPr>
            <w:r>
              <w:rPr>
                <w:szCs w:val="21"/>
              </w:rPr>
              <w:t>本项目设一般固废暂存场所1</w:t>
            </w:r>
            <w:r>
              <w:rPr>
                <w:rFonts w:hint="eastAsia"/>
                <w:szCs w:val="21"/>
              </w:rPr>
              <w:t>个</w:t>
            </w:r>
            <w:r>
              <w:rPr>
                <w:szCs w:val="21"/>
              </w:rPr>
              <w:t>，危废贮存库1个。一般固废暂存区应按照《一般工业固体废物贮存和填埋污染控制标准》(GB18599-2020)相关要求设置。危废贮存库应按照《危险废物贮存污染控制标准》（GB18597-2023）相关规定设置。</w:t>
            </w:r>
          </w:p>
          <w:p>
            <w:pPr>
              <w:spacing w:line="360" w:lineRule="auto"/>
              <w:ind w:firstLine="476" w:firstLineChars="227"/>
              <w:jc w:val="left"/>
              <w:rPr>
                <w:szCs w:val="21"/>
              </w:rPr>
            </w:pPr>
            <w:r>
              <w:rPr>
                <w:szCs w:val="21"/>
              </w:rPr>
              <w:t>各固体废物暂存场所设置醒目标识牌，具体按照《危险废物识别标志设置技术规范》（HJ1276-2022）和《环境保护图形标志-固体废物贮存（处置）场》（GB15562.2-1995）修改单规定制作。</w:t>
            </w:r>
          </w:p>
          <w:p>
            <w:pPr>
              <w:ind w:firstLine="422" w:firstLineChars="200"/>
              <w:jc w:val="center"/>
              <w:rPr>
                <w:b/>
                <w:bCs/>
                <w:szCs w:val="21"/>
              </w:rPr>
            </w:pPr>
            <w:r>
              <w:rPr>
                <w:b/>
                <w:bCs/>
                <w:szCs w:val="21"/>
              </w:rPr>
              <w:t>表5-3    环境保护图形符号一览表</w:t>
            </w:r>
          </w:p>
          <w:tbl>
            <w:tblPr>
              <w:tblStyle w:val="23"/>
              <w:tblW w:w="746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40"/>
              <w:gridCol w:w="1843"/>
              <w:gridCol w:w="1840"/>
              <w:gridCol w:w="27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1040" w:type="dxa"/>
                  <w:vAlign w:val="center"/>
                </w:tcPr>
                <w:p>
                  <w:pPr>
                    <w:adjustRightInd w:val="0"/>
                    <w:snapToGrid w:val="0"/>
                    <w:jc w:val="center"/>
                    <w:rPr>
                      <w:bCs/>
                      <w:szCs w:val="21"/>
                    </w:rPr>
                  </w:pPr>
                  <w:r>
                    <w:rPr>
                      <w:bCs/>
                      <w:szCs w:val="21"/>
                    </w:rPr>
                    <w:t>分类</w:t>
                  </w:r>
                </w:p>
              </w:tc>
              <w:tc>
                <w:tcPr>
                  <w:tcW w:w="1843" w:type="dxa"/>
                  <w:vAlign w:val="center"/>
                </w:tcPr>
                <w:p>
                  <w:pPr>
                    <w:adjustRightInd w:val="0"/>
                    <w:snapToGrid w:val="0"/>
                    <w:jc w:val="center"/>
                    <w:rPr>
                      <w:bCs/>
                      <w:szCs w:val="21"/>
                    </w:rPr>
                  </w:pPr>
                  <w:r>
                    <w:rPr>
                      <w:bCs/>
                      <w:szCs w:val="21"/>
                    </w:rPr>
                    <w:t>图形标志</w:t>
                  </w:r>
                </w:p>
              </w:tc>
              <w:tc>
                <w:tcPr>
                  <w:tcW w:w="1840" w:type="dxa"/>
                  <w:vAlign w:val="center"/>
                </w:tcPr>
                <w:p>
                  <w:pPr>
                    <w:adjustRightInd w:val="0"/>
                    <w:snapToGrid w:val="0"/>
                    <w:jc w:val="center"/>
                    <w:rPr>
                      <w:bCs/>
                      <w:szCs w:val="21"/>
                    </w:rPr>
                  </w:pPr>
                  <w:r>
                    <w:rPr>
                      <w:bCs/>
                      <w:szCs w:val="21"/>
                    </w:rPr>
                    <w:t>符号简介</w:t>
                  </w:r>
                </w:p>
              </w:tc>
              <w:tc>
                <w:tcPr>
                  <w:tcW w:w="2746" w:type="dxa"/>
                  <w:vAlign w:val="center"/>
                </w:tcPr>
                <w:p>
                  <w:pPr>
                    <w:adjustRightInd w:val="0"/>
                    <w:snapToGrid w:val="0"/>
                    <w:jc w:val="center"/>
                    <w:rPr>
                      <w:bCs/>
                      <w:szCs w:val="21"/>
                    </w:rPr>
                  </w:pPr>
                  <w:r>
                    <w:rPr>
                      <w:bCs/>
                      <w:szCs w:val="21"/>
                    </w:rPr>
                    <w:t>图形代表意义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1040" w:type="dxa"/>
                  <w:vAlign w:val="center"/>
                </w:tcPr>
                <w:p>
                  <w:pPr>
                    <w:adjustRightInd w:val="0"/>
                    <w:snapToGrid w:val="0"/>
                    <w:jc w:val="center"/>
                    <w:rPr>
                      <w:bCs/>
                      <w:szCs w:val="21"/>
                    </w:rPr>
                  </w:pPr>
                  <w:r>
                    <w:rPr>
                      <w:bCs/>
                      <w:szCs w:val="21"/>
                    </w:rPr>
                    <w:t>废气</w:t>
                  </w:r>
                </w:p>
              </w:tc>
              <w:tc>
                <w:tcPr>
                  <w:tcW w:w="1843" w:type="dxa"/>
                  <w:vAlign w:val="center"/>
                </w:tcPr>
                <w:p>
                  <w:pPr>
                    <w:adjustRightInd w:val="0"/>
                    <w:snapToGrid w:val="0"/>
                    <w:jc w:val="center"/>
                    <w:rPr>
                      <w:bCs/>
                      <w:szCs w:val="21"/>
                    </w:rPr>
                  </w:pPr>
                  <w:r>
                    <w:drawing>
                      <wp:inline distT="0" distB="0" distL="0" distR="0">
                        <wp:extent cx="742950" cy="65722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42950" cy="657225"/>
                                </a:xfrm>
                                <a:prstGeom prst="rect">
                                  <a:avLst/>
                                </a:prstGeom>
                                <a:noFill/>
                                <a:ln>
                                  <a:noFill/>
                                </a:ln>
                              </pic:spPr>
                            </pic:pic>
                          </a:graphicData>
                        </a:graphic>
                      </wp:inline>
                    </w:drawing>
                  </w:r>
                </w:p>
              </w:tc>
              <w:tc>
                <w:tcPr>
                  <w:tcW w:w="1840" w:type="dxa"/>
                  <w:vAlign w:val="center"/>
                </w:tcPr>
                <w:p>
                  <w:pPr>
                    <w:adjustRightInd w:val="0"/>
                    <w:snapToGrid w:val="0"/>
                    <w:jc w:val="center"/>
                    <w:rPr>
                      <w:bCs/>
                      <w:szCs w:val="21"/>
                    </w:rPr>
                  </w:pPr>
                  <w:r>
                    <w:rPr>
                      <w:bCs/>
                      <w:szCs w:val="21"/>
                    </w:rPr>
                    <w:t>表示废气向大气环境排放</w:t>
                  </w:r>
                </w:p>
              </w:tc>
              <w:tc>
                <w:tcPr>
                  <w:tcW w:w="2746" w:type="dxa"/>
                  <w:vAlign w:val="center"/>
                </w:tcPr>
                <w:p>
                  <w:pPr>
                    <w:jc w:val="center"/>
                    <w:rPr>
                      <w:szCs w:val="21"/>
                    </w:rPr>
                  </w:pPr>
                  <w:r>
                    <w:rPr>
                      <w:szCs w:val="21"/>
                    </w:rPr>
                    <w:t>废气排放口警示图形符号</w:t>
                  </w:r>
                </w:p>
                <w:p>
                  <w:pPr>
                    <w:pStyle w:val="2"/>
                    <w:jc w:val="center"/>
                    <w:rPr>
                      <w:rFonts w:ascii="Times New Roman" w:cs="Times New Roman"/>
                      <w:color w:val="auto"/>
                    </w:rPr>
                  </w:pPr>
                  <w:r>
                    <w:rPr>
                      <w:rFonts w:ascii="Times New Roman" w:cs="Times New Roman"/>
                      <w:color w:val="auto"/>
                      <w:sz w:val="21"/>
                      <w:szCs w:val="21"/>
                    </w:rPr>
                    <w:t>GB15562.1-1995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1040" w:type="dxa"/>
                  <w:vAlign w:val="center"/>
                </w:tcPr>
                <w:p>
                  <w:pPr>
                    <w:adjustRightInd w:val="0"/>
                    <w:snapToGrid w:val="0"/>
                    <w:jc w:val="center"/>
                    <w:rPr>
                      <w:bCs/>
                      <w:szCs w:val="21"/>
                    </w:rPr>
                  </w:pPr>
                  <w:r>
                    <w:rPr>
                      <w:bCs/>
                      <w:szCs w:val="21"/>
                    </w:rPr>
                    <w:t>噪声</w:t>
                  </w:r>
                </w:p>
              </w:tc>
              <w:tc>
                <w:tcPr>
                  <w:tcW w:w="1843" w:type="dxa"/>
                  <w:vAlign w:val="center"/>
                </w:tcPr>
                <w:p>
                  <w:pPr>
                    <w:adjustRightInd w:val="0"/>
                    <w:snapToGrid w:val="0"/>
                    <w:jc w:val="center"/>
                    <w:rPr>
                      <w:bCs/>
                      <w:szCs w:val="21"/>
                    </w:rPr>
                  </w:pPr>
                  <w:r>
                    <w:drawing>
                      <wp:inline distT="0" distB="0" distL="0" distR="0">
                        <wp:extent cx="733425" cy="65722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657225"/>
                                </a:xfrm>
                                <a:prstGeom prst="rect">
                                  <a:avLst/>
                                </a:prstGeom>
                                <a:noFill/>
                                <a:ln>
                                  <a:noFill/>
                                </a:ln>
                              </pic:spPr>
                            </pic:pic>
                          </a:graphicData>
                        </a:graphic>
                      </wp:inline>
                    </w:drawing>
                  </w:r>
                </w:p>
              </w:tc>
              <w:tc>
                <w:tcPr>
                  <w:tcW w:w="1840" w:type="dxa"/>
                  <w:vAlign w:val="center"/>
                </w:tcPr>
                <w:p>
                  <w:pPr>
                    <w:adjustRightInd w:val="0"/>
                    <w:snapToGrid w:val="0"/>
                    <w:jc w:val="center"/>
                    <w:rPr>
                      <w:bCs/>
                      <w:szCs w:val="21"/>
                    </w:rPr>
                  </w:pPr>
                  <w:r>
                    <w:rPr>
                      <w:bCs/>
                      <w:szCs w:val="21"/>
                    </w:rPr>
                    <w:t>表示噪声向外环境排放</w:t>
                  </w:r>
                </w:p>
              </w:tc>
              <w:tc>
                <w:tcPr>
                  <w:tcW w:w="2746" w:type="dxa"/>
                  <w:vAlign w:val="center"/>
                </w:tcPr>
                <w:p>
                  <w:pPr>
                    <w:adjustRightInd w:val="0"/>
                    <w:snapToGrid w:val="0"/>
                    <w:jc w:val="center"/>
                    <w:rPr>
                      <w:bCs/>
                      <w:szCs w:val="21"/>
                    </w:rPr>
                  </w:pPr>
                  <w:r>
                    <w:rPr>
                      <w:bCs/>
                      <w:szCs w:val="21"/>
                    </w:rPr>
                    <w:t>噪声排放源警示图形符号</w:t>
                  </w:r>
                  <w:r>
                    <w:rPr>
                      <w:szCs w:val="21"/>
                    </w:rPr>
                    <w:t>GB15562.1-1995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1040" w:type="dxa"/>
                  <w:vAlign w:val="center"/>
                </w:tcPr>
                <w:p>
                  <w:pPr>
                    <w:adjustRightInd w:val="0"/>
                    <w:snapToGrid w:val="0"/>
                    <w:jc w:val="center"/>
                    <w:rPr>
                      <w:bCs/>
                      <w:szCs w:val="21"/>
                    </w:rPr>
                  </w:pPr>
                  <w:r>
                    <w:rPr>
                      <w:bCs/>
                      <w:szCs w:val="21"/>
                    </w:rPr>
                    <w:t>一般固体废物</w:t>
                  </w:r>
                </w:p>
              </w:tc>
              <w:tc>
                <w:tcPr>
                  <w:tcW w:w="1843" w:type="dxa"/>
                  <w:vAlign w:val="center"/>
                </w:tcPr>
                <w:p>
                  <w:pPr>
                    <w:adjustRightInd w:val="0"/>
                    <w:snapToGrid w:val="0"/>
                    <w:jc w:val="center"/>
                    <w:rPr>
                      <w:bCs/>
                      <w:szCs w:val="21"/>
                    </w:rPr>
                  </w:pPr>
                  <w:r>
                    <w:drawing>
                      <wp:inline distT="0" distB="0" distL="0" distR="0">
                        <wp:extent cx="752475" cy="657225"/>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52475" cy="657225"/>
                                </a:xfrm>
                                <a:prstGeom prst="rect">
                                  <a:avLst/>
                                </a:prstGeom>
                                <a:noFill/>
                                <a:ln>
                                  <a:noFill/>
                                </a:ln>
                              </pic:spPr>
                            </pic:pic>
                          </a:graphicData>
                        </a:graphic>
                      </wp:inline>
                    </w:drawing>
                  </w:r>
                </w:p>
              </w:tc>
              <w:tc>
                <w:tcPr>
                  <w:tcW w:w="1840" w:type="dxa"/>
                  <w:vAlign w:val="center"/>
                </w:tcPr>
                <w:p>
                  <w:pPr>
                    <w:adjustRightInd w:val="0"/>
                    <w:snapToGrid w:val="0"/>
                    <w:jc w:val="center"/>
                    <w:rPr>
                      <w:bCs/>
                      <w:szCs w:val="21"/>
                    </w:rPr>
                  </w:pPr>
                  <w:r>
                    <w:rPr>
                      <w:bCs/>
                      <w:szCs w:val="21"/>
                    </w:rPr>
                    <w:t>一般固体废物贮存、处置场</w:t>
                  </w:r>
                </w:p>
              </w:tc>
              <w:tc>
                <w:tcPr>
                  <w:tcW w:w="2746" w:type="dxa"/>
                  <w:vAlign w:val="center"/>
                </w:tcPr>
                <w:p>
                  <w:pPr>
                    <w:adjustRightInd w:val="0"/>
                    <w:snapToGrid w:val="0"/>
                    <w:jc w:val="center"/>
                    <w:rPr>
                      <w:bCs/>
                      <w:szCs w:val="21"/>
                    </w:rPr>
                  </w:pPr>
                  <w:r>
                    <w:rPr>
                      <w:bCs/>
                      <w:szCs w:val="21"/>
                    </w:rPr>
                    <w:t>一般固体废物警示图形符号</w:t>
                  </w:r>
                  <w:r>
                    <w:rPr>
                      <w:szCs w:val="21"/>
                    </w:rPr>
                    <w:t>GB15562.2-1995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69" w:hRule="atLeast"/>
                <w:jc w:val="center"/>
              </w:trPr>
              <w:tc>
                <w:tcPr>
                  <w:tcW w:w="1040" w:type="dxa"/>
                  <w:vAlign w:val="center"/>
                </w:tcPr>
                <w:p>
                  <w:pPr>
                    <w:adjustRightInd w:val="0"/>
                    <w:snapToGrid w:val="0"/>
                    <w:jc w:val="center"/>
                    <w:rPr>
                      <w:bCs/>
                      <w:szCs w:val="21"/>
                    </w:rPr>
                  </w:pPr>
                  <w:r>
                    <w:rPr>
                      <w:bCs/>
                      <w:szCs w:val="21"/>
                    </w:rPr>
                    <w:t>危险废物</w:t>
                  </w:r>
                </w:p>
              </w:tc>
              <w:tc>
                <w:tcPr>
                  <w:tcW w:w="1843" w:type="dxa"/>
                  <w:vAlign w:val="center"/>
                </w:tcPr>
                <w:p>
                  <w:pPr>
                    <w:adjustRightInd w:val="0"/>
                    <w:snapToGrid w:val="0"/>
                    <w:jc w:val="center"/>
                    <w:rPr>
                      <w:bCs/>
                      <w:szCs w:val="21"/>
                    </w:rPr>
                  </w:pPr>
                  <w:r>
                    <w:drawing>
                      <wp:inline distT="0" distB="0" distL="0" distR="0">
                        <wp:extent cx="790575" cy="638175"/>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90575" cy="638175"/>
                                </a:xfrm>
                                <a:prstGeom prst="rect">
                                  <a:avLst/>
                                </a:prstGeom>
                                <a:noFill/>
                                <a:ln>
                                  <a:noFill/>
                                </a:ln>
                              </pic:spPr>
                            </pic:pic>
                          </a:graphicData>
                        </a:graphic>
                      </wp:inline>
                    </w:drawing>
                  </w:r>
                </w:p>
              </w:tc>
              <w:tc>
                <w:tcPr>
                  <w:tcW w:w="1840" w:type="dxa"/>
                  <w:vAlign w:val="center"/>
                </w:tcPr>
                <w:p>
                  <w:pPr>
                    <w:adjustRightInd w:val="0"/>
                    <w:snapToGrid w:val="0"/>
                    <w:jc w:val="center"/>
                    <w:rPr>
                      <w:bCs/>
                      <w:szCs w:val="21"/>
                    </w:rPr>
                  </w:pPr>
                  <w:r>
                    <w:rPr>
                      <w:bCs/>
                      <w:szCs w:val="21"/>
                    </w:rPr>
                    <w:t>危险废物贮存场所</w:t>
                  </w:r>
                </w:p>
              </w:tc>
              <w:tc>
                <w:tcPr>
                  <w:tcW w:w="2746" w:type="dxa"/>
                  <w:vAlign w:val="center"/>
                </w:tcPr>
                <w:p>
                  <w:pPr>
                    <w:adjustRightInd w:val="0"/>
                    <w:snapToGrid w:val="0"/>
                    <w:jc w:val="center"/>
                    <w:rPr>
                      <w:bCs/>
                      <w:szCs w:val="21"/>
                    </w:rPr>
                  </w:pPr>
                  <w:r>
                    <w:rPr>
                      <w:bCs/>
                      <w:szCs w:val="21"/>
                    </w:rPr>
                    <w:t>危险废物警示图形符号</w:t>
                  </w:r>
                  <w:r>
                    <w:rPr>
                      <w:szCs w:val="21"/>
                    </w:rPr>
                    <w:t>GB15562.2-1995修改单</w:t>
                  </w:r>
                </w:p>
              </w:tc>
            </w:tr>
          </w:tbl>
          <w:p>
            <w:pPr>
              <w:spacing w:line="360" w:lineRule="auto"/>
              <w:ind w:firstLine="476" w:firstLineChars="227"/>
              <w:jc w:val="left"/>
              <w:rPr>
                <w:szCs w:val="21"/>
              </w:rPr>
            </w:pPr>
          </w:p>
          <w:p>
            <w:pPr>
              <w:spacing w:line="360" w:lineRule="auto"/>
              <w:ind w:firstLine="476" w:firstLineChars="227"/>
              <w:jc w:val="left"/>
              <w:rPr>
                <w:szCs w:val="21"/>
              </w:rPr>
            </w:pPr>
          </w:p>
          <w:p>
            <w:pPr>
              <w:spacing w:line="360" w:lineRule="auto"/>
              <w:ind w:firstLine="476" w:firstLineChars="227"/>
              <w:jc w:val="left"/>
              <w:rPr>
                <w:szCs w:val="21"/>
              </w:rPr>
            </w:pPr>
          </w:p>
          <w:p>
            <w:pPr>
              <w:spacing w:line="360" w:lineRule="auto"/>
              <w:ind w:firstLine="476" w:firstLineChars="227"/>
              <w:jc w:val="left"/>
              <w:rPr>
                <w:szCs w:val="21"/>
              </w:rPr>
            </w:pPr>
          </w:p>
          <w:p>
            <w:pPr>
              <w:pStyle w:val="2"/>
              <w:rPr>
                <w:color w:val="auto"/>
              </w:rPr>
            </w:pPr>
          </w:p>
        </w:tc>
      </w:tr>
    </w:tbl>
    <w:p>
      <w:pPr>
        <w:pStyle w:val="19"/>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3"/>
        <w:tblW w:w="886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Pr>
          <w:p>
            <w:pPr>
              <w:tabs>
                <w:tab w:val="left" w:pos="6120"/>
                <w:tab w:val="left" w:pos="6840"/>
              </w:tabs>
              <w:spacing w:line="360" w:lineRule="auto"/>
              <w:ind w:firstLine="480"/>
              <w:rPr>
                <w:rFonts w:ascii="宋体" w:hAnsi="宋体"/>
                <w:color w:val="0000FF"/>
              </w:rPr>
            </w:pPr>
            <w:r>
              <w:rPr>
                <w:b/>
                <w:color w:val="0000FF"/>
              </w:rPr>
              <w:t>综上所述，</w:t>
            </w:r>
            <w:r>
              <w:rPr>
                <w:rFonts w:hint="eastAsia"/>
                <w:b/>
                <w:color w:val="0000FF"/>
              </w:rPr>
              <w:t>从环境保护角度，本项目环境影响可行。</w:t>
            </w:r>
            <w:r>
              <w:rPr>
                <w:rFonts w:ascii="宋体" w:hAnsi="宋体"/>
                <w:color w:val="0000FF"/>
              </w:rPr>
              <w:t xml:space="preserve"> </w:t>
            </w:r>
          </w:p>
          <w:p>
            <w:pPr>
              <w:pStyle w:val="2"/>
            </w:pPr>
          </w:p>
          <w:p>
            <w:pPr>
              <w:spacing w:line="360" w:lineRule="auto"/>
              <w:rPr>
                <w:rFonts w:ascii="宋体" w:cs="宋体"/>
                <w:sz w:val="24"/>
              </w:rPr>
            </w:pPr>
          </w:p>
        </w:tc>
      </w:tr>
    </w:tbl>
    <w:p>
      <w:pPr>
        <w:rPr>
          <w:rFonts w:ascii="宋体"/>
        </w:rPr>
        <w:sectPr>
          <w:pgSz w:w="11906" w:h="16838"/>
          <w:pgMar w:top="1701" w:right="1531" w:bottom="1418" w:left="1531" w:header="1134" w:footer="1134" w:gutter="0"/>
          <w:cols w:space="720" w:num="1"/>
          <w:docGrid w:linePitch="312" w:charSpace="0"/>
        </w:sectPr>
      </w:pPr>
    </w:p>
    <w:p>
      <w:pPr>
        <w:pStyle w:val="19"/>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9"/>
        <w:adjustRightInd w:val="0"/>
        <w:snapToGrid w:val="0"/>
        <w:spacing w:before="0" w:beforeAutospacing="0" w:after="0" w:afterAutospacing="0" w:line="360"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设</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项</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目</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污</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染</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物</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排</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放</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量</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汇</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总</w:t>
      </w:r>
      <w:r>
        <w:rPr>
          <w:rFonts w:hint="eastAsia" w:ascii="方正小标宋_GBK" w:hAnsi="黑体" w:eastAsia="方正小标宋_GBK"/>
          <w:snapToGrid w:val="0"/>
          <w:sz w:val="38"/>
          <w:szCs w:val="38"/>
          <w:lang w:eastAsia="zh-CN"/>
        </w:rPr>
        <w:t xml:space="preserve"> </w:t>
      </w:r>
      <w:r>
        <w:rPr>
          <w:rFonts w:hint="eastAsia" w:ascii="方正小标宋_GBK" w:hAnsi="黑体" w:eastAsia="方正小标宋_GBK"/>
          <w:snapToGrid w:val="0"/>
          <w:sz w:val="38"/>
          <w:szCs w:val="38"/>
        </w:rPr>
        <w:t>表</w:t>
      </w:r>
    </w:p>
    <w:tbl>
      <w:tblPr>
        <w:tblStyle w:val="23"/>
        <w:tblW w:w="1383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422"/>
        <w:gridCol w:w="1707"/>
        <w:gridCol w:w="1280"/>
        <w:gridCol w:w="1707"/>
        <w:gridCol w:w="1564"/>
        <w:gridCol w:w="1465"/>
        <w:gridCol w:w="1644"/>
        <w:gridCol w:w="14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593" w:type="dxa"/>
            <w:tcMar>
              <w:left w:w="28" w:type="dxa"/>
              <w:right w:w="28" w:type="dxa"/>
            </w:tcMar>
            <w:vAlign w:val="center"/>
          </w:tcPr>
          <w:p>
            <w:pPr>
              <w:pStyle w:val="30"/>
              <w:spacing w:beforeLines="0" w:afterLines="0" w:line="240" w:lineRule="auto"/>
              <w:jc w:val="right"/>
              <w:rPr>
                <w:rFonts w:ascii="Times New Roman"/>
                <w:snapToGrid w:val="0"/>
                <w:spacing w:val="-6"/>
                <w:kern w:val="21"/>
                <w:szCs w:val="21"/>
                <w:lang w:val="en-US" w:eastAsia="zh-CN"/>
              </w:rPr>
            </w:pPr>
            <w:r>
              <w:rPr>
                <w:rFonts w:ascii="Times New Roman"/>
                <w:szCs w:val="21"/>
                <w:lang w:val="en-US" w:eastAsia="zh-CN"/>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-7620</wp:posOffset>
                      </wp:positionV>
                      <wp:extent cx="1000125" cy="542925"/>
                      <wp:effectExtent l="10160" t="11430" r="8890" b="7620"/>
                      <wp:wrapNone/>
                      <wp:docPr id="15" name="直线 147"/>
                      <wp:cNvGraphicFramePr/>
                      <a:graphic xmlns:a="http://schemas.openxmlformats.org/drawingml/2006/main">
                        <a:graphicData uri="http://schemas.microsoft.com/office/word/2010/wordprocessingShape">
                          <wps:wsp>
                            <wps:cNvCnPr>
                              <a:cxnSpLocks noChangeShapeType="1"/>
                            </wps:cNvCnPr>
                            <wps:spPr bwMode="auto">
                              <a:xfrm>
                                <a:off x="0" y="0"/>
                                <a:ext cx="1000125" cy="542925"/>
                              </a:xfrm>
                              <a:prstGeom prst="line">
                                <a:avLst/>
                              </a:prstGeom>
                              <a:noFill/>
                              <a:ln w="9525">
                                <a:solidFill>
                                  <a:srgbClr val="000000"/>
                                </a:solidFill>
                                <a:round/>
                              </a:ln>
                            </wps:spPr>
                            <wps:bodyPr/>
                          </wps:wsp>
                        </a:graphicData>
                      </a:graphic>
                    </wp:anchor>
                  </w:drawing>
                </mc:Choice>
                <mc:Fallback>
                  <w:pict>
                    <v:line id="直线 147" o:spid="_x0000_s1026" o:spt="20" style="position:absolute;left:0pt;margin-left:-0.7pt;margin-top:-0.6pt;height:42.75pt;width:78.75pt;z-index:251658240;mso-width-relative:page;mso-height-relative:page;" filled="f" stroked="t" coordsize="21600,21600" o:gfxdata="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oT2svXAAAACAEAAA8AAAAAAAAAAQAgAAAAIgAAAGRycy9kb3ducmV2Lnht&#10;bFBLAQIUABQAAAAIAIdO4kAkGWLLwQEAAFsDAAAOAAAAAAAAAAEAIAAAACYBAABkcnMvZTJvRG9j&#10;LnhtbFBLBQYAAAAABgAGAFkBAABZBQAAAAA=&#10;">
                      <v:fill on="f" focussize="0,0"/>
                      <v:stroke color="#000000" joinstyle="round"/>
                      <v:imagedata o:title=""/>
                      <o:lock v:ext="edit" aspectratio="f"/>
                    </v:line>
                  </w:pict>
                </mc:Fallback>
              </mc:AlternateContent>
            </w:r>
            <w:r>
              <w:rPr>
                <w:rFonts w:ascii="Times New Roman" w:hAnsi="宋体"/>
                <w:snapToGrid w:val="0"/>
                <w:spacing w:val="-6"/>
                <w:kern w:val="21"/>
                <w:szCs w:val="21"/>
                <w:lang w:val="en-US" w:eastAsia="zh-CN"/>
              </w:rPr>
              <w:t>项目</w:t>
            </w:r>
          </w:p>
          <w:p>
            <w:pPr>
              <w:rPr>
                <w:szCs w:val="21"/>
              </w:rPr>
            </w:pPr>
          </w:p>
          <w:p>
            <w:pPr>
              <w:pStyle w:val="30"/>
              <w:spacing w:beforeLines="0" w:afterLines="0" w:line="240" w:lineRule="auto"/>
              <w:jc w:val="left"/>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分类</w:t>
            </w:r>
          </w:p>
        </w:tc>
        <w:tc>
          <w:tcPr>
            <w:tcW w:w="1422" w:type="dxa"/>
            <w:tcMar>
              <w:left w:w="28" w:type="dxa"/>
              <w:right w:w="28" w:type="dxa"/>
            </w:tcMar>
            <w:vAlign w:val="center"/>
          </w:tcPr>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污染物名称</w:t>
            </w:r>
          </w:p>
        </w:tc>
        <w:tc>
          <w:tcPr>
            <w:tcW w:w="1707" w:type="dxa"/>
            <w:tcMar>
              <w:left w:w="28" w:type="dxa"/>
              <w:right w:w="28" w:type="dxa"/>
            </w:tcMar>
            <w:vAlign w:val="center"/>
          </w:tcPr>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现有工程</w:t>
            </w:r>
          </w:p>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排放量（固体废物产生量）</w:t>
            </w:r>
            <w:r>
              <w:rPr>
                <w:rFonts w:ascii="Times New Roman"/>
                <w:snapToGrid w:val="0"/>
                <w:spacing w:val="-6"/>
                <w:kern w:val="21"/>
                <w:szCs w:val="21"/>
                <w:lang w:val="en-US" w:eastAsia="zh-CN"/>
              </w:rPr>
              <w:fldChar w:fldCharType="begin"/>
            </w:r>
            <w:r>
              <w:rPr>
                <w:rFonts w:ascii="Times New Roman"/>
                <w:snapToGrid w:val="0"/>
                <w:spacing w:val="-6"/>
                <w:kern w:val="21"/>
                <w:szCs w:val="21"/>
                <w:lang w:val="en-US" w:eastAsia="zh-CN"/>
              </w:rPr>
              <w:instrText xml:space="preserve"> = 1 \* GB3 \* MERGEFORMAT </w:instrText>
            </w:r>
            <w:r>
              <w:rPr>
                <w:rFonts w:ascii="Times New Roman"/>
                <w:snapToGrid w:val="0"/>
                <w:spacing w:val="-6"/>
                <w:kern w:val="21"/>
                <w:szCs w:val="21"/>
                <w:lang w:val="en-US" w:eastAsia="zh-CN"/>
              </w:rPr>
              <w:fldChar w:fldCharType="separate"/>
            </w:r>
            <w:r>
              <w:rPr>
                <w:rFonts w:ascii="Times New Roman" w:hAnsi="宋体"/>
                <w:kern w:val="2"/>
                <w:szCs w:val="21"/>
                <w:lang w:val="en-US" w:eastAsia="zh-CN"/>
              </w:rPr>
              <w:t>①</w:t>
            </w:r>
            <w:r>
              <w:rPr>
                <w:rFonts w:ascii="Times New Roman"/>
                <w:snapToGrid w:val="0"/>
                <w:spacing w:val="-6"/>
                <w:kern w:val="21"/>
                <w:szCs w:val="21"/>
                <w:lang w:val="en-US" w:eastAsia="zh-CN"/>
              </w:rPr>
              <w:fldChar w:fldCharType="end"/>
            </w:r>
          </w:p>
        </w:tc>
        <w:tc>
          <w:tcPr>
            <w:tcW w:w="1280" w:type="dxa"/>
            <w:tcMar>
              <w:left w:w="28" w:type="dxa"/>
              <w:right w:w="28" w:type="dxa"/>
            </w:tcMar>
            <w:vAlign w:val="center"/>
          </w:tcPr>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现有工程</w:t>
            </w:r>
          </w:p>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许可排放量</w:t>
            </w:r>
          </w:p>
          <w:p>
            <w:pPr>
              <w:pStyle w:val="30"/>
              <w:spacing w:beforeLines="0" w:afterLines="0"/>
              <w:rPr>
                <w:rFonts w:ascii="Times New Roman"/>
                <w:snapToGrid w:val="0"/>
                <w:spacing w:val="-6"/>
                <w:kern w:val="21"/>
                <w:szCs w:val="21"/>
                <w:lang w:val="en-US" w:eastAsia="zh-CN"/>
              </w:rPr>
            </w:pPr>
            <w:r>
              <w:rPr>
                <w:rFonts w:ascii="Times New Roman"/>
                <w:snapToGrid w:val="0"/>
                <w:spacing w:val="-6"/>
                <w:kern w:val="21"/>
                <w:szCs w:val="21"/>
                <w:lang w:val="en-US" w:eastAsia="zh-CN"/>
              </w:rPr>
              <w:fldChar w:fldCharType="begin"/>
            </w:r>
            <w:r>
              <w:rPr>
                <w:rFonts w:ascii="Times New Roman"/>
                <w:snapToGrid w:val="0"/>
                <w:spacing w:val="-6"/>
                <w:kern w:val="21"/>
                <w:szCs w:val="21"/>
                <w:lang w:val="en-US" w:eastAsia="zh-CN"/>
              </w:rPr>
              <w:instrText xml:space="preserve"> = 2 \* GB3 \* MERGEFORMAT </w:instrText>
            </w:r>
            <w:r>
              <w:rPr>
                <w:rFonts w:ascii="Times New Roman"/>
                <w:snapToGrid w:val="0"/>
                <w:spacing w:val="-6"/>
                <w:kern w:val="21"/>
                <w:szCs w:val="21"/>
                <w:lang w:val="en-US" w:eastAsia="zh-CN"/>
              </w:rPr>
              <w:fldChar w:fldCharType="separate"/>
            </w:r>
            <w:r>
              <w:rPr>
                <w:rFonts w:ascii="Times New Roman" w:hAnsi="宋体"/>
                <w:snapToGrid w:val="0"/>
                <w:spacing w:val="-6"/>
                <w:kern w:val="21"/>
                <w:szCs w:val="21"/>
                <w:lang w:val="en-US" w:eastAsia="zh-CN"/>
              </w:rPr>
              <w:t>②</w:t>
            </w:r>
            <w:r>
              <w:rPr>
                <w:rFonts w:ascii="Times New Roman"/>
                <w:snapToGrid w:val="0"/>
                <w:spacing w:val="-6"/>
                <w:kern w:val="21"/>
                <w:szCs w:val="21"/>
                <w:lang w:val="en-US" w:eastAsia="zh-CN"/>
              </w:rPr>
              <w:fldChar w:fldCharType="end"/>
            </w:r>
          </w:p>
        </w:tc>
        <w:tc>
          <w:tcPr>
            <w:tcW w:w="1707" w:type="dxa"/>
            <w:tcMar>
              <w:left w:w="28" w:type="dxa"/>
              <w:right w:w="28" w:type="dxa"/>
            </w:tcMar>
            <w:vAlign w:val="center"/>
          </w:tcPr>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在建工程</w:t>
            </w:r>
          </w:p>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排放量（固体废物产生量）</w:t>
            </w:r>
            <w:r>
              <w:rPr>
                <w:rFonts w:ascii="Times New Roman"/>
                <w:snapToGrid w:val="0"/>
                <w:spacing w:val="-6"/>
                <w:kern w:val="21"/>
                <w:szCs w:val="21"/>
                <w:lang w:val="en-US" w:eastAsia="zh-CN"/>
              </w:rPr>
              <w:fldChar w:fldCharType="begin"/>
            </w:r>
            <w:r>
              <w:rPr>
                <w:rFonts w:ascii="Times New Roman"/>
                <w:snapToGrid w:val="0"/>
                <w:spacing w:val="-6"/>
                <w:kern w:val="21"/>
                <w:szCs w:val="21"/>
                <w:lang w:val="en-US" w:eastAsia="zh-CN"/>
              </w:rPr>
              <w:instrText xml:space="preserve"> = 3 \* GB3 \* MERGEFORMAT </w:instrText>
            </w:r>
            <w:r>
              <w:rPr>
                <w:rFonts w:ascii="Times New Roman"/>
                <w:snapToGrid w:val="0"/>
                <w:spacing w:val="-6"/>
                <w:kern w:val="21"/>
                <w:szCs w:val="21"/>
                <w:lang w:val="en-US" w:eastAsia="zh-CN"/>
              </w:rPr>
              <w:fldChar w:fldCharType="separate"/>
            </w:r>
            <w:r>
              <w:rPr>
                <w:rFonts w:ascii="Times New Roman" w:hAnsi="宋体"/>
                <w:kern w:val="2"/>
                <w:szCs w:val="21"/>
                <w:lang w:val="en-US" w:eastAsia="zh-CN"/>
              </w:rPr>
              <w:t>③</w:t>
            </w:r>
            <w:r>
              <w:rPr>
                <w:rFonts w:ascii="Times New Roman"/>
                <w:snapToGrid w:val="0"/>
                <w:spacing w:val="-6"/>
                <w:kern w:val="21"/>
                <w:szCs w:val="21"/>
                <w:lang w:val="en-US" w:eastAsia="zh-CN"/>
              </w:rPr>
              <w:fldChar w:fldCharType="end"/>
            </w:r>
          </w:p>
        </w:tc>
        <w:tc>
          <w:tcPr>
            <w:tcW w:w="1564" w:type="dxa"/>
            <w:tcMar>
              <w:left w:w="28" w:type="dxa"/>
              <w:right w:w="28" w:type="dxa"/>
            </w:tcMar>
            <w:vAlign w:val="center"/>
          </w:tcPr>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本项目</w:t>
            </w:r>
          </w:p>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排放量（固体废物产生量）</w:t>
            </w:r>
            <w:r>
              <w:rPr>
                <w:rFonts w:ascii="Times New Roman"/>
                <w:snapToGrid w:val="0"/>
                <w:spacing w:val="-6"/>
                <w:kern w:val="21"/>
                <w:szCs w:val="21"/>
                <w:lang w:val="en-US" w:eastAsia="zh-CN"/>
              </w:rPr>
              <w:fldChar w:fldCharType="begin"/>
            </w:r>
            <w:r>
              <w:rPr>
                <w:rFonts w:ascii="Times New Roman"/>
                <w:snapToGrid w:val="0"/>
                <w:spacing w:val="-6"/>
                <w:kern w:val="21"/>
                <w:szCs w:val="21"/>
                <w:lang w:val="en-US" w:eastAsia="zh-CN"/>
              </w:rPr>
              <w:instrText xml:space="preserve"> = 4 \* GB3 \* MERGEFORMAT </w:instrText>
            </w:r>
            <w:r>
              <w:rPr>
                <w:rFonts w:ascii="Times New Roman"/>
                <w:snapToGrid w:val="0"/>
                <w:spacing w:val="-6"/>
                <w:kern w:val="21"/>
                <w:szCs w:val="21"/>
                <w:lang w:val="en-US" w:eastAsia="zh-CN"/>
              </w:rPr>
              <w:fldChar w:fldCharType="separate"/>
            </w:r>
            <w:r>
              <w:rPr>
                <w:rFonts w:ascii="Times New Roman" w:hAnsi="宋体"/>
                <w:kern w:val="2"/>
                <w:szCs w:val="21"/>
                <w:lang w:val="en-US" w:eastAsia="zh-CN"/>
              </w:rPr>
              <w:t>④</w:t>
            </w:r>
            <w:r>
              <w:rPr>
                <w:rFonts w:ascii="Times New Roman"/>
                <w:snapToGrid w:val="0"/>
                <w:spacing w:val="-6"/>
                <w:kern w:val="21"/>
                <w:szCs w:val="21"/>
                <w:lang w:val="en-US" w:eastAsia="zh-CN"/>
              </w:rPr>
              <w:fldChar w:fldCharType="end"/>
            </w:r>
          </w:p>
        </w:tc>
        <w:tc>
          <w:tcPr>
            <w:tcW w:w="1465" w:type="dxa"/>
            <w:tcMar>
              <w:left w:w="28" w:type="dxa"/>
              <w:right w:w="28" w:type="dxa"/>
            </w:tcMar>
            <w:vAlign w:val="center"/>
          </w:tcPr>
          <w:p>
            <w:pPr>
              <w:pStyle w:val="30"/>
              <w:spacing w:beforeLines="0" w:afterLines="0" w:line="240" w:lineRule="auto"/>
              <w:rPr>
                <w:rFonts w:ascii="Times New Roman"/>
                <w:snapToGrid w:val="0"/>
                <w:spacing w:val="-16"/>
                <w:kern w:val="21"/>
                <w:szCs w:val="21"/>
                <w:lang w:val="en-US" w:eastAsia="zh-CN"/>
              </w:rPr>
            </w:pPr>
            <w:r>
              <w:rPr>
                <w:rFonts w:ascii="Times New Roman" w:hAnsi="宋体"/>
                <w:snapToGrid w:val="0"/>
                <w:spacing w:val="-16"/>
                <w:kern w:val="21"/>
                <w:szCs w:val="21"/>
                <w:lang w:val="en-US" w:eastAsia="zh-CN"/>
              </w:rPr>
              <w:t>以新带老削减量</w:t>
            </w:r>
          </w:p>
          <w:p>
            <w:pPr>
              <w:pStyle w:val="30"/>
              <w:spacing w:beforeLines="0" w:afterLines="0" w:line="240" w:lineRule="auto"/>
              <w:rPr>
                <w:rFonts w:ascii="Times New Roman"/>
                <w:snapToGrid w:val="0"/>
                <w:spacing w:val="-16"/>
                <w:kern w:val="21"/>
                <w:szCs w:val="21"/>
                <w:lang w:val="en-US" w:eastAsia="zh-CN"/>
              </w:rPr>
            </w:pPr>
            <w:r>
              <w:rPr>
                <w:rFonts w:ascii="Times New Roman" w:hAnsi="宋体"/>
                <w:snapToGrid w:val="0"/>
                <w:spacing w:val="-16"/>
                <w:kern w:val="21"/>
                <w:szCs w:val="21"/>
                <w:lang w:val="en-US" w:eastAsia="zh-CN"/>
              </w:rPr>
              <w:t>（新建项目不填）</w:t>
            </w:r>
            <w:r>
              <w:rPr>
                <w:rFonts w:ascii="Times New Roman"/>
                <w:snapToGrid w:val="0"/>
                <w:spacing w:val="-16"/>
                <w:kern w:val="21"/>
                <w:szCs w:val="21"/>
                <w:lang w:val="en-US" w:eastAsia="zh-CN"/>
              </w:rPr>
              <w:fldChar w:fldCharType="begin"/>
            </w:r>
            <w:r>
              <w:rPr>
                <w:rFonts w:ascii="Times New Roman"/>
                <w:snapToGrid w:val="0"/>
                <w:spacing w:val="-16"/>
                <w:kern w:val="21"/>
                <w:szCs w:val="21"/>
                <w:lang w:val="en-US" w:eastAsia="zh-CN"/>
              </w:rPr>
              <w:instrText xml:space="preserve"> = 5 \* GB3 \* MERGEFORMAT </w:instrText>
            </w:r>
            <w:r>
              <w:rPr>
                <w:rFonts w:ascii="Times New Roman"/>
                <w:snapToGrid w:val="0"/>
                <w:spacing w:val="-16"/>
                <w:kern w:val="21"/>
                <w:szCs w:val="21"/>
                <w:lang w:val="en-US" w:eastAsia="zh-CN"/>
              </w:rPr>
              <w:fldChar w:fldCharType="separate"/>
            </w:r>
            <w:r>
              <w:rPr>
                <w:rFonts w:ascii="Times New Roman" w:hAnsi="宋体"/>
                <w:kern w:val="2"/>
                <w:szCs w:val="21"/>
                <w:lang w:val="en-US" w:eastAsia="zh-CN"/>
              </w:rPr>
              <w:t>⑤</w:t>
            </w:r>
            <w:r>
              <w:rPr>
                <w:rFonts w:ascii="Times New Roman"/>
                <w:snapToGrid w:val="0"/>
                <w:spacing w:val="-16"/>
                <w:kern w:val="21"/>
                <w:szCs w:val="21"/>
                <w:lang w:val="en-US" w:eastAsia="zh-CN"/>
              </w:rPr>
              <w:fldChar w:fldCharType="end"/>
            </w:r>
          </w:p>
        </w:tc>
        <w:tc>
          <w:tcPr>
            <w:tcW w:w="1644" w:type="dxa"/>
            <w:tcMar>
              <w:left w:w="28" w:type="dxa"/>
              <w:right w:w="28" w:type="dxa"/>
            </w:tcMar>
            <w:vAlign w:val="center"/>
          </w:tcPr>
          <w:p>
            <w:pPr>
              <w:pStyle w:val="30"/>
              <w:spacing w:beforeLines="0" w:afterLines="0" w:line="240" w:lineRule="auto"/>
              <w:rPr>
                <w:rFonts w:ascii="Times New Roman"/>
                <w:snapToGrid w:val="0"/>
                <w:spacing w:val="-16"/>
                <w:kern w:val="21"/>
                <w:szCs w:val="21"/>
                <w:lang w:val="en-US" w:eastAsia="zh-CN"/>
              </w:rPr>
            </w:pPr>
            <w:r>
              <w:rPr>
                <w:rFonts w:ascii="Times New Roman" w:hAnsi="宋体"/>
                <w:snapToGrid w:val="0"/>
                <w:spacing w:val="-16"/>
                <w:kern w:val="21"/>
                <w:szCs w:val="21"/>
                <w:lang w:val="en-US" w:eastAsia="zh-CN"/>
              </w:rPr>
              <w:t>本项目建成后</w:t>
            </w:r>
          </w:p>
          <w:p>
            <w:pPr>
              <w:pStyle w:val="30"/>
              <w:spacing w:beforeLines="0" w:afterLines="0" w:line="240" w:lineRule="auto"/>
              <w:rPr>
                <w:rFonts w:ascii="Times New Roman"/>
                <w:snapToGrid w:val="0"/>
                <w:spacing w:val="-16"/>
                <w:kern w:val="21"/>
                <w:szCs w:val="21"/>
                <w:lang w:val="en-US" w:eastAsia="zh-CN"/>
              </w:rPr>
            </w:pPr>
            <w:r>
              <w:rPr>
                <w:rFonts w:ascii="Times New Roman" w:hAnsi="宋体"/>
                <w:snapToGrid w:val="0"/>
                <w:spacing w:val="-16"/>
                <w:kern w:val="21"/>
                <w:szCs w:val="21"/>
                <w:lang w:val="en-US" w:eastAsia="zh-CN"/>
              </w:rPr>
              <w:t>全厂排放量（固体废物产生量）</w:t>
            </w:r>
            <w:r>
              <w:rPr>
                <w:rFonts w:ascii="Times New Roman"/>
                <w:snapToGrid w:val="0"/>
                <w:spacing w:val="-16"/>
                <w:kern w:val="21"/>
                <w:szCs w:val="21"/>
                <w:lang w:val="en-US" w:eastAsia="zh-CN"/>
              </w:rPr>
              <w:fldChar w:fldCharType="begin"/>
            </w:r>
            <w:r>
              <w:rPr>
                <w:rFonts w:ascii="Times New Roman"/>
                <w:snapToGrid w:val="0"/>
                <w:spacing w:val="-16"/>
                <w:kern w:val="21"/>
                <w:szCs w:val="21"/>
                <w:lang w:val="en-US" w:eastAsia="zh-CN"/>
              </w:rPr>
              <w:instrText xml:space="preserve"> = 6 \* GB3 \* MERGEFORMAT </w:instrText>
            </w:r>
            <w:r>
              <w:rPr>
                <w:rFonts w:ascii="Times New Roman"/>
                <w:snapToGrid w:val="0"/>
                <w:spacing w:val="-16"/>
                <w:kern w:val="21"/>
                <w:szCs w:val="21"/>
                <w:lang w:val="en-US" w:eastAsia="zh-CN"/>
              </w:rPr>
              <w:fldChar w:fldCharType="separate"/>
            </w:r>
            <w:r>
              <w:rPr>
                <w:rFonts w:ascii="Times New Roman" w:hAnsi="宋体"/>
                <w:kern w:val="2"/>
                <w:szCs w:val="21"/>
                <w:lang w:val="en-US" w:eastAsia="zh-CN"/>
              </w:rPr>
              <w:t>⑥</w:t>
            </w:r>
            <w:r>
              <w:rPr>
                <w:rFonts w:ascii="Times New Roman"/>
                <w:snapToGrid w:val="0"/>
                <w:spacing w:val="-16"/>
                <w:kern w:val="21"/>
                <w:szCs w:val="21"/>
                <w:lang w:val="en-US" w:eastAsia="zh-CN"/>
              </w:rPr>
              <w:fldChar w:fldCharType="end"/>
            </w:r>
          </w:p>
        </w:tc>
        <w:tc>
          <w:tcPr>
            <w:tcW w:w="1453" w:type="dxa"/>
            <w:tcMar>
              <w:left w:w="28" w:type="dxa"/>
              <w:right w:w="28" w:type="dxa"/>
            </w:tcMar>
            <w:vAlign w:val="center"/>
          </w:tcPr>
          <w:p>
            <w:pPr>
              <w:pStyle w:val="30"/>
              <w:spacing w:beforeLines="0" w:afterLines="0" w:line="240" w:lineRule="auto"/>
              <w:rPr>
                <w:rFonts w:ascii="Times New Roman"/>
                <w:snapToGrid w:val="0"/>
                <w:spacing w:val="-6"/>
                <w:kern w:val="21"/>
                <w:szCs w:val="21"/>
                <w:lang w:val="en-US" w:eastAsia="zh-CN"/>
              </w:rPr>
            </w:pPr>
            <w:r>
              <w:rPr>
                <w:rFonts w:ascii="Times New Roman" w:hAnsi="宋体"/>
                <w:snapToGrid w:val="0"/>
                <w:spacing w:val="-6"/>
                <w:kern w:val="21"/>
                <w:szCs w:val="21"/>
                <w:lang w:val="en-US" w:eastAsia="zh-CN"/>
              </w:rPr>
              <w:t>变化量</w:t>
            </w:r>
          </w:p>
          <w:p>
            <w:pPr>
              <w:pStyle w:val="30"/>
              <w:spacing w:beforeLines="0" w:afterLines="0" w:line="240" w:lineRule="auto"/>
              <w:rPr>
                <w:rFonts w:ascii="Times New Roman"/>
                <w:snapToGrid w:val="0"/>
                <w:spacing w:val="-6"/>
                <w:kern w:val="21"/>
                <w:szCs w:val="21"/>
                <w:lang w:val="en-US" w:eastAsia="zh-CN"/>
              </w:rPr>
            </w:pPr>
            <w:r>
              <w:rPr>
                <w:rFonts w:ascii="Times New Roman"/>
                <w:snapToGrid w:val="0"/>
                <w:spacing w:val="-6"/>
                <w:kern w:val="21"/>
                <w:szCs w:val="21"/>
                <w:lang w:val="en-US" w:eastAsia="zh-CN"/>
              </w:rPr>
              <w:fldChar w:fldCharType="begin"/>
            </w:r>
            <w:r>
              <w:rPr>
                <w:rFonts w:ascii="Times New Roman"/>
                <w:snapToGrid w:val="0"/>
                <w:spacing w:val="-6"/>
                <w:kern w:val="21"/>
                <w:szCs w:val="21"/>
                <w:lang w:val="en-US" w:eastAsia="zh-CN"/>
              </w:rPr>
              <w:instrText xml:space="preserve"> = 7 \* GB3 \* MERGEFORMAT </w:instrText>
            </w:r>
            <w:r>
              <w:rPr>
                <w:rFonts w:ascii="Times New Roman"/>
                <w:snapToGrid w:val="0"/>
                <w:spacing w:val="-6"/>
                <w:kern w:val="21"/>
                <w:szCs w:val="21"/>
                <w:lang w:val="en-US" w:eastAsia="zh-CN"/>
              </w:rPr>
              <w:fldChar w:fldCharType="separate"/>
            </w:r>
            <w:r>
              <w:rPr>
                <w:rFonts w:ascii="Times New Roman" w:hAnsi="宋体"/>
                <w:kern w:val="2"/>
                <w:szCs w:val="21"/>
                <w:lang w:val="en-US" w:eastAsia="zh-CN"/>
              </w:rPr>
              <w:t>⑦</w:t>
            </w:r>
            <w:r>
              <w:rPr>
                <w:rFonts w:ascii="Times New Roman"/>
                <w:snapToGrid w:val="0"/>
                <w:spacing w:val="-6"/>
                <w:kern w:val="21"/>
                <w:szCs w:val="21"/>
                <w:lang w:val="en-US" w:eastAsia="zh-CN"/>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593" w:type="dxa"/>
            <w:tcMar>
              <w:left w:w="28" w:type="dxa"/>
              <w:right w:w="28" w:type="dxa"/>
            </w:tcMar>
            <w:vAlign w:val="center"/>
          </w:tcPr>
          <w:p>
            <w:pPr>
              <w:pStyle w:val="30"/>
              <w:spacing w:beforeLines="0" w:afterLines="0" w:line="240" w:lineRule="auto"/>
              <w:rPr>
                <w:rFonts w:ascii="Times New Roman"/>
                <w:snapToGrid w:val="0"/>
                <w:kern w:val="21"/>
                <w:szCs w:val="21"/>
                <w:lang w:val="en-US" w:eastAsia="zh-CN"/>
              </w:rPr>
            </w:pPr>
            <w:r>
              <w:rPr>
                <w:rFonts w:ascii="Times New Roman" w:hAnsi="宋体"/>
                <w:snapToGrid w:val="0"/>
                <w:kern w:val="21"/>
                <w:szCs w:val="21"/>
                <w:lang w:val="en-US" w:eastAsia="zh-CN"/>
              </w:rPr>
              <w:t>废气</w:t>
            </w:r>
          </w:p>
        </w:tc>
        <w:tc>
          <w:tcPr>
            <w:tcW w:w="1422" w:type="dxa"/>
            <w:tcMar>
              <w:left w:w="28" w:type="dxa"/>
              <w:right w:w="28" w:type="dxa"/>
            </w:tcMar>
            <w:vAlign w:val="center"/>
          </w:tcPr>
          <w:p>
            <w:pPr>
              <w:pStyle w:val="30"/>
              <w:spacing w:beforeLines="0" w:afterLines="0" w:line="240" w:lineRule="auto"/>
              <w:rPr>
                <w:rFonts w:ascii="Times New Roman"/>
                <w:snapToGrid w:val="0"/>
                <w:color w:val="0000FF"/>
                <w:spacing w:val="-6"/>
                <w:kern w:val="21"/>
                <w:szCs w:val="21"/>
                <w:lang w:val="en-US" w:eastAsia="zh-CN"/>
              </w:rPr>
            </w:pPr>
            <w:r>
              <w:rPr>
                <w:rFonts w:hint="eastAsia" w:ascii="Times New Roman" w:hAnsi="宋体"/>
                <w:snapToGrid w:val="0"/>
                <w:color w:val="0000FF"/>
                <w:spacing w:val="-6"/>
                <w:kern w:val="21"/>
                <w:szCs w:val="21"/>
                <w:lang w:val="en-US" w:eastAsia="zh-CN"/>
              </w:rPr>
              <w:t>非甲烷总烃</w:t>
            </w:r>
          </w:p>
        </w:tc>
        <w:tc>
          <w:tcPr>
            <w:tcW w:w="1707" w:type="dxa"/>
            <w:tcMar>
              <w:left w:w="28" w:type="dxa"/>
              <w:right w:w="28" w:type="dxa"/>
            </w:tcMar>
            <w:vAlign w:val="center"/>
          </w:tcPr>
          <w:p>
            <w:pPr>
              <w:jc w:val="center"/>
              <w:rPr>
                <w:snapToGrid w:val="0"/>
                <w:color w:val="0000FF"/>
                <w:kern w:val="21"/>
                <w:szCs w:val="21"/>
              </w:rPr>
            </w:pPr>
            <w:r>
              <w:rPr>
                <w:color w:val="0000FF"/>
                <w:szCs w:val="21"/>
              </w:rPr>
              <w:t>/</w:t>
            </w:r>
          </w:p>
        </w:tc>
        <w:tc>
          <w:tcPr>
            <w:tcW w:w="1280" w:type="dxa"/>
            <w:tcMar>
              <w:left w:w="28" w:type="dxa"/>
              <w:right w:w="28" w:type="dxa"/>
            </w:tcMar>
            <w:vAlign w:val="center"/>
          </w:tcPr>
          <w:p>
            <w:pPr>
              <w:jc w:val="center"/>
              <w:rPr>
                <w:snapToGrid w:val="0"/>
                <w:color w:val="0000FF"/>
                <w:kern w:val="21"/>
                <w:szCs w:val="21"/>
              </w:rPr>
            </w:pPr>
            <w:r>
              <w:rPr>
                <w:snapToGrid w:val="0"/>
                <w:color w:val="0000FF"/>
                <w:kern w:val="21"/>
                <w:szCs w:val="21"/>
              </w:rPr>
              <w:t>/</w:t>
            </w:r>
          </w:p>
        </w:tc>
        <w:tc>
          <w:tcPr>
            <w:tcW w:w="1707" w:type="dxa"/>
            <w:tcMar>
              <w:left w:w="28" w:type="dxa"/>
              <w:right w:w="28" w:type="dxa"/>
            </w:tcMar>
            <w:vAlign w:val="center"/>
          </w:tcPr>
          <w:p>
            <w:pPr>
              <w:jc w:val="center"/>
              <w:rPr>
                <w:snapToGrid w:val="0"/>
                <w:color w:val="0000FF"/>
                <w:kern w:val="21"/>
                <w:szCs w:val="21"/>
              </w:rPr>
            </w:pPr>
            <w:r>
              <w:rPr>
                <w:snapToGrid w:val="0"/>
                <w:color w:val="0000FF"/>
                <w:kern w:val="21"/>
                <w:szCs w:val="21"/>
              </w:rPr>
              <w:t>/</w:t>
            </w:r>
          </w:p>
        </w:tc>
        <w:tc>
          <w:tcPr>
            <w:tcW w:w="1564" w:type="dxa"/>
            <w:tcMar>
              <w:left w:w="28" w:type="dxa"/>
              <w:right w:w="28" w:type="dxa"/>
            </w:tcMar>
            <w:vAlign w:val="center"/>
          </w:tcPr>
          <w:p>
            <w:pPr>
              <w:jc w:val="center"/>
              <w:rPr>
                <w:color w:val="0000FF"/>
                <w:szCs w:val="21"/>
              </w:rPr>
            </w:pPr>
            <w:r>
              <w:rPr>
                <w:color w:val="0000FF"/>
                <w:szCs w:val="21"/>
              </w:rPr>
              <w:t>0.5528t/a</w:t>
            </w:r>
          </w:p>
        </w:tc>
        <w:tc>
          <w:tcPr>
            <w:tcW w:w="1465" w:type="dxa"/>
            <w:tcMar>
              <w:left w:w="28" w:type="dxa"/>
              <w:right w:w="28" w:type="dxa"/>
            </w:tcMar>
            <w:vAlign w:val="center"/>
          </w:tcPr>
          <w:p>
            <w:pPr>
              <w:jc w:val="center"/>
              <w:rPr>
                <w:color w:val="0000FF"/>
                <w:szCs w:val="21"/>
              </w:rPr>
            </w:pPr>
            <w:r>
              <w:rPr>
                <w:rFonts w:hint="eastAsia"/>
                <w:color w:val="0000FF"/>
                <w:szCs w:val="21"/>
              </w:rPr>
              <w:t>/</w:t>
            </w:r>
          </w:p>
        </w:tc>
        <w:tc>
          <w:tcPr>
            <w:tcW w:w="1644" w:type="dxa"/>
            <w:tcMar>
              <w:left w:w="28" w:type="dxa"/>
              <w:right w:w="28" w:type="dxa"/>
            </w:tcMar>
            <w:vAlign w:val="center"/>
          </w:tcPr>
          <w:p>
            <w:pPr>
              <w:jc w:val="center"/>
              <w:rPr>
                <w:color w:val="0000FF"/>
                <w:szCs w:val="21"/>
              </w:rPr>
            </w:pPr>
            <w:r>
              <w:rPr>
                <w:color w:val="0000FF"/>
                <w:szCs w:val="21"/>
              </w:rPr>
              <w:t>0.5528</w:t>
            </w:r>
            <w:r>
              <w:rPr>
                <w:rFonts w:hint="eastAsia"/>
                <w:color w:val="0000FF"/>
                <w:szCs w:val="21"/>
              </w:rPr>
              <w:t>t/a</w:t>
            </w:r>
          </w:p>
        </w:tc>
        <w:tc>
          <w:tcPr>
            <w:tcW w:w="1453" w:type="dxa"/>
            <w:tcMar>
              <w:left w:w="28" w:type="dxa"/>
              <w:right w:w="28" w:type="dxa"/>
            </w:tcMar>
            <w:vAlign w:val="center"/>
          </w:tcPr>
          <w:p>
            <w:pPr>
              <w:jc w:val="center"/>
              <w:rPr>
                <w:color w:val="0000FF"/>
                <w:szCs w:val="21"/>
              </w:rPr>
            </w:pPr>
            <w:r>
              <w:rPr>
                <w:color w:val="0000FF"/>
                <w:szCs w:val="21"/>
              </w:rPr>
              <w:t>+0.5528t/a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restart"/>
            <w:vAlign w:val="center"/>
          </w:tcPr>
          <w:p>
            <w:pPr>
              <w:pStyle w:val="30"/>
              <w:spacing w:beforeLines="0" w:afterLines="0" w:line="240" w:lineRule="auto"/>
              <w:rPr>
                <w:rFonts w:ascii="Times New Roman"/>
                <w:snapToGrid w:val="0"/>
                <w:kern w:val="21"/>
                <w:szCs w:val="21"/>
                <w:lang w:val="en-US" w:eastAsia="zh-CN"/>
              </w:rPr>
            </w:pPr>
            <w:r>
              <w:rPr>
                <w:rFonts w:ascii="Times New Roman" w:hAnsi="宋体"/>
                <w:snapToGrid w:val="0"/>
                <w:kern w:val="21"/>
                <w:szCs w:val="21"/>
                <w:lang w:val="en-US" w:eastAsia="zh-CN"/>
              </w:rPr>
              <w:t>废水</w:t>
            </w:r>
          </w:p>
        </w:tc>
        <w:tc>
          <w:tcPr>
            <w:tcW w:w="1422"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COD</w:t>
            </w:r>
          </w:p>
        </w:tc>
        <w:tc>
          <w:tcPr>
            <w:tcW w:w="1707" w:type="dxa"/>
            <w:vAlign w:val="center"/>
          </w:tcPr>
          <w:p>
            <w:pPr>
              <w:jc w:val="center"/>
              <w:rPr>
                <w:snapToGrid w:val="0"/>
                <w:color w:val="0000FF"/>
                <w:kern w:val="21"/>
                <w:szCs w:val="21"/>
              </w:rPr>
            </w:pPr>
            <w:r>
              <w:rPr>
                <w:color w:val="0000FF"/>
                <w:szCs w:val="21"/>
              </w:rPr>
              <w:t>/</w:t>
            </w:r>
          </w:p>
        </w:tc>
        <w:tc>
          <w:tcPr>
            <w:tcW w:w="1280" w:type="dxa"/>
            <w:vAlign w:val="center"/>
          </w:tcPr>
          <w:p>
            <w:pPr>
              <w:jc w:val="center"/>
              <w:rPr>
                <w:snapToGrid w:val="0"/>
                <w:color w:val="0000FF"/>
                <w:kern w:val="21"/>
                <w:szCs w:val="21"/>
              </w:rPr>
            </w:pPr>
            <w:r>
              <w:rPr>
                <w:snapToGrid w:val="0"/>
                <w:color w:val="0000FF"/>
                <w:kern w:val="21"/>
                <w:szCs w:val="21"/>
              </w:rPr>
              <w:t>/</w:t>
            </w:r>
          </w:p>
        </w:tc>
        <w:tc>
          <w:tcPr>
            <w:tcW w:w="1707" w:type="dxa"/>
            <w:vAlign w:val="center"/>
          </w:tcPr>
          <w:p>
            <w:pPr>
              <w:jc w:val="center"/>
              <w:rPr>
                <w:snapToGrid w:val="0"/>
                <w:color w:val="0000FF"/>
                <w:kern w:val="21"/>
                <w:szCs w:val="21"/>
              </w:rPr>
            </w:pPr>
            <w:r>
              <w:rPr>
                <w:snapToGrid w:val="0"/>
                <w:color w:val="0000FF"/>
                <w:kern w:val="21"/>
                <w:szCs w:val="21"/>
              </w:rPr>
              <w:t>/</w:t>
            </w:r>
          </w:p>
        </w:tc>
        <w:tc>
          <w:tcPr>
            <w:tcW w:w="1564" w:type="dxa"/>
            <w:vAlign w:val="center"/>
          </w:tcPr>
          <w:p>
            <w:pPr>
              <w:jc w:val="center"/>
              <w:rPr>
                <w:color w:val="0000FF"/>
                <w:szCs w:val="21"/>
              </w:rPr>
            </w:pPr>
            <w:r>
              <w:rPr>
                <w:color w:val="0000FF"/>
                <w:szCs w:val="21"/>
              </w:rPr>
              <w:t>0.061t/a</w:t>
            </w:r>
          </w:p>
        </w:tc>
        <w:tc>
          <w:tcPr>
            <w:tcW w:w="1465" w:type="dxa"/>
            <w:vAlign w:val="center"/>
          </w:tcPr>
          <w:p>
            <w:pPr>
              <w:jc w:val="center"/>
              <w:rPr>
                <w:color w:val="0000FF"/>
                <w:szCs w:val="21"/>
              </w:rPr>
            </w:pPr>
            <w:r>
              <w:rPr>
                <w:color w:val="0000FF"/>
                <w:szCs w:val="21"/>
              </w:rPr>
              <w:t>/</w:t>
            </w:r>
          </w:p>
        </w:tc>
        <w:tc>
          <w:tcPr>
            <w:tcW w:w="1644" w:type="dxa"/>
            <w:vAlign w:val="center"/>
          </w:tcPr>
          <w:p>
            <w:pPr>
              <w:jc w:val="center"/>
              <w:rPr>
                <w:color w:val="0000FF"/>
                <w:szCs w:val="21"/>
              </w:rPr>
            </w:pPr>
            <w:r>
              <w:rPr>
                <w:color w:val="0000FF"/>
                <w:szCs w:val="21"/>
              </w:rPr>
              <w:t>0.061t/a</w:t>
            </w:r>
          </w:p>
        </w:tc>
        <w:tc>
          <w:tcPr>
            <w:tcW w:w="1453" w:type="dxa"/>
            <w:vAlign w:val="center"/>
          </w:tcPr>
          <w:p>
            <w:pPr>
              <w:jc w:val="center"/>
              <w:rPr>
                <w:color w:val="0000FF"/>
                <w:szCs w:val="21"/>
              </w:rPr>
            </w:pPr>
            <w:r>
              <w:rPr>
                <w:color w:val="0000FF"/>
                <w:szCs w:val="21"/>
              </w:rPr>
              <w:t>+0.061t/a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BOD</w:t>
            </w:r>
            <w:r>
              <w:rPr>
                <w:rFonts w:ascii="Times New Roman" w:cs="Times New Roman"/>
                <w:color w:val="0000FF"/>
                <w:sz w:val="21"/>
                <w:szCs w:val="21"/>
                <w:vertAlign w:val="subscript"/>
              </w:rPr>
              <w:t>5</w:t>
            </w:r>
          </w:p>
        </w:tc>
        <w:tc>
          <w:tcPr>
            <w:tcW w:w="1707" w:type="dxa"/>
            <w:vAlign w:val="center"/>
          </w:tcPr>
          <w:p>
            <w:pPr>
              <w:jc w:val="center"/>
              <w:rPr>
                <w:snapToGrid w:val="0"/>
                <w:color w:val="0000FF"/>
                <w:kern w:val="21"/>
                <w:szCs w:val="21"/>
              </w:rPr>
            </w:pPr>
            <w:r>
              <w:rPr>
                <w:color w:val="0000FF"/>
                <w:szCs w:val="21"/>
              </w:rPr>
              <w:t>/</w:t>
            </w:r>
          </w:p>
        </w:tc>
        <w:tc>
          <w:tcPr>
            <w:tcW w:w="1280" w:type="dxa"/>
            <w:vAlign w:val="center"/>
          </w:tcPr>
          <w:p>
            <w:pPr>
              <w:jc w:val="center"/>
              <w:rPr>
                <w:snapToGrid w:val="0"/>
                <w:color w:val="0000FF"/>
                <w:kern w:val="21"/>
                <w:szCs w:val="21"/>
              </w:rPr>
            </w:pPr>
            <w:r>
              <w:rPr>
                <w:snapToGrid w:val="0"/>
                <w:color w:val="0000FF"/>
                <w:kern w:val="21"/>
                <w:szCs w:val="21"/>
              </w:rPr>
              <w:t>/</w:t>
            </w:r>
          </w:p>
        </w:tc>
        <w:tc>
          <w:tcPr>
            <w:tcW w:w="1707" w:type="dxa"/>
            <w:vAlign w:val="center"/>
          </w:tcPr>
          <w:p>
            <w:pPr>
              <w:jc w:val="center"/>
              <w:rPr>
                <w:snapToGrid w:val="0"/>
                <w:color w:val="0000FF"/>
                <w:kern w:val="21"/>
                <w:szCs w:val="21"/>
              </w:rPr>
            </w:pPr>
            <w:r>
              <w:rPr>
                <w:snapToGrid w:val="0"/>
                <w:color w:val="0000FF"/>
                <w:kern w:val="21"/>
                <w:szCs w:val="21"/>
              </w:rPr>
              <w:t>/</w:t>
            </w:r>
          </w:p>
        </w:tc>
        <w:tc>
          <w:tcPr>
            <w:tcW w:w="1564" w:type="dxa"/>
            <w:vAlign w:val="center"/>
          </w:tcPr>
          <w:p>
            <w:pPr>
              <w:jc w:val="center"/>
              <w:rPr>
                <w:color w:val="0000FF"/>
                <w:szCs w:val="21"/>
              </w:rPr>
            </w:pPr>
            <w:r>
              <w:rPr>
                <w:color w:val="0000FF"/>
                <w:szCs w:val="21"/>
              </w:rPr>
              <w:t>0.035t/a</w:t>
            </w:r>
          </w:p>
        </w:tc>
        <w:tc>
          <w:tcPr>
            <w:tcW w:w="1465" w:type="dxa"/>
            <w:vAlign w:val="center"/>
          </w:tcPr>
          <w:p>
            <w:pPr>
              <w:jc w:val="center"/>
              <w:rPr>
                <w:color w:val="0000FF"/>
                <w:szCs w:val="21"/>
              </w:rPr>
            </w:pPr>
            <w:r>
              <w:rPr>
                <w:color w:val="0000FF"/>
                <w:szCs w:val="21"/>
              </w:rPr>
              <w:t>/</w:t>
            </w:r>
          </w:p>
        </w:tc>
        <w:tc>
          <w:tcPr>
            <w:tcW w:w="1644" w:type="dxa"/>
            <w:vAlign w:val="center"/>
          </w:tcPr>
          <w:p>
            <w:pPr>
              <w:jc w:val="center"/>
              <w:rPr>
                <w:color w:val="0000FF"/>
                <w:szCs w:val="21"/>
              </w:rPr>
            </w:pPr>
            <w:r>
              <w:rPr>
                <w:color w:val="0000FF"/>
                <w:szCs w:val="21"/>
              </w:rPr>
              <w:t>0.035t/a</w:t>
            </w:r>
          </w:p>
        </w:tc>
        <w:tc>
          <w:tcPr>
            <w:tcW w:w="1453" w:type="dxa"/>
            <w:vAlign w:val="center"/>
          </w:tcPr>
          <w:p>
            <w:pPr>
              <w:jc w:val="center"/>
              <w:rPr>
                <w:color w:val="0000FF"/>
                <w:szCs w:val="21"/>
              </w:rPr>
            </w:pPr>
            <w:r>
              <w:rPr>
                <w:color w:val="0000FF"/>
                <w:szCs w:val="21"/>
              </w:rPr>
              <w:t>+0.035t/a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cs="Times New Roman"/>
                <w:color w:val="0000FF"/>
                <w:sz w:val="21"/>
                <w:szCs w:val="21"/>
              </w:rPr>
            </w:pPr>
            <w:r>
              <w:rPr>
                <w:rFonts w:ascii="Times New Roman" w:cs="Times New Roman"/>
                <w:color w:val="0000FF"/>
                <w:sz w:val="21"/>
                <w:szCs w:val="21"/>
              </w:rPr>
              <w:t>SS</w:t>
            </w:r>
          </w:p>
        </w:tc>
        <w:tc>
          <w:tcPr>
            <w:tcW w:w="1707" w:type="dxa"/>
            <w:vAlign w:val="center"/>
          </w:tcPr>
          <w:p>
            <w:pPr>
              <w:jc w:val="center"/>
              <w:rPr>
                <w:snapToGrid w:val="0"/>
                <w:color w:val="0000FF"/>
                <w:kern w:val="21"/>
                <w:szCs w:val="21"/>
              </w:rPr>
            </w:pPr>
            <w:r>
              <w:rPr>
                <w:color w:val="0000FF"/>
                <w:szCs w:val="21"/>
              </w:rPr>
              <w:t>/</w:t>
            </w:r>
          </w:p>
        </w:tc>
        <w:tc>
          <w:tcPr>
            <w:tcW w:w="1280" w:type="dxa"/>
            <w:vAlign w:val="center"/>
          </w:tcPr>
          <w:p>
            <w:pPr>
              <w:jc w:val="center"/>
              <w:rPr>
                <w:snapToGrid w:val="0"/>
                <w:color w:val="0000FF"/>
                <w:kern w:val="21"/>
                <w:szCs w:val="21"/>
              </w:rPr>
            </w:pPr>
            <w:r>
              <w:rPr>
                <w:snapToGrid w:val="0"/>
                <w:color w:val="0000FF"/>
                <w:kern w:val="21"/>
                <w:szCs w:val="21"/>
              </w:rPr>
              <w:t>/</w:t>
            </w:r>
          </w:p>
        </w:tc>
        <w:tc>
          <w:tcPr>
            <w:tcW w:w="1707" w:type="dxa"/>
            <w:vAlign w:val="center"/>
          </w:tcPr>
          <w:p>
            <w:pPr>
              <w:jc w:val="center"/>
              <w:rPr>
                <w:snapToGrid w:val="0"/>
                <w:color w:val="0000FF"/>
                <w:kern w:val="21"/>
                <w:szCs w:val="21"/>
              </w:rPr>
            </w:pPr>
            <w:r>
              <w:rPr>
                <w:snapToGrid w:val="0"/>
                <w:color w:val="0000FF"/>
                <w:kern w:val="21"/>
                <w:szCs w:val="21"/>
              </w:rPr>
              <w:t>/</w:t>
            </w:r>
          </w:p>
        </w:tc>
        <w:tc>
          <w:tcPr>
            <w:tcW w:w="1564" w:type="dxa"/>
            <w:vAlign w:val="center"/>
          </w:tcPr>
          <w:p>
            <w:pPr>
              <w:jc w:val="center"/>
              <w:rPr>
                <w:color w:val="0000FF"/>
                <w:szCs w:val="21"/>
              </w:rPr>
            </w:pPr>
            <w:r>
              <w:rPr>
                <w:color w:val="0000FF"/>
                <w:szCs w:val="21"/>
              </w:rPr>
              <w:t>0.039t/a</w:t>
            </w:r>
          </w:p>
        </w:tc>
        <w:tc>
          <w:tcPr>
            <w:tcW w:w="1465" w:type="dxa"/>
            <w:vAlign w:val="center"/>
          </w:tcPr>
          <w:p>
            <w:pPr>
              <w:jc w:val="center"/>
              <w:rPr>
                <w:color w:val="0000FF"/>
                <w:szCs w:val="21"/>
              </w:rPr>
            </w:pPr>
            <w:r>
              <w:rPr>
                <w:color w:val="0000FF"/>
                <w:szCs w:val="21"/>
              </w:rPr>
              <w:t>/</w:t>
            </w:r>
          </w:p>
        </w:tc>
        <w:tc>
          <w:tcPr>
            <w:tcW w:w="1644" w:type="dxa"/>
            <w:vAlign w:val="center"/>
          </w:tcPr>
          <w:p>
            <w:pPr>
              <w:jc w:val="center"/>
              <w:rPr>
                <w:color w:val="0000FF"/>
                <w:szCs w:val="21"/>
              </w:rPr>
            </w:pPr>
            <w:r>
              <w:rPr>
                <w:color w:val="0000FF"/>
                <w:szCs w:val="21"/>
              </w:rPr>
              <w:t>0.039t/a</w:t>
            </w:r>
          </w:p>
        </w:tc>
        <w:tc>
          <w:tcPr>
            <w:tcW w:w="1453" w:type="dxa"/>
            <w:vAlign w:val="center"/>
          </w:tcPr>
          <w:p>
            <w:pPr>
              <w:jc w:val="center"/>
              <w:rPr>
                <w:color w:val="0000FF"/>
                <w:szCs w:val="21"/>
              </w:rPr>
            </w:pPr>
            <w:r>
              <w:rPr>
                <w:color w:val="0000FF"/>
                <w:szCs w:val="21"/>
              </w:rPr>
              <w:t>+0.039t/a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cs="Times New Roman"/>
                <w:color w:val="0000FF"/>
                <w:sz w:val="21"/>
                <w:szCs w:val="21"/>
              </w:rPr>
            </w:pPr>
            <w:r>
              <w:rPr>
                <w:rFonts w:ascii="Times New Roman" w:hAnsi="宋体" w:cs="Times New Roman"/>
                <w:color w:val="0000FF"/>
                <w:sz w:val="21"/>
                <w:szCs w:val="21"/>
              </w:rPr>
              <w:t>氨氮</w:t>
            </w:r>
          </w:p>
        </w:tc>
        <w:tc>
          <w:tcPr>
            <w:tcW w:w="1707" w:type="dxa"/>
            <w:vAlign w:val="center"/>
          </w:tcPr>
          <w:p>
            <w:pPr>
              <w:jc w:val="center"/>
              <w:rPr>
                <w:snapToGrid w:val="0"/>
                <w:color w:val="0000FF"/>
                <w:kern w:val="21"/>
                <w:szCs w:val="21"/>
              </w:rPr>
            </w:pPr>
            <w:r>
              <w:rPr>
                <w:color w:val="0000FF"/>
                <w:szCs w:val="21"/>
              </w:rPr>
              <w:t>/</w:t>
            </w:r>
          </w:p>
        </w:tc>
        <w:tc>
          <w:tcPr>
            <w:tcW w:w="1280" w:type="dxa"/>
            <w:vAlign w:val="center"/>
          </w:tcPr>
          <w:p>
            <w:pPr>
              <w:jc w:val="center"/>
              <w:rPr>
                <w:snapToGrid w:val="0"/>
                <w:color w:val="0000FF"/>
                <w:kern w:val="21"/>
                <w:szCs w:val="21"/>
              </w:rPr>
            </w:pPr>
            <w:r>
              <w:rPr>
                <w:snapToGrid w:val="0"/>
                <w:color w:val="0000FF"/>
                <w:kern w:val="21"/>
                <w:szCs w:val="21"/>
              </w:rPr>
              <w:t>/</w:t>
            </w:r>
          </w:p>
        </w:tc>
        <w:tc>
          <w:tcPr>
            <w:tcW w:w="1707" w:type="dxa"/>
            <w:vAlign w:val="center"/>
          </w:tcPr>
          <w:p>
            <w:pPr>
              <w:jc w:val="center"/>
              <w:rPr>
                <w:snapToGrid w:val="0"/>
                <w:color w:val="0000FF"/>
                <w:kern w:val="21"/>
                <w:szCs w:val="21"/>
              </w:rPr>
            </w:pPr>
            <w:r>
              <w:rPr>
                <w:snapToGrid w:val="0"/>
                <w:color w:val="0000FF"/>
                <w:kern w:val="21"/>
                <w:szCs w:val="21"/>
              </w:rPr>
              <w:t>/</w:t>
            </w:r>
          </w:p>
        </w:tc>
        <w:tc>
          <w:tcPr>
            <w:tcW w:w="1564" w:type="dxa"/>
            <w:vAlign w:val="center"/>
          </w:tcPr>
          <w:p>
            <w:pPr>
              <w:jc w:val="center"/>
              <w:rPr>
                <w:color w:val="0000FF"/>
                <w:szCs w:val="21"/>
              </w:rPr>
            </w:pPr>
            <w:r>
              <w:rPr>
                <w:color w:val="0000FF"/>
                <w:szCs w:val="21"/>
              </w:rPr>
              <w:t>0.0068t/a</w:t>
            </w:r>
          </w:p>
        </w:tc>
        <w:tc>
          <w:tcPr>
            <w:tcW w:w="1465" w:type="dxa"/>
            <w:vAlign w:val="center"/>
          </w:tcPr>
          <w:p>
            <w:pPr>
              <w:jc w:val="center"/>
              <w:rPr>
                <w:color w:val="0000FF"/>
                <w:szCs w:val="21"/>
              </w:rPr>
            </w:pPr>
            <w:r>
              <w:rPr>
                <w:color w:val="0000FF"/>
                <w:szCs w:val="21"/>
              </w:rPr>
              <w:t>/</w:t>
            </w:r>
          </w:p>
        </w:tc>
        <w:tc>
          <w:tcPr>
            <w:tcW w:w="1644" w:type="dxa"/>
            <w:vAlign w:val="center"/>
          </w:tcPr>
          <w:p>
            <w:pPr>
              <w:jc w:val="center"/>
              <w:rPr>
                <w:color w:val="0000FF"/>
                <w:szCs w:val="21"/>
              </w:rPr>
            </w:pPr>
            <w:r>
              <w:rPr>
                <w:color w:val="0000FF"/>
                <w:szCs w:val="21"/>
              </w:rPr>
              <w:t>0.0068t/a</w:t>
            </w:r>
          </w:p>
        </w:tc>
        <w:tc>
          <w:tcPr>
            <w:tcW w:w="1453" w:type="dxa"/>
            <w:vAlign w:val="center"/>
          </w:tcPr>
          <w:p>
            <w:pPr>
              <w:jc w:val="center"/>
              <w:rPr>
                <w:color w:val="0000FF"/>
                <w:szCs w:val="21"/>
              </w:rPr>
            </w:pPr>
            <w:r>
              <w:rPr>
                <w:color w:val="0000FF"/>
                <w:szCs w:val="21"/>
              </w:rPr>
              <w:t>+0.0068t/a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cs="Times New Roman"/>
                <w:b/>
                <w:bCs/>
                <w:color w:val="0000FF"/>
                <w:sz w:val="21"/>
                <w:szCs w:val="21"/>
              </w:rPr>
            </w:pPr>
            <w:r>
              <w:rPr>
                <w:rFonts w:ascii="Times New Roman" w:hAnsi="宋体" w:cs="Times New Roman"/>
                <w:color w:val="0000FF"/>
                <w:sz w:val="21"/>
                <w:szCs w:val="21"/>
              </w:rPr>
              <w:t>总氮（以</w:t>
            </w:r>
            <w:r>
              <w:rPr>
                <w:rFonts w:ascii="Times New Roman" w:cs="Times New Roman"/>
                <w:color w:val="0000FF"/>
                <w:sz w:val="21"/>
                <w:szCs w:val="21"/>
              </w:rPr>
              <w:t>N</w:t>
            </w:r>
            <w:r>
              <w:rPr>
                <w:rFonts w:ascii="Times New Roman" w:hAnsi="宋体" w:cs="Times New Roman"/>
                <w:color w:val="0000FF"/>
                <w:sz w:val="21"/>
                <w:szCs w:val="21"/>
              </w:rPr>
              <w:t>计）</w:t>
            </w:r>
          </w:p>
        </w:tc>
        <w:tc>
          <w:tcPr>
            <w:tcW w:w="1707" w:type="dxa"/>
            <w:vAlign w:val="center"/>
          </w:tcPr>
          <w:p>
            <w:pPr>
              <w:jc w:val="center"/>
              <w:rPr>
                <w:snapToGrid w:val="0"/>
                <w:color w:val="0000FF"/>
                <w:kern w:val="21"/>
                <w:szCs w:val="21"/>
              </w:rPr>
            </w:pPr>
            <w:r>
              <w:rPr>
                <w:color w:val="0000FF"/>
                <w:szCs w:val="21"/>
              </w:rPr>
              <w:t>/</w:t>
            </w:r>
          </w:p>
        </w:tc>
        <w:tc>
          <w:tcPr>
            <w:tcW w:w="1280" w:type="dxa"/>
            <w:vAlign w:val="center"/>
          </w:tcPr>
          <w:p>
            <w:pPr>
              <w:jc w:val="center"/>
              <w:rPr>
                <w:snapToGrid w:val="0"/>
                <w:color w:val="0000FF"/>
                <w:kern w:val="21"/>
                <w:szCs w:val="21"/>
              </w:rPr>
            </w:pPr>
            <w:r>
              <w:rPr>
                <w:snapToGrid w:val="0"/>
                <w:color w:val="0000FF"/>
                <w:kern w:val="21"/>
                <w:szCs w:val="21"/>
              </w:rPr>
              <w:t>/</w:t>
            </w:r>
          </w:p>
        </w:tc>
        <w:tc>
          <w:tcPr>
            <w:tcW w:w="1707" w:type="dxa"/>
            <w:vAlign w:val="center"/>
          </w:tcPr>
          <w:p>
            <w:pPr>
              <w:jc w:val="center"/>
              <w:rPr>
                <w:snapToGrid w:val="0"/>
                <w:color w:val="0000FF"/>
                <w:kern w:val="21"/>
                <w:szCs w:val="21"/>
              </w:rPr>
            </w:pPr>
            <w:r>
              <w:rPr>
                <w:snapToGrid w:val="0"/>
                <w:color w:val="0000FF"/>
                <w:kern w:val="21"/>
                <w:szCs w:val="21"/>
              </w:rPr>
              <w:t>/</w:t>
            </w:r>
          </w:p>
        </w:tc>
        <w:tc>
          <w:tcPr>
            <w:tcW w:w="1564" w:type="dxa"/>
            <w:vAlign w:val="center"/>
          </w:tcPr>
          <w:p>
            <w:pPr>
              <w:jc w:val="center"/>
              <w:rPr>
                <w:color w:val="0000FF"/>
                <w:szCs w:val="21"/>
              </w:rPr>
            </w:pPr>
            <w:r>
              <w:rPr>
                <w:color w:val="0000FF"/>
                <w:szCs w:val="21"/>
              </w:rPr>
              <w:t>0.0078t/a</w:t>
            </w:r>
          </w:p>
        </w:tc>
        <w:tc>
          <w:tcPr>
            <w:tcW w:w="1465" w:type="dxa"/>
            <w:vAlign w:val="center"/>
          </w:tcPr>
          <w:p>
            <w:pPr>
              <w:jc w:val="center"/>
              <w:rPr>
                <w:color w:val="0000FF"/>
                <w:szCs w:val="21"/>
              </w:rPr>
            </w:pPr>
            <w:r>
              <w:rPr>
                <w:color w:val="0000FF"/>
                <w:szCs w:val="21"/>
              </w:rPr>
              <w:t>/</w:t>
            </w:r>
          </w:p>
        </w:tc>
        <w:tc>
          <w:tcPr>
            <w:tcW w:w="1644" w:type="dxa"/>
            <w:vAlign w:val="center"/>
          </w:tcPr>
          <w:p>
            <w:pPr>
              <w:jc w:val="center"/>
              <w:rPr>
                <w:color w:val="0000FF"/>
                <w:szCs w:val="21"/>
              </w:rPr>
            </w:pPr>
            <w:r>
              <w:rPr>
                <w:color w:val="0000FF"/>
                <w:szCs w:val="21"/>
              </w:rPr>
              <w:t>0.0078t/a</w:t>
            </w:r>
          </w:p>
        </w:tc>
        <w:tc>
          <w:tcPr>
            <w:tcW w:w="1453" w:type="dxa"/>
            <w:vAlign w:val="center"/>
          </w:tcPr>
          <w:p>
            <w:pPr>
              <w:jc w:val="center"/>
              <w:rPr>
                <w:color w:val="0000FF"/>
                <w:szCs w:val="21"/>
              </w:rPr>
            </w:pPr>
            <w:r>
              <w:rPr>
                <w:color w:val="0000FF"/>
                <w:szCs w:val="21"/>
              </w:rPr>
              <w:t>+0.0078t/a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cs="Times New Roman"/>
                <w:color w:val="0000FF"/>
                <w:sz w:val="21"/>
                <w:szCs w:val="21"/>
              </w:rPr>
            </w:pPr>
            <w:r>
              <w:rPr>
                <w:rFonts w:ascii="Times New Roman" w:hAnsi="宋体" w:cs="Times New Roman"/>
                <w:color w:val="0000FF"/>
                <w:sz w:val="21"/>
                <w:szCs w:val="21"/>
              </w:rPr>
              <w:t>总磷（以</w:t>
            </w:r>
            <w:r>
              <w:rPr>
                <w:rFonts w:ascii="Times New Roman" w:cs="Times New Roman"/>
                <w:color w:val="0000FF"/>
                <w:sz w:val="21"/>
                <w:szCs w:val="21"/>
              </w:rPr>
              <w:t>P</w:t>
            </w:r>
            <w:r>
              <w:rPr>
                <w:rFonts w:ascii="Times New Roman" w:hAnsi="宋体" w:cs="Times New Roman"/>
                <w:color w:val="0000FF"/>
                <w:sz w:val="21"/>
                <w:szCs w:val="21"/>
              </w:rPr>
              <w:t>计）</w:t>
            </w:r>
          </w:p>
        </w:tc>
        <w:tc>
          <w:tcPr>
            <w:tcW w:w="1707" w:type="dxa"/>
            <w:vAlign w:val="center"/>
          </w:tcPr>
          <w:p>
            <w:pPr>
              <w:jc w:val="center"/>
              <w:rPr>
                <w:snapToGrid w:val="0"/>
                <w:color w:val="0000FF"/>
                <w:kern w:val="21"/>
                <w:szCs w:val="21"/>
              </w:rPr>
            </w:pPr>
            <w:r>
              <w:rPr>
                <w:color w:val="0000FF"/>
                <w:szCs w:val="21"/>
              </w:rPr>
              <w:t>/</w:t>
            </w:r>
          </w:p>
        </w:tc>
        <w:tc>
          <w:tcPr>
            <w:tcW w:w="1280" w:type="dxa"/>
            <w:vAlign w:val="center"/>
          </w:tcPr>
          <w:p>
            <w:pPr>
              <w:jc w:val="center"/>
              <w:rPr>
                <w:snapToGrid w:val="0"/>
                <w:color w:val="0000FF"/>
                <w:kern w:val="21"/>
                <w:szCs w:val="21"/>
              </w:rPr>
            </w:pPr>
            <w:r>
              <w:rPr>
                <w:snapToGrid w:val="0"/>
                <w:color w:val="0000FF"/>
                <w:kern w:val="21"/>
                <w:szCs w:val="21"/>
              </w:rPr>
              <w:t>/</w:t>
            </w:r>
          </w:p>
        </w:tc>
        <w:tc>
          <w:tcPr>
            <w:tcW w:w="1707" w:type="dxa"/>
            <w:vAlign w:val="center"/>
          </w:tcPr>
          <w:p>
            <w:pPr>
              <w:jc w:val="center"/>
              <w:rPr>
                <w:snapToGrid w:val="0"/>
                <w:color w:val="0000FF"/>
                <w:kern w:val="21"/>
                <w:szCs w:val="21"/>
              </w:rPr>
            </w:pPr>
            <w:r>
              <w:rPr>
                <w:snapToGrid w:val="0"/>
                <w:color w:val="0000FF"/>
                <w:kern w:val="21"/>
                <w:szCs w:val="21"/>
              </w:rPr>
              <w:t>/</w:t>
            </w:r>
          </w:p>
        </w:tc>
        <w:tc>
          <w:tcPr>
            <w:tcW w:w="1564" w:type="dxa"/>
            <w:vAlign w:val="center"/>
          </w:tcPr>
          <w:p>
            <w:pPr>
              <w:jc w:val="center"/>
              <w:rPr>
                <w:color w:val="0000FF"/>
                <w:szCs w:val="21"/>
              </w:rPr>
            </w:pPr>
            <w:r>
              <w:rPr>
                <w:color w:val="0000FF"/>
                <w:szCs w:val="21"/>
              </w:rPr>
              <w:t>0.00098t/a</w:t>
            </w:r>
          </w:p>
        </w:tc>
        <w:tc>
          <w:tcPr>
            <w:tcW w:w="1465" w:type="dxa"/>
            <w:vAlign w:val="center"/>
          </w:tcPr>
          <w:p>
            <w:pPr>
              <w:jc w:val="center"/>
              <w:rPr>
                <w:color w:val="0000FF"/>
                <w:szCs w:val="21"/>
              </w:rPr>
            </w:pPr>
            <w:r>
              <w:rPr>
                <w:color w:val="0000FF"/>
                <w:szCs w:val="21"/>
              </w:rPr>
              <w:t>/</w:t>
            </w:r>
          </w:p>
        </w:tc>
        <w:tc>
          <w:tcPr>
            <w:tcW w:w="1644" w:type="dxa"/>
            <w:vAlign w:val="center"/>
          </w:tcPr>
          <w:p>
            <w:pPr>
              <w:jc w:val="center"/>
              <w:rPr>
                <w:color w:val="0000FF"/>
                <w:szCs w:val="21"/>
              </w:rPr>
            </w:pPr>
            <w:r>
              <w:rPr>
                <w:color w:val="0000FF"/>
                <w:szCs w:val="21"/>
              </w:rPr>
              <w:t>0.00098t/a</w:t>
            </w:r>
          </w:p>
        </w:tc>
        <w:tc>
          <w:tcPr>
            <w:tcW w:w="1453" w:type="dxa"/>
            <w:vAlign w:val="center"/>
          </w:tcPr>
          <w:p>
            <w:pPr>
              <w:jc w:val="center"/>
              <w:rPr>
                <w:color w:val="0000FF"/>
                <w:szCs w:val="21"/>
              </w:rPr>
            </w:pPr>
            <w:r>
              <w:rPr>
                <w:color w:val="0000FF"/>
                <w:szCs w:val="21"/>
              </w:rPr>
              <w:t>+0.00098t/a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restart"/>
            <w:vAlign w:val="center"/>
          </w:tcPr>
          <w:p>
            <w:pPr>
              <w:pStyle w:val="30"/>
              <w:spacing w:beforeLines="0" w:afterLines="0" w:line="240" w:lineRule="auto"/>
              <w:rPr>
                <w:rFonts w:ascii="Times New Roman"/>
                <w:snapToGrid w:val="0"/>
                <w:kern w:val="21"/>
                <w:szCs w:val="21"/>
                <w:lang w:val="en-US" w:eastAsia="zh-CN"/>
              </w:rPr>
            </w:pPr>
            <w:r>
              <w:rPr>
                <w:rFonts w:ascii="Times New Roman" w:hAnsi="宋体"/>
                <w:snapToGrid w:val="0"/>
                <w:kern w:val="21"/>
                <w:szCs w:val="21"/>
                <w:lang w:val="en-US" w:eastAsia="zh-CN"/>
              </w:rPr>
              <w:t>一般工业</w:t>
            </w:r>
          </w:p>
          <w:p>
            <w:pPr>
              <w:pStyle w:val="30"/>
              <w:spacing w:beforeLines="0" w:afterLines="0" w:line="240" w:lineRule="auto"/>
              <w:rPr>
                <w:rFonts w:ascii="Times New Roman"/>
                <w:snapToGrid w:val="0"/>
                <w:kern w:val="21"/>
                <w:szCs w:val="21"/>
                <w:lang w:val="en-US" w:eastAsia="zh-CN"/>
              </w:rPr>
            </w:pPr>
            <w:r>
              <w:rPr>
                <w:rFonts w:ascii="Times New Roman" w:hAnsi="宋体"/>
                <w:snapToGrid w:val="0"/>
                <w:kern w:val="21"/>
                <w:szCs w:val="21"/>
                <w:lang w:val="en-US" w:eastAsia="zh-CN"/>
              </w:rPr>
              <w:t>废物</w:t>
            </w:r>
          </w:p>
        </w:tc>
        <w:tc>
          <w:tcPr>
            <w:tcW w:w="1422" w:type="dxa"/>
            <w:vAlign w:val="center"/>
          </w:tcPr>
          <w:p>
            <w:pPr>
              <w:pStyle w:val="2"/>
              <w:jc w:val="center"/>
              <w:rPr>
                <w:rFonts w:ascii="Times New Roman" w:cs="Times New Roman"/>
                <w:color w:val="auto"/>
                <w:kern w:val="2"/>
                <w:sz w:val="21"/>
                <w:szCs w:val="21"/>
              </w:rPr>
            </w:pPr>
            <w:r>
              <w:rPr>
                <w:rFonts w:hint="eastAsia" w:ascii="Times New Roman" w:cs="Times New Roman"/>
                <w:color w:val="auto"/>
                <w:kern w:val="2"/>
                <w:sz w:val="21"/>
                <w:szCs w:val="21"/>
              </w:rPr>
              <w:t>废边角料</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snapToGrid w:val="0"/>
                <w:kern w:val="21"/>
                <w:szCs w:val="21"/>
              </w:rPr>
              <w:t>/</w:t>
            </w:r>
          </w:p>
        </w:tc>
        <w:tc>
          <w:tcPr>
            <w:tcW w:w="1707" w:type="dxa"/>
            <w:vAlign w:val="center"/>
          </w:tcPr>
          <w:p>
            <w:pPr>
              <w:jc w:val="center"/>
              <w:rPr>
                <w:snapToGrid w:val="0"/>
                <w:kern w:val="21"/>
                <w:szCs w:val="21"/>
              </w:rPr>
            </w:pPr>
            <w:r>
              <w:rPr>
                <w:snapToGrid w:val="0"/>
                <w:kern w:val="21"/>
                <w:szCs w:val="21"/>
              </w:rPr>
              <w:t>/</w:t>
            </w:r>
          </w:p>
        </w:tc>
        <w:tc>
          <w:tcPr>
            <w:tcW w:w="1564" w:type="dxa"/>
            <w:vAlign w:val="center"/>
          </w:tcPr>
          <w:p>
            <w:pPr>
              <w:jc w:val="center"/>
              <w:rPr>
                <w:szCs w:val="21"/>
              </w:rPr>
            </w:pPr>
            <w:r>
              <w:rPr>
                <w:szCs w:val="21"/>
              </w:rPr>
              <w:t>750t/a</w:t>
            </w:r>
          </w:p>
        </w:tc>
        <w:tc>
          <w:tcPr>
            <w:tcW w:w="1465" w:type="dxa"/>
            <w:vAlign w:val="center"/>
          </w:tcPr>
          <w:p>
            <w:pPr>
              <w:jc w:val="center"/>
              <w:rPr>
                <w:szCs w:val="21"/>
              </w:rPr>
            </w:pPr>
            <w:r>
              <w:rPr>
                <w:szCs w:val="21"/>
              </w:rPr>
              <w:t>/</w:t>
            </w:r>
          </w:p>
        </w:tc>
        <w:tc>
          <w:tcPr>
            <w:tcW w:w="1644" w:type="dxa"/>
            <w:vAlign w:val="center"/>
          </w:tcPr>
          <w:p>
            <w:pPr>
              <w:jc w:val="center"/>
              <w:rPr>
                <w:szCs w:val="21"/>
              </w:rPr>
            </w:pPr>
            <w:r>
              <w:rPr>
                <w:szCs w:val="21"/>
              </w:rPr>
              <w:t>750t/a</w:t>
            </w:r>
          </w:p>
        </w:tc>
        <w:tc>
          <w:tcPr>
            <w:tcW w:w="1453" w:type="dxa"/>
            <w:vAlign w:val="center"/>
          </w:tcPr>
          <w:p>
            <w:pPr>
              <w:jc w:val="center"/>
              <w:rPr>
                <w:szCs w:val="21"/>
              </w:rPr>
            </w:pPr>
            <w:r>
              <w:rPr>
                <w:szCs w:val="21"/>
              </w:rPr>
              <w:t>+750t/a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hAnsi="宋体"/>
                <w:snapToGrid w:val="0"/>
                <w:kern w:val="21"/>
                <w:szCs w:val="21"/>
                <w:lang w:val="en-US" w:eastAsia="zh-CN"/>
              </w:rPr>
            </w:pPr>
          </w:p>
        </w:tc>
        <w:tc>
          <w:tcPr>
            <w:tcW w:w="1422" w:type="dxa"/>
            <w:vAlign w:val="center"/>
          </w:tcPr>
          <w:p>
            <w:pPr>
              <w:pStyle w:val="2"/>
              <w:jc w:val="center"/>
              <w:rPr>
                <w:rFonts w:ascii="Times New Roman" w:cs="Times New Roman"/>
                <w:color w:val="auto"/>
                <w:kern w:val="2"/>
                <w:sz w:val="21"/>
                <w:szCs w:val="21"/>
              </w:rPr>
            </w:pPr>
            <w:r>
              <w:rPr>
                <w:rFonts w:hint="eastAsia" w:ascii="Times New Roman" w:cs="Times New Roman"/>
                <w:color w:val="auto"/>
                <w:kern w:val="2"/>
                <w:sz w:val="21"/>
                <w:szCs w:val="21"/>
              </w:rPr>
              <w:t>废包装材料</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rFonts w:hint="eastAsia"/>
                <w:snapToGrid w:val="0"/>
                <w:kern w:val="21"/>
                <w:szCs w:val="21"/>
              </w:rPr>
              <w:t>/</w:t>
            </w:r>
          </w:p>
        </w:tc>
        <w:tc>
          <w:tcPr>
            <w:tcW w:w="1707" w:type="dxa"/>
            <w:vAlign w:val="center"/>
          </w:tcPr>
          <w:p>
            <w:pPr>
              <w:jc w:val="center"/>
              <w:rPr>
                <w:snapToGrid w:val="0"/>
                <w:kern w:val="21"/>
                <w:szCs w:val="21"/>
              </w:rPr>
            </w:pPr>
            <w:r>
              <w:rPr>
                <w:rFonts w:hint="eastAsia"/>
                <w:snapToGrid w:val="0"/>
                <w:kern w:val="21"/>
                <w:szCs w:val="21"/>
              </w:rPr>
              <w:t>/</w:t>
            </w:r>
          </w:p>
        </w:tc>
        <w:tc>
          <w:tcPr>
            <w:tcW w:w="1564" w:type="dxa"/>
            <w:vAlign w:val="center"/>
          </w:tcPr>
          <w:p>
            <w:pPr>
              <w:jc w:val="center"/>
              <w:rPr>
                <w:szCs w:val="21"/>
              </w:rPr>
            </w:pPr>
            <w:r>
              <w:rPr>
                <w:rFonts w:hint="eastAsia"/>
                <w:szCs w:val="21"/>
              </w:rPr>
              <w:t>0</w:t>
            </w:r>
            <w:r>
              <w:rPr>
                <w:szCs w:val="21"/>
              </w:rPr>
              <w:t>.5t/a</w:t>
            </w:r>
          </w:p>
        </w:tc>
        <w:tc>
          <w:tcPr>
            <w:tcW w:w="1465" w:type="dxa"/>
            <w:vAlign w:val="center"/>
          </w:tcPr>
          <w:p>
            <w:pPr>
              <w:jc w:val="center"/>
              <w:rPr>
                <w:szCs w:val="21"/>
              </w:rPr>
            </w:pPr>
            <w:r>
              <w:rPr>
                <w:rFonts w:hint="eastAsia"/>
                <w:szCs w:val="21"/>
              </w:rPr>
              <w:t>/</w:t>
            </w:r>
          </w:p>
        </w:tc>
        <w:tc>
          <w:tcPr>
            <w:tcW w:w="1644" w:type="dxa"/>
            <w:vAlign w:val="center"/>
          </w:tcPr>
          <w:p>
            <w:pPr>
              <w:jc w:val="center"/>
              <w:rPr>
                <w:szCs w:val="21"/>
              </w:rPr>
            </w:pPr>
            <w:r>
              <w:rPr>
                <w:rFonts w:hint="eastAsia"/>
                <w:szCs w:val="21"/>
              </w:rPr>
              <w:t>0</w:t>
            </w:r>
            <w:r>
              <w:rPr>
                <w:szCs w:val="21"/>
              </w:rPr>
              <w:t>.5t/a</w:t>
            </w:r>
          </w:p>
        </w:tc>
        <w:tc>
          <w:tcPr>
            <w:tcW w:w="1453" w:type="dxa"/>
            <w:vAlign w:val="center"/>
          </w:tcPr>
          <w:p>
            <w:pPr>
              <w:jc w:val="center"/>
              <w:rPr>
                <w:szCs w:val="21"/>
              </w:rPr>
            </w:pPr>
            <w:r>
              <w:rPr>
                <w:szCs w:val="21"/>
              </w:rPr>
              <w:t>+</w:t>
            </w:r>
            <w:r>
              <w:rPr>
                <w:rFonts w:hint="eastAsia"/>
                <w:szCs w:val="21"/>
              </w:rPr>
              <w:t>0</w:t>
            </w:r>
            <w:r>
              <w:rPr>
                <w:szCs w:val="21"/>
              </w:rPr>
              <w:t>.5t/a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593" w:type="dxa"/>
            <w:vMerge w:val="continue"/>
            <w:vAlign w:val="center"/>
          </w:tcPr>
          <w:p>
            <w:pPr>
              <w:pStyle w:val="30"/>
              <w:spacing w:beforeLines="0" w:afterLines="0" w:line="240" w:lineRule="auto"/>
              <w:rPr>
                <w:rFonts w:ascii="Times New Roman" w:hAnsi="宋体"/>
                <w:snapToGrid w:val="0"/>
                <w:kern w:val="21"/>
                <w:szCs w:val="21"/>
                <w:lang w:val="en-US" w:eastAsia="zh-CN"/>
              </w:rPr>
            </w:pPr>
          </w:p>
        </w:tc>
        <w:tc>
          <w:tcPr>
            <w:tcW w:w="1422" w:type="dxa"/>
            <w:vAlign w:val="center"/>
          </w:tcPr>
          <w:p>
            <w:pPr>
              <w:pStyle w:val="2"/>
              <w:jc w:val="center"/>
              <w:rPr>
                <w:rFonts w:ascii="Times New Roman" w:cs="Times New Roman"/>
                <w:color w:val="auto"/>
                <w:kern w:val="2"/>
                <w:sz w:val="21"/>
                <w:szCs w:val="21"/>
              </w:rPr>
            </w:pPr>
            <w:r>
              <w:rPr>
                <w:rFonts w:hint="eastAsia" w:ascii="Times New Roman" w:cs="Times New Roman"/>
                <w:color w:val="auto"/>
                <w:kern w:val="2"/>
                <w:sz w:val="21"/>
                <w:szCs w:val="21"/>
              </w:rPr>
              <w:t>玻璃沉渣</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rFonts w:hint="eastAsia"/>
                <w:snapToGrid w:val="0"/>
                <w:kern w:val="21"/>
                <w:szCs w:val="21"/>
              </w:rPr>
              <w:t>/</w:t>
            </w:r>
          </w:p>
        </w:tc>
        <w:tc>
          <w:tcPr>
            <w:tcW w:w="1707" w:type="dxa"/>
            <w:vAlign w:val="center"/>
          </w:tcPr>
          <w:p>
            <w:pPr>
              <w:jc w:val="center"/>
              <w:rPr>
                <w:snapToGrid w:val="0"/>
                <w:kern w:val="21"/>
                <w:szCs w:val="21"/>
              </w:rPr>
            </w:pPr>
            <w:r>
              <w:rPr>
                <w:rFonts w:hint="eastAsia"/>
                <w:snapToGrid w:val="0"/>
                <w:kern w:val="21"/>
                <w:szCs w:val="21"/>
              </w:rPr>
              <w:t>/</w:t>
            </w:r>
          </w:p>
        </w:tc>
        <w:tc>
          <w:tcPr>
            <w:tcW w:w="1564" w:type="dxa"/>
            <w:vAlign w:val="center"/>
          </w:tcPr>
          <w:p>
            <w:pPr>
              <w:jc w:val="center"/>
              <w:rPr>
                <w:szCs w:val="21"/>
              </w:rPr>
            </w:pPr>
            <w:r>
              <w:rPr>
                <w:rFonts w:hint="eastAsia"/>
                <w:szCs w:val="21"/>
              </w:rPr>
              <w:t>2</w:t>
            </w:r>
            <w:r>
              <w:rPr>
                <w:szCs w:val="21"/>
              </w:rPr>
              <w:t>.5t/a</w:t>
            </w:r>
          </w:p>
        </w:tc>
        <w:tc>
          <w:tcPr>
            <w:tcW w:w="1465" w:type="dxa"/>
            <w:vAlign w:val="center"/>
          </w:tcPr>
          <w:p>
            <w:pPr>
              <w:jc w:val="center"/>
              <w:rPr>
                <w:szCs w:val="21"/>
              </w:rPr>
            </w:pPr>
            <w:r>
              <w:rPr>
                <w:rFonts w:hint="eastAsia"/>
                <w:szCs w:val="21"/>
              </w:rPr>
              <w:t>/</w:t>
            </w:r>
          </w:p>
        </w:tc>
        <w:tc>
          <w:tcPr>
            <w:tcW w:w="1644" w:type="dxa"/>
            <w:vAlign w:val="center"/>
          </w:tcPr>
          <w:p>
            <w:pPr>
              <w:jc w:val="center"/>
              <w:rPr>
                <w:szCs w:val="21"/>
              </w:rPr>
            </w:pPr>
            <w:r>
              <w:rPr>
                <w:rFonts w:hint="eastAsia"/>
                <w:szCs w:val="21"/>
              </w:rPr>
              <w:t>2</w:t>
            </w:r>
            <w:r>
              <w:rPr>
                <w:szCs w:val="21"/>
              </w:rPr>
              <w:t>.5t/a</w:t>
            </w:r>
          </w:p>
        </w:tc>
        <w:tc>
          <w:tcPr>
            <w:tcW w:w="1453" w:type="dxa"/>
            <w:vAlign w:val="center"/>
          </w:tcPr>
          <w:p>
            <w:pPr>
              <w:jc w:val="center"/>
              <w:rPr>
                <w:szCs w:val="21"/>
              </w:rPr>
            </w:pPr>
            <w:r>
              <w:rPr>
                <w:szCs w:val="21"/>
              </w:rPr>
              <w:t>+</w:t>
            </w:r>
            <w:r>
              <w:rPr>
                <w:rFonts w:hint="eastAsia"/>
                <w:szCs w:val="21"/>
              </w:rPr>
              <w:t>2</w:t>
            </w:r>
            <w:r>
              <w:rPr>
                <w:szCs w:val="21"/>
              </w:rPr>
              <w:t>.5t/a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cs="Times New Roman"/>
                <w:color w:val="auto"/>
                <w:kern w:val="2"/>
                <w:sz w:val="21"/>
                <w:szCs w:val="21"/>
              </w:rPr>
            </w:pPr>
            <w:r>
              <w:rPr>
                <w:rFonts w:ascii="Times New Roman" w:hAnsi="宋体" w:cs="Times New Roman"/>
                <w:color w:val="auto"/>
                <w:sz w:val="21"/>
                <w:szCs w:val="21"/>
              </w:rPr>
              <w:t>生活垃圾</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snapToGrid w:val="0"/>
                <w:kern w:val="21"/>
                <w:szCs w:val="21"/>
              </w:rPr>
              <w:t>/</w:t>
            </w:r>
          </w:p>
        </w:tc>
        <w:tc>
          <w:tcPr>
            <w:tcW w:w="1707" w:type="dxa"/>
            <w:vAlign w:val="center"/>
          </w:tcPr>
          <w:p>
            <w:pPr>
              <w:jc w:val="center"/>
              <w:rPr>
                <w:snapToGrid w:val="0"/>
                <w:kern w:val="21"/>
                <w:szCs w:val="21"/>
              </w:rPr>
            </w:pPr>
            <w:r>
              <w:rPr>
                <w:snapToGrid w:val="0"/>
                <w:kern w:val="21"/>
                <w:szCs w:val="21"/>
              </w:rPr>
              <w:t>/</w:t>
            </w:r>
          </w:p>
        </w:tc>
        <w:tc>
          <w:tcPr>
            <w:tcW w:w="1564" w:type="dxa"/>
            <w:vAlign w:val="center"/>
          </w:tcPr>
          <w:p>
            <w:pPr>
              <w:jc w:val="center"/>
              <w:rPr>
                <w:szCs w:val="21"/>
              </w:rPr>
            </w:pPr>
            <w:r>
              <w:rPr>
                <w:rFonts w:hint="eastAsia"/>
                <w:szCs w:val="21"/>
              </w:rPr>
              <w:t>1</w:t>
            </w:r>
            <w:r>
              <w:rPr>
                <w:szCs w:val="21"/>
              </w:rPr>
              <w:t>.5t/a</w:t>
            </w:r>
          </w:p>
        </w:tc>
        <w:tc>
          <w:tcPr>
            <w:tcW w:w="1465" w:type="dxa"/>
            <w:vAlign w:val="center"/>
          </w:tcPr>
          <w:p>
            <w:pPr>
              <w:jc w:val="center"/>
              <w:rPr>
                <w:szCs w:val="21"/>
              </w:rPr>
            </w:pPr>
            <w:r>
              <w:rPr>
                <w:szCs w:val="21"/>
              </w:rPr>
              <w:t>/</w:t>
            </w:r>
          </w:p>
        </w:tc>
        <w:tc>
          <w:tcPr>
            <w:tcW w:w="1644" w:type="dxa"/>
            <w:vAlign w:val="center"/>
          </w:tcPr>
          <w:p>
            <w:pPr>
              <w:jc w:val="center"/>
              <w:rPr>
                <w:szCs w:val="21"/>
              </w:rPr>
            </w:pPr>
            <w:r>
              <w:rPr>
                <w:rFonts w:hint="eastAsia"/>
                <w:szCs w:val="21"/>
              </w:rPr>
              <w:t>1</w:t>
            </w:r>
            <w:r>
              <w:rPr>
                <w:szCs w:val="21"/>
              </w:rPr>
              <w:t>.5t/a</w:t>
            </w:r>
          </w:p>
        </w:tc>
        <w:tc>
          <w:tcPr>
            <w:tcW w:w="1453" w:type="dxa"/>
            <w:vAlign w:val="center"/>
          </w:tcPr>
          <w:p>
            <w:pPr>
              <w:jc w:val="center"/>
              <w:rPr>
                <w:szCs w:val="21"/>
              </w:rPr>
            </w:pPr>
            <w:r>
              <w:rPr>
                <w:szCs w:val="21"/>
              </w:rPr>
              <w:t>+</w:t>
            </w:r>
            <w:r>
              <w:rPr>
                <w:rFonts w:hint="eastAsia"/>
                <w:szCs w:val="21"/>
              </w:rPr>
              <w:t>1</w:t>
            </w:r>
            <w:r>
              <w:rPr>
                <w:szCs w:val="21"/>
              </w:rPr>
              <w:t>.5t/a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93" w:type="dxa"/>
            <w:vMerge w:val="restart"/>
            <w:vAlign w:val="center"/>
          </w:tcPr>
          <w:p>
            <w:pPr>
              <w:pStyle w:val="30"/>
              <w:spacing w:beforeLines="0" w:afterLines="0" w:line="240" w:lineRule="auto"/>
              <w:rPr>
                <w:rFonts w:ascii="Times New Roman"/>
                <w:snapToGrid w:val="0"/>
                <w:kern w:val="21"/>
                <w:szCs w:val="21"/>
                <w:lang w:val="en-US" w:eastAsia="zh-CN"/>
              </w:rPr>
            </w:pPr>
            <w:r>
              <w:rPr>
                <w:rFonts w:hint="eastAsia" w:ascii="Times New Roman"/>
                <w:snapToGrid w:val="0"/>
                <w:kern w:val="21"/>
                <w:szCs w:val="21"/>
                <w:lang w:val="en-US" w:eastAsia="zh-CN"/>
              </w:rPr>
              <w:t>危险废物</w:t>
            </w:r>
          </w:p>
        </w:tc>
        <w:tc>
          <w:tcPr>
            <w:tcW w:w="142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废活性炭</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rFonts w:hint="eastAsia"/>
                <w:snapToGrid w:val="0"/>
                <w:kern w:val="21"/>
                <w:szCs w:val="21"/>
              </w:rPr>
              <w:t>/</w:t>
            </w:r>
          </w:p>
        </w:tc>
        <w:tc>
          <w:tcPr>
            <w:tcW w:w="1707" w:type="dxa"/>
            <w:vAlign w:val="center"/>
          </w:tcPr>
          <w:p>
            <w:pPr>
              <w:jc w:val="center"/>
              <w:rPr>
                <w:snapToGrid w:val="0"/>
                <w:kern w:val="21"/>
                <w:szCs w:val="21"/>
              </w:rPr>
            </w:pPr>
            <w:r>
              <w:rPr>
                <w:rFonts w:hint="eastAsia"/>
                <w:snapToGrid w:val="0"/>
                <w:kern w:val="21"/>
                <w:szCs w:val="21"/>
              </w:rPr>
              <w:t>/</w:t>
            </w:r>
          </w:p>
        </w:tc>
        <w:tc>
          <w:tcPr>
            <w:tcW w:w="1564" w:type="dxa"/>
            <w:vAlign w:val="center"/>
          </w:tcPr>
          <w:p>
            <w:pPr>
              <w:jc w:val="center"/>
              <w:rPr>
                <w:szCs w:val="21"/>
              </w:rPr>
            </w:pPr>
            <w:r>
              <w:rPr>
                <w:rFonts w:hint="eastAsia"/>
                <w:szCs w:val="21"/>
              </w:rPr>
              <w:t>1</w:t>
            </w:r>
            <w:r>
              <w:rPr>
                <w:szCs w:val="21"/>
              </w:rPr>
              <w:t>.83t/a</w:t>
            </w:r>
          </w:p>
        </w:tc>
        <w:tc>
          <w:tcPr>
            <w:tcW w:w="1465" w:type="dxa"/>
            <w:vAlign w:val="center"/>
          </w:tcPr>
          <w:p>
            <w:pPr>
              <w:jc w:val="center"/>
              <w:rPr>
                <w:szCs w:val="21"/>
              </w:rPr>
            </w:pPr>
            <w:r>
              <w:rPr>
                <w:rFonts w:hint="eastAsia"/>
                <w:szCs w:val="21"/>
              </w:rPr>
              <w:t>/</w:t>
            </w:r>
          </w:p>
        </w:tc>
        <w:tc>
          <w:tcPr>
            <w:tcW w:w="1644" w:type="dxa"/>
            <w:vAlign w:val="center"/>
          </w:tcPr>
          <w:p>
            <w:pPr>
              <w:jc w:val="center"/>
              <w:rPr>
                <w:szCs w:val="21"/>
              </w:rPr>
            </w:pPr>
            <w:r>
              <w:rPr>
                <w:rFonts w:hint="eastAsia"/>
                <w:szCs w:val="21"/>
              </w:rPr>
              <w:t>1</w:t>
            </w:r>
            <w:r>
              <w:rPr>
                <w:szCs w:val="21"/>
              </w:rPr>
              <w:t>.83t/a</w:t>
            </w:r>
          </w:p>
        </w:tc>
        <w:tc>
          <w:tcPr>
            <w:tcW w:w="1453" w:type="dxa"/>
            <w:vAlign w:val="center"/>
          </w:tcPr>
          <w:p>
            <w:pPr>
              <w:jc w:val="center"/>
              <w:rPr>
                <w:szCs w:val="21"/>
              </w:rPr>
            </w:pPr>
            <w:r>
              <w:rPr>
                <w:szCs w:val="21"/>
              </w:rPr>
              <w:t>+</w:t>
            </w:r>
            <w:r>
              <w:rPr>
                <w:rFonts w:hint="eastAsia"/>
                <w:szCs w:val="21"/>
              </w:rPr>
              <w:t>1</w:t>
            </w:r>
            <w:r>
              <w:rPr>
                <w:szCs w:val="21"/>
              </w:rPr>
              <w:t>.83t/a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废胶桶</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rFonts w:hint="eastAsia"/>
                <w:snapToGrid w:val="0"/>
                <w:kern w:val="21"/>
                <w:szCs w:val="21"/>
              </w:rPr>
              <w:t>/</w:t>
            </w:r>
          </w:p>
        </w:tc>
        <w:tc>
          <w:tcPr>
            <w:tcW w:w="1707" w:type="dxa"/>
            <w:vAlign w:val="center"/>
          </w:tcPr>
          <w:p>
            <w:pPr>
              <w:jc w:val="center"/>
              <w:rPr>
                <w:snapToGrid w:val="0"/>
                <w:kern w:val="21"/>
                <w:szCs w:val="21"/>
              </w:rPr>
            </w:pPr>
            <w:r>
              <w:rPr>
                <w:rFonts w:hint="eastAsia"/>
                <w:snapToGrid w:val="0"/>
                <w:kern w:val="21"/>
                <w:szCs w:val="21"/>
              </w:rPr>
              <w:t>/</w:t>
            </w:r>
          </w:p>
        </w:tc>
        <w:tc>
          <w:tcPr>
            <w:tcW w:w="1564" w:type="dxa"/>
            <w:vAlign w:val="center"/>
          </w:tcPr>
          <w:p>
            <w:pPr>
              <w:jc w:val="center"/>
              <w:rPr>
                <w:szCs w:val="21"/>
              </w:rPr>
            </w:pPr>
            <w:r>
              <w:rPr>
                <w:rFonts w:hint="eastAsia"/>
                <w:szCs w:val="21"/>
              </w:rPr>
              <w:t>0</w:t>
            </w:r>
            <w:r>
              <w:rPr>
                <w:szCs w:val="21"/>
              </w:rPr>
              <w:t>.2t/a</w:t>
            </w:r>
          </w:p>
        </w:tc>
        <w:tc>
          <w:tcPr>
            <w:tcW w:w="1465" w:type="dxa"/>
            <w:vAlign w:val="center"/>
          </w:tcPr>
          <w:p>
            <w:pPr>
              <w:jc w:val="center"/>
              <w:rPr>
                <w:szCs w:val="21"/>
              </w:rPr>
            </w:pPr>
            <w:r>
              <w:rPr>
                <w:rFonts w:hint="eastAsia"/>
                <w:szCs w:val="21"/>
              </w:rPr>
              <w:t>/</w:t>
            </w:r>
          </w:p>
        </w:tc>
        <w:tc>
          <w:tcPr>
            <w:tcW w:w="1644" w:type="dxa"/>
            <w:vAlign w:val="center"/>
          </w:tcPr>
          <w:p>
            <w:pPr>
              <w:jc w:val="center"/>
              <w:rPr>
                <w:szCs w:val="21"/>
              </w:rPr>
            </w:pPr>
            <w:r>
              <w:rPr>
                <w:rFonts w:hint="eastAsia"/>
                <w:szCs w:val="21"/>
              </w:rPr>
              <w:t>0</w:t>
            </w:r>
            <w:r>
              <w:rPr>
                <w:szCs w:val="21"/>
              </w:rPr>
              <w:t>.2t/a</w:t>
            </w:r>
          </w:p>
        </w:tc>
        <w:tc>
          <w:tcPr>
            <w:tcW w:w="1453" w:type="dxa"/>
            <w:vAlign w:val="center"/>
          </w:tcPr>
          <w:p>
            <w:pPr>
              <w:jc w:val="center"/>
              <w:rPr>
                <w:szCs w:val="21"/>
              </w:rPr>
            </w:pPr>
            <w:r>
              <w:rPr>
                <w:szCs w:val="21"/>
              </w:rPr>
              <w:t>+</w:t>
            </w:r>
            <w:r>
              <w:rPr>
                <w:rFonts w:hint="eastAsia"/>
                <w:szCs w:val="21"/>
              </w:rPr>
              <w:t>0</w:t>
            </w:r>
            <w:r>
              <w:rPr>
                <w:szCs w:val="21"/>
              </w:rPr>
              <w:t>.2t/a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废机油</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rFonts w:hint="eastAsia"/>
                <w:snapToGrid w:val="0"/>
                <w:kern w:val="21"/>
                <w:szCs w:val="21"/>
              </w:rPr>
              <w:t>/</w:t>
            </w:r>
          </w:p>
        </w:tc>
        <w:tc>
          <w:tcPr>
            <w:tcW w:w="1707" w:type="dxa"/>
            <w:vAlign w:val="center"/>
          </w:tcPr>
          <w:p>
            <w:pPr>
              <w:jc w:val="center"/>
              <w:rPr>
                <w:snapToGrid w:val="0"/>
                <w:kern w:val="21"/>
                <w:szCs w:val="21"/>
              </w:rPr>
            </w:pPr>
            <w:r>
              <w:rPr>
                <w:rFonts w:hint="eastAsia"/>
                <w:snapToGrid w:val="0"/>
                <w:kern w:val="21"/>
                <w:szCs w:val="21"/>
              </w:rPr>
              <w:t>/</w:t>
            </w:r>
          </w:p>
        </w:tc>
        <w:tc>
          <w:tcPr>
            <w:tcW w:w="1564" w:type="dxa"/>
            <w:vAlign w:val="center"/>
          </w:tcPr>
          <w:p>
            <w:pPr>
              <w:jc w:val="center"/>
              <w:rPr>
                <w:szCs w:val="21"/>
              </w:rPr>
            </w:pPr>
            <w:r>
              <w:rPr>
                <w:rFonts w:hint="eastAsia"/>
                <w:szCs w:val="21"/>
              </w:rPr>
              <w:t>0</w:t>
            </w:r>
            <w:r>
              <w:rPr>
                <w:szCs w:val="21"/>
              </w:rPr>
              <w:t>.01t/a</w:t>
            </w:r>
          </w:p>
        </w:tc>
        <w:tc>
          <w:tcPr>
            <w:tcW w:w="1465" w:type="dxa"/>
            <w:vAlign w:val="center"/>
          </w:tcPr>
          <w:p>
            <w:pPr>
              <w:jc w:val="center"/>
              <w:rPr>
                <w:szCs w:val="21"/>
              </w:rPr>
            </w:pPr>
            <w:r>
              <w:rPr>
                <w:rFonts w:hint="eastAsia"/>
                <w:szCs w:val="21"/>
              </w:rPr>
              <w:t>/</w:t>
            </w:r>
          </w:p>
        </w:tc>
        <w:tc>
          <w:tcPr>
            <w:tcW w:w="1644" w:type="dxa"/>
            <w:vAlign w:val="center"/>
          </w:tcPr>
          <w:p>
            <w:pPr>
              <w:jc w:val="center"/>
              <w:rPr>
                <w:szCs w:val="21"/>
              </w:rPr>
            </w:pPr>
            <w:r>
              <w:rPr>
                <w:rFonts w:hint="eastAsia"/>
                <w:szCs w:val="21"/>
              </w:rPr>
              <w:t>0</w:t>
            </w:r>
            <w:r>
              <w:rPr>
                <w:szCs w:val="21"/>
              </w:rPr>
              <w:t>.01t/a</w:t>
            </w:r>
          </w:p>
        </w:tc>
        <w:tc>
          <w:tcPr>
            <w:tcW w:w="1453" w:type="dxa"/>
            <w:vAlign w:val="center"/>
          </w:tcPr>
          <w:p>
            <w:pPr>
              <w:jc w:val="center"/>
              <w:rPr>
                <w:szCs w:val="21"/>
              </w:rPr>
            </w:pPr>
            <w:r>
              <w:rPr>
                <w:szCs w:val="21"/>
              </w:rPr>
              <w:t>+</w:t>
            </w:r>
            <w:r>
              <w:rPr>
                <w:rFonts w:hint="eastAsia"/>
                <w:szCs w:val="21"/>
              </w:rPr>
              <w:t>0</w:t>
            </w:r>
            <w:r>
              <w:rPr>
                <w:szCs w:val="21"/>
              </w:rPr>
              <w:t>.01t/a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93" w:type="dxa"/>
            <w:vMerge w:val="continue"/>
            <w:vAlign w:val="center"/>
          </w:tcPr>
          <w:p>
            <w:pPr>
              <w:pStyle w:val="30"/>
              <w:spacing w:beforeLines="0" w:afterLines="0" w:line="240" w:lineRule="auto"/>
              <w:rPr>
                <w:rFonts w:ascii="Times New Roman"/>
                <w:snapToGrid w:val="0"/>
                <w:kern w:val="21"/>
                <w:szCs w:val="21"/>
                <w:lang w:val="en-US" w:eastAsia="zh-CN"/>
              </w:rPr>
            </w:pPr>
          </w:p>
        </w:tc>
        <w:tc>
          <w:tcPr>
            <w:tcW w:w="1422" w:type="dxa"/>
            <w:vAlign w:val="center"/>
          </w:tcPr>
          <w:p>
            <w:pPr>
              <w:pStyle w:val="2"/>
              <w:jc w:val="center"/>
              <w:rPr>
                <w:rFonts w:ascii="Times New Roman" w:hAnsi="宋体" w:cs="Times New Roman"/>
                <w:color w:val="auto"/>
                <w:sz w:val="21"/>
                <w:szCs w:val="21"/>
              </w:rPr>
            </w:pPr>
            <w:r>
              <w:rPr>
                <w:rFonts w:hint="eastAsia" w:ascii="Times New Roman" w:hAnsi="宋体" w:cs="Times New Roman"/>
                <w:color w:val="auto"/>
                <w:sz w:val="21"/>
                <w:szCs w:val="21"/>
              </w:rPr>
              <w:t>废含油棉纱</w:t>
            </w:r>
          </w:p>
        </w:tc>
        <w:tc>
          <w:tcPr>
            <w:tcW w:w="1707" w:type="dxa"/>
            <w:vAlign w:val="center"/>
          </w:tcPr>
          <w:p>
            <w:pPr>
              <w:jc w:val="center"/>
              <w:rPr>
                <w:snapToGrid w:val="0"/>
                <w:kern w:val="21"/>
                <w:szCs w:val="21"/>
              </w:rPr>
            </w:pPr>
            <w:r>
              <w:rPr>
                <w:rFonts w:hint="eastAsia"/>
                <w:snapToGrid w:val="0"/>
                <w:kern w:val="21"/>
                <w:szCs w:val="21"/>
              </w:rPr>
              <w:t>/</w:t>
            </w:r>
          </w:p>
        </w:tc>
        <w:tc>
          <w:tcPr>
            <w:tcW w:w="1280" w:type="dxa"/>
            <w:vAlign w:val="center"/>
          </w:tcPr>
          <w:p>
            <w:pPr>
              <w:jc w:val="center"/>
              <w:rPr>
                <w:snapToGrid w:val="0"/>
                <w:kern w:val="21"/>
                <w:szCs w:val="21"/>
              </w:rPr>
            </w:pPr>
            <w:r>
              <w:rPr>
                <w:rFonts w:hint="eastAsia"/>
                <w:snapToGrid w:val="0"/>
                <w:kern w:val="21"/>
                <w:szCs w:val="21"/>
              </w:rPr>
              <w:t>/</w:t>
            </w:r>
          </w:p>
        </w:tc>
        <w:tc>
          <w:tcPr>
            <w:tcW w:w="1707" w:type="dxa"/>
            <w:vAlign w:val="center"/>
          </w:tcPr>
          <w:p>
            <w:pPr>
              <w:jc w:val="center"/>
              <w:rPr>
                <w:snapToGrid w:val="0"/>
                <w:kern w:val="21"/>
                <w:szCs w:val="21"/>
              </w:rPr>
            </w:pPr>
            <w:r>
              <w:rPr>
                <w:rFonts w:hint="eastAsia"/>
                <w:snapToGrid w:val="0"/>
                <w:kern w:val="21"/>
                <w:szCs w:val="21"/>
              </w:rPr>
              <w:t>/</w:t>
            </w:r>
          </w:p>
        </w:tc>
        <w:tc>
          <w:tcPr>
            <w:tcW w:w="1564" w:type="dxa"/>
            <w:vAlign w:val="center"/>
          </w:tcPr>
          <w:p>
            <w:pPr>
              <w:jc w:val="center"/>
              <w:rPr>
                <w:szCs w:val="21"/>
              </w:rPr>
            </w:pPr>
            <w:r>
              <w:rPr>
                <w:rFonts w:hint="eastAsia"/>
                <w:szCs w:val="21"/>
              </w:rPr>
              <w:t>0</w:t>
            </w:r>
            <w:r>
              <w:rPr>
                <w:szCs w:val="21"/>
              </w:rPr>
              <w:t>.02t/a</w:t>
            </w:r>
          </w:p>
        </w:tc>
        <w:tc>
          <w:tcPr>
            <w:tcW w:w="1465" w:type="dxa"/>
            <w:vAlign w:val="center"/>
          </w:tcPr>
          <w:p>
            <w:pPr>
              <w:jc w:val="center"/>
              <w:rPr>
                <w:szCs w:val="21"/>
              </w:rPr>
            </w:pPr>
            <w:r>
              <w:rPr>
                <w:rFonts w:hint="eastAsia"/>
                <w:szCs w:val="21"/>
              </w:rPr>
              <w:t>/</w:t>
            </w:r>
          </w:p>
        </w:tc>
        <w:tc>
          <w:tcPr>
            <w:tcW w:w="1644" w:type="dxa"/>
            <w:vAlign w:val="center"/>
          </w:tcPr>
          <w:p>
            <w:pPr>
              <w:jc w:val="center"/>
              <w:rPr>
                <w:szCs w:val="21"/>
              </w:rPr>
            </w:pPr>
            <w:r>
              <w:rPr>
                <w:rFonts w:hint="eastAsia"/>
                <w:szCs w:val="21"/>
              </w:rPr>
              <w:t>0</w:t>
            </w:r>
            <w:r>
              <w:rPr>
                <w:szCs w:val="21"/>
              </w:rPr>
              <w:t>.02t/a</w:t>
            </w:r>
          </w:p>
        </w:tc>
        <w:tc>
          <w:tcPr>
            <w:tcW w:w="1453" w:type="dxa"/>
            <w:vAlign w:val="center"/>
          </w:tcPr>
          <w:p>
            <w:pPr>
              <w:jc w:val="center"/>
              <w:rPr>
                <w:szCs w:val="21"/>
              </w:rPr>
            </w:pPr>
            <w:r>
              <w:rPr>
                <w:szCs w:val="21"/>
              </w:rPr>
              <w:t>+</w:t>
            </w:r>
            <w:r>
              <w:rPr>
                <w:rFonts w:hint="eastAsia"/>
                <w:szCs w:val="21"/>
              </w:rPr>
              <w:t>0</w:t>
            </w:r>
            <w:r>
              <w:rPr>
                <w:szCs w:val="21"/>
              </w:rPr>
              <w:t>.02t/a</w:t>
            </w:r>
          </w:p>
        </w:tc>
      </w:tr>
    </w:tbl>
    <w:p>
      <w:pPr>
        <w:pStyle w:val="30"/>
        <w:spacing w:before="192" w:beforeLines="80" w:after="24"/>
        <w:jc w:val="left"/>
        <w:rPr>
          <w:rFonts w:hAnsi="宋体" w:eastAsia="黑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汉鼎简老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altName w:val="Malgun Gothic Semilight"/>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sz w:val="21"/>
        <w:szCs w:val="21"/>
      </w:rPr>
    </w:pPr>
    <w:r>
      <w:rPr>
        <w:sz w:val="21"/>
        <w:szCs w:val="21"/>
      </w:rPr>
      <w:fldChar w:fldCharType="begin"/>
    </w:r>
    <w:r>
      <w:rPr>
        <w:rStyle w:val="21"/>
        <w:sz w:val="21"/>
        <w:szCs w:val="21"/>
      </w:rPr>
      <w:instrText xml:space="preserve">PAGE  </w:instrText>
    </w:r>
    <w:r>
      <w:rPr>
        <w:sz w:val="21"/>
        <w:szCs w:val="21"/>
      </w:rPr>
      <w:fldChar w:fldCharType="separate"/>
    </w:r>
    <w:r>
      <w:rPr>
        <w:rStyle w:val="21"/>
        <w:sz w:val="21"/>
        <w:szCs w:val="21"/>
      </w:rPr>
      <w:t>40</w:t>
    </w:r>
    <w:r>
      <w:rPr>
        <w:sz w:val="21"/>
        <w:szCs w:val="21"/>
      </w:rPr>
      <w:fldChar w:fldCharType="end"/>
    </w:r>
  </w:p>
  <w:p>
    <w:pPr>
      <w:pStyle w:val="1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4E5F"/>
    <w:multiLevelType w:val="multilevel"/>
    <w:tmpl w:val="185D4E5F"/>
    <w:lvl w:ilvl="0" w:tentative="0">
      <w:start w:val="1"/>
      <w:numFmt w:val="decimal"/>
      <w:pStyle w:val="44"/>
      <w:lvlText w:val="表%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FAF7EA1"/>
    <w:multiLevelType w:val="multilevel"/>
    <w:tmpl w:val="5FAF7EA1"/>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26F4"/>
    <w:rsid w:val="00003835"/>
    <w:rsid w:val="00004AED"/>
    <w:rsid w:val="000060B3"/>
    <w:rsid w:val="00013583"/>
    <w:rsid w:val="00013892"/>
    <w:rsid w:val="000308F3"/>
    <w:rsid w:val="00032363"/>
    <w:rsid w:val="00033E23"/>
    <w:rsid w:val="0004364B"/>
    <w:rsid w:val="00061B1F"/>
    <w:rsid w:val="000733C4"/>
    <w:rsid w:val="00074783"/>
    <w:rsid w:val="000778B5"/>
    <w:rsid w:val="0008070B"/>
    <w:rsid w:val="000810AC"/>
    <w:rsid w:val="000814BF"/>
    <w:rsid w:val="00081A02"/>
    <w:rsid w:val="00082231"/>
    <w:rsid w:val="0008572A"/>
    <w:rsid w:val="00086809"/>
    <w:rsid w:val="00092D38"/>
    <w:rsid w:val="0009377B"/>
    <w:rsid w:val="000A20C9"/>
    <w:rsid w:val="000A2E34"/>
    <w:rsid w:val="000B058F"/>
    <w:rsid w:val="000B4467"/>
    <w:rsid w:val="000B4DB9"/>
    <w:rsid w:val="000B65F3"/>
    <w:rsid w:val="000B7AF9"/>
    <w:rsid w:val="000C09AC"/>
    <w:rsid w:val="000C767F"/>
    <w:rsid w:val="000D5A44"/>
    <w:rsid w:val="000E3ED2"/>
    <w:rsid w:val="000F556B"/>
    <w:rsid w:val="0010649D"/>
    <w:rsid w:val="001067B8"/>
    <w:rsid w:val="00106F7D"/>
    <w:rsid w:val="00115087"/>
    <w:rsid w:val="00120C2E"/>
    <w:rsid w:val="00123074"/>
    <w:rsid w:val="00124E71"/>
    <w:rsid w:val="00131F42"/>
    <w:rsid w:val="0013482D"/>
    <w:rsid w:val="001357F1"/>
    <w:rsid w:val="00136A47"/>
    <w:rsid w:val="00140FA8"/>
    <w:rsid w:val="00142FEB"/>
    <w:rsid w:val="00143A2D"/>
    <w:rsid w:val="00145A41"/>
    <w:rsid w:val="00151675"/>
    <w:rsid w:val="00154D89"/>
    <w:rsid w:val="00157435"/>
    <w:rsid w:val="0015763F"/>
    <w:rsid w:val="001632BB"/>
    <w:rsid w:val="00173F15"/>
    <w:rsid w:val="0017504D"/>
    <w:rsid w:val="0017671A"/>
    <w:rsid w:val="00177422"/>
    <w:rsid w:val="001834AE"/>
    <w:rsid w:val="00184590"/>
    <w:rsid w:val="001870D1"/>
    <w:rsid w:val="0018781E"/>
    <w:rsid w:val="0019262D"/>
    <w:rsid w:val="00196AEC"/>
    <w:rsid w:val="001A1B35"/>
    <w:rsid w:val="001A2675"/>
    <w:rsid w:val="001A48A2"/>
    <w:rsid w:val="001A6F61"/>
    <w:rsid w:val="001A7659"/>
    <w:rsid w:val="001B72B8"/>
    <w:rsid w:val="001C69B3"/>
    <w:rsid w:val="001D5595"/>
    <w:rsid w:val="001D7874"/>
    <w:rsid w:val="001D7F22"/>
    <w:rsid w:val="001F04AF"/>
    <w:rsid w:val="001F0F17"/>
    <w:rsid w:val="001F0F8D"/>
    <w:rsid w:val="001F3347"/>
    <w:rsid w:val="001F3FF7"/>
    <w:rsid w:val="001F69E4"/>
    <w:rsid w:val="00210F4F"/>
    <w:rsid w:val="002125B4"/>
    <w:rsid w:val="00212B16"/>
    <w:rsid w:val="0021423D"/>
    <w:rsid w:val="00214507"/>
    <w:rsid w:val="002155B8"/>
    <w:rsid w:val="0021725D"/>
    <w:rsid w:val="00224839"/>
    <w:rsid w:val="002249B2"/>
    <w:rsid w:val="00226574"/>
    <w:rsid w:val="002278EC"/>
    <w:rsid w:val="0023191C"/>
    <w:rsid w:val="0023280E"/>
    <w:rsid w:val="002377D1"/>
    <w:rsid w:val="00247AE2"/>
    <w:rsid w:val="002506BC"/>
    <w:rsid w:val="00254345"/>
    <w:rsid w:val="00264557"/>
    <w:rsid w:val="0027208A"/>
    <w:rsid w:val="002766A1"/>
    <w:rsid w:val="002805AB"/>
    <w:rsid w:val="00284204"/>
    <w:rsid w:val="00291773"/>
    <w:rsid w:val="00291A0F"/>
    <w:rsid w:val="002A168C"/>
    <w:rsid w:val="002A1D0F"/>
    <w:rsid w:val="002A3DC7"/>
    <w:rsid w:val="002A48FE"/>
    <w:rsid w:val="002B49E2"/>
    <w:rsid w:val="002B509C"/>
    <w:rsid w:val="002B7840"/>
    <w:rsid w:val="002B7B00"/>
    <w:rsid w:val="002B7C44"/>
    <w:rsid w:val="002C1DE3"/>
    <w:rsid w:val="002C2B17"/>
    <w:rsid w:val="002C31A2"/>
    <w:rsid w:val="002D3DD0"/>
    <w:rsid w:val="002D6035"/>
    <w:rsid w:val="002E15C4"/>
    <w:rsid w:val="002E1F3A"/>
    <w:rsid w:val="002E298A"/>
    <w:rsid w:val="002E3066"/>
    <w:rsid w:val="002E359F"/>
    <w:rsid w:val="002E78B1"/>
    <w:rsid w:val="00301978"/>
    <w:rsid w:val="0030332C"/>
    <w:rsid w:val="003051C2"/>
    <w:rsid w:val="00312296"/>
    <w:rsid w:val="00314F0E"/>
    <w:rsid w:val="00320198"/>
    <w:rsid w:val="00321D8E"/>
    <w:rsid w:val="003249C0"/>
    <w:rsid w:val="00325928"/>
    <w:rsid w:val="003277E6"/>
    <w:rsid w:val="0033056D"/>
    <w:rsid w:val="003317A6"/>
    <w:rsid w:val="00332863"/>
    <w:rsid w:val="003329C0"/>
    <w:rsid w:val="00335DBB"/>
    <w:rsid w:val="0033684D"/>
    <w:rsid w:val="00337B42"/>
    <w:rsid w:val="00341B42"/>
    <w:rsid w:val="0034348F"/>
    <w:rsid w:val="0035244C"/>
    <w:rsid w:val="00356653"/>
    <w:rsid w:val="0035743F"/>
    <w:rsid w:val="00357BE2"/>
    <w:rsid w:val="0036170C"/>
    <w:rsid w:val="00362581"/>
    <w:rsid w:val="003668B0"/>
    <w:rsid w:val="00366E0F"/>
    <w:rsid w:val="00374FC1"/>
    <w:rsid w:val="00381A72"/>
    <w:rsid w:val="00384676"/>
    <w:rsid w:val="0038638B"/>
    <w:rsid w:val="00390857"/>
    <w:rsid w:val="003A16B9"/>
    <w:rsid w:val="003A4BF3"/>
    <w:rsid w:val="003A7807"/>
    <w:rsid w:val="003B0CB7"/>
    <w:rsid w:val="003B3BB0"/>
    <w:rsid w:val="003B420D"/>
    <w:rsid w:val="003C3FBF"/>
    <w:rsid w:val="003C6C16"/>
    <w:rsid w:val="003D4CB4"/>
    <w:rsid w:val="003D58EC"/>
    <w:rsid w:val="003D794D"/>
    <w:rsid w:val="003E3058"/>
    <w:rsid w:val="003E4118"/>
    <w:rsid w:val="003E45E2"/>
    <w:rsid w:val="003E76A9"/>
    <w:rsid w:val="003F0442"/>
    <w:rsid w:val="003F0809"/>
    <w:rsid w:val="003F6A8C"/>
    <w:rsid w:val="003F755C"/>
    <w:rsid w:val="00406F01"/>
    <w:rsid w:val="00413F48"/>
    <w:rsid w:val="00414B56"/>
    <w:rsid w:val="00415AA1"/>
    <w:rsid w:val="00416D50"/>
    <w:rsid w:val="00416FD5"/>
    <w:rsid w:val="00417772"/>
    <w:rsid w:val="00420E6A"/>
    <w:rsid w:val="00425A9E"/>
    <w:rsid w:val="00426D6B"/>
    <w:rsid w:val="00431E6C"/>
    <w:rsid w:val="00433CE7"/>
    <w:rsid w:val="00440079"/>
    <w:rsid w:val="0044413F"/>
    <w:rsid w:val="00452738"/>
    <w:rsid w:val="00452CE0"/>
    <w:rsid w:val="004555EC"/>
    <w:rsid w:val="00456091"/>
    <w:rsid w:val="00456935"/>
    <w:rsid w:val="0046501D"/>
    <w:rsid w:val="00466321"/>
    <w:rsid w:val="00476A54"/>
    <w:rsid w:val="00477A09"/>
    <w:rsid w:val="00481898"/>
    <w:rsid w:val="00484B9B"/>
    <w:rsid w:val="004855F6"/>
    <w:rsid w:val="00485EAB"/>
    <w:rsid w:val="0048661E"/>
    <w:rsid w:val="00490B44"/>
    <w:rsid w:val="00494670"/>
    <w:rsid w:val="004A3823"/>
    <w:rsid w:val="004A5938"/>
    <w:rsid w:val="004D23D3"/>
    <w:rsid w:val="004D2BF1"/>
    <w:rsid w:val="004D4155"/>
    <w:rsid w:val="004E6946"/>
    <w:rsid w:val="004F02A0"/>
    <w:rsid w:val="004F1AD8"/>
    <w:rsid w:val="005039CB"/>
    <w:rsid w:val="0050558F"/>
    <w:rsid w:val="00506286"/>
    <w:rsid w:val="00510813"/>
    <w:rsid w:val="00511990"/>
    <w:rsid w:val="00511DE0"/>
    <w:rsid w:val="00514870"/>
    <w:rsid w:val="00514B9B"/>
    <w:rsid w:val="00516B2B"/>
    <w:rsid w:val="00517F02"/>
    <w:rsid w:val="00524303"/>
    <w:rsid w:val="005258A2"/>
    <w:rsid w:val="00533014"/>
    <w:rsid w:val="005364C1"/>
    <w:rsid w:val="005401AE"/>
    <w:rsid w:val="00542E07"/>
    <w:rsid w:val="00545424"/>
    <w:rsid w:val="005529D7"/>
    <w:rsid w:val="00554A7B"/>
    <w:rsid w:val="0055572C"/>
    <w:rsid w:val="0056106A"/>
    <w:rsid w:val="00563954"/>
    <w:rsid w:val="00571A4F"/>
    <w:rsid w:val="005720AE"/>
    <w:rsid w:val="00572C0E"/>
    <w:rsid w:val="0057415D"/>
    <w:rsid w:val="00575627"/>
    <w:rsid w:val="00580D82"/>
    <w:rsid w:val="005821AD"/>
    <w:rsid w:val="0059440E"/>
    <w:rsid w:val="00594D77"/>
    <w:rsid w:val="005960D9"/>
    <w:rsid w:val="005963A4"/>
    <w:rsid w:val="005969E4"/>
    <w:rsid w:val="005A06B7"/>
    <w:rsid w:val="005A1759"/>
    <w:rsid w:val="005A68A7"/>
    <w:rsid w:val="005C43EB"/>
    <w:rsid w:val="005D1164"/>
    <w:rsid w:val="005D36AB"/>
    <w:rsid w:val="005F5F9B"/>
    <w:rsid w:val="005F6607"/>
    <w:rsid w:val="006021B8"/>
    <w:rsid w:val="0061315E"/>
    <w:rsid w:val="00614ACC"/>
    <w:rsid w:val="00615679"/>
    <w:rsid w:val="00617CC3"/>
    <w:rsid w:val="00624398"/>
    <w:rsid w:val="006377A6"/>
    <w:rsid w:val="00637A3D"/>
    <w:rsid w:val="00640C31"/>
    <w:rsid w:val="006411EF"/>
    <w:rsid w:val="006474FC"/>
    <w:rsid w:val="006543E9"/>
    <w:rsid w:val="0067023A"/>
    <w:rsid w:val="00671D9C"/>
    <w:rsid w:val="006748B8"/>
    <w:rsid w:val="006775C3"/>
    <w:rsid w:val="00683397"/>
    <w:rsid w:val="0069290A"/>
    <w:rsid w:val="00694A99"/>
    <w:rsid w:val="0069775A"/>
    <w:rsid w:val="00697813"/>
    <w:rsid w:val="006A0B09"/>
    <w:rsid w:val="006A165C"/>
    <w:rsid w:val="006A3EE8"/>
    <w:rsid w:val="006A72BF"/>
    <w:rsid w:val="006B03F2"/>
    <w:rsid w:val="006B37DC"/>
    <w:rsid w:val="006B4F68"/>
    <w:rsid w:val="006B7329"/>
    <w:rsid w:val="006C0592"/>
    <w:rsid w:val="006C272E"/>
    <w:rsid w:val="006C5479"/>
    <w:rsid w:val="006C59A5"/>
    <w:rsid w:val="006D13B5"/>
    <w:rsid w:val="006E1177"/>
    <w:rsid w:val="006E12FF"/>
    <w:rsid w:val="006E333F"/>
    <w:rsid w:val="006E6028"/>
    <w:rsid w:val="006E607E"/>
    <w:rsid w:val="006E6B9A"/>
    <w:rsid w:val="006F2D2F"/>
    <w:rsid w:val="00706C5D"/>
    <w:rsid w:val="0071752D"/>
    <w:rsid w:val="00731801"/>
    <w:rsid w:val="00732922"/>
    <w:rsid w:val="00736BCE"/>
    <w:rsid w:val="00743568"/>
    <w:rsid w:val="0075162E"/>
    <w:rsid w:val="00751D94"/>
    <w:rsid w:val="00754034"/>
    <w:rsid w:val="007550B8"/>
    <w:rsid w:val="00756556"/>
    <w:rsid w:val="007618C4"/>
    <w:rsid w:val="00767980"/>
    <w:rsid w:val="00770B19"/>
    <w:rsid w:val="0077463F"/>
    <w:rsid w:val="007836EA"/>
    <w:rsid w:val="00784CDA"/>
    <w:rsid w:val="00787A58"/>
    <w:rsid w:val="007906C4"/>
    <w:rsid w:val="00791A19"/>
    <w:rsid w:val="00792DDA"/>
    <w:rsid w:val="007940EA"/>
    <w:rsid w:val="007967E8"/>
    <w:rsid w:val="007A2170"/>
    <w:rsid w:val="007A22BF"/>
    <w:rsid w:val="007A2D4D"/>
    <w:rsid w:val="007A3323"/>
    <w:rsid w:val="007B4130"/>
    <w:rsid w:val="007B72B8"/>
    <w:rsid w:val="007B7A58"/>
    <w:rsid w:val="007C1CAC"/>
    <w:rsid w:val="007C20CC"/>
    <w:rsid w:val="007C21B5"/>
    <w:rsid w:val="007C4926"/>
    <w:rsid w:val="007C5CB1"/>
    <w:rsid w:val="007D484E"/>
    <w:rsid w:val="007D53B1"/>
    <w:rsid w:val="007E028B"/>
    <w:rsid w:val="007E4BD2"/>
    <w:rsid w:val="007F228F"/>
    <w:rsid w:val="00801393"/>
    <w:rsid w:val="00802F88"/>
    <w:rsid w:val="00803C72"/>
    <w:rsid w:val="00803D5E"/>
    <w:rsid w:val="008073D5"/>
    <w:rsid w:val="00811DC1"/>
    <w:rsid w:val="0081293E"/>
    <w:rsid w:val="00815465"/>
    <w:rsid w:val="00817E9A"/>
    <w:rsid w:val="00824487"/>
    <w:rsid w:val="008306BD"/>
    <w:rsid w:val="00831A80"/>
    <w:rsid w:val="00833743"/>
    <w:rsid w:val="008340A4"/>
    <w:rsid w:val="008419F6"/>
    <w:rsid w:val="00843CD3"/>
    <w:rsid w:val="008512DA"/>
    <w:rsid w:val="00851D53"/>
    <w:rsid w:val="00855C2F"/>
    <w:rsid w:val="0087135F"/>
    <w:rsid w:val="00872D94"/>
    <w:rsid w:val="008741A9"/>
    <w:rsid w:val="00875BCE"/>
    <w:rsid w:val="00876804"/>
    <w:rsid w:val="00880364"/>
    <w:rsid w:val="00884407"/>
    <w:rsid w:val="00886AF2"/>
    <w:rsid w:val="00891592"/>
    <w:rsid w:val="0089177B"/>
    <w:rsid w:val="00891E9E"/>
    <w:rsid w:val="0089713B"/>
    <w:rsid w:val="008A2F68"/>
    <w:rsid w:val="008A61AF"/>
    <w:rsid w:val="008B4FA6"/>
    <w:rsid w:val="008B5282"/>
    <w:rsid w:val="008B7C17"/>
    <w:rsid w:val="008C2D01"/>
    <w:rsid w:val="008C40E6"/>
    <w:rsid w:val="008D056C"/>
    <w:rsid w:val="008D0F7A"/>
    <w:rsid w:val="008D481F"/>
    <w:rsid w:val="008D4CCD"/>
    <w:rsid w:val="008D62B0"/>
    <w:rsid w:val="008D68E4"/>
    <w:rsid w:val="008D6FEF"/>
    <w:rsid w:val="008E013E"/>
    <w:rsid w:val="008E0506"/>
    <w:rsid w:val="008E0CFF"/>
    <w:rsid w:val="008E2F56"/>
    <w:rsid w:val="008E376E"/>
    <w:rsid w:val="008E3E6E"/>
    <w:rsid w:val="008E5D6B"/>
    <w:rsid w:val="008E76F0"/>
    <w:rsid w:val="008F15FE"/>
    <w:rsid w:val="008F2D29"/>
    <w:rsid w:val="008F5187"/>
    <w:rsid w:val="008F60D8"/>
    <w:rsid w:val="00900329"/>
    <w:rsid w:val="00902727"/>
    <w:rsid w:val="0090312B"/>
    <w:rsid w:val="00903BA2"/>
    <w:rsid w:val="00903EB5"/>
    <w:rsid w:val="0090498C"/>
    <w:rsid w:val="00914805"/>
    <w:rsid w:val="00914CB8"/>
    <w:rsid w:val="0091736D"/>
    <w:rsid w:val="0093037A"/>
    <w:rsid w:val="00935716"/>
    <w:rsid w:val="0094154D"/>
    <w:rsid w:val="0094669B"/>
    <w:rsid w:val="0095155F"/>
    <w:rsid w:val="00951C6D"/>
    <w:rsid w:val="00954429"/>
    <w:rsid w:val="009563CE"/>
    <w:rsid w:val="00961922"/>
    <w:rsid w:val="00967177"/>
    <w:rsid w:val="0097080A"/>
    <w:rsid w:val="00976328"/>
    <w:rsid w:val="0097680D"/>
    <w:rsid w:val="00982438"/>
    <w:rsid w:val="0098404C"/>
    <w:rsid w:val="00985283"/>
    <w:rsid w:val="0099093B"/>
    <w:rsid w:val="00995992"/>
    <w:rsid w:val="00995B2A"/>
    <w:rsid w:val="00995B51"/>
    <w:rsid w:val="009A03E5"/>
    <w:rsid w:val="009A0F3B"/>
    <w:rsid w:val="009A18C3"/>
    <w:rsid w:val="009A1BB4"/>
    <w:rsid w:val="009A2628"/>
    <w:rsid w:val="009A3200"/>
    <w:rsid w:val="009B0897"/>
    <w:rsid w:val="009B7BD9"/>
    <w:rsid w:val="009C7DD5"/>
    <w:rsid w:val="009D0D35"/>
    <w:rsid w:val="009E0936"/>
    <w:rsid w:val="009E227D"/>
    <w:rsid w:val="009E5019"/>
    <w:rsid w:val="009E5521"/>
    <w:rsid w:val="009E6422"/>
    <w:rsid w:val="009F08DF"/>
    <w:rsid w:val="009F70D0"/>
    <w:rsid w:val="00A04F1B"/>
    <w:rsid w:val="00A0501B"/>
    <w:rsid w:val="00A14947"/>
    <w:rsid w:val="00A20E80"/>
    <w:rsid w:val="00A23E2A"/>
    <w:rsid w:val="00A268EF"/>
    <w:rsid w:val="00A32A83"/>
    <w:rsid w:val="00A368DB"/>
    <w:rsid w:val="00A423AA"/>
    <w:rsid w:val="00A53863"/>
    <w:rsid w:val="00A53EC6"/>
    <w:rsid w:val="00A55C0F"/>
    <w:rsid w:val="00A60BD6"/>
    <w:rsid w:val="00A64FB0"/>
    <w:rsid w:val="00A81348"/>
    <w:rsid w:val="00A8713F"/>
    <w:rsid w:val="00A9004A"/>
    <w:rsid w:val="00A90BA1"/>
    <w:rsid w:val="00A92C32"/>
    <w:rsid w:val="00A94A92"/>
    <w:rsid w:val="00A95792"/>
    <w:rsid w:val="00A97A9A"/>
    <w:rsid w:val="00AA0671"/>
    <w:rsid w:val="00AA2531"/>
    <w:rsid w:val="00AA44A4"/>
    <w:rsid w:val="00AB1E09"/>
    <w:rsid w:val="00AB47E4"/>
    <w:rsid w:val="00AB5330"/>
    <w:rsid w:val="00AB7747"/>
    <w:rsid w:val="00AC14CE"/>
    <w:rsid w:val="00AC2A56"/>
    <w:rsid w:val="00AC77B3"/>
    <w:rsid w:val="00AD052C"/>
    <w:rsid w:val="00AD055E"/>
    <w:rsid w:val="00AD47A7"/>
    <w:rsid w:val="00AE4E73"/>
    <w:rsid w:val="00AF0CBF"/>
    <w:rsid w:val="00AF257F"/>
    <w:rsid w:val="00AF2BBC"/>
    <w:rsid w:val="00AF33CF"/>
    <w:rsid w:val="00AF4C24"/>
    <w:rsid w:val="00AF4D50"/>
    <w:rsid w:val="00AF6179"/>
    <w:rsid w:val="00AF6326"/>
    <w:rsid w:val="00B11910"/>
    <w:rsid w:val="00B1295A"/>
    <w:rsid w:val="00B15033"/>
    <w:rsid w:val="00B20A45"/>
    <w:rsid w:val="00B22C5C"/>
    <w:rsid w:val="00B24F30"/>
    <w:rsid w:val="00B250FC"/>
    <w:rsid w:val="00B258BA"/>
    <w:rsid w:val="00B31ABF"/>
    <w:rsid w:val="00B33BE3"/>
    <w:rsid w:val="00B45EEC"/>
    <w:rsid w:val="00B46CB5"/>
    <w:rsid w:val="00B53B5D"/>
    <w:rsid w:val="00B53C0F"/>
    <w:rsid w:val="00B54062"/>
    <w:rsid w:val="00B56E38"/>
    <w:rsid w:val="00B6055E"/>
    <w:rsid w:val="00B62A49"/>
    <w:rsid w:val="00B6317D"/>
    <w:rsid w:val="00B73E96"/>
    <w:rsid w:val="00B7723F"/>
    <w:rsid w:val="00B80534"/>
    <w:rsid w:val="00B82DC5"/>
    <w:rsid w:val="00B8433C"/>
    <w:rsid w:val="00B87491"/>
    <w:rsid w:val="00B91843"/>
    <w:rsid w:val="00B94374"/>
    <w:rsid w:val="00BA230A"/>
    <w:rsid w:val="00BA29E9"/>
    <w:rsid w:val="00BA7142"/>
    <w:rsid w:val="00BB182C"/>
    <w:rsid w:val="00BB237C"/>
    <w:rsid w:val="00BB41A3"/>
    <w:rsid w:val="00BB7F1D"/>
    <w:rsid w:val="00BC32DC"/>
    <w:rsid w:val="00BC35B6"/>
    <w:rsid w:val="00BC3EF9"/>
    <w:rsid w:val="00BD1B51"/>
    <w:rsid w:val="00BD4596"/>
    <w:rsid w:val="00BE1405"/>
    <w:rsid w:val="00BE2699"/>
    <w:rsid w:val="00BE312D"/>
    <w:rsid w:val="00BE7B40"/>
    <w:rsid w:val="00BF1C20"/>
    <w:rsid w:val="00BF5176"/>
    <w:rsid w:val="00C07221"/>
    <w:rsid w:val="00C10578"/>
    <w:rsid w:val="00C135BC"/>
    <w:rsid w:val="00C15C95"/>
    <w:rsid w:val="00C2596A"/>
    <w:rsid w:val="00C27537"/>
    <w:rsid w:val="00C328FE"/>
    <w:rsid w:val="00C33507"/>
    <w:rsid w:val="00C35621"/>
    <w:rsid w:val="00C4409D"/>
    <w:rsid w:val="00C44E72"/>
    <w:rsid w:val="00C45A06"/>
    <w:rsid w:val="00C47E5B"/>
    <w:rsid w:val="00C5079C"/>
    <w:rsid w:val="00C52CE7"/>
    <w:rsid w:val="00C55691"/>
    <w:rsid w:val="00C61E4B"/>
    <w:rsid w:val="00C64BFF"/>
    <w:rsid w:val="00C64C0C"/>
    <w:rsid w:val="00C704E9"/>
    <w:rsid w:val="00C717AA"/>
    <w:rsid w:val="00C718CF"/>
    <w:rsid w:val="00C763C9"/>
    <w:rsid w:val="00C80057"/>
    <w:rsid w:val="00C82232"/>
    <w:rsid w:val="00C82913"/>
    <w:rsid w:val="00C851B5"/>
    <w:rsid w:val="00C93885"/>
    <w:rsid w:val="00C972B1"/>
    <w:rsid w:val="00CA278F"/>
    <w:rsid w:val="00CA2CCE"/>
    <w:rsid w:val="00CA43FD"/>
    <w:rsid w:val="00CA6DE2"/>
    <w:rsid w:val="00CA7EF8"/>
    <w:rsid w:val="00CB4AC7"/>
    <w:rsid w:val="00CB6D87"/>
    <w:rsid w:val="00CC377C"/>
    <w:rsid w:val="00CC489B"/>
    <w:rsid w:val="00CC5962"/>
    <w:rsid w:val="00CC74EB"/>
    <w:rsid w:val="00CC7DB3"/>
    <w:rsid w:val="00CD2BCD"/>
    <w:rsid w:val="00CD3A4C"/>
    <w:rsid w:val="00CD62DE"/>
    <w:rsid w:val="00CE10E9"/>
    <w:rsid w:val="00CE2910"/>
    <w:rsid w:val="00CE5393"/>
    <w:rsid w:val="00CF36BE"/>
    <w:rsid w:val="00CF6000"/>
    <w:rsid w:val="00D003F3"/>
    <w:rsid w:val="00D0364F"/>
    <w:rsid w:val="00D06834"/>
    <w:rsid w:val="00D308ED"/>
    <w:rsid w:val="00D3116A"/>
    <w:rsid w:val="00D36D86"/>
    <w:rsid w:val="00D37DDA"/>
    <w:rsid w:val="00D42884"/>
    <w:rsid w:val="00D428AA"/>
    <w:rsid w:val="00D50A34"/>
    <w:rsid w:val="00D53EFA"/>
    <w:rsid w:val="00D540C0"/>
    <w:rsid w:val="00D602E2"/>
    <w:rsid w:val="00D61968"/>
    <w:rsid w:val="00D70594"/>
    <w:rsid w:val="00D80509"/>
    <w:rsid w:val="00D8455D"/>
    <w:rsid w:val="00D92E77"/>
    <w:rsid w:val="00D94A7C"/>
    <w:rsid w:val="00D94E17"/>
    <w:rsid w:val="00D95896"/>
    <w:rsid w:val="00D96431"/>
    <w:rsid w:val="00DB1789"/>
    <w:rsid w:val="00DB2983"/>
    <w:rsid w:val="00DC1257"/>
    <w:rsid w:val="00DC3DC0"/>
    <w:rsid w:val="00DC3FA2"/>
    <w:rsid w:val="00DC5B2B"/>
    <w:rsid w:val="00DC6E37"/>
    <w:rsid w:val="00DD318D"/>
    <w:rsid w:val="00DD5E96"/>
    <w:rsid w:val="00DD7B92"/>
    <w:rsid w:val="00DE371C"/>
    <w:rsid w:val="00DF27DB"/>
    <w:rsid w:val="00DF2E12"/>
    <w:rsid w:val="00DF30B7"/>
    <w:rsid w:val="00DF514A"/>
    <w:rsid w:val="00DF6690"/>
    <w:rsid w:val="00DF6804"/>
    <w:rsid w:val="00E0358D"/>
    <w:rsid w:val="00E04323"/>
    <w:rsid w:val="00E05EC7"/>
    <w:rsid w:val="00E070A2"/>
    <w:rsid w:val="00E07479"/>
    <w:rsid w:val="00E209D3"/>
    <w:rsid w:val="00E22A46"/>
    <w:rsid w:val="00E25CA4"/>
    <w:rsid w:val="00E2656A"/>
    <w:rsid w:val="00E3361D"/>
    <w:rsid w:val="00E412D0"/>
    <w:rsid w:val="00E446D2"/>
    <w:rsid w:val="00E56322"/>
    <w:rsid w:val="00E60982"/>
    <w:rsid w:val="00E62C62"/>
    <w:rsid w:val="00E654C1"/>
    <w:rsid w:val="00E65D97"/>
    <w:rsid w:val="00E72A5A"/>
    <w:rsid w:val="00E73354"/>
    <w:rsid w:val="00E9242D"/>
    <w:rsid w:val="00EA45AE"/>
    <w:rsid w:val="00EA7137"/>
    <w:rsid w:val="00EB5255"/>
    <w:rsid w:val="00EB5C47"/>
    <w:rsid w:val="00EC4988"/>
    <w:rsid w:val="00ED0639"/>
    <w:rsid w:val="00EE5117"/>
    <w:rsid w:val="00EE6688"/>
    <w:rsid w:val="00EE7762"/>
    <w:rsid w:val="00EE78A5"/>
    <w:rsid w:val="00EF1701"/>
    <w:rsid w:val="00EF4755"/>
    <w:rsid w:val="00EF7135"/>
    <w:rsid w:val="00F027DB"/>
    <w:rsid w:val="00F03B95"/>
    <w:rsid w:val="00F14A7A"/>
    <w:rsid w:val="00F163E1"/>
    <w:rsid w:val="00F2037E"/>
    <w:rsid w:val="00F21600"/>
    <w:rsid w:val="00F22985"/>
    <w:rsid w:val="00F25656"/>
    <w:rsid w:val="00F257F4"/>
    <w:rsid w:val="00F260E4"/>
    <w:rsid w:val="00F3383E"/>
    <w:rsid w:val="00F416A4"/>
    <w:rsid w:val="00F465A7"/>
    <w:rsid w:val="00F50B7C"/>
    <w:rsid w:val="00F51C11"/>
    <w:rsid w:val="00F550E6"/>
    <w:rsid w:val="00F74345"/>
    <w:rsid w:val="00F7471C"/>
    <w:rsid w:val="00F80A0A"/>
    <w:rsid w:val="00F82B19"/>
    <w:rsid w:val="00F90634"/>
    <w:rsid w:val="00F9163F"/>
    <w:rsid w:val="00F9212D"/>
    <w:rsid w:val="00F965DA"/>
    <w:rsid w:val="00FA406A"/>
    <w:rsid w:val="00FA4F91"/>
    <w:rsid w:val="00FA681B"/>
    <w:rsid w:val="00FB3C30"/>
    <w:rsid w:val="00FB3E7C"/>
    <w:rsid w:val="00FB503A"/>
    <w:rsid w:val="00FB516C"/>
    <w:rsid w:val="00FD0236"/>
    <w:rsid w:val="00FD18F4"/>
    <w:rsid w:val="00FD54DB"/>
    <w:rsid w:val="00FD619F"/>
    <w:rsid w:val="00FE207E"/>
    <w:rsid w:val="00FF06FF"/>
    <w:rsid w:val="00FF3C1B"/>
    <w:rsid w:val="00FF60EE"/>
    <w:rsid w:val="01112F7A"/>
    <w:rsid w:val="01290F7E"/>
    <w:rsid w:val="015D1E09"/>
    <w:rsid w:val="02697903"/>
    <w:rsid w:val="0287102E"/>
    <w:rsid w:val="02BF114D"/>
    <w:rsid w:val="02F35DE6"/>
    <w:rsid w:val="02F96569"/>
    <w:rsid w:val="03A30637"/>
    <w:rsid w:val="03EA7B21"/>
    <w:rsid w:val="04CF4255"/>
    <w:rsid w:val="055B2FB3"/>
    <w:rsid w:val="05F83EAE"/>
    <w:rsid w:val="060975E2"/>
    <w:rsid w:val="063E7D85"/>
    <w:rsid w:val="06E70953"/>
    <w:rsid w:val="07293586"/>
    <w:rsid w:val="07295285"/>
    <w:rsid w:val="07636392"/>
    <w:rsid w:val="07770C56"/>
    <w:rsid w:val="07DC5C0C"/>
    <w:rsid w:val="0908569A"/>
    <w:rsid w:val="092217DD"/>
    <w:rsid w:val="093A7294"/>
    <w:rsid w:val="099C3A76"/>
    <w:rsid w:val="09EB391B"/>
    <w:rsid w:val="0A263993"/>
    <w:rsid w:val="0A2D3AC2"/>
    <w:rsid w:val="0A3660F0"/>
    <w:rsid w:val="0AA755DF"/>
    <w:rsid w:val="0B120D44"/>
    <w:rsid w:val="0BD27BF6"/>
    <w:rsid w:val="0C3B3C7D"/>
    <w:rsid w:val="0C593A4E"/>
    <w:rsid w:val="0CAB2EAE"/>
    <w:rsid w:val="0CCB5459"/>
    <w:rsid w:val="0CEF7171"/>
    <w:rsid w:val="0D621C7D"/>
    <w:rsid w:val="0E2C7332"/>
    <w:rsid w:val="0E73034D"/>
    <w:rsid w:val="0EF52AAB"/>
    <w:rsid w:val="0F13775A"/>
    <w:rsid w:val="0F5F45FE"/>
    <w:rsid w:val="0F9A112B"/>
    <w:rsid w:val="10206A4B"/>
    <w:rsid w:val="106D2F64"/>
    <w:rsid w:val="10B63710"/>
    <w:rsid w:val="10DF0975"/>
    <w:rsid w:val="10F10820"/>
    <w:rsid w:val="11081EC8"/>
    <w:rsid w:val="111C2F7A"/>
    <w:rsid w:val="11222F2E"/>
    <w:rsid w:val="11665CA1"/>
    <w:rsid w:val="11A33E29"/>
    <w:rsid w:val="11B16064"/>
    <w:rsid w:val="13867F30"/>
    <w:rsid w:val="13951726"/>
    <w:rsid w:val="14396509"/>
    <w:rsid w:val="14DD2C3C"/>
    <w:rsid w:val="16087E1D"/>
    <w:rsid w:val="16E6062D"/>
    <w:rsid w:val="17571B23"/>
    <w:rsid w:val="17701D14"/>
    <w:rsid w:val="17735226"/>
    <w:rsid w:val="17D02C65"/>
    <w:rsid w:val="17F8701D"/>
    <w:rsid w:val="17FC2618"/>
    <w:rsid w:val="18355E30"/>
    <w:rsid w:val="189F624C"/>
    <w:rsid w:val="1A042332"/>
    <w:rsid w:val="1A1C66C0"/>
    <w:rsid w:val="1A3E66B1"/>
    <w:rsid w:val="1A42393B"/>
    <w:rsid w:val="1A7A459D"/>
    <w:rsid w:val="1AAD45DE"/>
    <w:rsid w:val="1B046F80"/>
    <w:rsid w:val="1B3267B5"/>
    <w:rsid w:val="1B40161D"/>
    <w:rsid w:val="1B441859"/>
    <w:rsid w:val="1B6606B1"/>
    <w:rsid w:val="1B70417A"/>
    <w:rsid w:val="1B841243"/>
    <w:rsid w:val="1C5E7925"/>
    <w:rsid w:val="1CBD00BE"/>
    <w:rsid w:val="1CFD070F"/>
    <w:rsid w:val="1D5F6196"/>
    <w:rsid w:val="1D6132A5"/>
    <w:rsid w:val="1D730ECA"/>
    <w:rsid w:val="1D8E56D5"/>
    <w:rsid w:val="1DCB47C3"/>
    <w:rsid w:val="1E7A43DA"/>
    <w:rsid w:val="1F994202"/>
    <w:rsid w:val="1FE7539E"/>
    <w:rsid w:val="20671BE0"/>
    <w:rsid w:val="20963CB8"/>
    <w:rsid w:val="20A81A1B"/>
    <w:rsid w:val="20B07FB6"/>
    <w:rsid w:val="20B646FB"/>
    <w:rsid w:val="213B74B1"/>
    <w:rsid w:val="21527FCC"/>
    <w:rsid w:val="215A2310"/>
    <w:rsid w:val="21DE318A"/>
    <w:rsid w:val="21E0016B"/>
    <w:rsid w:val="21EF5B80"/>
    <w:rsid w:val="22576990"/>
    <w:rsid w:val="2263264D"/>
    <w:rsid w:val="22A857D1"/>
    <w:rsid w:val="22D84136"/>
    <w:rsid w:val="22F47480"/>
    <w:rsid w:val="22F74435"/>
    <w:rsid w:val="23DE1C48"/>
    <w:rsid w:val="240210CD"/>
    <w:rsid w:val="24BF09F7"/>
    <w:rsid w:val="252D53FE"/>
    <w:rsid w:val="25382A1C"/>
    <w:rsid w:val="25EC2D81"/>
    <w:rsid w:val="25FA1526"/>
    <w:rsid w:val="26247423"/>
    <w:rsid w:val="26A822C5"/>
    <w:rsid w:val="277057A2"/>
    <w:rsid w:val="28AD606C"/>
    <w:rsid w:val="29206EB8"/>
    <w:rsid w:val="29542B20"/>
    <w:rsid w:val="29595666"/>
    <w:rsid w:val="29874881"/>
    <w:rsid w:val="299A70A0"/>
    <w:rsid w:val="29E325E0"/>
    <w:rsid w:val="2A102A2B"/>
    <w:rsid w:val="2A452503"/>
    <w:rsid w:val="2AAA617B"/>
    <w:rsid w:val="2AED0F44"/>
    <w:rsid w:val="2B1424E0"/>
    <w:rsid w:val="2B173101"/>
    <w:rsid w:val="2BA936A8"/>
    <w:rsid w:val="2BC63EF6"/>
    <w:rsid w:val="2C2102ED"/>
    <w:rsid w:val="2C315A5A"/>
    <w:rsid w:val="2C4B1C25"/>
    <w:rsid w:val="2CF164B3"/>
    <w:rsid w:val="2CFF3A22"/>
    <w:rsid w:val="2D062753"/>
    <w:rsid w:val="2D9E56F5"/>
    <w:rsid w:val="2E667F96"/>
    <w:rsid w:val="2E677C7F"/>
    <w:rsid w:val="2E8226AB"/>
    <w:rsid w:val="2E953FF2"/>
    <w:rsid w:val="2EBE11B8"/>
    <w:rsid w:val="2FD065E6"/>
    <w:rsid w:val="2FD96870"/>
    <w:rsid w:val="30580BC9"/>
    <w:rsid w:val="308067CD"/>
    <w:rsid w:val="30A54C45"/>
    <w:rsid w:val="311E2ED7"/>
    <w:rsid w:val="315619EE"/>
    <w:rsid w:val="315C449C"/>
    <w:rsid w:val="31AE7AE2"/>
    <w:rsid w:val="31B82709"/>
    <w:rsid w:val="31D05482"/>
    <w:rsid w:val="32400B34"/>
    <w:rsid w:val="329E6876"/>
    <w:rsid w:val="32B9753A"/>
    <w:rsid w:val="333015F2"/>
    <w:rsid w:val="334B6320"/>
    <w:rsid w:val="33D6742E"/>
    <w:rsid w:val="33D934D4"/>
    <w:rsid w:val="33DD0E97"/>
    <w:rsid w:val="33FE2F6A"/>
    <w:rsid w:val="340E07E5"/>
    <w:rsid w:val="34235BF7"/>
    <w:rsid w:val="358C5FA8"/>
    <w:rsid w:val="359539F0"/>
    <w:rsid w:val="35C15DF1"/>
    <w:rsid w:val="36074A7F"/>
    <w:rsid w:val="36923549"/>
    <w:rsid w:val="36B75FBF"/>
    <w:rsid w:val="36BD0C45"/>
    <w:rsid w:val="37213C95"/>
    <w:rsid w:val="37A25CC0"/>
    <w:rsid w:val="37E00298"/>
    <w:rsid w:val="38830E8D"/>
    <w:rsid w:val="3884175F"/>
    <w:rsid w:val="38B302F9"/>
    <w:rsid w:val="38F12CD3"/>
    <w:rsid w:val="38F94775"/>
    <w:rsid w:val="392971ED"/>
    <w:rsid w:val="39325651"/>
    <w:rsid w:val="397D41B7"/>
    <w:rsid w:val="3A872856"/>
    <w:rsid w:val="3B3763D1"/>
    <w:rsid w:val="3B4146D2"/>
    <w:rsid w:val="3C2F6E1E"/>
    <w:rsid w:val="3C4F64BA"/>
    <w:rsid w:val="3CD4186D"/>
    <w:rsid w:val="3CDA245A"/>
    <w:rsid w:val="3D1E06B7"/>
    <w:rsid w:val="3D280F3B"/>
    <w:rsid w:val="3E643860"/>
    <w:rsid w:val="3EDA0523"/>
    <w:rsid w:val="40006577"/>
    <w:rsid w:val="407A6407"/>
    <w:rsid w:val="412132A0"/>
    <w:rsid w:val="4200449D"/>
    <w:rsid w:val="423A3BCC"/>
    <w:rsid w:val="424E57D2"/>
    <w:rsid w:val="427F6326"/>
    <w:rsid w:val="42B26C49"/>
    <w:rsid w:val="433A6FE6"/>
    <w:rsid w:val="43480868"/>
    <w:rsid w:val="4350713C"/>
    <w:rsid w:val="436653E0"/>
    <w:rsid w:val="437D6F5A"/>
    <w:rsid w:val="43C4431A"/>
    <w:rsid w:val="43E2256B"/>
    <w:rsid w:val="44B951CC"/>
    <w:rsid w:val="44BF5F98"/>
    <w:rsid w:val="44CD14E0"/>
    <w:rsid w:val="44E602DF"/>
    <w:rsid w:val="44E92EF8"/>
    <w:rsid w:val="44F20B0B"/>
    <w:rsid w:val="452E5F4C"/>
    <w:rsid w:val="45612018"/>
    <w:rsid w:val="458946E9"/>
    <w:rsid w:val="45A47C0E"/>
    <w:rsid w:val="46577FD6"/>
    <w:rsid w:val="46D955A7"/>
    <w:rsid w:val="470F6594"/>
    <w:rsid w:val="47133957"/>
    <w:rsid w:val="47A07E0C"/>
    <w:rsid w:val="4870272E"/>
    <w:rsid w:val="49513357"/>
    <w:rsid w:val="49DC7715"/>
    <w:rsid w:val="49E65666"/>
    <w:rsid w:val="4A023139"/>
    <w:rsid w:val="4A7B576F"/>
    <w:rsid w:val="4AF561A9"/>
    <w:rsid w:val="4C4A0649"/>
    <w:rsid w:val="4C7E5ECA"/>
    <w:rsid w:val="4C876AA5"/>
    <w:rsid w:val="4CF840B6"/>
    <w:rsid w:val="4D0E00FB"/>
    <w:rsid w:val="4D176606"/>
    <w:rsid w:val="4DEC4FB0"/>
    <w:rsid w:val="4E075D8A"/>
    <w:rsid w:val="4E4E5F6F"/>
    <w:rsid w:val="4E56268F"/>
    <w:rsid w:val="4EC00FAD"/>
    <w:rsid w:val="4EC66A42"/>
    <w:rsid w:val="4F3A36B6"/>
    <w:rsid w:val="4F3E766E"/>
    <w:rsid w:val="4F9843DC"/>
    <w:rsid w:val="4FC62A8C"/>
    <w:rsid w:val="4FE20F0D"/>
    <w:rsid w:val="4FE51552"/>
    <w:rsid w:val="501A3304"/>
    <w:rsid w:val="50504C4B"/>
    <w:rsid w:val="509C6E7C"/>
    <w:rsid w:val="50C4436A"/>
    <w:rsid w:val="5162104E"/>
    <w:rsid w:val="51BF6DED"/>
    <w:rsid w:val="51DF45A2"/>
    <w:rsid w:val="52ED554B"/>
    <w:rsid w:val="52EE3B9F"/>
    <w:rsid w:val="530B721D"/>
    <w:rsid w:val="53A039CC"/>
    <w:rsid w:val="53A1505A"/>
    <w:rsid w:val="54063E08"/>
    <w:rsid w:val="543437E8"/>
    <w:rsid w:val="54F73313"/>
    <w:rsid w:val="54F80955"/>
    <w:rsid w:val="555170A7"/>
    <w:rsid w:val="5587536D"/>
    <w:rsid w:val="559B174B"/>
    <w:rsid w:val="55C444AB"/>
    <w:rsid w:val="55CE0CF4"/>
    <w:rsid w:val="56B22A9C"/>
    <w:rsid w:val="57B72A76"/>
    <w:rsid w:val="57C3426C"/>
    <w:rsid w:val="57CE1F93"/>
    <w:rsid w:val="583E2C20"/>
    <w:rsid w:val="588743D1"/>
    <w:rsid w:val="5887701A"/>
    <w:rsid w:val="58DE2D05"/>
    <w:rsid w:val="59C0439F"/>
    <w:rsid w:val="5A10134D"/>
    <w:rsid w:val="5ABE2233"/>
    <w:rsid w:val="5B434E0A"/>
    <w:rsid w:val="5BDF5D95"/>
    <w:rsid w:val="5BFE7528"/>
    <w:rsid w:val="5C8A7FF2"/>
    <w:rsid w:val="5CCB64DE"/>
    <w:rsid w:val="5D0E741C"/>
    <w:rsid w:val="5D2C04B8"/>
    <w:rsid w:val="5E1A3F26"/>
    <w:rsid w:val="5E2467F1"/>
    <w:rsid w:val="5EBE2046"/>
    <w:rsid w:val="5F1A2B43"/>
    <w:rsid w:val="5F79208D"/>
    <w:rsid w:val="5F867BB6"/>
    <w:rsid w:val="5FB837BB"/>
    <w:rsid w:val="5FE310C4"/>
    <w:rsid w:val="60A551B1"/>
    <w:rsid w:val="60CC405A"/>
    <w:rsid w:val="60D54349"/>
    <w:rsid w:val="61D53B0E"/>
    <w:rsid w:val="61E215D8"/>
    <w:rsid w:val="61F07DD1"/>
    <w:rsid w:val="621B3775"/>
    <w:rsid w:val="62364782"/>
    <w:rsid w:val="62645D0D"/>
    <w:rsid w:val="62676F86"/>
    <w:rsid w:val="62EE0E73"/>
    <w:rsid w:val="62F10E73"/>
    <w:rsid w:val="6394356A"/>
    <w:rsid w:val="63C61B2C"/>
    <w:rsid w:val="63D40BE9"/>
    <w:rsid w:val="64102431"/>
    <w:rsid w:val="64A5243A"/>
    <w:rsid w:val="64AE3A3C"/>
    <w:rsid w:val="64F531DE"/>
    <w:rsid w:val="65373578"/>
    <w:rsid w:val="671F124A"/>
    <w:rsid w:val="677A33C6"/>
    <w:rsid w:val="67AA50A1"/>
    <w:rsid w:val="681F6961"/>
    <w:rsid w:val="68610A2F"/>
    <w:rsid w:val="68805514"/>
    <w:rsid w:val="69316E2F"/>
    <w:rsid w:val="694E2071"/>
    <w:rsid w:val="69766163"/>
    <w:rsid w:val="697A3B33"/>
    <w:rsid w:val="69D44760"/>
    <w:rsid w:val="6A520EC7"/>
    <w:rsid w:val="6A9B26B1"/>
    <w:rsid w:val="6AF87E20"/>
    <w:rsid w:val="6B322639"/>
    <w:rsid w:val="6BB9044D"/>
    <w:rsid w:val="6C592BFC"/>
    <w:rsid w:val="6C636C38"/>
    <w:rsid w:val="6C8349DD"/>
    <w:rsid w:val="6DB34098"/>
    <w:rsid w:val="6DB545B6"/>
    <w:rsid w:val="6DE02FB4"/>
    <w:rsid w:val="6E3C2F15"/>
    <w:rsid w:val="6E514CED"/>
    <w:rsid w:val="6EB563D5"/>
    <w:rsid w:val="6ED92677"/>
    <w:rsid w:val="6F225983"/>
    <w:rsid w:val="6FA0184D"/>
    <w:rsid w:val="6FFC5590"/>
    <w:rsid w:val="70102D58"/>
    <w:rsid w:val="706A5C8E"/>
    <w:rsid w:val="706D1DD0"/>
    <w:rsid w:val="70767915"/>
    <w:rsid w:val="70856B87"/>
    <w:rsid w:val="70BC3BFC"/>
    <w:rsid w:val="70D527EE"/>
    <w:rsid w:val="710B2461"/>
    <w:rsid w:val="715B5300"/>
    <w:rsid w:val="71D27F8A"/>
    <w:rsid w:val="720C0DBB"/>
    <w:rsid w:val="72553024"/>
    <w:rsid w:val="7293083C"/>
    <w:rsid w:val="72F62AA8"/>
    <w:rsid w:val="73122968"/>
    <w:rsid w:val="731F5D5E"/>
    <w:rsid w:val="73C51AD5"/>
    <w:rsid w:val="73EB798F"/>
    <w:rsid w:val="741E793C"/>
    <w:rsid w:val="742C1980"/>
    <w:rsid w:val="745E3944"/>
    <w:rsid w:val="75667AF9"/>
    <w:rsid w:val="757502CB"/>
    <w:rsid w:val="75F260C5"/>
    <w:rsid w:val="761B5A96"/>
    <w:rsid w:val="7635099D"/>
    <w:rsid w:val="77762421"/>
    <w:rsid w:val="778A44DB"/>
    <w:rsid w:val="77B56B1F"/>
    <w:rsid w:val="780710F5"/>
    <w:rsid w:val="780F09F4"/>
    <w:rsid w:val="788C6824"/>
    <w:rsid w:val="78A90480"/>
    <w:rsid w:val="791D1268"/>
    <w:rsid w:val="79B11DBE"/>
    <w:rsid w:val="79DB3163"/>
    <w:rsid w:val="7A364017"/>
    <w:rsid w:val="7A8265E1"/>
    <w:rsid w:val="7B686D42"/>
    <w:rsid w:val="7B841746"/>
    <w:rsid w:val="7BFE68EE"/>
    <w:rsid w:val="7C6C5AC7"/>
    <w:rsid w:val="7CC6544B"/>
    <w:rsid w:val="7D0239FF"/>
    <w:rsid w:val="7D5E40CD"/>
    <w:rsid w:val="7D7B46DD"/>
    <w:rsid w:val="7DCD56F2"/>
    <w:rsid w:val="7E0C319C"/>
    <w:rsid w:val="7E494E9C"/>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unhideWhenUsed="0" w:uiPriority="0" w:semiHidden="0" w:name="header"/>
    <w:lsdException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name="annotation reference"/>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99" w:semiHidden="0" w:name="Salutation" w:locked="1"/>
    <w:lsdException w:qFormat="1" w:unhideWhenUsed="0" w:uiPriority="0" w:semiHidden="0" w:name="Date"/>
    <w:lsdException w:unhideWhenUsed="0" w:uiPriority="0" w:semiHidden="0" w:name="Body Text First Indent" w:locked="1"/>
    <w:lsdException w:qFormat="1" w:unhideWhenUsed="0"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500" w:lineRule="exact"/>
      <w:ind w:firstLine="640" w:firstLineChars="200"/>
      <w:outlineLvl w:val="1"/>
    </w:pPr>
    <w:rPr>
      <w:rFonts w:ascii="Arial" w:hAnsi="Arial" w:eastAsia="黑体"/>
      <w:bCs/>
      <w:sz w:val="32"/>
      <w:szCs w:val="32"/>
    </w:rPr>
  </w:style>
  <w:style w:type="paragraph" w:styleId="5">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annotation subject"/>
    <w:basedOn w:val="7"/>
    <w:next w:val="7"/>
    <w:link w:val="39"/>
    <w:semiHidden/>
    <w:qFormat/>
    <w:uiPriority w:val="0"/>
    <w:rPr>
      <w:b/>
      <w:kern w:val="2"/>
    </w:rPr>
  </w:style>
  <w:style w:type="paragraph" w:styleId="7">
    <w:name w:val="annotation text"/>
    <w:basedOn w:val="1"/>
    <w:link w:val="35"/>
    <w:semiHidden/>
    <w:qFormat/>
    <w:uiPriority w:val="0"/>
    <w:pPr>
      <w:jc w:val="left"/>
    </w:pPr>
    <w:rPr>
      <w:kern w:val="0"/>
      <w:sz w:val="24"/>
      <w:szCs w:val="20"/>
      <w:lang w:val="zh-CN" w:eastAsia="zh-CN"/>
    </w:rPr>
  </w:style>
  <w:style w:type="paragraph" w:styleId="8">
    <w:name w:val="Normal Indent"/>
    <w:basedOn w:val="1"/>
    <w:next w:val="1"/>
    <w:qFormat/>
    <w:locked/>
    <w:uiPriority w:val="0"/>
    <w:pPr>
      <w:ind w:firstLine="602"/>
    </w:pPr>
    <w:rPr>
      <w:rFonts w:eastAsia="仿宋_GB2312"/>
      <w:sz w:val="28"/>
      <w:szCs w:val="20"/>
    </w:rPr>
  </w:style>
  <w:style w:type="paragraph" w:styleId="9">
    <w:name w:val="Salutation"/>
    <w:basedOn w:val="1"/>
    <w:next w:val="1"/>
    <w:qFormat/>
    <w:locked/>
    <w:uiPriority w:val="99"/>
  </w:style>
  <w:style w:type="paragraph" w:styleId="10">
    <w:name w:val="Body Text"/>
    <w:basedOn w:val="1"/>
    <w:link w:val="33"/>
    <w:qFormat/>
    <w:uiPriority w:val="0"/>
    <w:pPr>
      <w:widowControl/>
      <w:snapToGrid w:val="0"/>
      <w:spacing w:before="60" w:after="160" w:line="259" w:lineRule="auto"/>
      <w:ind w:right="113"/>
    </w:pPr>
    <w:rPr>
      <w:kern w:val="0"/>
      <w:sz w:val="18"/>
      <w:szCs w:val="20"/>
      <w:lang w:val="zh-CN" w:eastAsia="zh-CN"/>
    </w:rPr>
  </w:style>
  <w:style w:type="paragraph" w:styleId="11">
    <w:name w:val="Body Text Indent"/>
    <w:basedOn w:val="1"/>
    <w:link w:val="25"/>
    <w:qFormat/>
    <w:uiPriority w:val="0"/>
    <w:pPr>
      <w:spacing w:after="120"/>
      <w:ind w:left="420" w:leftChars="200"/>
    </w:pPr>
    <w:rPr>
      <w:kern w:val="0"/>
      <w:sz w:val="24"/>
      <w:szCs w:val="20"/>
      <w:lang w:val="zh-CN" w:eastAsia="zh-CN"/>
    </w:rPr>
  </w:style>
  <w:style w:type="paragraph" w:styleId="12">
    <w:name w:val="Plain Text"/>
    <w:basedOn w:val="1"/>
    <w:link w:val="65"/>
    <w:qFormat/>
    <w:locked/>
    <w:uiPriority w:val="0"/>
    <w:rPr>
      <w:rFonts w:ascii="宋体" w:hAnsi="Courier New"/>
    </w:rPr>
  </w:style>
  <w:style w:type="paragraph" w:styleId="13">
    <w:name w:val="Date"/>
    <w:basedOn w:val="1"/>
    <w:next w:val="1"/>
    <w:link w:val="32"/>
    <w:qFormat/>
    <w:uiPriority w:val="0"/>
    <w:pPr>
      <w:ind w:left="100" w:leftChars="2500"/>
    </w:pPr>
    <w:rPr>
      <w:kern w:val="0"/>
      <w:sz w:val="24"/>
      <w:szCs w:val="20"/>
      <w:lang w:val="zh-CN" w:eastAsia="zh-CN"/>
    </w:rPr>
  </w:style>
  <w:style w:type="paragraph" w:styleId="14">
    <w:name w:val="Balloon Text"/>
    <w:basedOn w:val="1"/>
    <w:link w:val="31"/>
    <w:semiHidden/>
    <w:qFormat/>
    <w:uiPriority w:val="0"/>
    <w:rPr>
      <w:kern w:val="0"/>
      <w:sz w:val="18"/>
      <w:szCs w:val="20"/>
      <w:lang w:val="zh-CN" w:eastAsia="zh-CN"/>
    </w:rPr>
  </w:style>
  <w:style w:type="paragraph" w:styleId="15">
    <w:name w:val="footer"/>
    <w:basedOn w:val="1"/>
    <w:link w:val="41"/>
    <w:uiPriority w:val="99"/>
    <w:pPr>
      <w:tabs>
        <w:tab w:val="center" w:pos="4153"/>
        <w:tab w:val="right" w:pos="8306"/>
      </w:tabs>
      <w:snapToGrid w:val="0"/>
      <w:jc w:val="left"/>
    </w:pPr>
    <w:rPr>
      <w:kern w:val="0"/>
      <w:sz w:val="18"/>
      <w:szCs w:val="20"/>
      <w:lang w:val="zh-CN" w:eastAsia="zh-CN"/>
    </w:rPr>
  </w:style>
  <w:style w:type="paragraph" w:styleId="16">
    <w:name w:val="Body Text First Indent 2"/>
    <w:basedOn w:val="1"/>
    <w:next w:val="1"/>
    <w:qFormat/>
    <w:locked/>
    <w:uiPriority w:val="99"/>
    <w:pPr>
      <w:spacing w:after="120"/>
      <w:ind w:left="420" w:leftChars="200" w:firstLine="200" w:firstLineChars="200"/>
    </w:pPr>
    <w:rPr>
      <w:rFonts w:ascii="汉鼎简老宋"/>
    </w:rPr>
  </w:style>
  <w:style w:type="paragraph" w:styleId="17">
    <w:name w:val="header"/>
    <w:basedOn w:val="1"/>
    <w:link w:val="34"/>
    <w:uiPriority w:val="0"/>
    <w:pPr>
      <w:pBdr>
        <w:bottom w:val="single" w:color="auto" w:sz="6" w:space="1"/>
      </w:pBdr>
      <w:tabs>
        <w:tab w:val="center" w:pos="4153"/>
        <w:tab w:val="right" w:pos="8306"/>
      </w:tabs>
      <w:snapToGrid w:val="0"/>
      <w:jc w:val="center"/>
    </w:pPr>
    <w:rPr>
      <w:kern w:val="0"/>
      <w:sz w:val="18"/>
      <w:szCs w:val="20"/>
      <w:lang w:val="zh-CN" w:eastAsia="zh-CN"/>
    </w:rPr>
  </w:style>
  <w:style w:type="paragraph" w:styleId="18">
    <w:name w:val="table of figures"/>
    <w:basedOn w:val="1"/>
    <w:next w:val="1"/>
    <w:qFormat/>
    <w:locked/>
    <w:uiPriority w:val="0"/>
    <w:pPr>
      <w:ind w:left="200" w:leftChars="200" w:hanging="200" w:hangingChars="200"/>
    </w:pPr>
    <w:rPr>
      <w:rFonts w:ascii="Calibri" w:hAnsi="Calibri"/>
      <w:szCs w:val="22"/>
    </w:rPr>
  </w:style>
  <w:style w:type="paragraph" w:styleId="19">
    <w:name w:val="Normal (Web)"/>
    <w:basedOn w:val="1"/>
    <w:link w:val="28"/>
    <w:qFormat/>
    <w:uiPriority w:val="0"/>
    <w:pPr>
      <w:widowControl/>
      <w:spacing w:before="100" w:beforeAutospacing="1" w:after="100" w:afterAutospacing="1"/>
      <w:jc w:val="left"/>
    </w:pPr>
    <w:rPr>
      <w:rFonts w:ascii="宋体" w:hAnsi="宋体"/>
      <w:kern w:val="0"/>
      <w:sz w:val="24"/>
      <w:szCs w:val="20"/>
      <w:lang w:val="zh-CN" w:eastAsia="zh-CN"/>
    </w:rPr>
  </w:style>
  <w:style w:type="character" w:styleId="21">
    <w:name w:val="page number"/>
    <w:basedOn w:val="20"/>
    <w:locked/>
    <w:uiPriority w:val="0"/>
  </w:style>
  <w:style w:type="character" w:styleId="22">
    <w:name w:val="annotation reference"/>
    <w:semiHidden/>
    <w:uiPriority w:val="0"/>
    <w:rPr>
      <w:sz w:val="21"/>
    </w:rPr>
  </w:style>
  <w:style w:type="table" w:styleId="24">
    <w:name w:val="Table Grid"/>
    <w:basedOn w:val="2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正文文本缩进 字符"/>
    <w:link w:val="11"/>
    <w:semiHidden/>
    <w:locked/>
    <w:uiPriority w:val="0"/>
    <w:rPr>
      <w:rFonts w:ascii="Times New Roman" w:hAnsi="Times New Roman" w:eastAsia="宋体"/>
      <w:sz w:val="24"/>
    </w:rPr>
  </w:style>
  <w:style w:type="character" w:customStyle="1" w:styleId="26">
    <w:name w:val="页脚 字符"/>
    <w:basedOn w:val="20"/>
    <w:uiPriority w:val="99"/>
  </w:style>
  <w:style w:type="character" w:customStyle="1" w:styleId="27">
    <w:name w:val="批注文字 字符1"/>
    <w:semiHidden/>
    <w:uiPriority w:val="0"/>
    <w:rPr>
      <w:rFonts w:ascii="Times New Roman" w:hAnsi="Times New Roman" w:eastAsia="宋体"/>
      <w:sz w:val="24"/>
    </w:rPr>
  </w:style>
  <w:style w:type="character" w:customStyle="1" w:styleId="28">
    <w:name w:val="普通(网站) 字符1"/>
    <w:link w:val="19"/>
    <w:locked/>
    <w:uiPriority w:val="0"/>
    <w:rPr>
      <w:rFonts w:ascii="宋体" w:hAnsi="宋体" w:eastAsia="宋体"/>
      <w:sz w:val="24"/>
    </w:rPr>
  </w:style>
  <w:style w:type="character" w:customStyle="1" w:styleId="29">
    <w:name w:val="表格 Char"/>
    <w:link w:val="30"/>
    <w:locked/>
    <w:uiPriority w:val="0"/>
    <w:rPr>
      <w:rFonts w:ascii="宋体"/>
      <w:sz w:val="21"/>
    </w:rPr>
  </w:style>
  <w:style w:type="paragraph" w:customStyle="1" w:styleId="30">
    <w:name w:val="表格"/>
    <w:basedOn w:val="1"/>
    <w:next w:val="1"/>
    <w:link w:val="29"/>
    <w:qFormat/>
    <w:uiPriority w:val="0"/>
    <w:pPr>
      <w:adjustRightInd w:val="0"/>
      <w:snapToGrid w:val="0"/>
      <w:spacing w:beforeLines="10" w:afterLines="10" w:line="259" w:lineRule="auto"/>
      <w:jc w:val="center"/>
    </w:pPr>
    <w:rPr>
      <w:rFonts w:ascii="宋体"/>
      <w:kern w:val="0"/>
      <w:szCs w:val="20"/>
      <w:lang w:val="zh-CN" w:eastAsia="zh-CN"/>
    </w:rPr>
  </w:style>
  <w:style w:type="character" w:customStyle="1" w:styleId="31">
    <w:name w:val="批注框文本 字符"/>
    <w:link w:val="14"/>
    <w:semiHidden/>
    <w:locked/>
    <w:uiPriority w:val="0"/>
    <w:rPr>
      <w:rFonts w:ascii="Times New Roman" w:hAnsi="Times New Roman" w:eastAsia="宋体"/>
      <w:sz w:val="18"/>
    </w:rPr>
  </w:style>
  <w:style w:type="character" w:customStyle="1" w:styleId="32">
    <w:name w:val="日期 字符1"/>
    <w:link w:val="13"/>
    <w:locked/>
    <w:uiPriority w:val="0"/>
    <w:rPr>
      <w:rFonts w:ascii="Times New Roman" w:hAnsi="Times New Roman" w:eastAsia="宋体"/>
      <w:sz w:val="24"/>
    </w:rPr>
  </w:style>
  <w:style w:type="character" w:customStyle="1" w:styleId="33">
    <w:name w:val="正文文本 字符"/>
    <w:link w:val="10"/>
    <w:locked/>
    <w:uiPriority w:val="0"/>
    <w:rPr>
      <w:sz w:val="18"/>
    </w:rPr>
  </w:style>
  <w:style w:type="character" w:customStyle="1" w:styleId="34">
    <w:name w:val="页眉 字符1"/>
    <w:link w:val="17"/>
    <w:locked/>
    <w:uiPriority w:val="0"/>
    <w:rPr>
      <w:sz w:val="18"/>
    </w:rPr>
  </w:style>
  <w:style w:type="character" w:customStyle="1" w:styleId="35">
    <w:name w:val="批注文字 字符"/>
    <w:link w:val="7"/>
    <w:locked/>
    <w:uiPriority w:val="0"/>
    <w:rPr>
      <w:rFonts w:ascii="Times New Roman" w:hAnsi="Times New Roman" w:eastAsia="宋体"/>
      <w:sz w:val="24"/>
    </w:rPr>
  </w:style>
  <w:style w:type="character" w:customStyle="1" w:styleId="36">
    <w:name w:val="日期 字符"/>
    <w:semiHidden/>
    <w:uiPriority w:val="0"/>
    <w:rPr>
      <w:rFonts w:ascii="Times New Roman" w:hAnsi="Times New Roman" w:eastAsia="宋体"/>
      <w:sz w:val="24"/>
    </w:rPr>
  </w:style>
  <w:style w:type="character" w:customStyle="1" w:styleId="37">
    <w:name w:val="0正文 Char"/>
    <w:link w:val="38"/>
    <w:uiPriority w:val="0"/>
    <w:rPr>
      <w:kern w:val="0"/>
      <w:sz w:val="24"/>
      <w:szCs w:val="22"/>
    </w:rPr>
  </w:style>
  <w:style w:type="paragraph" w:customStyle="1" w:styleId="38">
    <w:name w:val="0正文"/>
    <w:basedOn w:val="1"/>
    <w:link w:val="37"/>
    <w:qFormat/>
    <w:uiPriority w:val="0"/>
    <w:pPr>
      <w:spacing w:line="360" w:lineRule="auto"/>
      <w:ind w:firstLine="480" w:firstLineChars="200"/>
    </w:pPr>
    <w:rPr>
      <w:kern w:val="0"/>
      <w:sz w:val="24"/>
      <w:szCs w:val="22"/>
      <w:lang w:val="zh-CN" w:eastAsia="zh-CN"/>
    </w:rPr>
  </w:style>
  <w:style w:type="character" w:customStyle="1" w:styleId="39">
    <w:name w:val="批注主题 字符"/>
    <w:link w:val="6"/>
    <w:semiHidden/>
    <w:qFormat/>
    <w:locked/>
    <w:uiPriority w:val="0"/>
    <w:rPr>
      <w:rFonts w:ascii="Times New Roman" w:hAnsi="Times New Roman" w:eastAsia="宋体"/>
      <w:b/>
      <w:kern w:val="2"/>
      <w:sz w:val="24"/>
    </w:rPr>
  </w:style>
  <w:style w:type="character" w:customStyle="1" w:styleId="40">
    <w:name w:val="正文文本 字符1"/>
    <w:semiHidden/>
    <w:uiPriority w:val="0"/>
    <w:rPr>
      <w:rFonts w:ascii="Times New Roman" w:hAnsi="Times New Roman" w:eastAsia="宋体"/>
      <w:sz w:val="24"/>
    </w:rPr>
  </w:style>
  <w:style w:type="character" w:customStyle="1" w:styleId="41">
    <w:name w:val="页脚 字符1"/>
    <w:link w:val="15"/>
    <w:qFormat/>
    <w:locked/>
    <w:uiPriority w:val="99"/>
    <w:rPr>
      <w:sz w:val="18"/>
    </w:rPr>
  </w:style>
  <w:style w:type="paragraph" w:customStyle="1" w:styleId="42">
    <w:name w:val="正文_13"/>
    <w:qFormat/>
    <w:uiPriority w:val="0"/>
    <w:pPr>
      <w:widowControl w:val="0"/>
      <w:jc w:val="both"/>
    </w:pPr>
    <w:rPr>
      <w:rFonts w:ascii="Calibri" w:hAnsi="Calibri" w:eastAsia="宋体" w:cs="Times New Roman"/>
      <w:kern w:val="2"/>
      <w:sz w:val="21"/>
      <w:lang w:val="en-US" w:eastAsia="zh-CN" w:bidi="ar-SA"/>
    </w:rPr>
  </w:style>
  <w:style w:type="paragraph" w:customStyle="1" w:styleId="43">
    <w:name w:val="报告正文"/>
    <w:basedOn w:val="1"/>
    <w:qFormat/>
    <w:uiPriority w:val="0"/>
    <w:pPr>
      <w:adjustRightInd w:val="0"/>
      <w:snapToGrid w:val="0"/>
      <w:ind w:firstLine="200" w:firstLineChars="200"/>
    </w:pPr>
    <w:rPr>
      <w:rFonts w:ascii="宋体"/>
      <w:sz w:val="24"/>
      <w:szCs w:val="20"/>
      <w:lang w:val="zh-CN"/>
    </w:rPr>
  </w:style>
  <w:style w:type="paragraph" w:customStyle="1" w:styleId="44">
    <w:name w:val="表头111"/>
    <w:basedOn w:val="1"/>
    <w:qFormat/>
    <w:uiPriority w:val="99"/>
    <w:pPr>
      <w:numPr>
        <w:ilvl w:val="0"/>
        <w:numId w:val="1"/>
      </w:numPr>
      <w:ind w:firstLine="0"/>
      <w:jc w:val="center"/>
    </w:pPr>
    <w:rPr>
      <w:rFonts w:ascii="Calibri" w:hAnsi="Calibri"/>
      <w:b/>
      <w:kern w:val="0"/>
      <w:szCs w:val="20"/>
    </w:rPr>
  </w:style>
  <w:style w:type="paragraph" w:customStyle="1" w:styleId="45">
    <w:name w:val="正文2"/>
    <w:basedOn w:val="1"/>
    <w:qFormat/>
    <w:uiPriority w:val="99"/>
    <w:pPr>
      <w:spacing w:line="440" w:lineRule="atLeast"/>
      <w:ind w:firstLine="567"/>
    </w:pPr>
  </w:style>
  <w:style w:type="paragraph" w:customStyle="1" w:styleId="46">
    <w:name w:val="4biaoge neibu"/>
    <w:basedOn w:val="1"/>
    <w:qFormat/>
    <w:uiPriority w:val="0"/>
    <w:pPr>
      <w:jc w:val="center"/>
    </w:pPr>
    <w:rPr>
      <w:rFonts w:cs="黑体"/>
      <w:szCs w:val="16"/>
    </w:rPr>
  </w:style>
  <w:style w:type="paragraph" w:customStyle="1" w:styleId="47">
    <w:name w:val="报告表正文"/>
    <w:basedOn w:val="1"/>
    <w:qFormat/>
    <w:uiPriority w:val="99"/>
    <w:pPr>
      <w:spacing w:line="312" w:lineRule="auto"/>
      <w:ind w:left="113" w:right="113" w:firstLine="482"/>
      <w:jc w:val="left"/>
      <w:textAlignment w:val="baseline"/>
    </w:pPr>
    <w:rPr>
      <w:kern w:val="0"/>
    </w:rPr>
  </w:style>
  <w:style w:type="paragraph" w:customStyle="1" w:styleId="48">
    <w:name w:val="Normal_18"/>
    <w:basedOn w:val="1"/>
    <w:qFormat/>
    <w:uiPriority w:val="0"/>
    <w:pPr>
      <w:widowControl/>
      <w:spacing w:before="120" w:after="240"/>
    </w:pPr>
    <w:rPr>
      <w:rFonts w:ascii="Calibri" w:hAnsi="Calibri"/>
      <w:sz w:val="22"/>
      <w:szCs w:val="22"/>
    </w:rPr>
  </w:style>
  <w:style w:type="paragraph" w:customStyle="1" w:styleId="49">
    <w:name w:val="5表头"/>
    <w:basedOn w:val="1"/>
    <w:qFormat/>
    <w:uiPriority w:val="99"/>
    <w:pPr>
      <w:adjustRightInd w:val="0"/>
      <w:snapToGrid w:val="0"/>
      <w:spacing w:line="320" w:lineRule="exact"/>
      <w:jc w:val="center"/>
    </w:pPr>
    <w:rPr>
      <w:szCs w:val="22"/>
    </w:rPr>
  </w:style>
  <w:style w:type="paragraph" w:customStyle="1" w:styleId="5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1">
    <w:name w:val="表内格式"/>
    <w:basedOn w:val="1"/>
    <w:next w:val="47"/>
    <w:qFormat/>
    <w:uiPriority w:val="99"/>
    <w:pPr>
      <w:widowControl/>
      <w:jc w:val="center"/>
    </w:pPr>
    <w:rPr>
      <w:rFonts w:ascii="汉鼎简老宋" w:hAnsi="汉鼎简老宋"/>
      <w:kern w:val="0"/>
      <w:sz w:val="18"/>
    </w:rPr>
  </w:style>
  <w:style w:type="paragraph" w:customStyle="1" w:styleId="52">
    <w:name w:val="Table Paragraph"/>
    <w:basedOn w:val="1"/>
    <w:qFormat/>
    <w:uiPriority w:val="1"/>
    <w:pPr>
      <w:jc w:val="center"/>
    </w:pPr>
    <w:rPr>
      <w:rFonts w:ascii="宋体" w:hAnsi="宋体" w:cs="宋体"/>
    </w:rPr>
  </w:style>
  <w:style w:type="paragraph" w:customStyle="1" w:styleId="53">
    <w:name w:val="正文(首行缩进)"/>
    <w:basedOn w:val="1"/>
    <w:uiPriority w:val="0"/>
    <w:pPr>
      <w:tabs>
        <w:tab w:val="left" w:pos="4584"/>
      </w:tabs>
      <w:adjustRightInd w:val="0"/>
      <w:snapToGrid w:val="0"/>
      <w:spacing w:line="360" w:lineRule="auto"/>
      <w:ind w:firstLine="200" w:firstLineChars="200"/>
    </w:pPr>
    <w:rPr>
      <w:bCs/>
      <w:snapToGrid w:val="0"/>
      <w:kern w:val="0"/>
      <w:sz w:val="24"/>
    </w:rPr>
  </w:style>
  <w:style w:type="paragraph" w:customStyle="1" w:styleId="54">
    <w:name w:val="图"/>
    <w:basedOn w:val="1"/>
    <w:qFormat/>
    <w:uiPriority w:val="99"/>
    <w:pPr>
      <w:jc w:val="center"/>
    </w:pPr>
    <w:rPr>
      <w:rFonts w:ascii="Courier New" w:hAnsi="Courier New" w:cs="汉鼎简老宋"/>
      <w:b/>
      <w:bCs/>
    </w:rPr>
  </w:style>
  <w:style w:type="paragraph" w:customStyle="1" w:styleId="55">
    <w:name w:val="报告正文-连续目录"/>
    <w:uiPriority w:val="0"/>
    <w:pPr>
      <w:spacing w:line="440" w:lineRule="exact"/>
      <w:ind w:firstLine="200" w:firstLineChars="200"/>
    </w:pPr>
    <w:rPr>
      <w:rFonts w:ascii="Arial" w:hAnsi="Arial" w:eastAsia="宋体" w:cs="Times New Roman"/>
      <w:snapToGrid w:val="0"/>
      <w:sz w:val="24"/>
      <w:szCs w:val="24"/>
      <w:lang w:val="en-US" w:eastAsia="zh-CN" w:bidi="ar-SA"/>
    </w:rPr>
  </w:style>
  <w:style w:type="paragraph" w:customStyle="1" w:styleId="56">
    <w:name w:val="应填表格"/>
    <w:basedOn w:val="1"/>
    <w:qFormat/>
    <w:uiPriority w:val="0"/>
    <w:pPr>
      <w:adjustRightInd w:val="0"/>
      <w:spacing w:before="40" w:after="40"/>
      <w:jc w:val="left"/>
      <w:textAlignment w:val="baseline"/>
    </w:pPr>
    <w:rPr>
      <w:kern w:val="0"/>
      <w:sz w:val="24"/>
      <w:szCs w:val="20"/>
    </w:rPr>
  </w:style>
  <w:style w:type="paragraph" w:customStyle="1" w:styleId="57">
    <w:name w:val="样式5"/>
    <w:qFormat/>
    <w:uiPriority w:val="0"/>
    <w:rPr>
      <w:rFonts w:ascii="黑体" w:hAnsi="Times New Roman" w:eastAsia="宋体" w:cs="Times New Roman"/>
      <w:lang w:val="en-US" w:eastAsia="zh-CN" w:bidi="ar-SA"/>
    </w:rPr>
  </w:style>
  <w:style w:type="paragraph" w:customStyle="1" w:styleId="58">
    <w:name w:val="表格式"/>
    <w:basedOn w:val="1"/>
    <w:qFormat/>
    <w:uiPriority w:val="99"/>
    <w:pPr>
      <w:spacing w:line="276" w:lineRule="auto"/>
      <w:ind w:left="17" w:leftChars="6" w:right="-17" w:rightChars="-6"/>
      <w:jc w:val="center"/>
    </w:pPr>
    <w:rPr>
      <w:szCs w:val="21"/>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表格文字"/>
    <w:basedOn w:val="1"/>
    <w:link w:val="61"/>
    <w:qFormat/>
    <w:uiPriority w:val="0"/>
    <w:pPr>
      <w:jc w:val="center"/>
    </w:pPr>
    <w:rPr>
      <w:rFonts w:ascii="仿宋_GB2312" w:hAnsi="Arial Black" w:eastAsia="仿宋_GB2312"/>
      <w:kern w:val="44"/>
      <w:sz w:val="24"/>
      <w:lang w:val="zh-CN" w:eastAsia="zh-CN"/>
    </w:rPr>
  </w:style>
  <w:style w:type="character" w:customStyle="1" w:styleId="61">
    <w:name w:val="表格文字 Char"/>
    <w:link w:val="60"/>
    <w:uiPriority w:val="0"/>
    <w:rPr>
      <w:rFonts w:ascii="仿宋_GB2312" w:hAnsi="Arial Black" w:eastAsia="仿宋_GB2312"/>
      <w:kern w:val="44"/>
      <w:sz w:val="24"/>
      <w:szCs w:val="24"/>
      <w:lang w:val="zh-CN" w:eastAsia="zh-CN"/>
    </w:rPr>
  </w:style>
  <w:style w:type="character" w:customStyle="1" w:styleId="62">
    <w:name w:val="正文样式 Char"/>
    <w:link w:val="63"/>
    <w:uiPriority w:val="0"/>
    <w:rPr>
      <w:rFonts w:ascii="宋体" w:hAnsi="宋体"/>
      <w:kern w:val="2"/>
      <w:sz w:val="24"/>
      <w:szCs w:val="24"/>
    </w:rPr>
  </w:style>
  <w:style w:type="paragraph" w:customStyle="1" w:styleId="63">
    <w:name w:val="正文样式"/>
    <w:basedOn w:val="1"/>
    <w:link w:val="62"/>
    <w:qFormat/>
    <w:uiPriority w:val="0"/>
    <w:pPr>
      <w:spacing w:line="460" w:lineRule="exact"/>
      <w:ind w:firstLine="200" w:firstLineChars="200"/>
    </w:pPr>
    <w:rPr>
      <w:rFonts w:ascii="宋体" w:hAnsi="宋体"/>
      <w:sz w:val="24"/>
      <w:lang w:val="zh-CN" w:eastAsia="zh-CN"/>
    </w:rPr>
  </w:style>
  <w:style w:type="character" w:customStyle="1" w:styleId="64">
    <w:name w:val="普通(网站) 字符"/>
    <w:qFormat/>
    <w:locked/>
    <w:uiPriority w:val="0"/>
    <w:rPr>
      <w:rFonts w:ascii="宋体" w:hAnsi="宋体" w:eastAsia="宋体"/>
      <w:sz w:val="24"/>
    </w:rPr>
  </w:style>
  <w:style w:type="character" w:customStyle="1" w:styleId="65">
    <w:name w:val="纯文本 字符"/>
    <w:link w:val="12"/>
    <w:qFormat/>
    <w:uiPriority w:val="0"/>
    <w:rPr>
      <w:rFonts w:ascii="宋体" w:hAnsi="Courier New"/>
      <w:kern w:val="2"/>
      <w:sz w:val="21"/>
      <w:szCs w:val="24"/>
    </w:rPr>
  </w:style>
  <w:style w:type="character" w:customStyle="1" w:styleId="66">
    <w:name w:val="页眉 字符"/>
    <w:qFormat/>
    <w:locked/>
    <w:uiPriority w:val="0"/>
    <w:rPr>
      <w:sz w:val="18"/>
    </w:rPr>
  </w:style>
  <w:style w:type="character" w:customStyle="1" w:styleId="67">
    <w:name w:val="正文文本 字符2"/>
    <w:locked/>
    <w:uiPriority w:val="0"/>
    <w:rPr>
      <w:sz w:val="18"/>
    </w:rPr>
  </w:style>
  <w:style w:type="paragraph" w:customStyle="1" w:styleId="68">
    <w:name w:val="萝卜"/>
    <w:basedOn w:val="1"/>
    <w:qFormat/>
    <w:uiPriority w:val="0"/>
    <w:pPr>
      <w:tabs>
        <w:tab w:val="left" w:pos="540"/>
      </w:tabs>
      <w:spacing w:line="360" w:lineRule="auto"/>
      <w:ind w:firstLine="200" w:firstLineChars="200"/>
    </w:pPr>
    <w:rPr>
      <w:kern w:val="24"/>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11A25-BF7A-40A1-96D9-7D6AC503AC8C}">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44</Pages>
  <Words>4813</Words>
  <Characters>27438</Characters>
  <Lines>228</Lines>
  <Paragraphs>64</Paragraphs>
  <TotalTime>79</TotalTime>
  <ScaleCrop>false</ScaleCrop>
  <LinksUpToDate>false</LinksUpToDate>
  <CharactersWithSpaces>32187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2023-07-04T08:42:00Z</dcterms:created>
  <dc:creator>lhj</dc:creator>
  <cp:lastModifiedBy>岳宝哲</cp:lastModifiedBy>
  <cp:lastPrinted>2021-05-07T04:58:00Z</cp:lastPrinted>
  <dcterms:modified xsi:type="dcterms:W3CDTF">2023-10-16T02:50:25Z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