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年汉滨区国民经济和社会发展统计公报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是汉滨发展进程中极为不易、极具考验、极其难忘的一年。面对外部环境复杂多变、新冠疫情反复侵袭等超预期因素影响，区委区政府带领全区人民深入学习宣传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党的二十大精神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深入学习贯彻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习近平总书记来陕考察重要讲话重要指示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坚持稳中求进总基调，全区上下负重拼搏、戮力同心、埋头苦干，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全区经济发展承压前行，总体保持基本稳定。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根据地区生产总值统一核算结果，20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405.89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%。其中：第一产业增加值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45.01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%；第二产业增加值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129.48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下降8.0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%；第三产业增加值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231.41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增长1.5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%。三次产业增加值占生产总值的比重为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11.1：31.9：57.0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人均生产总值45489元，比上年减少147元，下降1.3%。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21590</wp:posOffset>
            </wp:positionV>
            <wp:extent cx="4643120" cy="2797810"/>
            <wp:effectExtent l="0" t="0" r="5080" b="2540"/>
            <wp:wrapNone/>
            <wp:docPr id="11" name="图片 11" descr="三次产业比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三次产业比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辖区非公有制经济增加值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227.24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亿元，占生产总值的比重为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据人口抽样调查，经市统计局评估认定，2022年末，辖区常住人口89.34万人，比上年增加0.22万人。其中：城镇人口53.36万人，占比59.7%；乡村人口35.98万人，占比40.3%。城镇化率59.7%。全年人口出生率8.06‰，死亡率6.28‰，自然增长率1.78‰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据公安部门年报统计显示：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年末，辖区户籍总人口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103.08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万人，比上年增加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0.47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万人。按性别分：男性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54.18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万人，女性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48.9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万人；按地域分：城镇人口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49.5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万人，乡村人口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53.58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汉滨区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暂住人口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万人。汉滨区户籍总人口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75.33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万人，比上年增加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万人。按性别分：男性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39.77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万人，女性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35.56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万人；按地域分：城镇人口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34.45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万人，乡村人口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40.88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1691005</wp:posOffset>
            </wp:positionV>
            <wp:extent cx="4578350" cy="2919730"/>
            <wp:effectExtent l="0" t="0" r="12700" b="13970"/>
            <wp:wrapNone/>
            <wp:docPr id="2" name="图片 2" descr="农业总产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农业总产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年，辖区农林牧渔业总产值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76.95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%。其中：农业产值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%；林业产值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%；牧业产值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增长6.1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%；渔业产值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%；农林牧渔服务业产值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辖区农林牧渔业增加值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%。其中：农业增加值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%；林业增加值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增长7.3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%；渔业增加值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%；农林牧渔服务业增加值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粮油生产保持稳定，详见下表：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年粮油生产情况</w:t>
      </w:r>
    </w:p>
    <w:tbl>
      <w:tblPr>
        <w:tblStyle w:val="7"/>
        <w:tblW w:w="8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028"/>
        <w:gridCol w:w="1594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绝对量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  <w:t>较上年增长（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粮食面积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69.50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粮食产量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17.86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-7.9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# 夏粮产量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5.32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秋粮产量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12.54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-11.1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油料面积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32.86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# 油菜籽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26.6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芝麻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2.31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花生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3.95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油料产量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5.33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-0.3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 xml:space="preserve"> # 油菜籽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4.0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-0.6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芝麻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花生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1.06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农业经济作物较快发展，详见下表：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年经济作物生产情况</w:t>
      </w:r>
    </w:p>
    <w:tbl>
      <w:tblPr>
        <w:tblStyle w:val="7"/>
        <w:tblW w:w="8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0"/>
        <w:gridCol w:w="180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绝对量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  <w:t>较上年增长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蔬菜面积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34.26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蔬菜产量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58.20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中药材面积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中药材产量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2.37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园林水果面积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11.74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园林水果产量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6.88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茶园面积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21.03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茶叶产量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0.88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14.9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畜牧业平稳发展，主要畜牧产品产量详见下表: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年畜牧业发展情况</w:t>
      </w:r>
    </w:p>
    <w:tbl>
      <w:tblPr>
        <w:tblStyle w:val="7"/>
        <w:tblW w:w="82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080"/>
        <w:gridCol w:w="1800"/>
        <w:gridCol w:w="2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单 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绝对量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  <w:t>较上年增长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肉类总产量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4.70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960" w:firstLineChars="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# 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3.93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0.25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0.16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0.36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禽蛋产量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1.43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猪出栏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49.63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牛出栏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1.63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羊出栏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8.88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家禽出栏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224.39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猪存栏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32.36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牛存栏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4.82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羊存栏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10.86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家禽存栏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193.51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04" w:firstLineChars="1095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下降9.8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其中汉滨区下降14.8%。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81915</wp:posOffset>
            </wp:positionV>
            <wp:extent cx="4625975" cy="2778760"/>
            <wp:effectExtent l="0" t="0" r="3175" b="2540"/>
            <wp:wrapNone/>
            <wp:docPr id="3" name="图片 3" descr="工业增加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业增加值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工业销售产值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下降10.3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汉滨区规模以上工业销售产值较上年下降2.9%（中省市较上年增长5.5%，区属较上年下降4.9%）；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较上年下降17.6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恒口示范区较上年下降13.0%。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规模以上工业中六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大支柱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及特色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产值较上年下降16.4%。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发展情况详见下表：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大支柱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及特色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工业发展情况</w:t>
      </w:r>
    </w:p>
    <w:tbl>
      <w:tblPr>
        <w:tblStyle w:val="7"/>
        <w:tblW w:w="8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61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较上年增长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六大支柱及特色工业产值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-16.4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#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清洁能源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富硒食品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-21.1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装备制造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新型材料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-20.0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生物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医药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-36.3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纺织服装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特色工业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-6.4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截至12月底，辖区规模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工业企业达到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户（含陕西硒谷产业发展有限公司和供电局）。其中：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汉滨区111户（中省市3户，区属108户），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恒口示范区23户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。辖区产值过亿元企业达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户。当年辖区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新增规模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其中：汉滨区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户，高新区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恒口示范区2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年，辖区全部建筑业增加值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辖区资质以上建筑业总产值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141.98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亿元,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施工面积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1037.52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增长12.2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%。其中：新开工面积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317.52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增长7.7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%；房屋竣工面积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206.24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下降23.8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汉滨区资质以上建筑业总产值73.17亿元, 较上年下降13.5%。房屋建筑施工面积413.97万平方米，较上年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下降18.7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%。其中：新开工面积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100.58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下降33.3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%；房屋竣工面积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109.51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截至12月底，辖区资质以上建筑业企业达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户。其中：汉滨区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户，高新区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恒口示范区6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户。当年辖区新增建筑业企业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户。其中：汉滨区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户，高新区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五、服务业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年，辖区规模以上服务业营业收入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54.89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其中，汉滨区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41.84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截至12月底，辖区规模以上服务业企业达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其中：汉滨区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户，高新区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恒口示范区4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。当年辖区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新增规模以上服务业企业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户。其中：汉滨区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户，高新区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恒口示范区1户。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辖区固定资产投资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较上年下降12.3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第一产业投资较上年下降9.7%；第二产业投资下降10.8%；第三产业投资下降13.0%。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1052830</wp:posOffset>
            </wp:positionV>
            <wp:extent cx="4043045" cy="2339975"/>
            <wp:effectExtent l="0" t="0" r="14605" b="3175"/>
            <wp:wrapNone/>
            <wp:docPr id="4" name="图片 4" descr="辖区固投三产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辖区固投三产结构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2022年，汉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固定资产投资较上年下降24.5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其中，第一产业投资较上年下降4.2%；第二产业投资下降5.2%；第三产业投资下降35.2%。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196850</wp:posOffset>
            </wp:positionV>
            <wp:extent cx="4042410" cy="2339975"/>
            <wp:effectExtent l="0" t="0" r="15240" b="3175"/>
            <wp:wrapNone/>
            <wp:docPr id="5" name="图片 5" descr="汉滨区固投三产构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汉滨区固投三产构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截至12月底，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辖区房地产企业达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户。其中：汉滨区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户，高新区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恒口示范区9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户。当年辖区新增房地产开发企业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其中高新区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辖区房地产开发投资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其中，汉滨区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下降38.2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辖区民间投资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%，其中，汉滨区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下降23.5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%；辖区商品房销售面积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下降41.9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其中，汉滨区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下降49.0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2月底，辖区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施工项目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其中，新开工项目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汉滨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区500万元以上固定资产投资施工项目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个。其中，新开工项目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个。汉滨区5000万元以上投资项目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七、邮电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年，辖区邮电业务总量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%。其中，邮政业务总量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辖区固定电话年末用户达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万户，比上年增加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%；移动电话用户达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94.73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增加5.38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增长6.0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国际互联网用户达50.01万户，比上年增加4.83万户，增长10.7%。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八、贸易业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1388745</wp:posOffset>
            </wp:positionV>
            <wp:extent cx="4954270" cy="2577465"/>
            <wp:effectExtent l="0" t="0" r="17780" b="13335"/>
            <wp:wrapNone/>
            <wp:docPr id="6" name="图片 6" descr="社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社零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年，辖区社会消费品零售总额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204.73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%。其中：城镇零售额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193.95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增长7.8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%；乡村零售额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%。汉滨区社会消费品零售总额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150.62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增长6.6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年，辖区限额以上批发零售和住宿餐饮业累计实现零售额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140.21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增长11.4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%。其中：限额以上批发业零售额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%；限额以上零售业零售额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108.33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%；限额以上住宿业零售额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限额以上餐饮业零售额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%。汉滨区限额以上批发零售和住宿餐饮业累计实现零售额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增长10.0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截至12月底，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辖区限额以上批发零售和住宿餐饮企业达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户（批发业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户，零售业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户，住宿业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户，餐饮业6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户）。其中，汉滨区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户（批发业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户，零售业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户，住宿业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户，餐饮业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户）。当年辖区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新增限额以上批发零售和住宿餐饮企业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户。其中：汉滨区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户，高新区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户，恒口示范区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九、文化、旅游业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年，汉滨区广播节目综合人口覆盖率达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%，电视节目综合人口覆盖率达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%，公共图书馆图书总藏量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191.9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千册（件）。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汉滨区共接待游客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880.95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%；旅游总收入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51.81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%；旅游从业人员达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人，其中，导游人数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人；旅行社2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十、财政、金融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年，汉滨区财政总收入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下降27.0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其中，财政一般预算收入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较上年下降25.9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%。财政一般预算支出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年末，辖区金融机构各项存款余额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912.81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其中，住户存款余额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657.38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%。金融机构各项贷款余额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658.65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24" w:firstLineChars="1195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十一、教育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年，辖区共有普通高等学校2所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全年共招收普通本专科学生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7768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人；在校学生数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26323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12678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人；毕业生人数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9244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辖区共有中等职业学校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全年共招收学生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3898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10745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有普通中学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56804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35182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21622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4909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所（不含教学点）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73977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全年在园人数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36848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辖区共有特殊教育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人，其中，专任教师42人。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十二、卫生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辖区医疗卫生机构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其中：医院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个，卫生院4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个，妇幼保健院2个，疾病预防控制中心2个，诊所（卫生所、医务室）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个，村卫生室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个。床位数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医院床位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张，卫生院床位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张。卫生技术人员数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其中：医院、卫生院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7441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人，妇幼保健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机构442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人，疾病预防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人。婴儿死亡率为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十三、水利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水土流失治理面积累计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137.29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千公顷，年末农村饮水安全达标人口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79.86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全年辖区水利工程总供用水量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19859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其中：农业灌溉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10364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万立方米，工业生产供水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万立方米，城镇生活用水量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万立方米，乡村生活用水量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万立方米，人工生态环境用水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建筑业用水662万立方米，服务业用水751万立方米。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十四、城镇建设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年，辖区（不含恒口示范区，下同）供水综合生产能力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万立方米/日；城市供水总量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3517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万吨；售水量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万吨，其中，居民生活用水量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1786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年，辖区（不含恒口示范区，下同）供气总量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6193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万立方米；液化石油气供气总量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5276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年，辖区（不含恒口示范区，下同）绿地面积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17.11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平方公里，其中，公园绿地面积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平方公里；建成区面积45平方公里，绿化覆盖面积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18.92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平方公里，建成区绿化覆盖率为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%；污水排放总量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3671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吨，污水处理厂集中处理率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99.4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%，生活垃圾无害化处理率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十五、环境保护和安全生产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年，辖区空气质量优良天数3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天，空气质量优良天数占比达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%；空气质量综合指数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汉滨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区生产安全事故死亡人数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十六、人民生活和社会保障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年，辖区全体居民人均可支配收入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23051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%。其中：工资性收入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10319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%，占可支配收入的比重为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44.8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%；经营净收入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%；财产净收入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%；转移净收入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35.6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32397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其中：工资性收入15013元，增长4.6%，占可支配收入的比重为46.3%；经营净收入4175元，增长4.0%，占比12.9%；财产净收入1954元，增长5.9%，占比6.0%；转移净收入11255元，增长5.1%，占比34.7%。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农村常住居民人均可支配收入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13245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工资性收入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5394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%，占可支配收入的比重为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%；经营净收入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2767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%；财产净收入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%；转移净收入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4998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37.7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85090</wp:posOffset>
            </wp:positionV>
            <wp:extent cx="4578350" cy="2749550"/>
            <wp:effectExtent l="0" t="0" r="12700" b="12700"/>
            <wp:wrapNone/>
            <wp:docPr id="7" name="图片 7" descr="城镇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城镇收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34290</wp:posOffset>
            </wp:positionV>
            <wp:extent cx="4578350" cy="2749550"/>
            <wp:effectExtent l="0" t="0" r="12700" b="12700"/>
            <wp:wrapNone/>
            <wp:docPr id="8" name="图片 8" descr="农村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农村收入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辖区（不含高新区）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城镇职工已参加基本医疗保险人数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居民已参加基本医疗保险人数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城乡居民已参加基本养老保险人数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机关事业单位已参加养老保险人数1.53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，企业职工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已参加基本养老保险人数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5.24万人（含恒口示范区）；辖区当年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离退休人员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城镇已参加失业保险人数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辖区（不含高新区）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城镇已参加生育保险人数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城镇已参加工伤保险人数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临时救助人数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1.27万人，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提供住宿的社会工作机构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个，提供住宿的社会工作机构床位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张，社区服务设施数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个。城镇居民最低生活保障人数达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人，农村居民最低生活保障人数达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44750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人，农村特困供养人数达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72" w:firstLineChars="147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72" w:firstLineChars="147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72" w:firstLineChars="147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72" w:firstLineChars="147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72" w:firstLineChars="147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72" w:firstLineChars="147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注释：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1.本公报部分指标数据为四季度快报数。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2.部分数据因四舍五入的原因，存在总计与分项合计不等的情况。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3.生产总值、各产业增加值绝对数按现价计算，增长速度按不变价计算。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4.邮电业务总量按20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年不变价格计算。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.本公报中辖区所指的范围是指包含高新区、恒口示范区、瀛湖旅游区在内，除专门标注外，汉滨区所指的范围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不含高新区、恒口示范区，但包含瀛湖旅游区。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当年辖区新增规模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工业企业、规模以上服务业企业、限额以上批发零售和住宿餐饮企业数是以上年度年报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企业数与当年新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企业数为准统计的。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30" w:firstLineChars="196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本公报资料来源：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1.邮电数据来自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市邮政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市移动公司、市电信公司和市联通公司。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2.文化、旅游数据来自区文旅广电局。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3.财政数据来自区财政局决算。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4.金融数据来自市人行。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5.教育数据来自高等学校和区教体局。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6.卫生数据来自区卫健局。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7.水利数据来自区水利局。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8.城镇建设数据来自区建设局。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9.环保数据来自区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环保局。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10.安全生产数据来自区应急管理局。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11.城镇就业、失业、社会保障数据来自区人力资源和社会保障局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区医保局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和区民政局。    </w:t>
      </w:r>
    </w:p>
    <w:sectPr>
      <w:footerReference r:id="rId3" w:type="default"/>
      <w:footerReference r:id="rId4" w:type="even"/>
      <w:pgSz w:w="11906" w:h="16838"/>
      <w:pgMar w:top="1701" w:right="1531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mExODM2ZTFhOWQ5NjUzYjZjYWQwNDhiMDQ5NjMifQ=="/>
  </w:docVars>
  <w:rsids>
    <w:rsidRoot w:val="00A22706"/>
    <w:rsid w:val="00003EFB"/>
    <w:rsid w:val="00086D93"/>
    <w:rsid w:val="000C4FD0"/>
    <w:rsid w:val="000C7C8B"/>
    <w:rsid w:val="000D67C9"/>
    <w:rsid w:val="00171C8C"/>
    <w:rsid w:val="00172FFC"/>
    <w:rsid w:val="001F4E65"/>
    <w:rsid w:val="0028228D"/>
    <w:rsid w:val="002A1985"/>
    <w:rsid w:val="003C2016"/>
    <w:rsid w:val="004526BC"/>
    <w:rsid w:val="00497085"/>
    <w:rsid w:val="004E14D0"/>
    <w:rsid w:val="004F7DCA"/>
    <w:rsid w:val="0057307B"/>
    <w:rsid w:val="005F2997"/>
    <w:rsid w:val="006150D6"/>
    <w:rsid w:val="006C276A"/>
    <w:rsid w:val="007A3664"/>
    <w:rsid w:val="007C6895"/>
    <w:rsid w:val="007C6D83"/>
    <w:rsid w:val="008040C5"/>
    <w:rsid w:val="0082448E"/>
    <w:rsid w:val="00880A70"/>
    <w:rsid w:val="008B45D6"/>
    <w:rsid w:val="00953270"/>
    <w:rsid w:val="00A10144"/>
    <w:rsid w:val="00A22706"/>
    <w:rsid w:val="00AB79BD"/>
    <w:rsid w:val="00AD0C3A"/>
    <w:rsid w:val="00C417AC"/>
    <w:rsid w:val="00C45216"/>
    <w:rsid w:val="00C7633F"/>
    <w:rsid w:val="00CC61AC"/>
    <w:rsid w:val="00CF12FC"/>
    <w:rsid w:val="00D6443A"/>
    <w:rsid w:val="00E6284A"/>
    <w:rsid w:val="00E82D3C"/>
    <w:rsid w:val="00EB52BD"/>
    <w:rsid w:val="00EF63B0"/>
    <w:rsid w:val="00F42A34"/>
    <w:rsid w:val="00F61A21"/>
    <w:rsid w:val="01145609"/>
    <w:rsid w:val="01E60B4A"/>
    <w:rsid w:val="01EF5D9A"/>
    <w:rsid w:val="02343063"/>
    <w:rsid w:val="030B47EA"/>
    <w:rsid w:val="033E2E83"/>
    <w:rsid w:val="03796EE7"/>
    <w:rsid w:val="04AD5190"/>
    <w:rsid w:val="051B40B6"/>
    <w:rsid w:val="05392C7E"/>
    <w:rsid w:val="05502988"/>
    <w:rsid w:val="05594596"/>
    <w:rsid w:val="05905454"/>
    <w:rsid w:val="05DA7C07"/>
    <w:rsid w:val="068B1EC9"/>
    <w:rsid w:val="069845E6"/>
    <w:rsid w:val="071219C0"/>
    <w:rsid w:val="0730783C"/>
    <w:rsid w:val="074F15B8"/>
    <w:rsid w:val="07B76CEE"/>
    <w:rsid w:val="07F90633"/>
    <w:rsid w:val="08602DE6"/>
    <w:rsid w:val="089963F4"/>
    <w:rsid w:val="08AC4379"/>
    <w:rsid w:val="08D236A1"/>
    <w:rsid w:val="095037EE"/>
    <w:rsid w:val="09540C99"/>
    <w:rsid w:val="095E1B17"/>
    <w:rsid w:val="0B0F5480"/>
    <w:rsid w:val="0B1D63A0"/>
    <w:rsid w:val="0B5224A3"/>
    <w:rsid w:val="0B7A2611"/>
    <w:rsid w:val="0BA852CC"/>
    <w:rsid w:val="0BC33EB3"/>
    <w:rsid w:val="0C063DA0"/>
    <w:rsid w:val="0C18268D"/>
    <w:rsid w:val="0CA75583"/>
    <w:rsid w:val="0CF67C2C"/>
    <w:rsid w:val="0DBF68FD"/>
    <w:rsid w:val="0DDC7406"/>
    <w:rsid w:val="0E4503D3"/>
    <w:rsid w:val="0E7A5166"/>
    <w:rsid w:val="0E8E2172"/>
    <w:rsid w:val="0E9C725F"/>
    <w:rsid w:val="0EB76AB3"/>
    <w:rsid w:val="0F580A7E"/>
    <w:rsid w:val="0F972E26"/>
    <w:rsid w:val="10847253"/>
    <w:rsid w:val="114A1D60"/>
    <w:rsid w:val="11965BC6"/>
    <w:rsid w:val="11995E91"/>
    <w:rsid w:val="11C42733"/>
    <w:rsid w:val="11C721FA"/>
    <w:rsid w:val="120C7C36"/>
    <w:rsid w:val="123A47A4"/>
    <w:rsid w:val="1266014D"/>
    <w:rsid w:val="1419368F"/>
    <w:rsid w:val="144F780E"/>
    <w:rsid w:val="14AB44D5"/>
    <w:rsid w:val="14EA7B72"/>
    <w:rsid w:val="15041962"/>
    <w:rsid w:val="161B72CE"/>
    <w:rsid w:val="165833EA"/>
    <w:rsid w:val="167A7DB1"/>
    <w:rsid w:val="16AB336D"/>
    <w:rsid w:val="175E37D8"/>
    <w:rsid w:val="17AC5E01"/>
    <w:rsid w:val="18552F7E"/>
    <w:rsid w:val="18887F9F"/>
    <w:rsid w:val="19040906"/>
    <w:rsid w:val="1A2B1136"/>
    <w:rsid w:val="1A450189"/>
    <w:rsid w:val="1ACC4407"/>
    <w:rsid w:val="1B2D1CCB"/>
    <w:rsid w:val="1B2D30F7"/>
    <w:rsid w:val="1B7326C5"/>
    <w:rsid w:val="1C1B78F6"/>
    <w:rsid w:val="1C56141B"/>
    <w:rsid w:val="1CE43C8A"/>
    <w:rsid w:val="1D2065A9"/>
    <w:rsid w:val="1EA65CDC"/>
    <w:rsid w:val="1F0A6153"/>
    <w:rsid w:val="20052895"/>
    <w:rsid w:val="2005627A"/>
    <w:rsid w:val="20453B09"/>
    <w:rsid w:val="21703D3E"/>
    <w:rsid w:val="219A18CA"/>
    <w:rsid w:val="220473ED"/>
    <w:rsid w:val="225A7E11"/>
    <w:rsid w:val="229512F7"/>
    <w:rsid w:val="23C03648"/>
    <w:rsid w:val="23C45A74"/>
    <w:rsid w:val="242C159B"/>
    <w:rsid w:val="2435126F"/>
    <w:rsid w:val="243C084F"/>
    <w:rsid w:val="24596D0B"/>
    <w:rsid w:val="247B1377"/>
    <w:rsid w:val="24F21C57"/>
    <w:rsid w:val="25B67503"/>
    <w:rsid w:val="26134077"/>
    <w:rsid w:val="26487037"/>
    <w:rsid w:val="265E25BE"/>
    <w:rsid w:val="274F261D"/>
    <w:rsid w:val="277E26B9"/>
    <w:rsid w:val="279F3713"/>
    <w:rsid w:val="27E83F29"/>
    <w:rsid w:val="2841081B"/>
    <w:rsid w:val="28892747"/>
    <w:rsid w:val="290556B4"/>
    <w:rsid w:val="29C941B3"/>
    <w:rsid w:val="2A0F067D"/>
    <w:rsid w:val="2A0F0896"/>
    <w:rsid w:val="2A6F478F"/>
    <w:rsid w:val="2A731B79"/>
    <w:rsid w:val="2B563421"/>
    <w:rsid w:val="2B621186"/>
    <w:rsid w:val="2B8B0751"/>
    <w:rsid w:val="2B9203AF"/>
    <w:rsid w:val="2BE34690"/>
    <w:rsid w:val="2C01778F"/>
    <w:rsid w:val="2C3D4E5D"/>
    <w:rsid w:val="2C5D5DEC"/>
    <w:rsid w:val="2CF848DC"/>
    <w:rsid w:val="2D0D0452"/>
    <w:rsid w:val="2D145EC5"/>
    <w:rsid w:val="2D83448C"/>
    <w:rsid w:val="2DBD610D"/>
    <w:rsid w:val="2E007B0F"/>
    <w:rsid w:val="2E1E4DFE"/>
    <w:rsid w:val="2E475B96"/>
    <w:rsid w:val="2F815C0B"/>
    <w:rsid w:val="2FA051E1"/>
    <w:rsid w:val="2FAF0127"/>
    <w:rsid w:val="30490C89"/>
    <w:rsid w:val="3051409E"/>
    <w:rsid w:val="308039E8"/>
    <w:rsid w:val="30E6401D"/>
    <w:rsid w:val="314E571E"/>
    <w:rsid w:val="31665A94"/>
    <w:rsid w:val="31C4323A"/>
    <w:rsid w:val="323F1C36"/>
    <w:rsid w:val="32922F41"/>
    <w:rsid w:val="32A74594"/>
    <w:rsid w:val="3307027A"/>
    <w:rsid w:val="331D26B7"/>
    <w:rsid w:val="334D461D"/>
    <w:rsid w:val="33962A97"/>
    <w:rsid w:val="35080B6F"/>
    <w:rsid w:val="35B72D4C"/>
    <w:rsid w:val="35F9432D"/>
    <w:rsid w:val="37376037"/>
    <w:rsid w:val="37D1142F"/>
    <w:rsid w:val="37DB3B4D"/>
    <w:rsid w:val="37FF210D"/>
    <w:rsid w:val="38387B0C"/>
    <w:rsid w:val="39736669"/>
    <w:rsid w:val="3A4B5033"/>
    <w:rsid w:val="3A595223"/>
    <w:rsid w:val="3B074AC6"/>
    <w:rsid w:val="3B091033"/>
    <w:rsid w:val="3B887C53"/>
    <w:rsid w:val="3CED228F"/>
    <w:rsid w:val="3DAF0D3B"/>
    <w:rsid w:val="3DBF1E7D"/>
    <w:rsid w:val="3E210442"/>
    <w:rsid w:val="3E5A77B3"/>
    <w:rsid w:val="3F0E5F2B"/>
    <w:rsid w:val="3F1C2170"/>
    <w:rsid w:val="40350C0D"/>
    <w:rsid w:val="40F57964"/>
    <w:rsid w:val="418D5B51"/>
    <w:rsid w:val="41B058F8"/>
    <w:rsid w:val="42790B68"/>
    <w:rsid w:val="42CF4458"/>
    <w:rsid w:val="43945548"/>
    <w:rsid w:val="43A31047"/>
    <w:rsid w:val="43A60480"/>
    <w:rsid w:val="444C5F47"/>
    <w:rsid w:val="44670B79"/>
    <w:rsid w:val="44675B6F"/>
    <w:rsid w:val="464A160C"/>
    <w:rsid w:val="464D01D7"/>
    <w:rsid w:val="464F175E"/>
    <w:rsid w:val="47B8159F"/>
    <w:rsid w:val="484C6FD0"/>
    <w:rsid w:val="48B76469"/>
    <w:rsid w:val="48C70EB4"/>
    <w:rsid w:val="48E629B4"/>
    <w:rsid w:val="491C7A2F"/>
    <w:rsid w:val="49671FC1"/>
    <w:rsid w:val="498A06A3"/>
    <w:rsid w:val="49980EBF"/>
    <w:rsid w:val="4A355616"/>
    <w:rsid w:val="4AB35ACA"/>
    <w:rsid w:val="4AC415A8"/>
    <w:rsid w:val="4AF73CAA"/>
    <w:rsid w:val="4B080A90"/>
    <w:rsid w:val="4B8F1C29"/>
    <w:rsid w:val="4BDA266D"/>
    <w:rsid w:val="4C06217B"/>
    <w:rsid w:val="4C794EE2"/>
    <w:rsid w:val="4CA270B8"/>
    <w:rsid w:val="4D2B684D"/>
    <w:rsid w:val="4D344701"/>
    <w:rsid w:val="4D403B35"/>
    <w:rsid w:val="4D812CAB"/>
    <w:rsid w:val="4E257ADB"/>
    <w:rsid w:val="4EF57107"/>
    <w:rsid w:val="4F981ECE"/>
    <w:rsid w:val="503D5FC5"/>
    <w:rsid w:val="504B09CE"/>
    <w:rsid w:val="50C2070C"/>
    <w:rsid w:val="51136310"/>
    <w:rsid w:val="515563BF"/>
    <w:rsid w:val="516D383D"/>
    <w:rsid w:val="51F37EF0"/>
    <w:rsid w:val="52816F9E"/>
    <w:rsid w:val="52A15B17"/>
    <w:rsid w:val="52C553E8"/>
    <w:rsid w:val="53146D34"/>
    <w:rsid w:val="537D2167"/>
    <w:rsid w:val="5541087D"/>
    <w:rsid w:val="55745BAF"/>
    <w:rsid w:val="56EE0CC7"/>
    <w:rsid w:val="574865E8"/>
    <w:rsid w:val="578B0AD8"/>
    <w:rsid w:val="57F90DDB"/>
    <w:rsid w:val="58542265"/>
    <w:rsid w:val="587D2D71"/>
    <w:rsid w:val="5915074C"/>
    <w:rsid w:val="595948A6"/>
    <w:rsid w:val="598D29D8"/>
    <w:rsid w:val="5A096502"/>
    <w:rsid w:val="5A0F163F"/>
    <w:rsid w:val="5ADF54B5"/>
    <w:rsid w:val="5BF82D97"/>
    <w:rsid w:val="5CB5025A"/>
    <w:rsid w:val="5CDE4D80"/>
    <w:rsid w:val="5D086F45"/>
    <w:rsid w:val="5D4F4A26"/>
    <w:rsid w:val="5D6415FC"/>
    <w:rsid w:val="5D757530"/>
    <w:rsid w:val="5DAF5613"/>
    <w:rsid w:val="5E111E29"/>
    <w:rsid w:val="5E2A2EEB"/>
    <w:rsid w:val="5E85199F"/>
    <w:rsid w:val="5EF14681"/>
    <w:rsid w:val="5F7E34EF"/>
    <w:rsid w:val="5F9521C5"/>
    <w:rsid w:val="5FAE2E3B"/>
    <w:rsid w:val="5FEE5F7F"/>
    <w:rsid w:val="60FB0DE5"/>
    <w:rsid w:val="62213805"/>
    <w:rsid w:val="6238154A"/>
    <w:rsid w:val="63780255"/>
    <w:rsid w:val="63B70BA4"/>
    <w:rsid w:val="63C829D3"/>
    <w:rsid w:val="63DA78BA"/>
    <w:rsid w:val="63E2685D"/>
    <w:rsid w:val="64151F48"/>
    <w:rsid w:val="64A1494B"/>
    <w:rsid w:val="65214356"/>
    <w:rsid w:val="65AA428E"/>
    <w:rsid w:val="660B715E"/>
    <w:rsid w:val="66C84488"/>
    <w:rsid w:val="67143F9C"/>
    <w:rsid w:val="672276F0"/>
    <w:rsid w:val="67A33EF1"/>
    <w:rsid w:val="67FD51CC"/>
    <w:rsid w:val="68303B19"/>
    <w:rsid w:val="68C03F98"/>
    <w:rsid w:val="68FC02AB"/>
    <w:rsid w:val="693966D8"/>
    <w:rsid w:val="69CD406E"/>
    <w:rsid w:val="6A070584"/>
    <w:rsid w:val="6A9B2592"/>
    <w:rsid w:val="6B560E7C"/>
    <w:rsid w:val="6C4D6722"/>
    <w:rsid w:val="6CA5662D"/>
    <w:rsid w:val="6CB37B19"/>
    <w:rsid w:val="6CCF6652"/>
    <w:rsid w:val="6D1F4312"/>
    <w:rsid w:val="6D3C6893"/>
    <w:rsid w:val="6D5308DD"/>
    <w:rsid w:val="6E17191D"/>
    <w:rsid w:val="6E3B39B7"/>
    <w:rsid w:val="6E8B6551"/>
    <w:rsid w:val="6EAC4745"/>
    <w:rsid w:val="6EAF22E3"/>
    <w:rsid w:val="6F5D002D"/>
    <w:rsid w:val="6F6C53DE"/>
    <w:rsid w:val="6F7E3BE7"/>
    <w:rsid w:val="70414654"/>
    <w:rsid w:val="711E068D"/>
    <w:rsid w:val="713D4226"/>
    <w:rsid w:val="719C3905"/>
    <w:rsid w:val="7325112F"/>
    <w:rsid w:val="73467980"/>
    <w:rsid w:val="73B3232A"/>
    <w:rsid w:val="73B47087"/>
    <w:rsid w:val="73ED5AAF"/>
    <w:rsid w:val="749A512C"/>
    <w:rsid w:val="74C13C24"/>
    <w:rsid w:val="74DD260E"/>
    <w:rsid w:val="755D1591"/>
    <w:rsid w:val="758C1062"/>
    <w:rsid w:val="759D5408"/>
    <w:rsid w:val="766308F1"/>
    <w:rsid w:val="766D7DC9"/>
    <w:rsid w:val="76DB493A"/>
    <w:rsid w:val="76FB7D40"/>
    <w:rsid w:val="77407DFE"/>
    <w:rsid w:val="77764653"/>
    <w:rsid w:val="78183855"/>
    <w:rsid w:val="783D77E2"/>
    <w:rsid w:val="7868106D"/>
    <w:rsid w:val="78A20C1B"/>
    <w:rsid w:val="79273948"/>
    <w:rsid w:val="7A210B49"/>
    <w:rsid w:val="7A3A62A3"/>
    <w:rsid w:val="7A4D602C"/>
    <w:rsid w:val="7A8F5BB9"/>
    <w:rsid w:val="7A9E45ED"/>
    <w:rsid w:val="7AEF75DF"/>
    <w:rsid w:val="7B094382"/>
    <w:rsid w:val="7C5A4544"/>
    <w:rsid w:val="7C9D1CD5"/>
    <w:rsid w:val="7D204E07"/>
    <w:rsid w:val="7D2C6D56"/>
    <w:rsid w:val="7D35681B"/>
    <w:rsid w:val="7D555C01"/>
    <w:rsid w:val="7D616AB4"/>
    <w:rsid w:val="7D981E4B"/>
    <w:rsid w:val="7E0B5800"/>
    <w:rsid w:val="7E3418A9"/>
    <w:rsid w:val="7E3B02D9"/>
    <w:rsid w:val="7E506AC0"/>
    <w:rsid w:val="7E5D3887"/>
    <w:rsid w:val="7E6416AA"/>
    <w:rsid w:val="7EBC7738"/>
    <w:rsid w:val="7EF7251E"/>
    <w:rsid w:val="7F2E7866"/>
    <w:rsid w:val="7F68753F"/>
    <w:rsid w:val="7F9562A7"/>
    <w:rsid w:val="7FDE29E0"/>
    <w:rsid w:val="7FE80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Char Char Char Char Char Char Char Char Char Char Char Char Char"/>
    <w:basedOn w:val="1"/>
    <w:qFormat/>
    <w:uiPriority w:val="0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16</Pages>
  <Words>5042</Words>
  <Characters>6456</Characters>
  <Lines>47</Lines>
  <Paragraphs>13</Paragraphs>
  <TotalTime>125</TotalTime>
  <ScaleCrop>false</ScaleCrop>
  <LinksUpToDate>false</LinksUpToDate>
  <CharactersWithSpaces>6541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2020-04-03T02:16:00Z</dcterms:created>
  <dc:creator>wanghuifang</dc:creator>
  <cp:lastModifiedBy>会说法语优雅的猪</cp:lastModifiedBy>
  <cp:lastPrinted>2023-03-23T02:06:00Z</cp:lastPrinted>
  <dcterms:modified xsi:type="dcterms:W3CDTF">2023-05-12T03:05:31Z</dcterms:modified>
  <dc:title>2019年汉滨区国民经济和社会发展统计公报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4B979195E71E431DB35184F760E1FB50</vt:lpwstr>
  </property>
</Properties>
</file>