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安康市汉滨区</w:t>
      </w:r>
      <w:r>
        <w:rPr>
          <w:rFonts w:hint="eastAsia"/>
          <w:b/>
          <w:bCs/>
          <w:sz w:val="28"/>
          <w:szCs w:val="28"/>
        </w:rPr>
        <w:t>消防救援大队202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月份临时查封</w:t>
      </w:r>
      <w:r>
        <w:rPr>
          <w:rFonts w:hint="eastAsia"/>
          <w:b/>
          <w:bCs/>
          <w:sz w:val="28"/>
          <w:szCs w:val="28"/>
          <w:lang w:eastAsia="zh-CN"/>
        </w:rPr>
        <w:t>公示</w:t>
      </w:r>
      <w:r>
        <w:rPr>
          <w:rFonts w:hint="eastAsia"/>
          <w:b/>
          <w:bCs/>
          <w:sz w:val="28"/>
          <w:szCs w:val="28"/>
        </w:rPr>
        <w:t>清单</w:t>
      </w:r>
    </w:p>
    <w:tbl>
      <w:tblPr>
        <w:tblStyle w:val="3"/>
        <w:tblpPr w:leftFromText="180" w:rightFromText="180" w:vertAnchor="page" w:horzAnchor="page" w:tblpX="1746" w:tblpY="172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汉滨区江北天使幼儿园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在教学楼第四层设置儿童用房，不符合《建筑设计防火规范》GB50016-2014 （2018 年版）第 5.4.4 条相关规定，违反了《中华人民共和国消防法》第十六条 第一款第五项之规定。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汉滨消封字〔2023〕第 0004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2023/2/6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杨阳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(主)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汉滨区英才幼儿园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在建筑第四层设置儿童用房，不符合《建筑设计防火规范》GB50016-2014 （2018 年版）第 5.4.4 条相关规定， 违反了《中华人民共和国消防法》第十六条 第一款第五项之规定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汉滨消封字〔2023〕第 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2023/2/3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杨阳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(主)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</w:rPr>
              <w:t>、刘洋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BB7033F"/>
    <w:rsid w:val="0BB7033F"/>
    <w:rsid w:val="0E6966C6"/>
    <w:rsid w:val="1A4C3879"/>
    <w:rsid w:val="287A3485"/>
    <w:rsid w:val="5FEA6A42"/>
    <w:rsid w:val="650E0CD7"/>
    <w:rsid w:val="682E7E02"/>
    <w:rsid w:val="78C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316</Characters>
  <Lines>0</Lines>
  <Paragraphs>0</Paragraphs>
  <TotalTime>0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Administrator</cp:lastModifiedBy>
  <cp:lastPrinted>2022-12-01T06:44:00Z</cp:lastPrinted>
  <dcterms:modified xsi:type="dcterms:W3CDTF">2023-03-07T07:02:14Z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A367183EABDD4505BDCC11EB4E11113A</vt:lpwstr>
  </property>
</Properties>
</file>