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default" w:ascii="Times New Roman" w:hAnsi="Times New Roman" w:eastAsia="宋体" w:cs="Times New Roman"/>
          <w:bCs/>
          <w:sz w:val="72"/>
          <w:szCs w:val="72"/>
        </w:rPr>
      </w:pPr>
      <w:r>
        <w:rPr>
          <w:rFonts w:hint="default" w:ascii="Times New Roman" w:hAnsi="Times New Roman" w:eastAsia="宋体" w:cs="Times New Roman"/>
          <w:bCs/>
          <w:sz w:val="72"/>
          <w:szCs w:val="72"/>
        </w:rPr>
        <w:t>建设项目环境影响报告表</w:t>
      </w:r>
    </w:p>
    <w:p>
      <w:pPr>
        <w:adjustRightInd w:val="0"/>
        <w:snapToGrid w:val="0"/>
        <w:spacing w:before="192" w:beforeLines="80"/>
        <w:jc w:val="center"/>
        <w:rPr>
          <w:rFonts w:hint="default" w:ascii="Times New Roman" w:hAnsi="Times New Roman" w:eastAsia="宋体" w:cs="Times New Roman"/>
          <w:bCs/>
          <w:sz w:val="48"/>
          <w:szCs w:val="48"/>
        </w:rPr>
      </w:pPr>
      <w:r>
        <w:rPr>
          <w:rFonts w:hint="default" w:ascii="Times New Roman" w:hAnsi="Times New Roman" w:eastAsia="宋体" w:cs="Times New Roman"/>
          <w:bCs/>
          <w:sz w:val="48"/>
          <w:szCs w:val="48"/>
        </w:rPr>
        <w:t>（污染影响类）</w:t>
      </w:r>
    </w:p>
    <w:p>
      <w:pPr>
        <w:adjustRightInd w:val="0"/>
        <w:snapToGrid w:val="0"/>
        <w:spacing w:line="288" w:lineRule="auto"/>
        <w:jc w:val="center"/>
        <w:outlineLvl w:val="0"/>
        <w:rPr>
          <w:rFonts w:hint="default" w:ascii="Times New Roman" w:hAnsi="Times New Roman" w:eastAsia="宋体" w:cs="Times New Roman"/>
          <w:color w:val="000000"/>
          <w:kern w:val="44"/>
          <w:sz w:val="44"/>
          <w:szCs w:val="44"/>
        </w:rPr>
      </w:pPr>
    </w:p>
    <w:p>
      <w:pPr>
        <w:jc w:val="center"/>
        <w:rPr>
          <w:rFonts w:hint="default" w:ascii="Times New Roman" w:hAnsi="Times New Roman" w:eastAsia="宋体" w:cs="Times New Roman"/>
          <w:sz w:val="52"/>
          <w:szCs w:val="52"/>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adjustRightInd w:val="0"/>
        <w:snapToGrid w:val="0"/>
        <w:spacing w:line="288" w:lineRule="auto"/>
        <w:ind w:firstLine="1040"/>
        <w:rPr>
          <w:rFonts w:hint="default" w:ascii="Times New Roman" w:hAnsi="Times New Roman" w:eastAsia="宋体" w:cs="Times New Roman"/>
          <w:sz w:val="36"/>
          <w:szCs w:val="36"/>
          <w:u w:val="single"/>
        </w:rPr>
      </w:pPr>
      <w:r>
        <w:rPr>
          <w:rFonts w:hint="default" w:ascii="Times New Roman" w:hAnsi="Times New Roman" w:eastAsia="宋体" w:cs="Times New Roman"/>
          <w:sz w:val="36"/>
          <w:szCs w:val="36"/>
        </w:rPr>
        <w:t>项目名称：</w:t>
      </w:r>
      <w:r>
        <w:rPr>
          <w:rFonts w:hint="eastAsia" w:cs="Times New Roman"/>
          <w:bCs/>
          <w:color w:val="000000" w:themeColor="text1"/>
          <w:sz w:val="32"/>
          <w:szCs w:val="32"/>
          <w:u w:val="single"/>
          <w:lang w:val="en-US" w:eastAsia="zh-CN"/>
          <w14:textFill>
            <w14:solidFill>
              <w14:schemeClr w14:val="tx1"/>
            </w14:solidFill>
          </w14:textFill>
        </w:rPr>
        <w:t>安康天宇顺采石石门子辉绿岩矿</w:t>
      </w:r>
      <w:r>
        <w:rPr>
          <w:rFonts w:hint="default" w:ascii="Times New Roman" w:hAnsi="Times New Roman" w:eastAsia="宋体" w:cs="Times New Roman"/>
          <w:sz w:val="36"/>
          <w:szCs w:val="36"/>
          <w:u w:val="single"/>
        </w:rPr>
        <w:t xml:space="preserve">                          </w:t>
      </w:r>
    </w:p>
    <w:p>
      <w:pPr>
        <w:adjustRightInd w:val="0"/>
        <w:snapToGrid w:val="0"/>
        <w:spacing w:line="288" w:lineRule="auto"/>
        <w:ind w:firstLine="1040"/>
        <w:rPr>
          <w:rFonts w:hint="default" w:ascii="Times New Roman" w:hAnsi="Times New Roman" w:eastAsia="宋体" w:cs="Times New Roman"/>
          <w:sz w:val="36"/>
          <w:szCs w:val="36"/>
          <w:u w:val="single"/>
        </w:rPr>
      </w:pPr>
      <w:r>
        <w:rPr>
          <w:rFonts w:hint="default" w:ascii="Times New Roman" w:hAnsi="Times New Roman" w:eastAsia="宋体" w:cs="Times New Roman"/>
          <w:sz w:val="36"/>
          <w:szCs w:val="36"/>
        </w:rPr>
        <w:t>建设单位（盖章）：</w:t>
      </w:r>
      <w:r>
        <w:rPr>
          <w:rFonts w:hint="default" w:ascii="Times New Roman" w:hAnsi="Times New Roman" w:eastAsia="宋体" w:cs="Times New Roman"/>
          <w:bCs/>
          <w:color w:val="000000" w:themeColor="text1"/>
          <w:sz w:val="32"/>
          <w:szCs w:val="32"/>
          <w:u w:val="single"/>
          <w14:textFill>
            <w14:solidFill>
              <w14:schemeClr w14:val="tx1"/>
            </w14:solidFill>
          </w14:textFill>
        </w:rPr>
        <w:t>安康</w:t>
      </w:r>
      <w:r>
        <w:rPr>
          <w:rFonts w:hint="default" w:ascii="Times New Roman" w:hAnsi="Times New Roman" w:eastAsia="宋体" w:cs="Times New Roman"/>
          <w:bCs/>
          <w:color w:val="000000" w:themeColor="text1"/>
          <w:sz w:val="32"/>
          <w:szCs w:val="32"/>
          <w:u w:val="single"/>
          <w:lang w:val="en-US" w:eastAsia="zh-CN"/>
          <w14:textFill>
            <w14:solidFill>
              <w14:schemeClr w14:val="tx1"/>
            </w14:solidFill>
          </w14:textFill>
        </w:rPr>
        <w:t>天宇顺采石有限公司</w:t>
      </w:r>
      <w:r>
        <w:rPr>
          <w:rFonts w:hint="default" w:ascii="Times New Roman" w:hAnsi="Times New Roman" w:eastAsia="宋体" w:cs="Times New Roman"/>
          <w:sz w:val="36"/>
          <w:szCs w:val="36"/>
          <w:u w:val="single"/>
        </w:rPr>
        <w:t xml:space="preserve">                   </w:t>
      </w:r>
    </w:p>
    <w:p>
      <w:pPr>
        <w:adjustRightInd w:val="0"/>
        <w:snapToGrid w:val="0"/>
        <w:spacing w:line="288" w:lineRule="auto"/>
        <w:ind w:firstLine="1040"/>
        <w:rPr>
          <w:rFonts w:hint="default" w:ascii="Times New Roman" w:hAnsi="Times New Roman" w:eastAsia="宋体" w:cs="Times New Roman"/>
          <w:sz w:val="36"/>
          <w:szCs w:val="36"/>
          <w:u w:val="single"/>
        </w:rPr>
      </w:pPr>
      <w:r>
        <w:rPr>
          <w:rFonts w:hint="default" w:ascii="Times New Roman" w:hAnsi="Times New Roman" w:eastAsia="宋体" w:cs="Times New Roman"/>
          <w:sz w:val="36"/>
          <w:szCs w:val="36"/>
        </w:rPr>
        <w:t>编制日期：</w:t>
      </w:r>
      <w:r>
        <w:rPr>
          <w:rFonts w:hint="default" w:ascii="Times New Roman" w:hAnsi="Times New Roman" w:eastAsia="宋体" w:cs="Times New Roman"/>
          <w:sz w:val="36"/>
          <w:szCs w:val="36"/>
          <w:u w:val="single"/>
        </w:rPr>
        <w:t xml:space="preserve">  </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u w:val="single"/>
          <w:lang w:val="en-US" w:eastAsia="zh-CN"/>
        </w:rPr>
        <w:t>2022年</w:t>
      </w:r>
      <w:r>
        <w:rPr>
          <w:rFonts w:hint="eastAsia" w:cs="Times New Roman"/>
          <w:sz w:val="32"/>
          <w:szCs w:val="32"/>
          <w:u w:val="single"/>
          <w:lang w:val="en-US" w:eastAsia="zh-CN"/>
        </w:rPr>
        <w:t>9</w:t>
      </w:r>
      <w:r>
        <w:rPr>
          <w:rFonts w:hint="default" w:ascii="Times New Roman" w:hAnsi="Times New Roman" w:eastAsia="宋体" w:cs="Times New Roman"/>
          <w:sz w:val="32"/>
          <w:szCs w:val="32"/>
          <w:u w:val="single"/>
          <w:lang w:val="en-US" w:eastAsia="zh-CN"/>
        </w:rPr>
        <w:t>月</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宋体" w:hAnsi="宋体" w:eastAsia="宋体" w:cs="宋体"/>
          <w:sz w:val="36"/>
          <w:szCs w:val="36"/>
        </w:rPr>
      </w:pPr>
      <w:r>
        <w:rPr>
          <w:rFonts w:hint="eastAsia" w:ascii="宋体" w:hAnsi="宋体" w:eastAsia="宋体" w:cs="宋体"/>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5" w:type="default"/>
          <w:footerReference r:id="rId6" w:type="even"/>
          <w:pgSz w:w="11906" w:h="16838"/>
          <w:pgMar w:top="1701" w:right="1531" w:bottom="1701" w:left="1531" w:header="851" w:footer="1077" w:gutter="0"/>
          <w:pgNumType w:start="3"/>
          <w:cols w:space="720" w:num="1"/>
          <w:docGrid w:linePitch="312" w:charSpace="0"/>
        </w:sectPr>
      </w:pPr>
    </w:p>
    <w:p>
      <w:pPr>
        <w:pStyle w:val="15"/>
        <w:jc w:val="center"/>
        <w:outlineLvl w:val="0"/>
        <w:rPr>
          <w:rFonts w:hint="eastAsia" w:ascii="宋体" w:hAnsi="宋体" w:eastAsia="宋体" w:cs="宋体"/>
          <w:b/>
          <w:bCs/>
          <w:snapToGrid w:val="0"/>
          <w:sz w:val="30"/>
          <w:szCs w:val="30"/>
        </w:rPr>
      </w:pPr>
      <w:r>
        <w:rPr>
          <w:rFonts w:hint="eastAsia" w:ascii="宋体" w:hAnsi="宋体" w:eastAsia="宋体" w:cs="宋体"/>
          <w:b/>
          <w:bCs/>
          <w:snapToGrid w:val="0"/>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29"/>
        <w:gridCol w:w="2653"/>
        <w:gridCol w:w="1627"/>
        <w:gridCol w:w="30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9"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建设项目名称</w:t>
            </w:r>
          </w:p>
        </w:tc>
        <w:tc>
          <w:tcPr>
            <w:tcW w:w="7341" w:type="dxa"/>
            <w:gridSpan w:val="3"/>
            <w:noWrap w:val="0"/>
            <w:vAlign w:val="center"/>
          </w:tcPr>
          <w:p>
            <w:pPr>
              <w:adjustRightInd w:val="0"/>
              <w:snapToGrid w:val="0"/>
              <w:jc w:val="center"/>
              <w:rPr>
                <w:rFonts w:hint="default" w:ascii="宋体" w:hAnsi="宋体" w:eastAsia="宋体" w:cs="宋体"/>
                <w:sz w:val="21"/>
                <w:szCs w:val="21"/>
                <w:lang w:val="en-US" w:eastAsia="zh-CN"/>
              </w:rPr>
            </w:pPr>
            <w:r>
              <w:rPr>
                <w:rFonts w:hint="eastAsia" w:cs="Times New Roman"/>
                <w:sz w:val="21"/>
                <w:szCs w:val="21"/>
                <w:lang w:val="en-US" w:eastAsia="zh-CN"/>
              </w:rPr>
              <w:t>安康天宇顺采石石门子辉绿岩矿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9"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项目代码</w:t>
            </w:r>
          </w:p>
        </w:tc>
        <w:tc>
          <w:tcPr>
            <w:tcW w:w="7341" w:type="dxa"/>
            <w:gridSpan w:val="3"/>
            <w:noWrap w:val="0"/>
            <w:vAlign w:val="center"/>
          </w:tcPr>
          <w:p>
            <w:pPr>
              <w:adjustRightInd w:val="0"/>
              <w:snapToGrid w:val="0"/>
              <w:jc w:val="center"/>
              <w:rPr>
                <w:rFonts w:hint="default" w:ascii="宋体" w:hAnsi="宋体" w:eastAsia="宋体" w:cs="宋体"/>
                <w:sz w:val="21"/>
                <w:szCs w:val="21"/>
                <w:lang w:val="en-US" w:eastAsia="zh-CN"/>
              </w:rPr>
            </w:pPr>
            <w:r>
              <w:rPr>
                <w:rFonts w:hint="default" w:ascii="Times New Roman" w:hAnsi="Times New Roman" w:cs="Times New Roman"/>
                <w:sz w:val="21"/>
                <w:szCs w:val="21"/>
                <w:lang w:val="en-US" w:eastAsia="zh-CN"/>
              </w:rPr>
              <w:t>2206-610962-04-02-372173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9" w:type="dxa"/>
            <w:noWrap w:val="0"/>
            <w:tcMar>
              <w:top w:w="16" w:type="dxa"/>
              <w:left w:w="16" w:type="dxa"/>
              <w:right w:w="16"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建设单位联系人</w:t>
            </w:r>
          </w:p>
        </w:tc>
        <w:tc>
          <w:tcPr>
            <w:tcW w:w="2653" w:type="dxa"/>
            <w:noWrap w:val="0"/>
            <w:vAlign w:val="center"/>
          </w:tcPr>
          <w:p>
            <w:pPr>
              <w:adjustRightInd w:val="0"/>
              <w:snapToGrid w:val="0"/>
              <w:jc w:val="center"/>
              <w:rPr>
                <w:rFonts w:hint="eastAsia" w:ascii="宋体" w:hAnsi="宋体" w:eastAsia="宋体" w:cs="宋体"/>
                <w:sz w:val="21"/>
                <w:szCs w:val="21"/>
                <w:lang w:val="en-US" w:eastAsia="zh-CN"/>
              </w:rPr>
            </w:pPr>
            <w:r>
              <w:rPr>
                <w:rFonts w:ascii="宋体" w:hAnsi="宋体" w:cs="宋体"/>
                <w:sz w:val="21"/>
                <w:szCs w:val="21"/>
              </w:rPr>
              <w:t>彭象</w:t>
            </w:r>
            <w:r>
              <w:rPr>
                <w:rFonts w:hint="eastAsia" w:ascii="宋体" w:hAnsi="宋体" w:cs="宋体"/>
                <w:sz w:val="21"/>
                <w:szCs w:val="21"/>
                <w:lang w:val="en-US" w:eastAsia="zh-CN"/>
              </w:rPr>
              <w:t>象</w:t>
            </w:r>
          </w:p>
        </w:tc>
        <w:tc>
          <w:tcPr>
            <w:tcW w:w="1627"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联系方式</w:t>
            </w:r>
          </w:p>
        </w:tc>
        <w:tc>
          <w:tcPr>
            <w:tcW w:w="3061"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1</w:t>
            </w:r>
            <w:r>
              <w:rPr>
                <w:rFonts w:hint="eastAsia" w:cs="Times New Roman"/>
                <w:sz w:val="21"/>
                <w:szCs w:val="21"/>
                <w:lang w:val="en-US" w:eastAsia="zh-CN"/>
              </w:rPr>
              <w:t>3991527307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9"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建设地点</w:t>
            </w:r>
          </w:p>
        </w:tc>
        <w:tc>
          <w:tcPr>
            <w:tcW w:w="7341" w:type="dxa"/>
            <w:gridSpan w:val="3"/>
            <w:noWrap w:val="0"/>
            <w:vAlign w:val="center"/>
          </w:tcPr>
          <w:p>
            <w:pPr>
              <w:adjustRightInd w:val="0"/>
              <w:snapToGrid w:val="0"/>
              <w:jc w:val="center"/>
              <w:rPr>
                <w:rFonts w:ascii="宋体" w:hAnsi="宋体" w:cs="宋体"/>
                <w:sz w:val="21"/>
                <w:szCs w:val="21"/>
              </w:rPr>
            </w:pPr>
            <w:r>
              <w:rPr>
                <w:rFonts w:ascii="宋体" w:hAnsi="宋体" w:cs="宋体"/>
                <w:sz w:val="21"/>
                <w:szCs w:val="21"/>
                <w:u w:val="single"/>
              </w:rPr>
              <w:t xml:space="preserve">  </w:t>
            </w:r>
            <w:r>
              <w:rPr>
                <w:rFonts w:hint="eastAsia" w:ascii="宋体" w:hAnsi="宋体" w:cs="宋体"/>
                <w:sz w:val="21"/>
                <w:szCs w:val="21"/>
                <w:u w:val="single"/>
                <w:lang w:val="en-US" w:eastAsia="zh-CN"/>
              </w:rPr>
              <w:t>陕西</w:t>
            </w:r>
            <w:r>
              <w:rPr>
                <w:rFonts w:ascii="宋体" w:hAnsi="宋体" w:cs="宋体"/>
                <w:sz w:val="21"/>
                <w:szCs w:val="21"/>
                <w:u w:val="single"/>
              </w:rPr>
              <w:t xml:space="preserve">  </w:t>
            </w:r>
            <w:r>
              <w:rPr>
                <w:rFonts w:hint="eastAsia" w:ascii="宋体" w:hAnsi="宋体" w:cs="宋体"/>
                <w:sz w:val="21"/>
                <w:szCs w:val="21"/>
              </w:rPr>
              <w:t>省</w:t>
            </w:r>
            <w:r>
              <w:rPr>
                <w:rFonts w:ascii="宋体" w:hAnsi="宋体" w:cs="宋体"/>
                <w:sz w:val="21"/>
                <w:szCs w:val="21"/>
                <w:u w:val="single"/>
              </w:rPr>
              <w:t xml:space="preserve"> </w:t>
            </w:r>
            <w:r>
              <w:rPr>
                <w:rFonts w:hint="eastAsia" w:ascii="宋体" w:hAnsi="宋体" w:cs="宋体"/>
                <w:sz w:val="21"/>
                <w:szCs w:val="21"/>
                <w:u w:val="single"/>
                <w:lang w:val="en-US" w:eastAsia="zh-CN"/>
              </w:rPr>
              <w:t>安康</w:t>
            </w:r>
            <w:r>
              <w:rPr>
                <w:rFonts w:ascii="宋体" w:hAnsi="宋体" w:cs="宋体"/>
                <w:sz w:val="21"/>
                <w:szCs w:val="21"/>
                <w:u w:val="single"/>
              </w:rPr>
              <w:t xml:space="preserve">  </w:t>
            </w:r>
            <w:r>
              <w:rPr>
                <w:rFonts w:hint="eastAsia" w:ascii="宋体" w:hAnsi="宋体" w:cs="宋体"/>
                <w:sz w:val="21"/>
                <w:szCs w:val="21"/>
              </w:rPr>
              <w:t>市</w:t>
            </w:r>
            <w:r>
              <w:rPr>
                <w:rFonts w:ascii="宋体" w:hAnsi="宋体" w:cs="宋体"/>
                <w:sz w:val="21"/>
                <w:szCs w:val="21"/>
                <w:u w:val="single"/>
              </w:rPr>
              <w:t xml:space="preserve">  </w:t>
            </w:r>
            <w:r>
              <w:rPr>
                <w:rFonts w:hint="eastAsia" w:ascii="宋体" w:hAnsi="宋体" w:cs="宋体"/>
                <w:sz w:val="21"/>
                <w:szCs w:val="21"/>
                <w:u w:val="single"/>
                <w:lang w:val="en-US" w:eastAsia="zh-CN"/>
              </w:rPr>
              <w:t>汉滨</w:t>
            </w:r>
            <w:r>
              <w:rPr>
                <w:rFonts w:ascii="宋体" w:hAnsi="宋体" w:cs="宋体"/>
                <w:sz w:val="21"/>
                <w:szCs w:val="21"/>
                <w:u w:val="single"/>
              </w:rPr>
              <w:t xml:space="preserve">  </w:t>
            </w:r>
            <w:r>
              <w:rPr>
                <w:rFonts w:hint="eastAsia" w:ascii="宋体" w:hAnsi="宋体" w:cs="宋体"/>
                <w:sz w:val="21"/>
                <w:szCs w:val="21"/>
              </w:rPr>
              <w:t>区</w:t>
            </w:r>
            <w:r>
              <w:rPr>
                <w:rFonts w:ascii="宋体" w:hAnsi="宋体" w:cs="宋体"/>
                <w:sz w:val="21"/>
                <w:szCs w:val="21"/>
                <w:u w:val="single"/>
              </w:rPr>
              <w:t xml:space="preserve"> </w:t>
            </w:r>
            <w:r>
              <w:rPr>
                <w:rFonts w:hint="eastAsia" w:ascii="宋体" w:hAnsi="宋体" w:cs="宋体"/>
                <w:sz w:val="21"/>
                <w:szCs w:val="21"/>
                <w:u w:val="single"/>
                <w:lang w:val="en-US" w:eastAsia="zh-CN"/>
              </w:rPr>
              <w:t>梅子铺</w:t>
            </w:r>
            <w:r>
              <w:rPr>
                <w:rFonts w:ascii="宋体" w:hAnsi="宋体" w:cs="宋体"/>
                <w:sz w:val="21"/>
                <w:szCs w:val="21"/>
                <w:u w:val="single"/>
              </w:rPr>
              <w:t xml:space="preserve">  </w:t>
            </w:r>
            <w:r>
              <w:rPr>
                <w:rFonts w:hint="eastAsia" w:ascii="宋体" w:hAnsi="宋体" w:cs="宋体"/>
                <w:sz w:val="21"/>
                <w:szCs w:val="21"/>
                <w:lang w:val="en-US" w:eastAsia="zh-CN"/>
              </w:rPr>
              <w:t>镇</w:t>
            </w:r>
            <w:r>
              <w:rPr>
                <w:rFonts w:ascii="宋体" w:hAnsi="宋体" w:cs="宋体"/>
                <w:sz w:val="21"/>
                <w:szCs w:val="21"/>
                <w:u w:val="single"/>
              </w:rPr>
              <w:t xml:space="preserve">  奎星村三组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9"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地理坐标</w:t>
            </w:r>
          </w:p>
        </w:tc>
        <w:tc>
          <w:tcPr>
            <w:tcW w:w="7341" w:type="dxa"/>
            <w:gridSpan w:val="3"/>
            <w:noWrap w:val="0"/>
            <w:vAlign w:val="center"/>
          </w:tcPr>
          <w:p>
            <w:pPr>
              <w:jc w:val="center"/>
              <w:rPr>
                <w:rFonts w:hint="eastAsia" w:ascii="宋体" w:hAnsi="宋体" w:cs="宋体"/>
                <w:sz w:val="21"/>
                <w:szCs w:val="21"/>
              </w:rPr>
            </w:pPr>
            <w:r>
              <w:rPr>
                <w:rFonts w:hint="eastAsia" w:ascii="Times New Roman" w:hAnsi="Times New Roman" w:eastAsia="宋体" w:cs="Times New Roman"/>
                <w:sz w:val="21"/>
                <w:szCs w:val="21"/>
                <w:lang w:val="en-US" w:eastAsia="zh-CN"/>
              </w:rPr>
              <w:t>东经108°43</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42</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；北纬32°48</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27</w:t>
            </w:r>
            <w:r>
              <w:rPr>
                <w:rFonts w:hint="default" w:ascii="Times New Roman" w:hAnsi="Times New Roman" w:eastAsia="宋体"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29" w:type="dxa"/>
            <w:noWrap w:val="0"/>
            <w:tcMar>
              <w:top w:w="16" w:type="dxa"/>
              <w:left w:w="16" w:type="dxa"/>
              <w:right w:w="16"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国民经济</w:t>
            </w:r>
          </w:p>
          <w:p>
            <w:pPr>
              <w:adjustRightInd w:val="0"/>
              <w:snapToGrid w:val="0"/>
              <w:jc w:val="center"/>
              <w:rPr>
                <w:rFonts w:ascii="宋体" w:hAnsi="宋体" w:cs="宋体"/>
                <w:sz w:val="21"/>
                <w:szCs w:val="21"/>
              </w:rPr>
            </w:pPr>
            <w:r>
              <w:rPr>
                <w:rFonts w:hint="eastAsia" w:ascii="宋体" w:hAnsi="宋体" w:cs="宋体"/>
                <w:sz w:val="21"/>
                <w:szCs w:val="21"/>
              </w:rPr>
              <w:t>行业类别</w:t>
            </w:r>
          </w:p>
        </w:tc>
        <w:tc>
          <w:tcPr>
            <w:tcW w:w="2653" w:type="dxa"/>
            <w:noWrap w:val="0"/>
            <w:vAlign w:val="center"/>
          </w:tcPr>
          <w:p>
            <w:pPr>
              <w:adjustRightInd w:val="0"/>
              <w:snapToGrid w:val="0"/>
              <w:jc w:val="center"/>
              <w:rPr>
                <w:rFonts w:ascii="宋体" w:hAnsi="宋体" w:cs="宋体"/>
                <w:sz w:val="21"/>
                <w:szCs w:val="21"/>
                <w:highlight w:val="none"/>
              </w:rPr>
            </w:pPr>
            <w:r>
              <w:rPr>
                <w:rFonts w:hint="eastAsia" w:cs="Times New Roman"/>
                <w:sz w:val="21"/>
                <w:szCs w:val="21"/>
                <w:highlight w:val="none"/>
                <w:lang w:val="en-US" w:eastAsia="zh-CN"/>
              </w:rPr>
              <w:t>B采矿业10非金属矿采选业</w:t>
            </w:r>
            <w:r>
              <w:rPr>
                <w:rFonts w:hint="default" w:ascii="Times New Roman" w:hAnsi="Times New Roman" w:cs="Times New Roman"/>
                <w:sz w:val="21"/>
                <w:szCs w:val="21"/>
                <w:highlight w:val="none"/>
              </w:rPr>
              <w:t>；</w:t>
            </w:r>
          </w:p>
        </w:tc>
        <w:tc>
          <w:tcPr>
            <w:tcW w:w="1627" w:type="dxa"/>
            <w:noWrap w:val="0"/>
            <w:vAlign w:val="center"/>
          </w:tcPr>
          <w:p>
            <w:pPr>
              <w:adjustRightInd w:val="0"/>
              <w:snapToGrid w:val="0"/>
              <w:jc w:val="center"/>
              <w:rPr>
                <w:rFonts w:ascii="宋体" w:hAnsi="宋体" w:cs="宋体"/>
                <w:sz w:val="21"/>
                <w:szCs w:val="21"/>
                <w:highlight w:val="none"/>
              </w:rPr>
            </w:pPr>
            <w:bookmarkStart w:id="1" w:name="_Hlk49843745"/>
            <w:r>
              <w:rPr>
                <w:rFonts w:hint="eastAsia" w:ascii="宋体" w:hAnsi="宋体" w:cs="宋体"/>
                <w:sz w:val="21"/>
                <w:szCs w:val="21"/>
                <w:highlight w:val="none"/>
              </w:rPr>
              <w:t>建设项目</w:t>
            </w:r>
          </w:p>
          <w:p>
            <w:pPr>
              <w:adjustRightInd w:val="0"/>
              <w:snapToGrid w:val="0"/>
              <w:jc w:val="center"/>
              <w:rPr>
                <w:rFonts w:ascii="宋体" w:hAnsi="宋体" w:cs="宋体"/>
                <w:sz w:val="21"/>
                <w:szCs w:val="21"/>
                <w:highlight w:val="none"/>
              </w:rPr>
            </w:pPr>
            <w:r>
              <w:rPr>
                <w:rFonts w:hint="eastAsia" w:ascii="宋体" w:hAnsi="宋体" w:cs="宋体"/>
                <w:sz w:val="21"/>
                <w:szCs w:val="21"/>
                <w:highlight w:val="none"/>
              </w:rPr>
              <w:t>行业类别</w:t>
            </w:r>
            <w:bookmarkEnd w:id="1"/>
          </w:p>
        </w:tc>
        <w:tc>
          <w:tcPr>
            <w:tcW w:w="3061" w:type="dxa"/>
            <w:noWrap w:val="0"/>
            <w:vAlign w:val="center"/>
          </w:tcPr>
          <w:p>
            <w:pPr>
              <w:adjustRightInd w:val="0"/>
              <w:snapToGrid w:val="0"/>
              <w:rPr>
                <w:rFonts w:hint="default" w:ascii="宋体" w:hAnsi="宋体" w:eastAsia="宋体" w:cs="宋体"/>
                <w:sz w:val="21"/>
                <w:szCs w:val="21"/>
                <w:highlight w:val="none"/>
                <w:lang w:val="en-US" w:eastAsia="zh-CN"/>
              </w:rPr>
            </w:pPr>
            <w:r>
              <w:rPr>
                <w:rFonts w:hint="eastAsia" w:cs="Times New Roman"/>
                <w:sz w:val="21"/>
                <w:szCs w:val="21"/>
                <w:highlight w:val="none"/>
                <w:lang w:val="en-US" w:eastAsia="zh-CN"/>
              </w:rPr>
              <w:t>八</w:t>
            </w:r>
            <w:r>
              <w:rPr>
                <w:rFonts w:hint="default" w:ascii="Times New Roman" w:hAnsi="Times New Roman" w:cs="Times New Roman"/>
                <w:sz w:val="21"/>
                <w:szCs w:val="21"/>
                <w:highlight w:val="none"/>
              </w:rPr>
              <w:t>、非金属矿采选业</w:t>
            </w:r>
            <w:r>
              <w:rPr>
                <w:rFonts w:hint="eastAsia" w:cs="Times New Roman"/>
                <w:sz w:val="21"/>
                <w:szCs w:val="21"/>
                <w:highlight w:val="none"/>
                <w:lang w:val="en-US" w:eastAsia="zh-CN"/>
              </w:rPr>
              <w:t>10</w:t>
            </w:r>
            <w:r>
              <w:rPr>
                <w:rFonts w:hint="default" w:ascii="Times New Roman" w:hAnsi="Times New Roman" w:cs="Times New Roman"/>
                <w:sz w:val="21"/>
                <w:szCs w:val="21"/>
                <w:highlight w:val="none"/>
              </w:rPr>
              <w:t>；土砂石开采</w:t>
            </w:r>
            <w:r>
              <w:rPr>
                <w:rFonts w:hint="eastAsia" w:cs="Times New Roman"/>
                <w:sz w:val="21"/>
                <w:szCs w:val="21"/>
                <w:highlight w:val="none"/>
                <w:lang w:val="en-US" w:eastAsia="zh-CN"/>
              </w:rPr>
              <w:t>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29"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建设性质</w:t>
            </w:r>
          </w:p>
        </w:tc>
        <w:tc>
          <w:tcPr>
            <w:tcW w:w="2653" w:type="dxa"/>
            <w:noWrap w:val="0"/>
            <w:vAlign w:val="center"/>
          </w:tcPr>
          <w:p>
            <w:pPr>
              <w:jc w:val="left"/>
              <w:rPr>
                <w:rFonts w:ascii="宋体" w:hAnsi="宋体" w:cs="宋体"/>
                <w:sz w:val="21"/>
                <w:szCs w:val="21"/>
              </w:rPr>
            </w:pPr>
            <w:r>
              <w:rPr>
                <w:rFonts w:hint="eastAsia" w:ascii="宋体" w:hAnsi="宋体" w:cs="宋体"/>
                <w:sz w:val="21"/>
                <w:szCs w:val="21"/>
              </w:rPr>
              <w:t>□新建（迁建）</w:t>
            </w:r>
          </w:p>
          <w:p>
            <w:pPr>
              <w:jc w:val="left"/>
              <w:rPr>
                <w:rFonts w:hint="eastAsia" w:ascii="宋体" w:hAnsi="宋体" w:cs="宋体"/>
                <w:sz w:val="21"/>
                <w:szCs w:val="21"/>
              </w:rPr>
            </w:pPr>
            <w:r>
              <w:rPr>
                <w:rFonts w:hint="eastAsia" w:ascii="宋体" w:hAnsi="宋体" w:cs="宋体"/>
                <w:sz w:val="21"/>
                <w:szCs w:val="21"/>
              </w:rPr>
              <w:t>□改建</w:t>
            </w:r>
          </w:p>
          <w:p>
            <w:pPr>
              <w:jc w:val="left"/>
              <w:rPr>
                <w:rFonts w:hint="eastAsia"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扩建</w:t>
            </w:r>
          </w:p>
          <w:p>
            <w:pPr>
              <w:jc w:val="left"/>
              <w:rPr>
                <w:rFonts w:ascii="宋体" w:hAnsi="宋体" w:cs="宋体"/>
                <w:sz w:val="21"/>
                <w:szCs w:val="21"/>
              </w:rPr>
            </w:pPr>
            <w:r>
              <w:rPr>
                <w:rFonts w:hint="eastAsia" w:ascii="宋体" w:hAnsi="宋体" w:cs="宋体"/>
                <w:sz w:val="21"/>
                <w:szCs w:val="21"/>
              </w:rPr>
              <w:sym w:font="Wingdings 2" w:char="00A3"/>
            </w:r>
            <w:r>
              <w:rPr>
                <w:rFonts w:hint="eastAsia" w:ascii="宋体" w:hAnsi="宋体" w:cs="宋体"/>
                <w:sz w:val="21"/>
                <w:szCs w:val="21"/>
              </w:rPr>
              <w:t>技术改造</w:t>
            </w:r>
          </w:p>
        </w:tc>
        <w:tc>
          <w:tcPr>
            <w:tcW w:w="1627" w:type="dxa"/>
            <w:noWrap w:val="0"/>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建设项目</w:t>
            </w:r>
          </w:p>
          <w:p>
            <w:pPr>
              <w:adjustRightInd w:val="0"/>
              <w:snapToGrid w:val="0"/>
              <w:jc w:val="center"/>
              <w:rPr>
                <w:rFonts w:ascii="宋体" w:hAnsi="宋体" w:cs="宋体"/>
                <w:sz w:val="21"/>
                <w:szCs w:val="21"/>
              </w:rPr>
            </w:pPr>
            <w:r>
              <w:rPr>
                <w:rFonts w:hint="eastAsia" w:ascii="宋体" w:hAnsi="宋体" w:cs="宋体"/>
                <w:sz w:val="21"/>
                <w:szCs w:val="21"/>
              </w:rPr>
              <w:t>申报情形</w:t>
            </w:r>
          </w:p>
        </w:tc>
        <w:tc>
          <w:tcPr>
            <w:tcW w:w="3061" w:type="dxa"/>
            <w:noWrap w:val="0"/>
            <w:vAlign w:val="center"/>
          </w:tcPr>
          <w:p>
            <w:pPr>
              <w:jc w:val="left"/>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首次申报项目</w:t>
            </w:r>
            <w:r>
              <w:rPr>
                <w:rFonts w:ascii="宋体" w:hAnsi="宋体" w:cs="宋体"/>
                <w:sz w:val="21"/>
                <w:szCs w:val="21"/>
              </w:rPr>
              <w:t xml:space="preserve">             </w:t>
            </w:r>
          </w:p>
          <w:p>
            <w:pPr>
              <w:jc w:val="left"/>
              <w:rPr>
                <w:rFonts w:ascii="宋体" w:hAnsi="宋体" w:cs="宋体"/>
                <w:sz w:val="21"/>
                <w:szCs w:val="21"/>
              </w:rPr>
            </w:pPr>
            <w:r>
              <w:rPr>
                <w:rFonts w:hint="eastAsia" w:ascii="宋体" w:hAnsi="宋体" w:cs="宋体"/>
                <w:sz w:val="21"/>
                <w:szCs w:val="21"/>
              </w:rPr>
              <w:t>□不予批准后再次申报项目</w:t>
            </w:r>
          </w:p>
          <w:p>
            <w:pPr>
              <w:jc w:val="left"/>
              <w:rPr>
                <w:rFonts w:ascii="宋体" w:hAnsi="宋体" w:cs="宋体"/>
                <w:sz w:val="21"/>
                <w:szCs w:val="21"/>
              </w:rPr>
            </w:pPr>
            <w:r>
              <w:rPr>
                <w:rFonts w:hint="eastAsia" w:ascii="宋体" w:hAnsi="宋体" w:cs="宋体"/>
                <w:sz w:val="21"/>
                <w:szCs w:val="21"/>
              </w:rPr>
              <w:sym w:font="Wingdings 2" w:char="00A3"/>
            </w:r>
            <w:r>
              <w:rPr>
                <w:rFonts w:hint="eastAsia" w:ascii="宋体" w:hAnsi="宋体" w:cs="宋体"/>
                <w:sz w:val="21"/>
                <w:szCs w:val="21"/>
              </w:rPr>
              <w:t>超五年重新审核项目</w:t>
            </w:r>
            <w:r>
              <w:rPr>
                <w:rFonts w:ascii="宋体" w:hAnsi="宋体" w:cs="宋体"/>
                <w:sz w:val="21"/>
                <w:szCs w:val="21"/>
              </w:rPr>
              <w:t xml:space="preserve">     </w:t>
            </w:r>
          </w:p>
          <w:p>
            <w:pPr>
              <w:jc w:val="left"/>
              <w:rPr>
                <w:rFonts w:ascii="宋体" w:hAnsi="宋体" w:cs="宋体"/>
                <w:sz w:val="21"/>
                <w:szCs w:val="21"/>
              </w:rPr>
            </w:pPr>
            <w:r>
              <w:rPr>
                <w:rFonts w:hint="eastAsia" w:ascii="宋体" w:hAnsi="宋体" w:cs="宋体"/>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29"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项目审批（核准/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备案）部门（选填）</w:t>
            </w:r>
          </w:p>
        </w:tc>
        <w:tc>
          <w:tcPr>
            <w:tcW w:w="2653"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安康市恒口示范区经济发展与招商局</w:t>
            </w:r>
          </w:p>
        </w:tc>
        <w:tc>
          <w:tcPr>
            <w:tcW w:w="1627"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项目审批（核准/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备案）文号（选填）</w:t>
            </w:r>
          </w:p>
        </w:tc>
        <w:tc>
          <w:tcPr>
            <w:tcW w:w="3061"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2206-610962-04-02-372173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9"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总投资（万元）</w:t>
            </w:r>
          </w:p>
        </w:tc>
        <w:tc>
          <w:tcPr>
            <w:tcW w:w="2653"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9000</w:t>
            </w:r>
          </w:p>
        </w:tc>
        <w:tc>
          <w:tcPr>
            <w:tcW w:w="1627"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环保投资（万元）</w:t>
            </w:r>
          </w:p>
        </w:tc>
        <w:tc>
          <w:tcPr>
            <w:tcW w:w="3061"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9"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环保投资占比（%）</w:t>
            </w:r>
          </w:p>
        </w:tc>
        <w:tc>
          <w:tcPr>
            <w:tcW w:w="2653"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10.1</w:t>
            </w:r>
          </w:p>
        </w:tc>
        <w:tc>
          <w:tcPr>
            <w:tcW w:w="1627"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施工工期</w:t>
            </w:r>
          </w:p>
        </w:tc>
        <w:tc>
          <w:tcPr>
            <w:tcW w:w="3061"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cs="Times New Roman"/>
                <w:sz w:val="21"/>
                <w:szCs w:val="21"/>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9"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是否开工建设</w:t>
            </w:r>
          </w:p>
        </w:tc>
        <w:tc>
          <w:tcPr>
            <w:tcW w:w="2653"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否</w:t>
            </w:r>
          </w:p>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是：</w:t>
            </w:r>
            <w:r>
              <w:rPr>
                <w:rFonts w:hint="default" w:ascii="Times New Roman" w:hAnsi="Times New Roman" w:cs="Times New Roman"/>
                <w:sz w:val="21"/>
                <w:szCs w:val="21"/>
                <w:u w:val="single"/>
              </w:rPr>
              <w:t xml:space="preserve">             </w:t>
            </w:r>
          </w:p>
        </w:tc>
        <w:tc>
          <w:tcPr>
            <w:tcW w:w="1627" w:type="dxa"/>
            <w:noWrap w:val="0"/>
            <w:tcMar>
              <w:top w:w="16" w:type="dxa"/>
              <w:left w:w="16" w:type="dxa"/>
              <w:right w:w="16" w:type="dxa"/>
            </w:tcMar>
            <w:vAlign w:val="center"/>
          </w:tcPr>
          <w:p>
            <w:pPr>
              <w:adjustRightInd w:val="0"/>
              <w:snapToGrid w:val="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用地（用海）</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pacing w:val="-6"/>
                <w:sz w:val="21"/>
                <w:szCs w:val="21"/>
              </w:rPr>
              <w:t>面积</w:t>
            </w:r>
          </w:p>
        </w:tc>
        <w:tc>
          <w:tcPr>
            <w:tcW w:w="3061" w:type="dxa"/>
            <w:noWrap w:val="0"/>
            <w:vAlign w:val="center"/>
          </w:tcPr>
          <w:p>
            <w:pPr>
              <w:adjustRightInd w:val="0"/>
              <w:snapToGrid w:val="0"/>
              <w:ind w:firstLine="1050" w:firstLineChars="500"/>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0.4745km</w:t>
            </w:r>
            <w:r>
              <w:rPr>
                <w:rFonts w:hint="eastAsia" w:cs="Times New Roman"/>
                <w:sz w:val="21"/>
                <w:szCs w:val="21"/>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29" w:type="dxa"/>
            <w:noWrap w:val="0"/>
            <w:vAlign w:val="center"/>
          </w:tcPr>
          <w:p>
            <w:pPr>
              <w:autoSpaceDE w:val="0"/>
              <w:autoSpaceDN w:val="0"/>
              <w:adjustRightInd w:val="0"/>
              <w:snapToGrid w:val="0"/>
              <w:jc w:val="center"/>
              <w:rPr>
                <w:rFonts w:ascii="宋体" w:hAnsi="宋体" w:cs="宋体"/>
                <w:kern w:val="0"/>
                <w:sz w:val="21"/>
                <w:szCs w:val="21"/>
              </w:rPr>
            </w:pPr>
            <w:r>
              <w:rPr>
                <w:rFonts w:hint="eastAsia" w:ascii="宋体" w:hAnsi="宋体" w:cs="宋体"/>
                <w:kern w:val="0"/>
                <w:sz w:val="21"/>
                <w:szCs w:val="21"/>
              </w:rPr>
              <w:t>专项评价设置情况</w:t>
            </w:r>
          </w:p>
        </w:tc>
        <w:tc>
          <w:tcPr>
            <w:tcW w:w="7341" w:type="dxa"/>
            <w:gridSpan w:val="3"/>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529" w:type="dxa"/>
            <w:noWrap w:val="0"/>
            <w:vAlign w:val="center"/>
          </w:tcPr>
          <w:p>
            <w:pPr>
              <w:autoSpaceDE w:val="0"/>
              <w:autoSpaceDN w:val="0"/>
              <w:adjustRightInd w:val="0"/>
              <w:snapToGrid w:val="0"/>
              <w:jc w:val="center"/>
              <w:rPr>
                <w:rFonts w:hint="eastAsia" w:ascii="宋体" w:hAnsi="宋体" w:cs="宋体"/>
                <w:kern w:val="0"/>
                <w:sz w:val="21"/>
                <w:szCs w:val="21"/>
              </w:rPr>
            </w:pPr>
            <w:r>
              <w:rPr>
                <w:rFonts w:hint="eastAsia" w:ascii="宋体" w:hAnsi="宋体" w:cs="宋体"/>
                <w:sz w:val="21"/>
                <w:szCs w:val="21"/>
              </w:rPr>
              <w:t>规划情况</w:t>
            </w:r>
          </w:p>
        </w:tc>
        <w:tc>
          <w:tcPr>
            <w:tcW w:w="7341" w:type="dxa"/>
            <w:gridSpan w:val="3"/>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29" w:type="dxa"/>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规划环境影响</w:t>
            </w:r>
          </w:p>
          <w:p>
            <w:pPr>
              <w:adjustRightInd w:val="0"/>
              <w:snapToGrid w:val="0"/>
              <w:jc w:val="center"/>
              <w:rPr>
                <w:rFonts w:hint="eastAsia" w:ascii="宋体" w:hAnsi="宋体" w:cs="宋体"/>
                <w:kern w:val="0"/>
                <w:sz w:val="21"/>
                <w:szCs w:val="21"/>
              </w:rPr>
            </w:pPr>
            <w:r>
              <w:rPr>
                <w:rFonts w:hint="eastAsia" w:ascii="宋体" w:hAnsi="宋体" w:cs="宋体"/>
                <w:sz w:val="21"/>
                <w:szCs w:val="21"/>
              </w:rPr>
              <w:t>评价情况</w:t>
            </w:r>
          </w:p>
        </w:tc>
        <w:tc>
          <w:tcPr>
            <w:tcW w:w="7341" w:type="dxa"/>
            <w:gridSpan w:val="3"/>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529" w:type="dxa"/>
            <w:noWrap w:val="0"/>
            <w:vAlign w:val="center"/>
          </w:tcPr>
          <w:p>
            <w:pPr>
              <w:autoSpaceDE w:val="0"/>
              <w:autoSpaceDN w:val="0"/>
              <w:adjustRightInd w:val="0"/>
              <w:snapToGrid w:val="0"/>
              <w:jc w:val="center"/>
              <w:rPr>
                <w:rFonts w:ascii="宋体" w:hAnsi="宋体" w:cs="宋体"/>
                <w:kern w:val="0"/>
                <w:sz w:val="21"/>
                <w:szCs w:val="21"/>
              </w:rPr>
            </w:pPr>
            <w:r>
              <w:rPr>
                <w:rFonts w:hint="eastAsia" w:ascii="宋体" w:hAnsi="宋体" w:cs="宋体"/>
                <w:kern w:val="0"/>
                <w:sz w:val="21"/>
                <w:szCs w:val="21"/>
              </w:rPr>
              <w:t>规划及规划环境影响评价符合性分析</w:t>
            </w:r>
          </w:p>
        </w:tc>
        <w:tc>
          <w:tcPr>
            <w:tcW w:w="7341" w:type="dxa"/>
            <w:gridSpan w:val="3"/>
            <w:noWrap w:val="0"/>
            <w:vAlign w:val="center"/>
          </w:tcPr>
          <w:p>
            <w:pPr>
              <w:autoSpaceDE w:val="0"/>
              <w:autoSpaceDN w:val="0"/>
              <w:adjustRightInd w:val="0"/>
              <w:snapToGrid w:val="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1" w:hRule="atLeast"/>
          <w:jc w:val="center"/>
        </w:trPr>
        <w:tc>
          <w:tcPr>
            <w:tcW w:w="1529" w:type="dxa"/>
            <w:noWrap w:val="0"/>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1"/>
                <w:szCs w:val="21"/>
              </w:rPr>
              <w:t>其他符合性分析</w:t>
            </w:r>
          </w:p>
        </w:tc>
        <w:tc>
          <w:tcPr>
            <w:tcW w:w="7341" w:type="dxa"/>
            <w:gridSpan w:val="3"/>
            <w:noWrap w:val="0"/>
            <w:vAlign w:val="center"/>
          </w:tcPr>
          <w:p>
            <w:pPr>
              <w:numPr>
                <w:ilvl w:val="0"/>
                <w:numId w:val="0"/>
              </w:numPr>
              <w:autoSpaceDE w:val="0"/>
              <w:autoSpaceDN w:val="0"/>
              <w:adjustRightInd w:val="0"/>
              <w:snapToGrid w:val="0"/>
              <w:jc w:val="both"/>
              <w:rPr>
                <w:rFonts w:hint="default"/>
                <w:b/>
                <w:bCs/>
                <w:sz w:val="24"/>
                <w:szCs w:val="24"/>
              </w:rPr>
            </w:pPr>
            <w:r>
              <w:rPr>
                <w:rFonts w:hint="default"/>
                <w:b/>
                <w:bCs/>
                <w:sz w:val="24"/>
                <w:szCs w:val="24"/>
                <w:lang w:val="en-US" w:eastAsia="zh-CN"/>
              </w:rPr>
              <w:t>1、</w:t>
            </w:r>
            <w:r>
              <w:rPr>
                <w:rFonts w:hint="eastAsia"/>
                <w:b/>
                <w:bCs/>
                <w:sz w:val="24"/>
                <w:szCs w:val="24"/>
                <w:lang w:val="en-US" w:eastAsia="zh-CN"/>
              </w:rPr>
              <w:t>“</w:t>
            </w:r>
            <w:r>
              <w:rPr>
                <w:rFonts w:hint="default"/>
                <w:b/>
                <w:bCs/>
                <w:sz w:val="24"/>
                <w:szCs w:val="24"/>
              </w:rPr>
              <w:t>三线一单</w:t>
            </w:r>
            <w:r>
              <w:rPr>
                <w:rFonts w:hint="eastAsia"/>
                <w:b/>
                <w:bCs/>
                <w:sz w:val="24"/>
                <w:szCs w:val="24"/>
                <w:lang w:val="en-US" w:eastAsia="zh-CN"/>
              </w:rPr>
              <w:t>”</w:t>
            </w:r>
            <w:r>
              <w:rPr>
                <w:rFonts w:hint="default"/>
                <w:b/>
                <w:bCs/>
                <w:sz w:val="24"/>
                <w:szCs w:val="24"/>
              </w:rPr>
              <w:t>符合性分析</w:t>
            </w:r>
          </w:p>
          <w:p>
            <w:pPr>
              <w:widowControl w:val="0"/>
              <w:numPr>
                <w:ilvl w:val="0"/>
                <w:numId w:val="0"/>
              </w:numPr>
              <w:autoSpaceDE w:val="0"/>
              <w:autoSpaceDN w:val="0"/>
              <w:adjustRightInd w:val="0"/>
              <w:snapToGrid w:val="0"/>
              <w:jc w:val="both"/>
              <w:rPr>
                <w:rFonts w:hint="default"/>
                <w:sz w:val="24"/>
                <w:szCs w:val="24"/>
              </w:rPr>
            </w:pPr>
          </w:p>
          <w:p>
            <w:pPr>
              <w:widowControl w:val="0"/>
              <w:numPr>
                <w:ilvl w:val="0"/>
                <w:numId w:val="0"/>
              </w:numPr>
              <w:autoSpaceDE w:val="0"/>
              <w:autoSpaceDN w:val="0"/>
              <w:adjustRightInd w:val="0"/>
              <w:snapToGrid w:val="0"/>
              <w:jc w:val="center"/>
              <w:rPr>
                <w:rFonts w:hint="default"/>
                <w:b/>
                <w:bCs/>
                <w:sz w:val="21"/>
                <w:szCs w:val="21"/>
              </w:rPr>
            </w:pPr>
            <w:r>
              <w:rPr>
                <w:rFonts w:hint="default"/>
                <w:b/>
                <w:bCs/>
                <w:sz w:val="21"/>
                <w:szCs w:val="21"/>
              </w:rPr>
              <w:t>表1 本项目与“三线一单”的符合性分析</w:t>
            </w:r>
          </w:p>
          <w:tbl>
            <w:tblPr>
              <w:tblStyle w:val="20"/>
              <w:tblW w:w="6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24" w:type="dxa"/>
                  <w:noWrap w:val="0"/>
                  <w:vAlign w:val="center"/>
                </w:tcPr>
                <w:p>
                  <w:pPr>
                    <w:widowControl w:val="0"/>
                    <w:numPr>
                      <w:ilvl w:val="0"/>
                      <w:numId w:val="0"/>
                    </w:numPr>
                    <w:autoSpaceDE w:val="0"/>
                    <w:autoSpaceDN w:val="0"/>
                    <w:adjustRightInd w:val="0"/>
                    <w:snapToGrid w:val="0"/>
                    <w:jc w:val="center"/>
                    <w:rPr>
                      <w:rFonts w:hint="default"/>
                      <w:sz w:val="21"/>
                      <w:szCs w:val="21"/>
                    </w:rPr>
                  </w:pPr>
                  <w:r>
                    <w:rPr>
                      <w:rFonts w:hint="default"/>
                      <w:sz w:val="21"/>
                      <w:szCs w:val="21"/>
                    </w:rPr>
                    <w:t>三线一单</w:t>
                  </w:r>
                </w:p>
              </w:tc>
              <w:tc>
                <w:tcPr>
                  <w:tcW w:w="5115" w:type="dxa"/>
                  <w:noWrap w:val="0"/>
                  <w:vAlign w:val="center"/>
                </w:tcPr>
                <w:p>
                  <w:pPr>
                    <w:widowControl w:val="0"/>
                    <w:numPr>
                      <w:ilvl w:val="0"/>
                      <w:numId w:val="0"/>
                    </w:numPr>
                    <w:autoSpaceDE w:val="0"/>
                    <w:autoSpaceDN w:val="0"/>
                    <w:adjustRightInd w:val="0"/>
                    <w:snapToGrid w:val="0"/>
                    <w:jc w:val="center"/>
                    <w:rPr>
                      <w:rFonts w:hint="default"/>
                      <w:sz w:val="21"/>
                      <w:szCs w:val="21"/>
                      <w:lang w:val="en-US" w:eastAsia="zh-CN"/>
                    </w:rPr>
                  </w:pPr>
                  <w:r>
                    <w:rPr>
                      <w:rFonts w:hint="default"/>
                      <w:sz w:val="21"/>
                      <w:szCs w:val="21"/>
                      <w:lang w:val="en-US" w:eastAsia="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24" w:type="dxa"/>
                  <w:noWrap w:val="0"/>
                  <w:vAlign w:val="center"/>
                </w:tcPr>
                <w:p>
                  <w:pPr>
                    <w:widowControl w:val="0"/>
                    <w:numPr>
                      <w:ilvl w:val="0"/>
                      <w:numId w:val="0"/>
                    </w:numPr>
                    <w:autoSpaceDE w:val="0"/>
                    <w:autoSpaceDN w:val="0"/>
                    <w:adjustRightInd w:val="0"/>
                    <w:snapToGrid w:val="0"/>
                    <w:jc w:val="center"/>
                    <w:rPr>
                      <w:rFonts w:hint="default"/>
                      <w:sz w:val="21"/>
                      <w:szCs w:val="21"/>
                    </w:rPr>
                  </w:pPr>
                  <w:r>
                    <w:rPr>
                      <w:rFonts w:hint="default"/>
                      <w:sz w:val="21"/>
                      <w:szCs w:val="21"/>
                    </w:rPr>
                    <w:t>生态保护红线</w:t>
                  </w:r>
                </w:p>
              </w:tc>
              <w:tc>
                <w:tcPr>
                  <w:tcW w:w="5115" w:type="dxa"/>
                  <w:noWrap w:val="0"/>
                  <w:vAlign w:val="center"/>
                </w:tcPr>
                <w:p>
                  <w:pPr>
                    <w:pStyle w:val="42"/>
                    <w:spacing w:line="265" w:lineRule="exact"/>
                    <w:ind w:left="112"/>
                    <w:jc w:val="left"/>
                    <w:rPr>
                      <w:rFonts w:hint="eastAsia"/>
                      <w:sz w:val="21"/>
                      <w:szCs w:val="21"/>
                      <w:lang w:eastAsia="zh-CN"/>
                    </w:rPr>
                  </w:pPr>
                  <w:r>
                    <w:rPr>
                      <w:rFonts w:hint="default"/>
                      <w:sz w:val="21"/>
                      <w:szCs w:val="21"/>
                    </w:rPr>
                    <w:t>项目位于</w:t>
                  </w:r>
                  <w:r>
                    <w:rPr>
                      <w:sz w:val="21"/>
                      <w:szCs w:val="21"/>
                    </w:rPr>
                    <w:t>陕西省安康市汉滨区梅子铺镇奎星村三组</w:t>
                  </w:r>
                  <w:r>
                    <w:rPr>
                      <w:rFonts w:hint="eastAsia"/>
                      <w:sz w:val="21"/>
                      <w:szCs w:val="21"/>
                      <w:lang w:val="en-US" w:eastAsia="zh-CN"/>
                    </w:rPr>
                    <w:t>，</w:t>
                  </w:r>
                  <w:r>
                    <w:rPr>
                      <w:rFonts w:hint="default"/>
                      <w:sz w:val="21"/>
                      <w:szCs w:val="21"/>
                    </w:rPr>
                    <w:t>项目地周围无自然保护区、风景名胜区等环境敏感点，不涉及生态保护红线</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24" w:type="dxa"/>
                  <w:noWrap w:val="0"/>
                  <w:vAlign w:val="center"/>
                </w:tcPr>
                <w:p>
                  <w:pPr>
                    <w:widowControl w:val="0"/>
                    <w:numPr>
                      <w:ilvl w:val="0"/>
                      <w:numId w:val="0"/>
                    </w:numPr>
                    <w:autoSpaceDE w:val="0"/>
                    <w:autoSpaceDN w:val="0"/>
                    <w:adjustRightInd w:val="0"/>
                    <w:snapToGrid w:val="0"/>
                    <w:jc w:val="center"/>
                    <w:rPr>
                      <w:rFonts w:hint="default"/>
                      <w:sz w:val="21"/>
                      <w:szCs w:val="21"/>
                    </w:rPr>
                  </w:pPr>
                  <w:r>
                    <w:rPr>
                      <w:rFonts w:hint="default"/>
                      <w:sz w:val="21"/>
                      <w:szCs w:val="21"/>
                    </w:rPr>
                    <w:t>环境质量底线</w:t>
                  </w:r>
                </w:p>
              </w:tc>
              <w:tc>
                <w:tcPr>
                  <w:tcW w:w="5115" w:type="dxa"/>
                  <w:noWrap w:val="0"/>
                  <w:vAlign w:val="center"/>
                </w:tcPr>
                <w:p>
                  <w:pPr>
                    <w:pStyle w:val="42"/>
                    <w:spacing w:line="242" w:lineRule="auto"/>
                    <w:ind w:left="111" w:right="98"/>
                    <w:jc w:val="left"/>
                    <w:rPr>
                      <w:rFonts w:hint="eastAsia"/>
                      <w:sz w:val="21"/>
                      <w:szCs w:val="21"/>
                      <w:lang w:eastAsia="zh-CN"/>
                    </w:rPr>
                  </w:pPr>
                  <w:r>
                    <w:rPr>
                      <w:rFonts w:hint="default"/>
                      <w:sz w:val="21"/>
                      <w:szCs w:val="21"/>
                    </w:rPr>
                    <w:t>评价区环境空气、声环境均符合环境功能区划，运营期采取环评要求的措施后能够保证各项污染物达标排放，各项污染物对周边环境影响小，可维持区域环境质量现状，不触及环境质量底线</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24" w:type="dxa"/>
                  <w:noWrap w:val="0"/>
                  <w:vAlign w:val="center"/>
                </w:tcPr>
                <w:p>
                  <w:pPr>
                    <w:widowControl w:val="0"/>
                    <w:numPr>
                      <w:ilvl w:val="0"/>
                      <w:numId w:val="0"/>
                    </w:numPr>
                    <w:autoSpaceDE w:val="0"/>
                    <w:autoSpaceDN w:val="0"/>
                    <w:adjustRightInd w:val="0"/>
                    <w:snapToGrid w:val="0"/>
                    <w:jc w:val="center"/>
                    <w:rPr>
                      <w:rFonts w:hint="default"/>
                      <w:sz w:val="21"/>
                      <w:szCs w:val="21"/>
                    </w:rPr>
                  </w:pPr>
                  <w:r>
                    <w:rPr>
                      <w:rFonts w:hint="default"/>
                      <w:sz w:val="21"/>
                      <w:szCs w:val="21"/>
                    </w:rPr>
                    <w:t>资源利用上限</w:t>
                  </w:r>
                </w:p>
              </w:tc>
              <w:tc>
                <w:tcPr>
                  <w:tcW w:w="5115" w:type="dxa"/>
                  <w:noWrap w:val="0"/>
                  <w:vAlign w:val="center"/>
                </w:tcPr>
                <w:p>
                  <w:pPr>
                    <w:pStyle w:val="42"/>
                    <w:spacing w:line="242" w:lineRule="auto"/>
                    <w:ind w:left="111" w:right="98"/>
                    <w:jc w:val="left"/>
                    <w:rPr>
                      <w:rFonts w:hint="eastAsia"/>
                      <w:sz w:val="21"/>
                      <w:szCs w:val="21"/>
                      <w:lang w:eastAsia="zh-CN"/>
                    </w:rPr>
                  </w:pPr>
                  <w:r>
                    <w:rPr>
                      <w:rFonts w:hint="default"/>
                      <w:sz w:val="21"/>
                      <w:szCs w:val="21"/>
                    </w:rPr>
                    <w:t>项目主要资源消耗为</w:t>
                  </w:r>
                  <w:r>
                    <w:rPr>
                      <w:rFonts w:hint="eastAsia"/>
                      <w:sz w:val="21"/>
                      <w:szCs w:val="21"/>
                      <w:lang w:val="en-US" w:eastAsia="zh-CN"/>
                    </w:rPr>
                    <w:t>土砂石</w:t>
                  </w:r>
                  <w:r>
                    <w:rPr>
                      <w:rFonts w:hint="default"/>
                      <w:sz w:val="21"/>
                      <w:szCs w:val="21"/>
                    </w:rPr>
                    <w:t>。能源消耗为电和水，项目耗电量和耗水量较少，不触及资源利用上限</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524" w:type="dxa"/>
                  <w:noWrap w:val="0"/>
                  <w:vAlign w:val="center"/>
                </w:tcPr>
                <w:p>
                  <w:pPr>
                    <w:widowControl w:val="0"/>
                    <w:numPr>
                      <w:ilvl w:val="0"/>
                      <w:numId w:val="0"/>
                    </w:numPr>
                    <w:autoSpaceDE w:val="0"/>
                    <w:autoSpaceDN w:val="0"/>
                    <w:adjustRightInd w:val="0"/>
                    <w:snapToGrid w:val="0"/>
                    <w:jc w:val="center"/>
                    <w:rPr>
                      <w:rFonts w:hint="default"/>
                      <w:sz w:val="21"/>
                      <w:szCs w:val="21"/>
                    </w:rPr>
                  </w:pPr>
                  <w:r>
                    <w:rPr>
                      <w:rFonts w:hint="default"/>
                      <w:sz w:val="21"/>
                      <w:szCs w:val="21"/>
                    </w:rPr>
                    <w:t>环境准入负面清单</w:t>
                  </w:r>
                </w:p>
              </w:tc>
              <w:tc>
                <w:tcPr>
                  <w:tcW w:w="5115" w:type="dxa"/>
                  <w:noWrap w:val="0"/>
                  <w:vAlign w:val="center"/>
                </w:tcPr>
                <w:p>
                  <w:pPr>
                    <w:pStyle w:val="42"/>
                    <w:spacing w:line="242" w:lineRule="auto"/>
                    <w:ind w:left="111" w:right="98"/>
                    <w:jc w:val="left"/>
                    <w:rPr>
                      <w:rFonts w:hint="eastAsia"/>
                      <w:sz w:val="21"/>
                      <w:szCs w:val="21"/>
                      <w:lang w:eastAsia="zh-CN"/>
                    </w:rPr>
                  </w:pPr>
                  <w:r>
                    <w:rPr>
                      <w:rFonts w:hint="default"/>
                      <w:sz w:val="21"/>
                      <w:szCs w:val="21"/>
                    </w:rPr>
                    <w:t>本项目</w:t>
                  </w:r>
                  <w:r>
                    <w:rPr>
                      <w:rFonts w:hint="eastAsia"/>
                      <w:sz w:val="21"/>
                      <w:szCs w:val="21"/>
                      <w:lang w:val="en-US" w:eastAsia="zh-CN"/>
                    </w:rPr>
                    <w:t>属于允许类</w:t>
                  </w:r>
                  <w:r>
                    <w:rPr>
                      <w:rFonts w:hint="default"/>
                      <w:sz w:val="21"/>
                      <w:szCs w:val="21"/>
                    </w:rPr>
                    <w:t>项目，符合国家产业政策的要求。秦岭重点保护区、一般保护区产业准入清单尚未制定，参考《陕西省国家重点生态功能区产业准入负面清单（试行》，项目未列入限制和禁止类中</w:t>
                  </w:r>
                  <w:r>
                    <w:rPr>
                      <w:rFonts w:hint="eastAsia"/>
                      <w:sz w:val="21"/>
                      <w:szCs w:val="21"/>
                      <w:lang w:eastAsia="zh-CN"/>
                    </w:rPr>
                    <w:t>。</w:t>
                  </w:r>
                </w:p>
              </w:tc>
            </w:tr>
          </w:tbl>
          <w:p>
            <w:pPr>
              <w:pStyle w:val="42"/>
              <w:spacing w:before="1"/>
              <w:ind w:left="592"/>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val="en-US" w:eastAsia="zh-CN"/>
              </w:rPr>
              <w:t>1.1与安康市“三线一单”</w:t>
            </w:r>
            <w:r>
              <w:rPr>
                <w:rFonts w:hint="default" w:ascii="Times New Roman" w:hAnsi="Times New Roman" w:eastAsia="宋体" w:cs="Times New Roman"/>
                <w:b/>
                <w:color w:val="auto"/>
                <w:sz w:val="24"/>
                <w:szCs w:val="24"/>
              </w:rPr>
              <w:t>符合性分析</w:t>
            </w:r>
          </w:p>
          <w:p>
            <w:pPr>
              <w:pStyle w:val="42"/>
              <w:spacing w:before="158" w:line="364" w:lineRule="auto"/>
              <w:ind w:left="112" w:right="90" w:firstLine="480"/>
              <w:jc w:val="both"/>
              <w:rPr>
                <w:rFonts w:hint="eastAsia" w:ascii="Times New Roman" w:hAnsi="Times New Roman" w:cs="Times New Roman"/>
                <w:color w:val="auto"/>
                <w:spacing w:val="-7"/>
                <w:sz w:val="24"/>
                <w:szCs w:val="24"/>
                <w:lang w:val="en-US" w:eastAsia="zh-CN"/>
              </w:rPr>
            </w:pPr>
            <w:r>
              <w:rPr>
                <w:rFonts w:hint="eastAsia" w:ascii="Times New Roman" w:hAnsi="Times New Roman" w:cs="Times New Roman"/>
                <w:color w:val="auto"/>
                <w:spacing w:val="-7"/>
                <w:sz w:val="24"/>
                <w:szCs w:val="24"/>
                <w:lang w:val="en-US" w:eastAsia="zh-CN"/>
              </w:rPr>
              <w:t>根据《安康市“三线一单”生态环境分区管控方案》（安政发[2021]18号），全市实施分类管控共划定管控单元150个，分为优先保护、重点管控和一般管控三类环境管控单元。</w:t>
            </w:r>
          </w:p>
          <w:p>
            <w:pPr>
              <w:pStyle w:val="42"/>
              <w:spacing w:before="158" w:line="364" w:lineRule="auto"/>
              <w:ind w:left="112" w:right="90" w:firstLine="480"/>
              <w:jc w:val="both"/>
              <w:rPr>
                <w:rFonts w:hint="eastAsia" w:ascii="Times New Roman" w:hAnsi="Times New Roman" w:cs="Times New Roman"/>
                <w:spacing w:val="-7"/>
                <w:sz w:val="24"/>
                <w:szCs w:val="24"/>
                <w:lang w:val="en-US" w:eastAsia="zh-CN"/>
              </w:rPr>
            </w:pPr>
            <w:r>
              <w:rPr>
                <w:rFonts w:hint="eastAsia" w:ascii="Times New Roman" w:hAnsi="Times New Roman" w:cs="Times New Roman"/>
                <w:spacing w:val="-7"/>
                <w:sz w:val="24"/>
                <w:szCs w:val="24"/>
                <w:lang w:val="en-US" w:eastAsia="zh-CN"/>
              </w:rPr>
              <w:t>优先保护单元98个，主要包括自然保护地、饮用水水源保护地、环境空气一类功能区等。该区域以生态优先为原则，突出空间布局约束，依法禁止或限制大规模、高强度工业开发和城镇建设活动，开展生态功能受损区域生态保护修复活动，确保重要生态环境功能不降低。</w:t>
            </w:r>
          </w:p>
          <w:p>
            <w:pPr>
              <w:pStyle w:val="42"/>
              <w:spacing w:before="158" w:line="364" w:lineRule="auto"/>
              <w:ind w:left="112" w:right="90" w:firstLine="480"/>
              <w:jc w:val="both"/>
              <w:rPr>
                <w:rFonts w:hint="eastAsia" w:ascii="Times New Roman" w:hAnsi="Times New Roman" w:cs="Times New Roman"/>
                <w:spacing w:val="-7"/>
                <w:sz w:val="24"/>
                <w:szCs w:val="24"/>
                <w:lang w:val="en-US" w:eastAsia="zh-CN"/>
              </w:rPr>
            </w:pPr>
            <w:r>
              <w:rPr>
                <w:rFonts w:hint="eastAsia" w:ascii="Times New Roman" w:hAnsi="Times New Roman" w:cs="Times New Roman"/>
                <w:spacing w:val="-7"/>
                <w:sz w:val="24"/>
                <w:szCs w:val="24"/>
                <w:lang w:val="en-US" w:eastAsia="zh-CN"/>
              </w:rPr>
              <w:t>重点管控单元。共42个，主要包括城镇规划区、产业园区和开发强度大、污染物排放强度高的区域等。该区域是经济社会高质量发展的重要承载区，主要推进产业结构和能源结构调整，优化空间布局，不断提高资源能源利用效率，加强污染物排放控制和环境风险防范，解决突出生态环境问题。</w:t>
            </w:r>
          </w:p>
          <w:p>
            <w:pPr>
              <w:pStyle w:val="42"/>
              <w:spacing w:before="158" w:line="364" w:lineRule="auto"/>
              <w:ind w:left="112" w:right="90" w:firstLine="480"/>
              <w:jc w:val="both"/>
              <w:rPr>
                <w:rFonts w:hint="eastAsia" w:ascii="Times New Roman" w:hAnsi="Times New Roman" w:cs="Times New Roman"/>
                <w:spacing w:val="-7"/>
                <w:sz w:val="24"/>
                <w:szCs w:val="24"/>
                <w:lang w:val="en-US" w:eastAsia="zh-CN"/>
              </w:rPr>
            </w:pPr>
            <w:r>
              <w:rPr>
                <w:rFonts w:hint="eastAsia" w:ascii="Times New Roman" w:hAnsi="Times New Roman" w:cs="Times New Roman"/>
                <w:spacing w:val="-7"/>
                <w:sz w:val="24"/>
                <w:szCs w:val="24"/>
                <w:lang w:val="en-US" w:eastAsia="zh-CN"/>
              </w:rPr>
              <w:t>一般管控单元。共10个，主要包括，优先保护单元和重点管控单元以外的其他区域。该区域以促进生活、生态、生产功能的协调融合为主要目标，主要落实生态环境保护基本要求。</w:t>
            </w:r>
          </w:p>
          <w:p>
            <w:pPr>
              <w:adjustRightInd w:val="0"/>
              <w:snapToGrid w:val="0"/>
              <w:spacing w:line="360" w:lineRule="auto"/>
              <w:ind w:firstLine="452" w:firstLineChars="200"/>
              <w:rPr>
                <w:rFonts w:hint="eastAsia" w:ascii="Times New Roman" w:hAnsi="Times New Roman" w:cs="Times New Roman"/>
                <w:color w:val="auto"/>
                <w:spacing w:val="-7"/>
                <w:sz w:val="24"/>
                <w:szCs w:val="24"/>
                <w:lang w:val="en-US" w:eastAsia="zh-CN"/>
              </w:rPr>
            </w:pPr>
            <w:r>
              <w:rPr>
                <w:rFonts w:hint="eastAsia" w:ascii="Times New Roman" w:hAnsi="Times New Roman" w:cs="Times New Roman"/>
                <w:color w:val="auto"/>
                <w:spacing w:val="-7"/>
                <w:sz w:val="24"/>
                <w:szCs w:val="24"/>
                <w:lang w:val="en-US" w:eastAsia="zh-CN"/>
              </w:rPr>
              <w:t>本项目位于陕西省安康市汉滨区梅子铺镇奎星村3组，属于重点管控单元，不涉及生态保护红线、自然保护地、集中式饮水水源地保护区等生态功能重要区和生态环境敏感区。</w:t>
            </w:r>
            <w:r>
              <w:rPr>
                <w:rFonts w:hint="eastAsia" w:cs="Times New Roman"/>
                <w:color w:val="auto"/>
                <w:spacing w:val="-7"/>
                <w:sz w:val="24"/>
                <w:szCs w:val="24"/>
                <w:lang w:val="en-US" w:eastAsia="zh-CN"/>
              </w:rPr>
              <w:t>项目海拔高度约500m，开采标高为600-400米，</w:t>
            </w:r>
            <w:r>
              <w:rPr>
                <w:rFonts w:hint="eastAsia" w:ascii="Times New Roman" w:hAnsi="Times New Roman" w:cs="Times New Roman"/>
                <w:color w:val="auto"/>
                <w:spacing w:val="-7"/>
                <w:sz w:val="24"/>
                <w:szCs w:val="24"/>
                <w:lang w:val="en-US" w:eastAsia="zh-CN"/>
              </w:rPr>
              <w:t>项目运营过程中在采取环评提出的环保措施后各项污染物均能够达标排放，对区域环境影响较小，符合重点管控单元要求。</w:t>
            </w:r>
          </w:p>
          <w:p>
            <w:pPr>
              <w:adjustRightInd w:val="0"/>
              <w:snapToGrid w:val="0"/>
              <w:spacing w:line="360" w:lineRule="auto"/>
              <w:rPr>
                <w:b/>
                <w:bCs/>
                <w:sz w:val="24"/>
                <w:szCs w:val="24"/>
              </w:rPr>
            </w:pPr>
            <w:r>
              <w:rPr>
                <w:rFonts w:hint="eastAsia"/>
                <w:b/>
                <w:bCs/>
                <w:sz w:val="24"/>
                <w:szCs w:val="24"/>
                <w:lang w:val="en-US" w:eastAsia="zh-CN"/>
              </w:rPr>
              <w:t>2</w:t>
            </w:r>
            <w:r>
              <w:rPr>
                <w:b/>
                <w:bCs/>
                <w:sz w:val="24"/>
                <w:szCs w:val="24"/>
              </w:rPr>
              <w:t>、分析判定情况</w:t>
            </w:r>
          </w:p>
          <w:p>
            <w:pPr>
              <w:adjustRightInd w:val="0"/>
              <w:snapToGrid w:val="0"/>
              <w:spacing w:line="360" w:lineRule="auto"/>
              <w:ind w:firstLine="480" w:firstLineChars="200"/>
              <w:rPr>
                <w:sz w:val="24"/>
                <w:szCs w:val="24"/>
              </w:rPr>
            </w:pPr>
            <w:r>
              <w:rPr>
                <w:sz w:val="24"/>
                <w:szCs w:val="24"/>
              </w:rPr>
              <w:t>（1）产业政策符合性</w:t>
            </w:r>
          </w:p>
          <w:p>
            <w:pPr>
              <w:adjustRightInd w:val="0"/>
              <w:snapToGrid w:val="0"/>
              <w:spacing w:line="360" w:lineRule="auto"/>
              <w:ind w:firstLine="480" w:firstLineChars="200"/>
              <w:jc w:val="left"/>
              <w:rPr>
                <w:sz w:val="24"/>
                <w:szCs w:val="24"/>
              </w:rPr>
            </w:pPr>
            <w:r>
              <w:rPr>
                <w:sz w:val="24"/>
                <w:szCs w:val="24"/>
              </w:rPr>
              <w:t>本项目主要为建筑用</w:t>
            </w:r>
            <w:r>
              <w:rPr>
                <w:rFonts w:hint="eastAsia"/>
                <w:sz w:val="24"/>
                <w:szCs w:val="24"/>
              </w:rPr>
              <w:t>辉绿岩</w:t>
            </w:r>
            <w:r>
              <w:rPr>
                <w:sz w:val="24"/>
                <w:szCs w:val="24"/>
              </w:rPr>
              <w:t>的开采及加工工程，对照《产业结构调整指导目录（201</w:t>
            </w:r>
            <w:r>
              <w:rPr>
                <w:rFonts w:hint="eastAsia"/>
                <w:sz w:val="24"/>
                <w:szCs w:val="24"/>
                <w:lang w:val="en-US" w:eastAsia="zh-CN"/>
              </w:rPr>
              <w:t>9年本</w:t>
            </w:r>
            <w:r>
              <w:rPr>
                <w:sz w:val="24"/>
                <w:szCs w:val="24"/>
              </w:rPr>
              <w:t>）》内容可知，项目的开采、生产工艺、生产产品以及生产设备均不属于产业结构指导目录中淘汰类和限制类</w:t>
            </w:r>
            <w:r>
              <w:rPr>
                <w:rFonts w:hint="eastAsia"/>
                <w:sz w:val="24"/>
                <w:szCs w:val="24"/>
                <w:lang w:eastAsia="zh-CN"/>
              </w:rPr>
              <w:t>。</w:t>
            </w:r>
            <w:r>
              <w:rPr>
                <w:rFonts w:hint="eastAsia"/>
                <w:sz w:val="24"/>
                <w:szCs w:val="24"/>
              </w:rPr>
              <w:t>项目已取得安康市恒口示范区经济发展与招商局文件，</w:t>
            </w:r>
            <w:r>
              <w:rPr>
                <w:rFonts w:hint="eastAsia"/>
                <w:sz w:val="24"/>
                <w:szCs w:val="24"/>
                <w:lang w:val="en-US" w:eastAsia="zh-CN"/>
              </w:rPr>
              <w:t>备案文号为</w:t>
            </w:r>
            <w:r>
              <w:rPr>
                <w:rFonts w:hint="eastAsia"/>
                <w:sz w:val="24"/>
                <w:szCs w:val="24"/>
              </w:rPr>
              <w:t>2206-610962-04-02-372173，因此，本项目符合国家产业政策</w:t>
            </w:r>
            <w:r>
              <w:rPr>
                <w:sz w:val="24"/>
                <w:szCs w:val="24"/>
              </w:rPr>
              <w:t>。</w:t>
            </w:r>
          </w:p>
          <w:p>
            <w:pPr>
              <w:numPr>
                <w:ilvl w:val="0"/>
                <w:numId w:val="1"/>
              </w:numPr>
              <w:adjustRightInd w:val="0"/>
              <w:snapToGrid w:val="0"/>
              <w:spacing w:line="360" w:lineRule="auto"/>
              <w:ind w:firstLine="480" w:firstLineChars="200"/>
              <w:rPr>
                <w:sz w:val="24"/>
                <w:szCs w:val="24"/>
              </w:rPr>
            </w:pPr>
            <w:r>
              <w:rPr>
                <w:sz w:val="24"/>
                <w:szCs w:val="24"/>
              </w:rPr>
              <w:t>与相关产业政策的相符性</w:t>
            </w:r>
          </w:p>
          <w:p>
            <w:pPr>
              <w:widowControl w:val="0"/>
              <w:numPr>
                <w:ilvl w:val="0"/>
                <w:numId w:val="0"/>
              </w:numPr>
              <w:autoSpaceDE w:val="0"/>
              <w:autoSpaceDN w:val="0"/>
              <w:adjustRightInd w:val="0"/>
              <w:snapToGrid w:val="0"/>
              <w:jc w:val="center"/>
              <w:rPr>
                <w:rFonts w:hint="default"/>
                <w:b/>
                <w:bCs/>
                <w:sz w:val="21"/>
                <w:szCs w:val="21"/>
              </w:rPr>
            </w:pPr>
            <w:r>
              <w:rPr>
                <w:rFonts w:hint="default"/>
                <w:b/>
                <w:bCs/>
                <w:sz w:val="21"/>
                <w:szCs w:val="21"/>
                <w:lang w:val="zh-CN"/>
              </w:rPr>
              <w:t>表</w:t>
            </w:r>
            <w:r>
              <w:rPr>
                <w:rFonts w:hint="eastAsia"/>
                <w:b/>
                <w:bCs/>
                <w:sz w:val="21"/>
                <w:szCs w:val="21"/>
                <w:lang w:val="en-US" w:eastAsia="zh-CN"/>
              </w:rPr>
              <w:t>2</w:t>
            </w:r>
            <w:r>
              <w:rPr>
                <w:rFonts w:hint="default"/>
                <w:b/>
                <w:bCs/>
                <w:sz w:val="21"/>
                <w:szCs w:val="21"/>
                <w:lang w:val="zh-CN"/>
              </w:rPr>
              <w:t xml:space="preserve"> 项目与相关产业政策的相符性</w:t>
            </w:r>
          </w:p>
          <w:tbl>
            <w:tblPr>
              <w:tblStyle w:val="19"/>
              <w:tblW w:w="6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847"/>
              <w:gridCol w:w="1866"/>
              <w:gridCol w:w="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80" w:type="dxa"/>
                  <w:tcBorders>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相关政策</w:t>
                  </w:r>
                </w:p>
              </w:tc>
              <w:tc>
                <w:tcPr>
                  <w:tcW w:w="2847" w:type="dxa"/>
                  <w:tcBorders>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要求</w:t>
                  </w:r>
                </w:p>
              </w:tc>
              <w:tc>
                <w:tcPr>
                  <w:tcW w:w="1866" w:type="dxa"/>
                  <w:tcBorders>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本项目情况</w:t>
                  </w:r>
                </w:p>
              </w:tc>
              <w:tc>
                <w:tcPr>
                  <w:tcW w:w="686" w:type="dxa"/>
                  <w:tcBorders>
                    <w:left w:val="single" w:color="auto" w:sz="4" w:space="0"/>
                    <w:bottom w:val="single" w:color="auto" w:sz="4" w:space="0"/>
                  </w:tcBorders>
                  <w:vAlign w:val="center"/>
                </w:tcPr>
                <w:p>
                  <w:pPr>
                    <w:spacing w:line="360" w:lineRule="exact"/>
                    <w:jc w:val="center"/>
                    <w:rPr>
                      <w:sz w:val="21"/>
                      <w:szCs w:val="21"/>
                    </w:rPr>
                  </w:pPr>
                  <w:r>
                    <w:rPr>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80" w:type="dxa"/>
                  <w:vMerge w:val="restart"/>
                  <w:tcBorders>
                    <w:top w:val="single" w:color="auto" w:sz="4" w:space="0"/>
                    <w:left w:val="single" w:color="auto" w:sz="4" w:space="0"/>
                    <w:bottom w:val="single" w:color="auto" w:sz="2" w:space="0"/>
                    <w:right w:val="single" w:color="auto" w:sz="4" w:space="0"/>
                  </w:tcBorders>
                  <w:vAlign w:val="center"/>
                </w:tcPr>
                <w:p>
                  <w:pPr>
                    <w:spacing w:line="360" w:lineRule="exact"/>
                    <w:jc w:val="center"/>
                    <w:rPr>
                      <w:sz w:val="21"/>
                      <w:szCs w:val="21"/>
                    </w:rPr>
                  </w:pPr>
                  <w:r>
                    <w:rPr>
                      <w:sz w:val="21"/>
                      <w:szCs w:val="21"/>
                    </w:rPr>
                    <w:t>《矿山生态环境保护与污染防治技术政策》</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sz w:val="21"/>
                      <w:szCs w:val="21"/>
                      <w:lang w:eastAsia="zh-CN"/>
                    </w:rPr>
                  </w:pPr>
                  <w:r>
                    <w:rPr>
                      <w:sz w:val="21"/>
                      <w:szCs w:val="21"/>
                    </w:rPr>
                    <w:t>2015年应达到的阶段性目标：历史遗留矿山开采破坏土地复垦率达到45%以上，新建矿山应做到边开采、边复垦，复垦率达到85%</w:t>
                  </w:r>
                  <w:r>
                    <w:rPr>
                      <w:rFonts w:hint="eastAsia"/>
                      <w:sz w:val="21"/>
                      <w:szCs w:val="21"/>
                      <w:lang w:eastAsia="zh-CN"/>
                    </w:rPr>
                    <w:t>。</w:t>
                  </w:r>
                </w:p>
              </w:tc>
              <w:tc>
                <w:tcPr>
                  <w:tcW w:w="18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sz w:val="21"/>
                      <w:szCs w:val="21"/>
                      <w:lang w:eastAsia="zh-CN"/>
                    </w:rPr>
                  </w:pPr>
                  <w:r>
                    <w:rPr>
                      <w:sz w:val="21"/>
                      <w:szCs w:val="21"/>
                    </w:rPr>
                    <w:t>根据要求做到边开采、边复垦，复垦率100%</w:t>
                  </w:r>
                  <w:r>
                    <w:rPr>
                      <w:rFonts w:hint="eastAsia"/>
                      <w:sz w:val="21"/>
                      <w:szCs w:val="21"/>
                      <w:lang w:eastAsia="zh-CN"/>
                    </w:rPr>
                    <w:t>。</w:t>
                  </w:r>
                </w:p>
              </w:tc>
              <w:tc>
                <w:tcPr>
                  <w:tcW w:w="686" w:type="dxa"/>
                  <w:tcBorders>
                    <w:top w:val="single" w:color="auto" w:sz="4" w:space="0"/>
                    <w:left w:val="single" w:color="auto" w:sz="4" w:space="0"/>
                    <w:bottom w:val="single" w:color="auto" w:sz="4" w:space="0"/>
                  </w:tcBorders>
                  <w:vAlign w:val="center"/>
                </w:tcPr>
                <w:p>
                  <w:pPr>
                    <w:spacing w:line="360" w:lineRule="exact"/>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1580" w:type="dxa"/>
                  <w:vMerge w:val="continue"/>
                  <w:tcBorders>
                    <w:top w:val="single" w:color="auto" w:sz="4" w:space="0"/>
                    <w:left w:val="single" w:color="auto" w:sz="4" w:space="0"/>
                    <w:bottom w:val="single" w:color="auto" w:sz="2" w:space="0"/>
                    <w:right w:val="single" w:color="auto" w:sz="4" w:space="0"/>
                  </w:tcBorders>
                  <w:vAlign w:val="center"/>
                </w:tcPr>
                <w:p>
                  <w:pPr>
                    <w:keepNext/>
                    <w:keepLines/>
                    <w:spacing w:before="340" w:after="330" w:line="360" w:lineRule="exact"/>
                    <w:jc w:val="center"/>
                    <w:outlineLvl w:val="0"/>
                    <w:rPr>
                      <w:sz w:val="21"/>
                      <w:szCs w:val="21"/>
                    </w:rPr>
                  </w:pPr>
                </w:p>
              </w:tc>
              <w:tc>
                <w:tcPr>
                  <w:tcW w:w="2847" w:type="dxa"/>
                  <w:tcBorders>
                    <w:top w:val="single" w:color="auto" w:sz="4" w:space="0"/>
                    <w:left w:val="single" w:color="auto" w:sz="4" w:space="0"/>
                    <w:bottom w:val="single" w:color="auto" w:sz="2" w:space="0"/>
                    <w:right w:val="single" w:color="auto" w:sz="4" w:space="0"/>
                  </w:tcBorders>
                  <w:vAlign w:val="center"/>
                </w:tcPr>
                <w:p>
                  <w:pPr>
                    <w:spacing w:line="360" w:lineRule="exact"/>
                    <w:jc w:val="left"/>
                    <w:rPr>
                      <w:sz w:val="21"/>
                      <w:szCs w:val="21"/>
                    </w:rPr>
                  </w:pPr>
                  <w:r>
                    <w:rPr>
                      <w:sz w:val="21"/>
                      <w:szCs w:val="21"/>
                    </w:rPr>
                    <w:t>（1）禁止在依法划定的自然保护区（核心区、缓冲区）、风景名胜区、森林公园、饮用水水源保护区、重要湖泊周边、文物古迹所在地、地质遗迹保护区、基本农田保护区等区域内采矿。</w:t>
                  </w:r>
                </w:p>
                <w:p>
                  <w:pPr>
                    <w:spacing w:line="360" w:lineRule="exact"/>
                    <w:jc w:val="left"/>
                    <w:rPr>
                      <w:sz w:val="21"/>
                      <w:szCs w:val="21"/>
                    </w:rPr>
                  </w:pPr>
                  <w:r>
                    <w:rPr>
                      <w:sz w:val="21"/>
                      <w:szCs w:val="21"/>
                    </w:rPr>
                    <w:t>（2）禁止在铁路、国道、省道两侧的直观可视范围内进行露天开采。</w:t>
                  </w:r>
                </w:p>
                <w:p>
                  <w:pPr>
                    <w:spacing w:line="360" w:lineRule="exact"/>
                    <w:jc w:val="left"/>
                    <w:rPr>
                      <w:sz w:val="21"/>
                      <w:szCs w:val="21"/>
                    </w:rPr>
                  </w:pPr>
                  <w:r>
                    <w:rPr>
                      <w:sz w:val="21"/>
                      <w:szCs w:val="21"/>
                    </w:rPr>
                    <w:t>（3）禁止在地质灾害危险去开采矿产资源。</w:t>
                  </w:r>
                </w:p>
                <w:p>
                  <w:pPr>
                    <w:spacing w:line="360" w:lineRule="exact"/>
                    <w:jc w:val="left"/>
                    <w:rPr>
                      <w:rFonts w:hint="eastAsia"/>
                      <w:sz w:val="21"/>
                      <w:szCs w:val="21"/>
                      <w:lang w:eastAsia="zh-CN"/>
                    </w:rPr>
                  </w:pPr>
                  <w:r>
                    <w:rPr>
                      <w:sz w:val="21"/>
                      <w:szCs w:val="21"/>
                    </w:rPr>
                    <w:t>（4）禁止新建对生态环境产生不可恢复利用的、产生破坏性的矿产资源开发项目</w:t>
                  </w:r>
                  <w:r>
                    <w:rPr>
                      <w:rFonts w:hint="eastAsia"/>
                      <w:sz w:val="21"/>
                      <w:szCs w:val="21"/>
                      <w:lang w:eastAsia="zh-CN"/>
                    </w:rPr>
                    <w:t>。</w:t>
                  </w:r>
                </w:p>
              </w:tc>
              <w:tc>
                <w:tcPr>
                  <w:tcW w:w="1866" w:type="dxa"/>
                  <w:tcBorders>
                    <w:top w:val="single" w:color="auto" w:sz="4" w:space="0"/>
                    <w:left w:val="single" w:color="auto" w:sz="4" w:space="0"/>
                    <w:bottom w:val="single" w:color="auto" w:sz="2" w:space="0"/>
                    <w:right w:val="single" w:color="auto" w:sz="4" w:space="0"/>
                  </w:tcBorders>
                  <w:vAlign w:val="center"/>
                </w:tcPr>
                <w:p>
                  <w:pPr>
                    <w:spacing w:line="360" w:lineRule="exact"/>
                    <w:jc w:val="left"/>
                    <w:rPr>
                      <w:sz w:val="21"/>
                      <w:szCs w:val="21"/>
                    </w:rPr>
                  </w:pPr>
                  <w:r>
                    <w:rPr>
                      <w:sz w:val="21"/>
                      <w:szCs w:val="21"/>
                    </w:rPr>
                    <w:t>（1）本项目周边无自然保护区、风景名胜区、森林公园、饮用水水源保护区等。占地范围内没有基本农田；</w:t>
                  </w:r>
                </w:p>
                <w:p>
                  <w:pPr>
                    <w:spacing w:line="360" w:lineRule="exact"/>
                    <w:jc w:val="left"/>
                    <w:rPr>
                      <w:sz w:val="21"/>
                      <w:szCs w:val="21"/>
                    </w:rPr>
                  </w:pPr>
                  <w:r>
                    <w:rPr>
                      <w:sz w:val="21"/>
                      <w:szCs w:val="21"/>
                    </w:rPr>
                    <w:t>（2）本项目开采区为露天开采，距G</w:t>
                  </w:r>
                  <w:r>
                    <w:rPr>
                      <w:rFonts w:hint="eastAsia"/>
                      <w:sz w:val="21"/>
                      <w:szCs w:val="21"/>
                    </w:rPr>
                    <w:t>316</w:t>
                  </w:r>
                  <w:r>
                    <w:rPr>
                      <w:sz w:val="21"/>
                      <w:szCs w:val="21"/>
                    </w:rPr>
                    <w:t>高速约</w:t>
                  </w:r>
                  <w:r>
                    <w:rPr>
                      <w:rFonts w:hint="eastAsia"/>
                      <w:sz w:val="21"/>
                      <w:szCs w:val="21"/>
                    </w:rPr>
                    <w:t>6500</w:t>
                  </w:r>
                  <w:r>
                    <w:rPr>
                      <w:sz w:val="21"/>
                      <w:szCs w:val="21"/>
                    </w:rPr>
                    <w:t>m，中间隔山体。不在其可视范围内；</w:t>
                  </w:r>
                </w:p>
                <w:p>
                  <w:pPr>
                    <w:spacing w:line="360" w:lineRule="exact"/>
                    <w:jc w:val="left"/>
                    <w:rPr>
                      <w:sz w:val="21"/>
                      <w:szCs w:val="21"/>
                    </w:rPr>
                  </w:pPr>
                  <w:r>
                    <w:rPr>
                      <w:sz w:val="21"/>
                      <w:szCs w:val="21"/>
                    </w:rPr>
                    <w:t>（3）根据矿产资源开发利用与保护方案，矿区未发现崩塌、滑坡等地质灾害；</w:t>
                  </w:r>
                </w:p>
                <w:p>
                  <w:pPr>
                    <w:spacing w:line="360" w:lineRule="exact"/>
                    <w:jc w:val="left"/>
                    <w:rPr>
                      <w:rFonts w:hint="eastAsia"/>
                      <w:sz w:val="21"/>
                      <w:szCs w:val="21"/>
                      <w:lang w:eastAsia="zh-CN"/>
                    </w:rPr>
                  </w:pPr>
                  <w:r>
                    <w:rPr>
                      <w:sz w:val="21"/>
                      <w:szCs w:val="21"/>
                    </w:rPr>
                    <w:t>（4）本项目后期要求矿山做到边开采，边复垦</w:t>
                  </w:r>
                  <w:r>
                    <w:rPr>
                      <w:rFonts w:hint="eastAsia"/>
                      <w:sz w:val="21"/>
                      <w:szCs w:val="21"/>
                      <w:lang w:eastAsia="zh-CN"/>
                    </w:rPr>
                    <w:t>。</w:t>
                  </w:r>
                </w:p>
              </w:tc>
              <w:tc>
                <w:tcPr>
                  <w:tcW w:w="686" w:type="dxa"/>
                  <w:tcBorders>
                    <w:top w:val="single" w:color="auto" w:sz="4" w:space="0"/>
                    <w:left w:val="single" w:color="auto" w:sz="4" w:space="0"/>
                    <w:bottom w:val="single" w:color="auto" w:sz="2" w:space="0"/>
                  </w:tcBorders>
                  <w:vAlign w:val="center"/>
                </w:tcPr>
                <w:p>
                  <w:pPr>
                    <w:spacing w:line="360" w:lineRule="exact"/>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8" w:hRule="atLeast"/>
                <w:jc w:val="center"/>
              </w:trPr>
              <w:tc>
                <w:tcPr>
                  <w:tcW w:w="1580" w:type="dxa"/>
                  <w:tcBorders>
                    <w:top w:val="single" w:color="auto" w:sz="4" w:space="0"/>
                    <w:left w:val="single" w:color="auto" w:sz="4" w:space="0"/>
                    <w:right w:val="single" w:color="auto" w:sz="4" w:space="0"/>
                  </w:tcBorders>
                  <w:vAlign w:val="center"/>
                </w:tcPr>
                <w:p>
                  <w:pPr>
                    <w:spacing w:line="360" w:lineRule="exact"/>
                    <w:jc w:val="center"/>
                    <w:rPr>
                      <w:sz w:val="21"/>
                      <w:szCs w:val="21"/>
                    </w:rPr>
                  </w:pPr>
                  <w:r>
                    <w:rPr>
                      <w:sz w:val="21"/>
                      <w:szCs w:val="21"/>
                    </w:rPr>
                    <w:t>陕西省人民政府办公厅关于深入开展开山采石专项整治切实加强采石场管理的通知（陕政办发[2015]4号）</w:t>
                  </w:r>
                </w:p>
              </w:tc>
              <w:tc>
                <w:tcPr>
                  <w:tcW w:w="2847" w:type="dxa"/>
                  <w:tcBorders>
                    <w:top w:val="single" w:color="auto" w:sz="4" w:space="0"/>
                    <w:left w:val="single" w:color="auto" w:sz="4" w:space="0"/>
                    <w:right w:val="single" w:color="auto" w:sz="4" w:space="0"/>
                  </w:tcBorders>
                  <w:vAlign w:val="center"/>
                </w:tcPr>
                <w:p>
                  <w:pPr>
                    <w:spacing w:line="360" w:lineRule="exact"/>
                    <w:jc w:val="left"/>
                    <w:rPr>
                      <w:sz w:val="21"/>
                      <w:szCs w:val="21"/>
                    </w:rPr>
                  </w:pPr>
                  <w:r>
                    <w:rPr>
                      <w:sz w:val="21"/>
                      <w:szCs w:val="21"/>
                    </w:rPr>
                    <w:t>（1）凡是风景名胜区、重要生态保护区、主要交通干线沿线可视范围内、迎坡面一律不得设置采石场。</w:t>
                  </w:r>
                </w:p>
                <w:p>
                  <w:pPr>
                    <w:spacing w:line="360" w:lineRule="exact"/>
                    <w:contextualSpacing/>
                    <w:jc w:val="center"/>
                    <w:rPr>
                      <w:rFonts w:hint="eastAsia"/>
                      <w:sz w:val="21"/>
                      <w:szCs w:val="21"/>
                      <w:lang w:eastAsia="zh-CN"/>
                    </w:rPr>
                  </w:pPr>
                  <w:r>
                    <w:rPr>
                      <w:sz w:val="21"/>
                      <w:szCs w:val="21"/>
                    </w:rPr>
                    <w:t>（2）禁止扩壶爆破、浅层爆破、掏底崩落和“伞檐式”等违规落后开采方式，按照“采剥并举，剥离先行，分层开采”原则，推广中深孔爆破、自上而下逐台阶机械铲装开采技术、履带式传送运输方式，提升露天采石场的现代化生产水平，最大限度减少安全隐患、生态破坏</w:t>
                  </w:r>
                  <w:r>
                    <w:rPr>
                      <w:rFonts w:hint="eastAsia"/>
                      <w:sz w:val="21"/>
                      <w:szCs w:val="21"/>
                      <w:lang w:eastAsia="zh-CN"/>
                    </w:rPr>
                    <w:t>。</w:t>
                  </w:r>
                </w:p>
              </w:tc>
              <w:tc>
                <w:tcPr>
                  <w:tcW w:w="1866" w:type="dxa"/>
                  <w:tcBorders>
                    <w:top w:val="single" w:color="auto" w:sz="4" w:space="0"/>
                    <w:left w:val="single" w:color="auto" w:sz="4" w:space="0"/>
                    <w:right w:val="single" w:color="auto" w:sz="4" w:space="0"/>
                  </w:tcBorders>
                  <w:vAlign w:val="center"/>
                </w:tcPr>
                <w:p>
                  <w:pPr>
                    <w:spacing w:line="360" w:lineRule="exact"/>
                    <w:jc w:val="left"/>
                    <w:rPr>
                      <w:rFonts w:hint="eastAsia"/>
                      <w:sz w:val="21"/>
                      <w:szCs w:val="21"/>
                      <w:lang w:eastAsia="zh-CN"/>
                    </w:rPr>
                  </w:pPr>
                  <w:r>
                    <w:rPr>
                      <w:sz w:val="21"/>
                      <w:szCs w:val="21"/>
                    </w:rPr>
                    <w:t>本项目位于安康市汉滨区梅子铺镇奎星村三组，不在风景名胜区、重要生态保护区、主要交通干线沿线可视范围内；本项目使用水平台阶式开采法，机械铲装开采技术</w:t>
                  </w:r>
                  <w:r>
                    <w:rPr>
                      <w:rFonts w:hint="eastAsia"/>
                      <w:sz w:val="21"/>
                      <w:szCs w:val="21"/>
                      <w:lang w:eastAsia="zh-CN"/>
                    </w:rPr>
                    <w:t>。</w:t>
                  </w:r>
                </w:p>
              </w:tc>
              <w:tc>
                <w:tcPr>
                  <w:tcW w:w="686" w:type="dxa"/>
                  <w:tcBorders>
                    <w:top w:val="single" w:color="auto" w:sz="4" w:space="0"/>
                    <w:left w:val="single" w:color="auto" w:sz="4" w:space="0"/>
                    <w:bottom w:val="single" w:color="auto" w:sz="4" w:space="0"/>
                  </w:tcBorders>
                  <w:vAlign w:val="center"/>
                </w:tcPr>
                <w:p>
                  <w:pPr>
                    <w:spacing w:line="360" w:lineRule="exact"/>
                    <w:contextualSpacing/>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5"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《陕西省矿产资源开发“保生态治污染”行动方案（2016-2020年）》的通知（陕环发[2016]42号文）</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hint="eastAsia"/>
                      <w:sz w:val="21"/>
                      <w:szCs w:val="21"/>
                      <w:lang w:eastAsia="zh-CN"/>
                    </w:rPr>
                  </w:pPr>
                  <w:r>
                    <w:rPr>
                      <w:sz w:val="21"/>
                      <w:szCs w:val="21"/>
                    </w:rPr>
                    <w:t>推动资源整合，扭转散、小、弱、差局面。对一个地区分散存在多个开采同一矿种的矿山企业，通过兼并重组等，走集团化发展路子；对各级政府已决定整合的矿山，予以停产整顿，直至达成整合协议，由新的重组企业合法生产；对保有资源量服务年限不足5年的小型矿山，一次核定采矿许可证有效期，到期关闭。开展开山采石专项整治行动，逐步关闭规模小、安全生产条件不达标和损害生态环境的采石企业，特别是秦岭保护区范围内的采石场，审批前应在省级相关部门进行环评、林地使用、安全生产、利用方案及采矿许可等审批要件的审查性备案，到2018年底，全省采石场数量削减50%。秦岭保护区范围内原则上禁止新设矿业权，确有需要开采的，应严格按程序审查</w:t>
                  </w:r>
                  <w:r>
                    <w:rPr>
                      <w:rFonts w:hint="eastAsia"/>
                      <w:sz w:val="21"/>
                      <w:szCs w:val="21"/>
                      <w:lang w:eastAsia="zh-CN"/>
                    </w:rPr>
                    <w:t>。</w:t>
                  </w:r>
                </w:p>
              </w:tc>
              <w:tc>
                <w:tcPr>
                  <w:tcW w:w="18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eastAsia="宋体"/>
                      <w:sz w:val="21"/>
                      <w:szCs w:val="21"/>
                      <w:lang w:val="en-US" w:eastAsia="zh-CN"/>
                    </w:rPr>
                  </w:pPr>
                  <w:r>
                    <w:rPr>
                      <w:rFonts w:hint="eastAsia"/>
                      <w:sz w:val="21"/>
                      <w:szCs w:val="21"/>
                      <w:lang w:val="en-US" w:eastAsia="zh-CN"/>
                    </w:rPr>
                    <w:t>本项目地位于安康市恒口示范区梅子铺奎星村三组，属于秦岭一般保护区；</w:t>
                  </w:r>
                  <w:r>
                    <w:rPr>
                      <w:sz w:val="21"/>
                      <w:szCs w:val="21"/>
                    </w:rPr>
                    <w:t>项目年开采量</w:t>
                  </w:r>
                  <w:r>
                    <w:rPr>
                      <w:rFonts w:hint="eastAsia"/>
                      <w:sz w:val="21"/>
                      <w:szCs w:val="21"/>
                    </w:rPr>
                    <w:t>30万</w:t>
                  </w:r>
                  <w:r>
                    <w:rPr>
                      <w:rFonts w:hint="eastAsia"/>
                      <w:sz w:val="21"/>
                      <w:szCs w:val="21"/>
                      <w:lang w:val="en-US" w:eastAsia="zh-CN"/>
                    </w:rPr>
                    <w:t>立方米。</w:t>
                  </w:r>
                </w:p>
              </w:tc>
              <w:tc>
                <w:tcPr>
                  <w:tcW w:w="686" w:type="dxa"/>
                  <w:tcBorders>
                    <w:top w:val="single" w:color="auto" w:sz="4" w:space="0"/>
                    <w:left w:val="single" w:color="auto" w:sz="4" w:space="0"/>
                    <w:bottom w:val="single" w:color="auto" w:sz="4" w:space="0"/>
                  </w:tcBorders>
                  <w:vAlign w:val="center"/>
                </w:tcPr>
                <w:p>
                  <w:pPr>
                    <w:spacing w:line="360" w:lineRule="exact"/>
                    <w:contextualSpacing/>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default" w:ascii="Times New Roman" w:hAnsi="Times New Roman" w:eastAsia="宋体" w:cs="Times New Roman"/>
                      <w:sz w:val="21"/>
                      <w:szCs w:val="21"/>
                    </w:rPr>
                    <w:t>《陕西省秦岭生态环境保护条例》(2019 修订</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sz w:val="21"/>
                      <w:szCs w:val="21"/>
                    </w:rPr>
                  </w:pPr>
                  <w:r>
                    <w:rPr>
                      <w:rFonts w:hint="default" w:ascii="Times New Roman" w:hAnsi="Times New Roman" w:eastAsia="宋体" w:cs="Times New Roman"/>
                      <w:spacing w:val="-2"/>
                      <w:sz w:val="21"/>
                      <w:szCs w:val="21"/>
                    </w:rPr>
                    <w:t>核心保护区不得进行与生态保护、科学研究无关的活动；重点保护区不得进行与其保护功能不相符的开发建设活动。一般保护区生产、生活和建设活动，应当严格执行法律、法规和本条例的规定。除核心保护区、重点保护区以</w:t>
                  </w:r>
                  <w:r>
                    <w:rPr>
                      <w:rFonts w:hint="default" w:ascii="Times New Roman" w:hAnsi="Times New Roman" w:eastAsia="宋体" w:cs="Times New Roman"/>
                      <w:spacing w:val="-2"/>
                      <w:w w:val="95"/>
                      <w:sz w:val="21"/>
                      <w:szCs w:val="21"/>
                    </w:rPr>
                    <w:t>外的区域，为一般保</w:t>
                  </w:r>
                  <w:r>
                    <w:rPr>
                      <w:rFonts w:hint="default" w:ascii="Times New Roman" w:hAnsi="Times New Roman" w:eastAsia="宋体" w:cs="Times New Roman"/>
                      <w:spacing w:val="-2"/>
                      <w:sz w:val="21"/>
                      <w:szCs w:val="21"/>
                    </w:rPr>
                    <w:t>护区，一般保护区实</w:t>
                  </w:r>
                  <w:r>
                    <w:rPr>
                      <w:rFonts w:hint="default" w:ascii="Times New Roman" w:hAnsi="Times New Roman" w:eastAsia="宋体" w:cs="Times New Roman"/>
                      <w:spacing w:val="-2"/>
                      <w:w w:val="95"/>
                      <w:sz w:val="21"/>
                      <w:szCs w:val="21"/>
                    </w:rPr>
                    <w:t>行产业准入清单制度</w:t>
                  </w:r>
                </w:p>
              </w:tc>
              <w:tc>
                <w:tcPr>
                  <w:tcW w:w="18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1"/>
                      <w:szCs w:val="21"/>
                    </w:rPr>
                  </w:pPr>
                  <w:r>
                    <w:rPr>
                      <w:rFonts w:hint="default" w:ascii="Times New Roman" w:hAnsi="Times New Roman" w:eastAsia="宋体" w:cs="Times New Roman"/>
                      <w:sz w:val="21"/>
                      <w:szCs w:val="21"/>
                    </w:rPr>
                    <w:t>项目区海拔约为</w:t>
                  </w:r>
                  <w:r>
                    <w:rPr>
                      <w:rFonts w:hint="eastAsia" w:cs="Times New Roman"/>
                      <w:sz w:val="21"/>
                      <w:szCs w:val="21"/>
                      <w:lang w:val="en-US" w:eastAsia="zh-CN"/>
                    </w:rPr>
                    <w:t>5</w:t>
                  </w:r>
                  <w:r>
                    <w:rPr>
                      <w:rFonts w:hint="default" w:ascii="Times New Roman" w:hAnsi="Times New Roman" w:eastAsia="宋体" w:cs="Times New Roman"/>
                      <w:sz w:val="21"/>
                      <w:szCs w:val="21"/>
                    </w:rPr>
                    <w:t>00m，属于一般保护区，根据一般保护区的定位允许建设，目前一般保护区尚未制定产业准入清单，参考《陕西省国家重点生态功能区产业准入负面清单（试行》，项目未列入限制和禁止类中</w:t>
                  </w:r>
                  <w:r>
                    <w:rPr>
                      <w:rFonts w:hint="eastAsia" w:ascii="Times New Roman" w:hAnsi="Times New Roman" w:eastAsia="宋体" w:cs="Times New Roman"/>
                      <w:sz w:val="21"/>
                      <w:szCs w:val="21"/>
                      <w:lang w:eastAsia="zh-CN"/>
                    </w:rPr>
                    <w:t>。</w:t>
                  </w:r>
                </w:p>
              </w:tc>
              <w:tc>
                <w:tcPr>
                  <w:tcW w:w="686" w:type="dxa"/>
                  <w:tcBorders>
                    <w:top w:val="single" w:color="auto" w:sz="4" w:space="0"/>
                    <w:left w:val="single" w:color="auto" w:sz="4" w:space="0"/>
                    <w:bottom w:val="single" w:color="auto" w:sz="4" w:space="0"/>
                  </w:tcBorders>
                  <w:vAlign w:val="center"/>
                </w:tcPr>
                <w:p>
                  <w:pPr>
                    <w:spacing w:line="360" w:lineRule="exact"/>
                    <w:contextualSpacing/>
                    <w:jc w:val="center"/>
                    <w:rPr>
                      <w:rFonts w:hint="eastAsia" w:eastAsia="宋体"/>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《陕西省秦岭生态环境保护总体规划》</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hint="default" w:ascii="Times New Roman" w:hAnsi="Times New Roman" w:eastAsia="宋体" w:cs="Times New Roman"/>
                      <w:spacing w:val="-2"/>
                      <w:sz w:val="21"/>
                      <w:szCs w:val="21"/>
                    </w:rPr>
                  </w:pPr>
                  <w:r>
                    <w:rPr>
                      <w:rFonts w:hint="default" w:ascii="Times New Roman" w:hAnsi="Times New Roman" w:eastAsia="宋体" w:cs="Times New Roman"/>
                      <w:spacing w:val="-2"/>
                      <w:sz w:val="21"/>
                      <w:szCs w:val="21"/>
                    </w:rPr>
                    <w:t>基于秦岭范围生态环境的垂直分异特征，统筹考虑气候的相似性、保护单元的连通性、生态功能的一致性和生态问题的突出性，按照海拔高度、主梁支脉、自然保护地分布等要素，划分为核心保护区、重点</w:t>
                  </w:r>
                  <w:r>
                    <w:rPr>
                      <w:rFonts w:hint="default" w:ascii="Times New Roman" w:hAnsi="Times New Roman" w:eastAsia="宋体" w:cs="Times New Roman"/>
                      <w:sz w:val="21"/>
                      <w:szCs w:val="21"/>
                    </w:rPr>
                    <w:t>保护区和一般保护</w:t>
                  </w:r>
                  <w:r>
                    <w:rPr>
                      <w:rFonts w:hint="default" w:ascii="Times New Roman" w:hAnsi="Times New Roman" w:eastAsia="宋体" w:cs="Times New Roman"/>
                      <w:spacing w:val="-2"/>
                      <w:sz w:val="21"/>
                      <w:szCs w:val="21"/>
                    </w:rPr>
                    <w:t>区，实行分区保护，一般保护区内自然地理条件相对较好，人口密集，交通发达，产业集中，具有一定的发展空间，是资源环境承载能力相对较强的地区，主要承担</w:t>
                  </w:r>
                  <w:r>
                    <w:rPr>
                      <w:rFonts w:hint="default" w:ascii="Times New Roman" w:hAnsi="Times New Roman" w:eastAsia="宋体" w:cs="Times New Roman"/>
                      <w:sz w:val="21"/>
                      <w:szCs w:val="21"/>
                    </w:rPr>
                    <w:t>实现社会高质量发</w:t>
                  </w:r>
                  <w:r>
                    <w:rPr>
                      <w:rFonts w:hint="default" w:ascii="Times New Roman" w:hAnsi="Times New Roman" w:eastAsia="宋体" w:cs="Times New Roman"/>
                      <w:spacing w:val="-2"/>
                      <w:sz w:val="21"/>
                      <w:szCs w:val="21"/>
                    </w:rPr>
                    <w:t>展、促进人与自然和</w:t>
                  </w:r>
                  <w:r>
                    <w:rPr>
                      <w:rFonts w:hint="default" w:ascii="Times New Roman" w:hAnsi="Times New Roman" w:eastAsia="宋体" w:cs="Times New Roman"/>
                      <w:sz w:val="21"/>
                      <w:szCs w:val="21"/>
                    </w:rPr>
                    <w:t>谐共生的功能</w:t>
                  </w:r>
                </w:p>
              </w:tc>
              <w:tc>
                <w:tcPr>
                  <w:tcW w:w="18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项目位于</w:t>
                  </w:r>
                  <w:r>
                    <w:rPr>
                      <w:rFonts w:hint="eastAsia" w:cs="Times New Roman"/>
                      <w:sz w:val="21"/>
                      <w:szCs w:val="21"/>
                      <w:lang w:val="en-US" w:eastAsia="zh-CN"/>
                    </w:rPr>
                    <w:t>安康市汉滨区梅子铺奎星村三组</w:t>
                  </w:r>
                  <w:r>
                    <w:rPr>
                      <w:rFonts w:hint="default" w:ascii="Times New Roman" w:hAnsi="Times New Roman" w:eastAsia="宋体" w:cs="Times New Roman"/>
                      <w:sz w:val="21"/>
                      <w:szCs w:val="21"/>
                    </w:rPr>
                    <w:t>，</w:t>
                  </w:r>
                  <w:r>
                    <w:rPr>
                      <w:rFonts w:hint="eastAsia" w:cs="Times New Roman"/>
                      <w:sz w:val="21"/>
                      <w:szCs w:val="21"/>
                      <w:lang w:val="en-US" w:eastAsia="zh-CN"/>
                    </w:rPr>
                    <w:t>海拔高度约500m，开采标高为600-400米，</w:t>
                  </w:r>
                  <w:r>
                    <w:rPr>
                      <w:rFonts w:hint="default" w:ascii="Times New Roman" w:hAnsi="Times New Roman" w:eastAsia="宋体" w:cs="Times New Roman"/>
                      <w:sz w:val="21"/>
                      <w:szCs w:val="21"/>
                    </w:rPr>
                    <w:t>属于一般保护区，允许建设</w:t>
                  </w:r>
                </w:p>
              </w:tc>
              <w:tc>
                <w:tcPr>
                  <w:tcW w:w="686" w:type="dxa"/>
                  <w:tcBorders>
                    <w:top w:val="single" w:color="auto" w:sz="4" w:space="0"/>
                    <w:left w:val="single" w:color="auto" w:sz="4" w:space="0"/>
                    <w:bottom w:val="single" w:color="auto" w:sz="4" w:space="0"/>
                  </w:tcBorders>
                  <w:vAlign w:val="center"/>
                </w:tcPr>
                <w:p>
                  <w:pPr>
                    <w:spacing w:line="360" w:lineRule="exact"/>
                    <w:contextualSpacing/>
                    <w:jc w:val="center"/>
                    <w:rPr>
                      <w:rFonts w:hint="default"/>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pStyle w:val="42"/>
                    <w:spacing w:before="131" w:line="242" w:lineRule="auto"/>
                    <w:ind w:left="114" w:right="93"/>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《安康市秦岭生态环境保护规划</w:t>
                  </w:r>
                </w:p>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（2018-2025）》</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z w:val="21"/>
                      <w:szCs w:val="21"/>
                    </w:rPr>
                    <w:t>安康市秦岭范围内除禁止开发区、限制开</w:t>
                  </w:r>
                  <w:r>
                    <w:rPr>
                      <w:rFonts w:hint="default" w:ascii="Times New Roman" w:hAnsi="Times New Roman" w:eastAsia="宋体" w:cs="Times New Roman"/>
                      <w:color w:val="auto"/>
                      <w:spacing w:val="-8"/>
                      <w:sz w:val="21"/>
                      <w:szCs w:val="21"/>
                    </w:rPr>
                    <w:t>发区以外的区域，海</w:t>
                  </w:r>
                  <w:r>
                    <w:rPr>
                      <w:rFonts w:hint="default" w:ascii="Times New Roman" w:hAnsi="Times New Roman" w:eastAsia="宋体" w:cs="Times New Roman"/>
                      <w:color w:val="auto"/>
                      <w:spacing w:val="-1"/>
                      <w:sz w:val="21"/>
                      <w:szCs w:val="21"/>
                    </w:rPr>
                    <w:t>拔</w:t>
                  </w:r>
                  <w:r>
                    <w:rPr>
                      <w:rFonts w:hint="default" w:ascii="Times New Roman" w:hAnsi="Times New Roman" w:eastAsia="宋体" w:cs="Times New Roman"/>
                      <w:color w:val="auto"/>
                      <w:sz w:val="21"/>
                      <w:szCs w:val="21"/>
                    </w:rPr>
                    <w:t>1500米以下的区域为适度开发区</w:t>
                  </w:r>
                  <w:r>
                    <w:rPr>
                      <w:rFonts w:hint="eastAsia" w:ascii="Times New Roman" w:hAnsi="Times New Roman" w:eastAsia="宋体" w:cs="Times New Roman"/>
                      <w:color w:val="auto"/>
                      <w:sz w:val="21"/>
                      <w:szCs w:val="21"/>
                      <w:lang w:eastAsia="zh-CN"/>
                    </w:rPr>
                    <w:t>。</w:t>
                  </w:r>
                </w:p>
              </w:tc>
              <w:tc>
                <w:tcPr>
                  <w:tcW w:w="18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项目区海拔约为</w:t>
                  </w:r>
                  <w:r>
                    <w:rPr>
                      <w:rFonts w:hint="eastAsia" w:cs="Times New Roman"/>
                      <w:sz w:val="21"/>
                      <w:szCs w:val="21"/>
                      <w:lang w:val="en-US" w:eastAsia="zh-CN"/>
                    </w:rPr>
                    <w:t>5</w:t>
                  </w:r>
                  <w:r>
                    <w:rPr>
                      <w:rFonts w:hint="default" w:ascii="Times New Roman" w:hAnsi="Times New Roman" w:eastAsia="宋体" w:cs="Times New Roman"/>
                      <w:sz w:val="21"/>
                      <w:szCs w:val="21"/>
                    </w:rPr>
                    <w:t>00m，属于适度开发区</w:t>
                  </w:r>
                  <w:r>
                    <w:rPr>
                      <w:rFonts w:hint="eastAsia" w:cs="Times New Roman"/>
                      <w:sz w:val="21"/>
                      <w:szCs w:val="21"/>
                      <w:lang w:eastAsia="zh-CN"/>
                    </w:rPr>
                    <w:t>。</w:t>
                  </w:r>
                </w:p>
              </w:tc>
              <w:tc>
                <w:tcPr>
                  <w:tcW w:w="686" w:type="dxa"/>
                  <w:tcBorders>
                    <w:top w:val="single" w:color="auto" w:sz="4" w:space="0"/>
                    <w:left w:val="single" w:color="auto" w:sz="4" w:space="0"/>
                    <w:bottom w:val="single" w:color="auto" w:sz="4" w:space="0"/>
                  </w:tcBorders>
                  <w:vAlign w:val="center"/>
                </w:tcPr>
                <w:p>
                  <w:pPr>
                    <w:spacing w:line="360" w:lineRule="exact"/>
                    <w:contextualSpacing/>
                    <w:jc w:val="center"/>
                    <w:rPr>
                      <w:rFonts w:hint="default"/>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安康市秦岭生态环境保护规划（修订版）</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附表1 安康市秦岭生态环境保护规划范围--汉滨区：流水镇、瀛湖镇、吉河镇、石梯镇</w:t>
                  </w:r>
                </w:p>
              </w:tc>
              <w:tc>
                <w:tcPr>
                  <w:tcW w:w="18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项目位于安康市恒口示范区梅子铺奎星村三组，不在秦岭生态环境保护规划范围内。</w:t>
                  </w:r>
                </w:p>
              </w:tc>
              <w:tc>
                <w:tcPr>
                  <w:tcW w:w="686" w:type="dxa"/>
                  <w:tcBorders>
                    <w:top w:val="single" w:color="auto" w:sz="4" w:space="0"/>
                    <w:left w:val="single" w:color="auto" w:sz="4" w:space="0"/>
                    <w:bottom w:val="single" w:color="auto" w:sz="4" w:space="0"/>
                  </w:tcBorders>
                  <w:vAlign w:val="center"/>
                </w:tcPr>
                <w:p>
                  <w:pPr>
                    <w:spacing w:line="360" w:lineRule="exact"/>
                    <w:contextualSpacing/>
                    <w:jc w:val="center"/>
                    <w:rPr>
                      <w:rFonts w:hint="default"/>
                      <w:sz w:val="21"/>
                      <w:szCs w:val="21"/>
                      <w:lang w:val="en-US" w:eastAsia="zh-CN"/>
                    </w:rPr>
                  </w:pPr>
                  <w:r>
                    <w:rPr>
                      <w:rFonts w:hint="eastAsia"/>
                      <w:sz w:val="21"/>
                      <w:szCs w:val="21"/>
                      <w:lang w:val="en-US" w:eastAsia="zh-CN"/>
                    </w:rPr>
                    <w:t>符合</w:t>
                  </w:r>
                </w:p>
              </w:tc>
            </w:tr>
          </w:tbl>
          <w:p>
            <w:pPr>
              <w:rPr>
                <w:sz w:val="21"/>
                <w:szCs w:val="21"/>
              </w:rPr>
            </w:pPr>
          </w:p>
          <w:p>
            <w:pPr>
              <w:spacing w:line="520" w:lineRule="exact"/>
              <w:ind w:firstLine="480" w:firstLineChars="200"/>
              <w:rPr>
                <w:sz w:val="24"/>
                <w:szCs w:val="24"/>
              </w:rPr>
            </w:pPr>
            <w:r>
              <w:rPr>
                <w:sz w:val="24"/>
                <w:szCs w:val="24"/>
              </w:rPr>
              <w:t>（3）与相关规划符合性分析</w:t>
            </w:r>
          </w:p>
          <w:p>
            <w:pPr>
              <w:widowControl w:val="0"/>
              <w:numPr>
                <w:ilvl w:val="0"/>
                <w:numId w:val="0"/>
              </w:numPr>
              <w:autoSpaceDE w:val="0"/>
              <w:autoSpaceDN w:val="0"/>
              <w:adjustRightInd w:val="0"/>
              <w:snapToGrid w:val="0"/>
              <w:jc w:val="center"/>
              <w:rPr>
                <w:rFonts w:hint="default"/>
                <w:b/>
                <w:bCs/>
                <w:sz w:val="21"/>
                <w:szCs w:val="21"/>
                <w:lang w:val="zh-CN"/>
              </w:rPr>
            </w:pPr>
            <w:r>
              <w:rPr>
                <w:rFonts w:hint="default"/>
                <w:b/>
                <w:bCs/>
                <w:sz w:val="21"/>
                <w:szCs w:val="21"/>
                <w:lang w:val="zh-CN"/>
              </w:rPr>
              <w:t>表</w:t>
            </w:r>
            <w:r>
              <w:rPr>
                <w:rFonts w:hint="eastAsia"/>
                <w:b/>
                <w:bCs/>
                <w:sz w:val="21"/>
                <w:szCs w:val="21"/>
                <w:lang w:val="en-US" w:eastAsia="zh-CN"/>
              </w:rPr>
              <w:t>3</w:t>
            </w:r>
            <w:r>
              <w:rPr>
                <w:rFonts w:hint="default"/>
                <w:b/>
                <w:bCs/>
                <w:sz w:val="21"/>
                <w:szCs w:val="21"/>
                <w:lang w:val="zh-CN"/>
              </w:rPr>
              <w:t xml:space="preserve"> 项目与《陕西省矿产资源开发保发展治粗放保安全治隐患保生态治污染行动计（2016-2020年）》相符性</w:t>
            </w:r>
          </w:p>
          <w:tbl>
            <w:tblPr>
              <w:tblStyle w:val="19"/>
              <w:tblW w:w="70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89"/>
              <w:gridCol w:w="2228"/>
              <w:gridCol w:w="1999"/>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28" w:hRule="atLeast"/>
                <w:jc w:val="center"/>
              </w:trPr>
              <w:tc>
                <w:tcPr>
                  <w:tcW w:w="748"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sz w:val="21"/>
                      <w:szCs w:val="21"/>
                    </w:rPr>
                  </w:pPr>
                  <w:r>
                    <w:rPr>
                      <w:sz w:val="21"/>
                      <w:szCs w:val="21"/>
                    </w:rPr>
                    <w:t>序号</w:t>
                  </w:r>
                </w:p>
              </w:tc>
              <w:tc>
                <w:tcPr>
                  <w:tcW w:w="1289"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相关政策</w:t>
                  </w:r>
                </w:p>
              </w:tc>
              <w:tc>
                <w:tcPr>
                  <w:tcW w:w="2228"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要求</w:t>
                  </w:r>
                </w:p>
              </w:tc>
              <w:tc>
                <w:tcPr>
                  <w:tcW w:w="1999"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本项目情况</w:t>
                  </w:r>
                </w:p>
              </w:tc>
              <w:tc>
                <w:tcPr>
                  <w:tcW w:w="794"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sz w:val="21"/>
                      <w:szCs w:val="21"/>
                    </w:rPr>
                  </w:pPr>
                  <w:r>
                    <w:rPr>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48"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1"/>
                      <w:szCs w:val="21"/>
                    </w:rPr>
                  </w:pPr>
                  <w:r>
                    <w:rPr>
                      <w:sz w:val="21"/>
                      <w:szCs w:val="21"/>
                    </w:rPr>
                    <w:t>1</w:t>
                  </w:r>
                </w:p>
              </w:tc>
              <w:tc>
                <w:tcPr>
                  <w:tcW w:w="1289" w:type="dxa"/>
                  <w:vMerge w:val="restart"/>
                  <w:tcBorders>
                    <w:top w:val="single" w:color="auto" w:sz="4" w:space="0"/>
                    <w:left w:val="single" w:color="auto" w:sz="4" w:space="0"/>
                    <w:bottom w:val="single" w:color="auto" w:sz="12" w:space="0"/>
                    <w:right w:val="single" w:color="auto" w:sz="4" w:space="0"/>
                  </w:tcBorders>
                  <w:vAlign w:val="center"/>
                </w:tcPr>
                <w:p>
                  <w:pPr>
                    <w:spacing w:line="360" w:lineRule="exact"/>
                    <w:jc w:val="left"/>
                    <w:rPr>
                      <w:sz w:val="21"/>
                      <w:szCs w:val="21"/>
                    </w:rPr>
                  </w:pPr>
                  <w:r>
                    <w:rPr>
                      <w:sz w:val="21"/>
                      <w:szCs w:val="21"/>
                    </w:rPr>
                    <w:t>《陕西省矿产资源开发保发展治粗放保安全治隐患保生态治污染行动计（2016-2020年）》（陕政发[2016]5号）</w:t>
                  </w:r>
                </w:p>
              </w:tc>
              <w:tc>
                <w:tcPr>
                  <w:tcW w:w="22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sz w:val="21"/>
                      <w:szCs w:val="21"/>
                      <w:lang w:eastAsia="zh-CN"/>
                    </w:rPr>
                  </w:pPr>
                  <w:r>
                    <w:rPr>
                      <w:sz w:val="21"/>
                      <w:szCs w:val="21"/>
                    </w:rPr>
                    <w:t>严禁在国家自然保护区、森林公园、沙化土地封禁区、地质公园、重要湿地、水源保护地等重要生态区域一定范围内新设探矿权和采矿权</w:t>
                  </w:r>
                  <w:r>
                    <w:rPr>
                      <w:rFonts w:hint="eastAsia"/>
                      <w:sz w:val="21"/>
                      <w:szCs w:val="21"/>
                      <w:lang w:eastAsia="zh-CN"/>
                    </w:rPr>
                    <w:t>。</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本项目不在禁止区</w:t>
                  </w:r>
                </w:p>
              </w:tc>
              <w:tc>
                <w:tcPr>
                  <w:tcW w:w="7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6" w:hRule="atLeast"/>
                <w:jc w:val="center"/>
              </w:trPr>
              <w:tc>
                <w:tcPr>
                  <w:tcW w:w="748"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sz w:val="21"/>
                      <w:szCs w:val="21"/>
                    </w:rPr>
                  </w:pPr>
                  <w:r>
                    <w:rPr>
                      <w:sz w:val="21"/>
                      <w:szCs w:val="21"/>
                    </w:rPr>
                    <w:t>2</w:t>
                  </w:r>
                </w:p>
              </w:tc>
              <w:tc>
                <w:tcPr>
                  <w:tcW w:w="1289"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sz w:val="21"/>
                      <w:szCs w:val="21"/>
                    </w:rPr>
                  </w:pPr>
                </w:p>
              </w:tc>
              <w:tc>
                <w:tcPr>
                  <w:tcW w:w="2228" w:type="dxa"/>
                  <w:tcBorders>
                    <w:top w:val="single" w:color="auto" w:sz="4" w:space="0"/>
                    <w:left w:val="single" w:color="auto" w:sz="4" w:space="0"/>
                    <w:bottom w:val="single" w:color="auto" w:sz="12" w:space="0"/>
                    <w:right w:val="single" w:color="auto" w:sz="4" w:space="0"/>
                  </w:tcBorders>
                  <w:vAlign w:val="center"/>
                </w:tcPr>
                <w:p>
                  <w:pPr>
                    <w:spacing w:line="360" w:lineRule="exact"/>
                    <w:jc w:val="left"/>
                    <w:rPr>
                      <w:rFonts w:hint="eastAsia"/>
                      <w:sz w:val="21"/>
                      <w:szCs w:val="21"/>
                      <w:lang w:eastAsia="zh-CN"/>
                    </w:rPr>
                  </w:pPr>
                  <w:r>
                    <w:rPr>
                      <w:sz w:val="21"/>
                      <w:szCs w:val="21"/>
                    </w:rPr>
                    <w:t>严格控制新建矿山最低生产规模和矿山总数。新建采石矿山生产规模不得低于10万吨/年，占用资源储量可供开采年限不超过30年，原依法设立的年产10万吨以下采石场要逐步关停。到2020年，关中地区每个县保留1-3家、陕北每个县3-5家、陕南每个县5-7家采石企业</w:t>
                  </w:r>
                  <w:r>
                    <w:rPr>
                      <w:rFonts w:hint="eastAsia"/>
                      <w:sz w:val="21"/>
                      <w:szCs w:val="21"/>
                      <w:lang w:eastAsia="zh-CN"/>
                    </w:rPr>
                    <w:t>。</w:t>
                  </w:r>
                </w:p>
              </w:tc>
              <w:tc>
                <w:tcPr>
                  <w:tcW w:w="1999"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default" w:eastAsia="宋体"/>
                      <w:sz w:val="21"/>
                      <w:szCs w:val="21"/>
                      <w:lang w:val="en-US" w:eastAsia="zh-CN"/>
                    </w:rPr>
                  </w:pPr>
                  <w:r>
                    <w:rPr>
                      <w:sz w:val="21"/>
                      <w:szCs w:val="21"/>
                    </w:rPr>
                    <w:t>本</w:t>
                  </w:r>
                  <w:r>
                    <w:rPr>
                      <w:color w:val="auto"/>
                      <w:sz w:val="21"/>
                      <w:szCs w:val="21"/>
                    </w:rPr>
                    <w:t>项目年开采量</w:t>
                  </w:r>
                  <w:r>
                    <w:rPr>
                      <w:rFonts w:hint="eastAsia"/>
                      <w:color w:val="auto"/>
                      <w:sz w:val="21"/>
                      <w:szCs w:val="21"/>
                    </w:rPr>
                    <w:t>30万立方米</w:t>
                  </w:r>
                  <w:r>
                    <w:rPr>
                      <w:rFonts w:hint="eastAsia"/>
                      <w:color w:val="auto"/>
                      <w:sz w:val="21"/>
                      <w:szCs w:val="21"/>
                      <w:lang w:eastAsia="zh-CN"/>
                    </w:rPr>
                    <w:t>，</w:t>
                  </w:r>
                  <w:r>
                    <w:rPr>
                      <w:rFonts w:hint="eastAsia"/>
                      <w:color w:val="auto"/>
                      <w:sz w:val="21"/>
                      <w:szCs w:val="21"/>
                      <w:lang w:val="en-US" w:eastAsia="zh-CN"/>
                    </w:rPr>
                    <w:t>项目为陕南采石企业保留露天采石类矿业权-安康市汉滨区梅子铺石门子辉绿岩</w:t>
                  </w:r>
                  <w:r>
                    <w:rPr>
                      <w:rFonts w:hint="eastAsia"/>
                      <w:sz w:val="21"/>
                      <w:szCs w:val="21"/>
                      <w:lang w:val="en-US" w:eastAsia="zh-CN"/>
                    </w:rPr>
                    <w:t>矿</w:t>
                  </w:r>
                </w:p>
              </w:tc>
              <w:tc>
                <w:tcPr>
                  <w:tcW w:w="794"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sz w:val="21"/>
                      <w:szCs w:val="21"/>
                    </w:rPr>
                  </w:pPr>
                  <w:r>
                    <w:rPr>
                      <w:sz w:val="21"/>
                      <w:szCs w:val="21"/>
                    </w:rPr>
                    <w:t>符合</w:t>
                  </w:r>
                </w:p>
              </w:tc>
            </w:tr>
          </w:tbl>
          <w:p>
            <w:pPr>
              <w:numPr>
                <w:ilvl w:val="0"/>
                <w:numId w:val="0"/>
              </w:numPr>
              <w:adjustRightInd w:val="0"/>
              <w:snapToGrid w:val="0"/>
              <w:spacing w:line="360" w:lineRule="auto"/>
              <w:rPr>
                <w:b/>
                <w:bCs/>
                <w:sz w:val="24"/>
                <w:szCs w:val="24"/>
              </w:rPr>
            </w:pPr>
            <w:r>
              <w:rPr>
                <w:rFonts w:hint="eastAsia"/>
                <w:b/>
                <w:bCs/>
                <w:sz w:val="24"/>
                <w:szCs w:val="24"/>
                <w:lang w:val="en-US" w:eastAsia="zh-CN"/>
              </w:rPr>
              <w:t>3、</w:t>
            </w:r>
            <w:r>
              <w:rPr>
                <w:b/>
                <w:bCs/>
                <w:sz w:val="24"/>
                <w:szCs w:val="24"/>
              </w:rPr>
              <w:t>选址可行性分析</w:t>
            </w:r>
          </w:p>
          <w:p>
            <w:pPr>
              <w:pStyle w:val="18"/>
              <w:numPr>
                <w:ilvl w:val="0"/>
                <w:numId w:val="0"/>
              </w:numPr>
              <w:ind w:leftChars="200"/>
              <w:rPr>
                <w:sz w:val="24"/>
                <w:szCs w:val="24"/>
              </w:rPr>
            </w:pPr>
            <w:r>
              <w:rPr>
                <w:rFonts w:hint="default"/>
                <w:sz w:val="24"/>
                <w:szCs w:val="24"/>
              </w:rPr>
              <w:t>①</w:t>
            </w:r>
            <w:r>
              <w:rPr>
                <w:sz w:val="24"/>
                <w:szCs w:val="24"/>
              </w:rPr>
              <w:t>采石场选址合理性分析</w:t>
            </w:r>
          </w:p>
          <w:p>
            <w:pPr>
              <w:jc w:val="center"/>
              <w:rPr>
                <w:rFonts w:hint="default" w:eastAsia="宋体"/>
                <w:b/>
                <w:bCs/>
                <w:lang w:val="en-US" w:eastAsia="zh-CN"/>
              </w:rPr>
            </w:pPr>
            <w:r>
              <w:rPr>
                <w:rFonts w:hint="eastAsia"/>
                <w:b/>
                <w:bCs/>
                <w:lang w:val="en-US" w:eastAsia="zh-CN"/>
              </w:rPr>
              <w:t>表4 采石场选址合理性分析表</w:t>
            </w:r>
          </w:p>
          <w:tbl>
            <w:tblPr>
              <w:tblStyle w:val="19"/>
              <w:tblW w:w="7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5"/>
              <w:gridCol w:w="4394"/>
              <w:gridCol w:w="1036"/>
              <w:gridCol w:w="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075" w:type="dxa"/>
                  <w:vAlign w:val="center"/>
                </w:tcPr>
                <w:p>
                  <w:pPr>
                    <w:autoSpaceDE w:val="0"/>
                    <w:autoSpaceDN w:val="0"/>
                    <w:spacing w:line="360" w:lineRule="exact"/>
                    <w:jc w:val="center"/>
                    <w:rPr>
                      <w:sz w:val="21"/>
                      <w:szCs w:val="21"/>
                    </w:rPr>
                  </w:pPr>
                  <w:r>
                    <w:rPr>
                      <w:sz w:val="21"/>
                      <w:szCs w:val="21"/>
                    </w:rPr>
                    <w:t>政策</w:t>
                  </w:r>
                </w:p>
              </w:tc>
              <w:tc>
                <w:tcPr>
                  <w:tcW w:w="4394" w:type="dxa"/>
                  <w:vAlign w:val="center"/>
                </w:tcPr>
                <w:p>
                  <w:pPr>
                    <w:autoSpaceDE w:val="0"/>
                    <w:autoSpaceDN w:val="0"/>
                    <w:spacing w:line="360" w:lineRule="exact"/>
                    <w:jc w:val="center"/>
                    <w:rPr>
                      <w:sz w:val="21"/>
                      <w:szCs w:val="21"/>
                    </w:rPr>
                  </w:pPr>
                  <w:r>
                    <w:rPr>
                      <w:sz w:val="21"/>
                      <w:szCs w:val="21"/>
                    </w:rPr>
                    <w:t>要求</w:t>
                  </w:r>
                </w:p>
              </w:tc>
              <w:tc>
                <w:tcPr>
                  <w:tcW w:w="1036" w:type="dxa"/>
                  <w:vAlign w:val="center"/>
                </w:tcPr>
                <w:p>
                  <w:pPr>
                    <w:autoSpaceDE w:val="0"/>
                    <w:autoSpaceDN w:val="0"/>
                    <w:spacing w:line="360" w:lineRule="exact"/>
                    <w:jc w:val="center"/>
                    <w:rPr>
                      <w:sz w:val="21"/>
                      <w:szCs w:val="21"/>
                    </w:rPr>
                  </w:pPr>
                  <w:r>
                    <w:rPr>
                      <w:sz w:val="21"/>
                      <w:szCs w:val="21"/>
                    </w:rPr>
                    <w:t>本项目情况</w:t>
                  </w:r>
                </w:p>
              </w:tc>
              <w:tc>
                <w:tcPr>
                  <w:tcW w:w="582" w:type="dxa"/>
                  <w:vAlign w:val="center"/>
                </w:tcPr>
                <w:p>
                  <w:pPr>
                    <w:autoSpaceDE w:val="0"/>
                    <w:autoSpaceDN w:val="0"/>
                    <w:spacing w:line="360" w:lineRule="exact"/>
                    <w:jc w:val="center"/>
                    <w:rPr>
                      <w:sz w:val="21"/>
                      <w:szCs w:val="21"/>
                    </w:rPr>
                  </w:pPr>
                  <w:r>
                    <w:rPr>
                      <w:sz w:val="21"/>
                      <w:szCs w:val="21"/>
                    </w:rPr>
                    <w:t>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8" w:hRule="atLeast"/>
                <w:jc w:val="center"/>
              </w:trPr>
              <w:tc>
                <w:tcPr>
                  <w:tcW w:w="1075" w:type="dxa"/>
                  <w:vAlign w:val="center"/>
                </w:tcPr>
                <w:p>
                  <w:pPr>
                    <w:autoSpaceDE w:val="0"/>
                    <w:autoSpaceDN w:val="0"/>
                    <w:spacing w:line="360" w:lineRule="exact"/>
                    <w:rPr>
                      <w:sz w:val="21"/>
                      <w:szCs w:val="21"/>
                    </w:rPr>
                  </w:pPr>
                  <w:r>
                    <w:rPr>
                      <w:sz w:val="21"/>
                      <w:szCs w:val="21"/>
                    </w:rPr>
                    <w:t>《陕西省开山采石削山建房管理办法》</w:t>
                  </w:r>
                </w:p>
              </w:tc>
              <w:tc>
                <w:tcPr>
                  <w:tcW w:w="4394" w:type="dxa"/>
                  <w:vAlign w:val="center"/>
                </w:tcPr>
                <w:p>
                  <w:pPr>
                    <w:autoSpaceDE w:val="0"/>
                    <w:autoSpaceDN w:val="0"/>
                    <w:spacing w:line="360" w:lineRule="exact"/>
                    <w:rPr>
                      <w:sz w:val="21"/>
                      <w:szCs w:val="21"/>
                    </w:rPr>
                  </w:pPr>
                  <w:r>
                    <w:rPr>
                      <w:sz w:val="21"/>
                      <w:szCs w:val="21"/>
                    </w:rPr>
                    <w:t>禁止开山采石区域：</w:t>
                  </w:r>
                </w:p>
                <w:p>
                  <w:pPr>
                    <w:autoSpaceDE w:val="0"/>
                    <w:autoSpaceDN w:val="0"/>
                    <w:spacing w:line="360" w:lineRule="exact"/>
                    <w:rPr>
                      <w:sz w:val="21"/>
                      <w:szCs w:val="21"/>
                    </w:rPr>
                  </w:pPr>
                  <w:r>
                    <w:rPr>
                      <w:sz w:val="21"/>
                      <w:szCs w:val="21"/>
                    </w:rPr>
                    <w:t>1、城市、镇、乡、村庄规划区范围内；</w:t>
                  </w:r>
                </w:p>
                <w:p>
                  <w:pPr>
                    <w:autoSpaceDE w:val="0"/>
                    <w:autoSpaceDN w:val="0"/>
                    <w:spacing w:line="360" w:lineRule="exact"/>
                    <w:rPr>
                      <w:sz w:val="21"/>
                      <w:szCs w:val="21"/>
                    </w:rPr>
                  </w:pPr>
                  <w:r>
                    <w:rPr>
                      <w:sz w:val="21"/>
                      <w:szCs w:val="21"/>
                    </w:rPr>
                    <w:t>2、自然保护区的核心区、风景名胜区、森林公园、封山育林区、植物园、文物保护区和地质遗迹保护区以及饮用水水源一级保护区和二级保护区范围内；</w:t>
                  </w:r>
                </w:p>
                <w:p>
                  <w:pPr>
                    <w:autoSpaceDE w:val="0"/>
                    <w:autoSpaceDN w:val="0"/>
                    <w:spacing w:line="360" w:lineRule="exact"/>
                    <w:rPr>
                      <w:sz w:val="21"/>
                      <w:szCs w:val="21"/>
                    </w:rPr>
                  </w:pPr>
                  <w:r>
                    <w:rPr>
                      <w:sz w:val="21"/>
                      <w:szCs w:val="21"/>
                    </w:rPr>
                    <w:t>3、港口、机场、军事设施、重要输变电设备、线路、油气管线、水工程及其设施、通讯设施等保护范围内；</w:t>
                  </w:r>
                </w:p>
                <w:p>
                  <w:pPr>
                    <w:autoSpaceDE w:val="0"/>
                    <w:autoSpaceDN w:val="0"/>
                    <w:spacing w:line="360" w:lineRule="exact"/>
                    <w:rPr>
                      <w:sz w:val="21"/>
                      <w:szCs w:val="21"/>
                    </w:rPr>
                  </w:pPr>
                  <w:r>
                    <w:rPr>
                      <w:sz w:val="21"/>
                      <w:szCs w:val="21"/>
                    </w:rPr>
                    <w:t>4、铁路、高速公路、国道、省道等重要交通干线和重要旅游线路两侧直观可视的范围内；</w:t>
                  </w:r>
                </w:p>
              </w:tc>
              <w:tc>
                <w:tcPr>
                  <w:tcW w:w="1036" w:type="dxa"/>
                  <w:vAlign w:val="center"/>
                </w:tcPr>
                <w:p>
                  <w:pPr>
                    <w:pStyle w:val="43"/>
                    <w:jc w:val="left"/>
                    <w:rPr>
                      <w:sz w:val="21"/>
                      <w:szCs w:val="21"/>
                    </w:rPr>
                  </w:pPr>
                  <w:r>
                    <w:rPr>
                      <w:sz w:val="21"/>
                      <w:szCs w:val="21"/>
                    </w:rPr>
                    <w:t>经现场调查，本项目建设地不在禁止开山采石区域范围内。</w:t>
                  </w:r>
                </w:p>
              </w:tc>
              <w:tc>
                <w:tcPr>
                  <w:tcW w:w="582" w:type="dxa"/>
                  <w:vAlign w:val="center"/>
                </w:tcPr>
                <w:p>
                  <w:pPr>
                    <w:autoSpaceDE w:val="0"/>
                    <w:autoSpaceDN w:val="0"/>
                    <w:spacing w:line="360" w:lineRule="exact"/>
                    <w:jc w:val="center"/>
                    <w:rPr>
                      <w:sz w:val="21"/>
                      <w:szCs w:val="21"/>
                    </w:rPr>
                  </w:pPr>
                  <w:r>
                    <w:rPr>
                      <w:sz w:val="21"/>
                      <w:szCs w:val="21"/>
                    </w:rPr>
                    <w:t>符合</w:t>
                  </w:r>
                </w:p>
              </w:tc>
            </w:tr>
          </w:tbl>
          <w:p>
            <w:pPr>
              <w:pStyle w:val="2"/>
              <w:ind w:left="0" w:leftChars="0" w:firstLine="0" w:firstLineChars="0"/>
              <w:rPr>
                <w:rFonts w:hint="default"/>
                <w:lang w:val="zh-CN"/>
              </w:rPr>
            </w:pPr>
          </w:p>
          <w:p>
            <w:pPr>
              <w:autoSpaceDE w:val="0"/>
              <w:autoSpaceDN w:val="0"/>
              <w:adjustRightInd w:val="0"/>
              <w:snapToGrid w:val="0"/>
              <w:spacing w:line="360" w:lineRule="auto"/>
              <w:ind w:firstLine="480" w:firstLineChars="200"/>
              <w:jc w:val="left"/>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 2 \* GB3 \* MERGEFORMAT </w:instrText>
            </w:r>
            <w:r>
              <w:rPr>
                <w:rFonts w:hint="eastAsia"/>
                <w:sz w:val="24"/>
                <w:szCs w:val="24"/>
                <w:lang w:val="en-US" w:eastAsia="zh-CN"/>
              </w:rPr>
              <w:fldChar w:fldCharType="separate"/>
            </w:r>
            <w:r>
              <w:rPr>
                <w:rFonts w:hint="eastAsia"/>
                <w:sz w:val="24"/>
                <w:szCs w:val="24"/>
                <w:lang w:val="en-US" w:eastAsia="zh-CN"/>
              </w:rPr>
              <w:t>②</w:t>
            </w:r>
            <w:r>
              <w:rPr>
                <w:rFonts w:hint="eastAsia"/>
                <w:sz w:val="24"/>
                <w:szCs w:val="24"/>
                <w:lang w:val="en-US" w:eastAsia="zh-CN"/>
              </w:rPr>
              <w:fldChar w:fldCharType="end"/>
            </w:r>
            <w:r>
              <w:rPr>
                <w:rFonts w:hint="eastAsia"/>
                <w:sz w:val="24"/>
                <w:szCs w:val="24"/>
                <w:lang w:val="en-US" w:eastAsia="zh-CN"/>
              </w:rPr>
              <w:t>石料加工区选址合理性分析</w:t>
            </w:r>
          </w:p>
          <w:p>
            <w:pPr>
              <w:autoSpaceDE w:val="0"/>
              <w:autoSpaceDN w:val="0"/>
              <w:adjustRightInd w:val="0"/>
              <w:snapToGrid w:val="0"/>
              <w:spacing w:line="360" w:lineRule="auto"/>
              <w:ind w:firstLine="480" w:firstLineChars="200"/>
              <w:jc w:val="left"/>
              <w:rPr>
                <w:rFonts w:hint="eastAsia"/>
                <w:sz w:val="24"/>
                <w:szCs w:val="24"/>
                <w:lang w:val="en-US" w:eastAsia="zh-CN"/>
              </w:rPr>
            </w:pPr>
            <w:r>
              <w:rPr>
                <w:rFonts w:hint="eastAsia"/>
                <w:sz w:val="24"/>
                <w:szCs w:val="24"/>
                <w:lang w:val="en-US" w:eastAsia="zh-CN"/>
              </w:rPr>
              <w:t>该加工区拟建于开采境界南侧，且距离较近，仅布置生产设施。该加工区占地面积小，且不涉及基本农田。经调查，工业场地周围无自然保护区、森林公园、风景名胜区及人文古迹等敏感区。也无需要特殊保护的敏感目标。该加工区域地势平坦，场地开阔，交通方便，供电由国家电网接入，水电充足，不存在制约项目建设的因素。从环境保护角度分析，建设可行。</w:t>
            </w:r>
          </w:p>
          <w:p>
            <w:pPr>
              <w:autoSpaceDE w:val="0"/>
              <w:autoSpaceDN w:val="0"/>
              <w:adjustRightInd w:val="0"/>
              <w:snapToGrid w:val="0"/>
              <w:spacing w:line="360" w:lineRule="auto"/>
              <w:ind w:firstLine="480" w:firstLineChars="200"/>
              <w:jc w:val="left"/>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 3 \* GB3 \* MERGEFORMAT </w:instrText>
            </w:r>
            <w:r>
              <w:rPr>
                <w:rFonts w:hint="eastAsia"/>
                <w:sz w:val="24"/>
                <w:szCs w:val="24"/>
                <w:lang w:val="en-US" w:eastAsia="zh-CN"/>
              </w:rPr>
              <w:fldChar w:fldCharType="separate"/>
            </w:r>
            <w:r>
              <w:rPr>
                <w:rFonts w:hint="eastAsia"/>
                <w:sz w:val="24"/>
                <w:szCs w:val="24"/>
                <w:lang w:val="en-US" w:eastAsia="zh-CN"/>
              </w:rPr>
              <w:t>③</w:t>
            </w:r>
            <w:r>
              <w:rPr>
                <w:rFonts w:hint="eastAsia"/>
                <w:sz w:val="24"/>
                <w:szCs w:val="24"/>
                <w:lang w:val="en-US" w:eastAsia="zh-CN"/>
              </w:rPr>
              <w:fldChar w:fldCharType="end"/>
            </w:r>
            <w:r>
              <w:rPr>
                <w:rFonts w:hint="eastAsia"/>
                <w:sz w:val="24"/>
                <w:szCs w:val="24"/>
                <w:lang w:val="en-US" w:eastAsia="zh-CN"/>
              </w:rPr>
              <w:t>排土场选址合理性分析</w:t>
            </w:r>
          </w:p>
          <w:p>
            <w:pPr>
              <w:autoSpaceDE w:val="0"/>
              <w:autoSpaceDN w:val="0"/>
              <w:adjustRightInd w:val="0"/>
              <w:snapToGrid w:val="0"/>
              <w:spacing w:line="360" w:lineRule="auto"/>
              <w:ind w:firstLine="480" w:firstLineChars="200"/>
              <w:jc w:val="left"/>
              <w:rPr>
                <w:sz w:val="24"/>
                <w:szCs w:val="24"/>
              </w:rPr>
            </w:pPr>
            <w:r>
              <w:rPr>
                <w:rFonts w:hint="eastAsia"/>
                <w:sz w:val="24"/>
                <w:szCs w:val="24"/>
                <w:lang w:val="en-US" w:eastAsia="zh-CN"/>
              </w:rPr>
              <w:t>本项目所排废石属于Ⅰ类一般工业固体废物，矿山设置1处排土场，按照《一般工业固体废物贮存、处置污染控制标准》中对Ⅰ类贮存场的要求，本项目排土场选址合理性分析见下表</w:t>
            </w:r>
          </w:p>
          <w:p>
            <w:pPr>
              <w:widowControl w:val="0"/>
              <w:numPr>
                <w:ilvl w:val="0"/>
                <w:numId w:val="0"/>
              </w:numPr>
              <w:autoSpaceDE w:val="0"/>
              <w:autoSpaceDN w:val="0"/>
              <w:adjustRightInd w:val="0"/>
              <w:snapToGrid w:val="0"/>
              <w:jc w:val="center"/>
              <w:rPr>
                <w:rFonts w:hint="default"/>
                <w:b/>
                <w:bCs/>
                <w:sz w:val="21"/>
                <w:szCs w:val="21"/>
                <w:lang w:val="zh-CN"/>
              </w:rPr>
            </w:pPr>
            <w:r>
              <w:rPr>
                <w:rFonts w:hint="default"/>
                <w:b/>
                <w:bCs/>
                <w:sz w:val="21"/>
                <w:szCs w:val="21"/>
                <w:lang w:val="zh-CN"/>
              </w:rPr>
              <w:t>表</w:t>
            </w:r>
            <w:r>
              <w:rPr>
                <w:rFonts w:hint="eastAsia"/>
                <w:b/>
                <w:bCs/>
                <w:sz w:val="21"/>
                <w:szCs w:val="21"/>
                <w:lang w:val="en-US" w:eastAsia="zh-CN"/>
              </w:rPr>
              <w:t>5</w:t>
            </w:r>
            <w:r>
              <w:rPr>
                <w:rFonts w:hint="eastAsia"/>
                <w:b/>
                <w:bCs/>
                <w:sz w:val="21"/>
                <w:szCs w:val="21"/>
                <w:lang w:val="zh-CN"/>
              </w:rPr>
              <w:t xml:space="preserve"> </w:t>
            </w:r>
            <w:r>
              <w:rPr>
                <w:rFonts w:hint="default"/>
                <w:b/>
                <w:bCs/>
                <w:sz w:val="21"/>
                <w:szCs w:val="21"/>
                <w:lang w:val="zh-CN"/>
              </w:rPr>
              <w:t>排土场选址合理性分析表</w:t>
            </w:r>
          </w:p>
          <w:tbl>
            <w:tblPr>
              <w:tblStyle w:val="19"/>
              <w:tblW w:w="70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9"/>
              <w:gridCol w:w="3971"/>
              <w:gridCol w:w="2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序号</w:t>
                  </w:r>
                </w:p>
              </w:tc>
              <w:tc>
                <w:tcPr>
                  <w:tcW w:w="3971" w:type="dxa"/>
                  <w:vAlign w:val="center"/>
                </w:tcPr>
                <w:p>
                  <w:pPr>
                    <w:autoSpaceDE w:val="0"/>
                    <w:autoSpaceDN w:val="0"/>
                    <w:spacing w:line="360" w:lineRule="exact"/>
                    <w:jc w:val="center"/>
                    <w:rPr>
                      <w:rFonts w:hint="default"/>
                      <w:sz w:val="21"/>
                      <w:szCs w:val="21"/>
                    </w:rPr>
                  </w:pPr>
                  <w:r>
                    <w:rPr>
                      <w:rFonts w:hint="default"/>
                      <w:sz w:val="21"/>
                      <w:szCs w:val="21"/>
                    </w:rPr>
                    <w:t>选址要求</w:t>
                  </w:r>
                </w:p>
              </w:tc>
              <w:tc>
                <w:tcPr>
                  <w:tcW w:w="2527" w:type="dxa"/>
                  <w:vAlign w:val="center"/>
                </w:tcPr>
                <w:p>
                  <w:pPr>
                    <w:autoSpaceDE w:val="0"/>
                    <w:autoSpaceDN w:val="0"/>
                    <w:spacing w:line="360" w:lineRule="exact"/>
                    <w:jc w:val="center"/>
                    <w:rPr>
                      <w:rFonts w:hint="default"/>
                      <w:sz w:val="21"/>
                      <w:szCs w:val="21"/>
                    </w:rPr>
                  </w:pPr>
                  <w:r>
                    <w:rPr>
                      <w:rFonts w:hint="default"/>
                      <w:sz w:val="21"/>
                      <w:szCs w:val="21"/>
                    </w:rPr>
                    <w:t>本项目情况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1</w:t>
                  </w:r>
                </w:p>
              </w:tc>
              <w:tc>
                <w:tcPr>
                  <w:tcW w:w="3971" w:type="dxa"/>
                  <w:vAlign w:val="center"/>
                </w:tcPr>
                <w:p>
                  <w:pPr>
                    <w:autoSpaceDE w:val="0"/>
                    <w:autoSpaceDN w:val="0"/>
                    <w:spacing w:line="360" w:lineRule="exact"/>
                    <w:jc w:val="center"/>
                    <w:rPr>
                      <w:rFonts w:hint="default"/>
                      <w:sz w:val="21"/>
                      <w:szCs w:val="21"/>
                    </w:rPr>
                  </w:pPr>
                  <w:r>
                    <w:rPr>
                      <w:rFonts w:hint="default"/>
                      <w:sz w:val="21"/>
                      <w:szCs w:val="21"/>
                    </w:rPr>
                    <w:t>所选厂址应符合当地城乡建设总体规划</w:t>
                  </w:r>
                </w:p>
              </w:tc>
              <w:tc>
                <w:tcPr>
                  <w:tcW w:w="2527" w:type="dxa"/>
                  <w:vAlign w:val="center"/>
                </w:tcPr>
                <w:p>
                  <w:pPr>
                    <w:autoSpaceDE w:val="0"/>
                    <w:autoSpaceDN w:val="0"/>
                    <w:spacing w:line="360" w:lineRule="exact"/>
                    <w:jc w:val="center"/>
                    <w:rPr>
                      <w:rFonts w:hint="default"/>
                      <w:sz w:val="21"/>
                      <w:szCs w:val="21"/>
                    </w:rPr>
                  </w:pPr>
                  <w:r>
                    <w:rPr>
                      <w:rFonts w:hint="default"/>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2</w:t>
                  </w:r>
                </w:p>
              </w:tc>
              <w:tc>
                <w:tcPr>
                  <w:tcW w:w="3971" w:type="dxa"/>
                  <w:vAlign w:val="center"/>
                </w:tcPr>
                <w:p>
                  <w:pPr>
                    <w:autoSpaceDE w:val="0"/>
                    <w:autoSpaceDN w:val="0"/>
                    <w:spacing w:line="360" w:lineRule="exact"/>
                    <w:jc w:val="left"/>
                    <w:rPr>
                      <w:rFonts w:hint="default"/>
                      <w:sz w:val="21"/>
                      <w:szCs w:val="21"/>
                    </w:rPr>
                  </w:pPr>
                  <w:r>
                    <w:rPr>
                      <w:rFonts w:hint="default"/>
                      <w:sz w:val="21"/>
                      <w:szCs w:val="21"/>
                    </w:rPr>
                    <w:t>重点考虑一般工业固体贮存、处置场产生的渗滤液以及粉尘等大气污染物等因素，根据其所在地区的环境功能区类别，综合评价其对周围环境、居住人群的身体健康、日常生活和生产活动的影响，确定其与常住居民居住场所、农用地、地表水体、高速公路、交通主干道、铁路、飞机场、军事基地等敏感对象之间的合理关系。</w:t>
                  </w:r>
                </w:p>
              </w:tc>
              <w:tc>
                <w:tcPr>
                  <w:tcW w:w="2527" w:type="dxa"/>
                  <w:vAlign w:val="center"/>
                </w:tcPr>
                <w:p>
                  <w:pPr>
                    <w:autoSpaceDE w:val="0"/>
                    <w:autoSpaceDN w:val="0"/>
                    <w:spacing w:line="360" w:lineRule="exact"/>
                    <w:jc w:val="center"/>
                    <w:rPr>
                      <w:rFonts w:hint="default"/>
                      <w:sz w:val="21"/>
                      <w:szCs w:val="21"/>
                    </w:rPr>
                  </w:pPr>
                  <w:r>
                    <w:rPr>
                      <w:rFonts w:hint="default"/>
                      <w:sz w:val="21"/>
                      <w:szCs w:val="21"/>
                    </w:rPr>
                    <w:t>排土场大风扬尘的影响范围，下风向200米内。垮坝风险时泥石流的最大堆积长度范围内无居民居住。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3</w:t>
                  </w:r>
                </w:p>
              </w:tc>
              <w:tc>
                <w:tcPr>
                  <w:tcW w:w="3971" w:type="dxa"/>
                  <w:vAlign w:val="center"/>
                </w:tcPr>
                <w:p>
                  <w:pPr>
                    <w:autoSpaceDE w:val="0"/>
                    <w:autoSpaceDN w:val="0"/>
                    <w:spacing w:line="360" w:lineRule="exact"/>
                    <w:jc w:val="left"/>
                    <w:rPr>
                      <w:rFonts w:hint="default"/>
                      <w:sz w:val="21"/>
                      <w:szCs w:val="21"/>
                    </w:rPr>
                  </w:pPr>
                  <w:r>
                    <w:rPr>
                      <w:rFonts w:hint="default"/>
                      <w:sz w:val="21"/>
                      <w:szCs w:val="21"/>
                    </w:rPr>
                    <w:t>应选在满足承载力要求的地基上，以避免地基下沉影响，特别是不均匀或局部下沉影响。</w:t>
                  </w:r>
                </w:p>
              </w:tc>
              <w:tc>
                <w:tcPr>
                  <w:tcW w:w="2527" w:type="dxa"/>
                  <w:vAlign w:val="center"/>
                </w:tcPr>
                <w:p>
                  <w:pPr>
                    <w:autoSpaceDE w:val="0"/>
                    <w:autoSpaceDN w:val="0"/>
                    <w:spacing w:line="360" w:lineRule="exact"/>
                    <w:jc w:val="left"/>
                    <w:rPr>
                      <w:rFonts w:hint="default"/>
                      <w:sz w:val="21"/>
                      <w:szCs w:val="21"/>
                    </w:rPr>
                  </w:pPr>
                  <w:r>
                    <w:rPr>
                      <w:rFonts w:hint="default"/>
                      <w:sz w:val="21"/>
                      <w:szCs w:val="21"/>
                    </w:rPr>
                    <w:t>根据本项目的开发利用方案，场址所在区无不良地质结构，适宜建设。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4</w:t>
                  </w:r>
                </w:p>
              </w:tc>
              <w:tc>
                <w:tcPr>
                  <w:tcW w:w="3971" w:type="dxa"/>
                  <w:vAlign w:val="center"/>
                </w:tcPr>
                <w:p>
                  <w:pPr>
                    <w:autoSpaceDE w:val="0"/>
                    <w:autoSpaceDN w:val="0"/>
                    <w:spacing w:line="360" w:lineRule="exact"/>
                    <w:jc w:val="left"/>
                    <w:rPr>
                      <w:rFonts w:hint="default"/>
                      <w:sz w:val="21"/>
                      <w:szCs w:val="21"/>
                    </w:rPr>
                  </w:pPr>
                  <w:r>
                    <w:rPr>
                      <w:rFonts w:hint="default"/>
                      <w:sz w:val="21"/>
                      <w:szCs w:val="21"/>
                    </w:rPr>
                    <w:t>禁止选在自然保护区、风景名胜区和其他需要特别保护的区域。</w:t>
                  </w:r>
                </w:p>
              </w:tc>
              <w:tc>
                <w:tcPr>
                  <w:tcW w:w="2527" w:type="dxa"/>
                  <w:vAlign w:val="center"/>
                </w:tcPr>
                <w:p>
                  <w:pPr>
                    <w:autoSpaceDE w:val="0"/>
                    <w:autoSpaceDN w:val="0"/>
                    <w:spacing w:line="360" w:lineRule="exact"/>
                    <w:jc w:val="left"/>
                    <w:rPr>
                      <w:rFonts w:hint="default"/>
                      <w:sz w:val="21"/>
                      <w:szCs w:val="21"/>
                    </w:rPr>
                  </w:pPr>
                  <w:r>
                    <w:rPr>
                      <w:rFonts w:hint="default"/>
                      <w:sz w:val="21"/>
                      <w:szCs w:val="21"/>
                    </w:rPr>
                    <w:t>周边无自然保护区、风景名胜区和需要特殊保护的区域。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5</w:t>
                  </w:r>
                </w:p>
              </w:tc>
              <w:tc>
                <w:tcPr>
                  <w:tcW w:w="3971" w:type="dxa"/>
                  <w:vAlign w:val="center"/>
                </w:tcPr>
                <w:p>
                  <w:pPr>
                    <w:autoSpaceDE w:val="0"/>
                    <w:autoSpaceDN w:val="0"/>
                    <w:spacing w:line="360" w:lineRule="exact"/>
                    <w:jc w:val="left"/>
                    <w:rPr>
                      <w:rFonts w:hint="default"/>
                      <w:sz w:val="21"/>
                      <w:szCs w:val="21"/>
                    </w:rPr>
                  </w:pPr>
                  <w:r>
                    <w:rPr>
                      <w:rFonts w:hint="default"/>
                      <w:sz w:val="21"/>
                      <w:szCs w:val="21"/>
                    </w:rPr>
                    <w:t>不适宜位于有开采价值的矿床上面，避免矿床资源大量占压。</w:t>
                  </w:r>
                </w:p>
              </w:tc>
              <w:tc>
                <w:tcPr>
                  <w:tcW w:w="2527" w:type="dxa"/>
                  <w:vAlign w:val="center"/>
                </w:tcPr>
                <w:p>
                  <w:pPr>
                    <w:autoSpaceDE w:val="0"/>
                    <w:autoSpaceDN w:val="0"/>
                    <w:spacing w:line="360" w:lineRule="exact"/>
                    <w:jc w:val="center"/>
                    <w:rPr>
                      <w:rFonts w:hint="default"/>
                      <w:sz w:val="21"/>
                      <w:szCs w:val="21"/>
                    </w:rPr>
                  </w:pPr>
                  <w:r>
                    <w:rPr>
                      <w:rFonts w:hint="default"/>
                      <w:sz w:val="21"/>
                      <w:szCs w:val="21"/>
                    </w:rPr>
                    <w:t>排土场位于露天开采范围以外，不涉及压矿问题。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6</w:t>
                  </w:r>
                </w:p>
              </w:tc>
              <w:tc>
                <w:tcPr>
                  <w:tcW w:w="3971" w:type="dxa"/>
                  <w:vAlign w:val="center"/>
                </w:tcPr>
                <w:p>
                  <w:pPr>
                    <w:autoSpaceDE w:val="0"/>
                    <w:autoSpaceDN w:val="0"/>
                    <w:spacing w:line="360" w:lineRule="exact"/>
                    <w:jc w:val="center"/>
                    <w:rPr>
                      <w:rFonts w:hint="default"/>
                      <w:sz w:val="21"/>
                      <w:szCs w:val="21"/>
                    </w:rPr>
                  </w:pPr>
                  <w:r>
                    <w:rPr>
                      <w:rFonts w:hint="default"/>
                      <w:sz w:val="21"/>
                      <w:szCs w:val="21"/>
                    </w:rPr>
                    <w:t>废石场建设不迁或少迁村庄和居民点。</w:t>
                  </w:r>
                </w:p>
              </w:tc>
              <w:tc>
                <w:tcPr>
                  <w:tcW w:w="2527" w:type="dxa"/>
                  <w:vAlign w:val="center"/>
                </w:tcPr>
                <w:p>
                  <w:pPr>
                    <w:autoSpaceDE w:val="0"/>
                    <w:autoSpaceDN w:val="0"/>
                    <w:spacing w:line="360" w:lineRule="exact"/>
                    <w:jc w:val="center"/>
                    <w:rPr>
                      <w:rFonts w:hint="default"/>
                      <w:sz w:val="21"/>
                      <w:szCs w:val="21"/>
                    </w:rPr>
                  </w:pPr>
                  <w:r>
                    <w:rPr>
                      <w:rFonts w:hint="default"/>
                      <w:sz w:val="21"/>
                      <w:szCs w:val="21"/>
                    </w:rPr>
                    <w:t>不涉及居民搬迁问题。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7</w:t>
                  </w:r>
                </w:p>
              </w:tc>
              <w:tc>
                <w:tcPr>
                  <w:tcW w:w="3971" w:type="dxa"/>
                  <w:vAlign w:val="center"/>
                </w:tcPr>
                <w:p>
                  <w:pPr>
                    <w:autoSpaceDE w:val="0"/>
                    <w:autoSpaceDN w:val="0"/>
                    <w:spacing w:line="360" w:lineRule="exact"/>
                    <w:jc w:val="center"/>
                    <w:rPr>
                      <w:rFonts w:hint="default"/>
                      <w:sz w:val="21"/>
                      <w:szCs w:val="21"/>
                    </w:rPr>
                  </w:pPr>
                  <w:r>
                    <w:rPr>
                      <w:rFonts w:hint="default"/>
                      <w:sz w:val="21"/>
                      <w:szCs w:val="21"/>
                    </w:rPr>
                    <w:t>汇水面积小，有足够的库容。</w:t>
                  </w:r>
                </w:p>
              </w:tc>
              <w:tc>
                <w:tcPr>
                  <w:tcW w:w="2527" w:type="dxa"/>
                  <w:vAlign w:val="center"/>
                </w:tcPr>
                <w:p>
                  <w:pPr>
                    <w:autoSpaceDE w:val="0"/>
                    <w:autoSpaceDN w:val="0"/>
                    <w:spacing w:line="360" w:lineRule="exact"/>
                    <w:jc w:val="center"/>
                    <w:rPr>
                      <w:rFonts w:hint="default"/>
                      <w:sz w:val="21"/>
                      <w:szCs w:val="21"/>
                    </w:rPr>
                  </w:pPr>
                  <w:r>
                    <w:rPr>
                      <w:rFonts w:hint="default"/>
                      <w:sz w:val="21"/>
                      <w:szCs w:val="21"/>
                    </w:rPr>
                    <w:t>汇水面积小，库容足够。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8</w:t>
                  </w:r>
                </w:p>
              </w:tc>
              <w:tc>
                <w:tcPr>
                  <w:tcW w:w="3971" w:type="dxa"/>
                  <w:vAlign w:val="center"/>
                </w:tcPr>
                <w:p>
                  <w:pPr>
                    <w:autoSpaceDE w:val="0"/>
                    <w:autoSpaceDN w:val="0"/>
                    <w:spacing w:line="360" w:lineRule="exact"/>
                    <w:jc w:val="left"/>
                    <w:rPr>
                      <w:rFonts w:hint="default"/>
                      <w:sz w:val="21"/>
                      <w:szCs w:val="21"/>
                    </w:rPr>
                  </w:pPr>
                  <w:r>
                    <w:rPr>
                      <w:rFonts w:hint="default"/>
                      <w:sz w:val="21"/>
                      <w:szCs w:val="21"/>
                    </w:rPr>
                    <w:t>应避开断层、断层破碎带、溶洞区，以及天然滑坡或泥石流影响区。</w:t>
                  </w:r>
                </w:p>
              </w:tc>
              <w:tc>
                <w:tcPr>
                  <w:tcW w:w="2527" w:type="dxa"/>
                  <w:vAlign w:val="center"/>
                </w:tcPr>
                <w:p>
                  <w:pPr>
                    <w:autoSpaceDE w:val="0"/>
                    <w:autoSpaceDN w:val="0"/>
                    <w:spacing w:line="360" w:lineRule="exact"/>
                    <w:jc w:val="center"/>
                    <w:rPr>
                      <w:rFonts w:hint="default"/>
                      <w:sz w:val="21"/>
                      <w:szCs w:val="21"/>
                    </w:rPr>
                  </w:pPr>
                  <w:r>
                    <w:rPr>
                      <w:rFonts w:hint="default"/>
                      <w:sz w:val="21"/>
                      <w:szCs w:val="21"/>
                    </w:rPr>
                    <w:t>排土场没有断层、断层破碎带、溶洞区，不会受到天然滑坡或泥石流影响。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9</w:t>
                  </w:r>
                </w:p>
              </w:tc>
              <w:tc>
                <w:tcPr>
                  <w:tcW w:w="3971" w:type="dxa"/>
                  <w:vAlign w:val="center"/>
                </w:tcPr>
                <w:p>
                  <w:pPr>
                    <w:autoSpaceDE w:val="0"/>
                    <w:autoSpaceDN w:val="0"/>
                    <w:spacing w:line="360" w:lineRule="exact"/>
                    <w:jc w:val="left"/>
                    <w:rPr>
                      <w:rFonts w:hint="default"/>
                      <w:sz w:val="21"/>
                      <w:szCs w:val="21"/>
                    </w:rPr>
                  </w:pPr>
                  <w:r>
                    <w:rPr>
                      <w:rFonts w:hint="default"/>
                      <w:sz w:val="21"/>
                      <w:szCs w:val="21"/>
                    </w:rPr>
                    <w:t>选址应密切关注水源保护区和水源补给区，确保选址不危及水质保护。</w:t>
                  </w:r>
                </w:p>
              </w:tc>
              <w:tc>
                <w:tcPr>
                  <w:tcW w:w="2527" w:type="dxa"/>
                  <w:vAlign w:val="center"/>
                </w:tcPr>
                <w:p>
                  <w:pPr>
                    <w:autoSpaceDE w:val="0"/>
                    <w:autoSpaceDN w:val="0"/>
                    <w:spacing w:line="360" w:lineRule="exact"/>
                    <w:jc w:val="left"/>
                    <w:rPr>
                      <w:rFonts w:hint="default"/>
                      <w:sz w:val="21"/>
                      <w:szCs w:val="21"/>
                    </w:rPr>
                  </w:pPr>
                  <w:r>
                    <w:rPr>
                      <w:rFonts w:hint="default"/>
                      <w:sz w:val="21"/>
                      <w:szCs w:val="21"/>
                    </w:rPr>
                    <w:t>周边无水源保护区和补给区。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2" w:hRule="atLeast"/>
                <w:jc w:val="center"/>
              </w:trPr>
              <w:tc>
                <w:tcPr>
                  <w:tcW w:w="579" w:type="dxa"/>
                  <w:vAlign w:val="center"/>
                </w:tcPr>
                <w:p>
                  <w:pPr>
                    <w:autoSpaceDE w:val="0"/>
                    <w:autoSpaceDN w:val="0"/>
                    <w:spacing w:line="360" w:lineRule="exact"/>
                    <w:jc w:val="center"/>
                    <w:rPr>
                      <w:rFonts w:hint="default"/>
                      <w:sz w:val="21"/>
                      <w:szCs w:val="21"/>
                    </w:rPr>
                  </w:pPr>
                  <w:r>
                    <w:rPr>
                      <w:rFonts w:hint="default"/>
                      <w:sz w:val="21"/>
                      <w:szCs w:val="21"/>
                    </w:rPr>
                    <w:t>10</w:t>
                  </w:r>
                </w:p>
              </w:tc>
              <w:tc>
                <w:tcPr>
                  <w:tcW w:w="3971" w:type="dxa"/>
                  <w:vAlign w:val="center"/>
                </w:tcPr>
                <w:p>
                  <w:pPr>
                    <w:autoSpaceDE w:val="0"/>
                    <w:autoSpaceDN w:val="0"/>
                    <w:spacing w:line="360" w:lineRule="exact"/>
                    <w:jc w:val="left"/>
                    <w:rPr>
                      <w:rFonts w:hint="default"/>
                      <w:sz w:val="21"/>
                      <w:szCs w:val="21"/>
                    </w:rPr>
                  </w:pPr>
                  <w:r>
                    <w:rPr>
                      <w:rFonts w:hint="default"/>
                      <w:sz w:val="21"/>
                      <w:szCs w:val="21"/>
                    </w:rPr>
                    <w:t>下游居民点的分布应符合安全防护的要求。</w:t>
                  </w:r>
                </w:p>
              </w:tc>
              <w:tc>
                <w:tcPr>
                  <w:tcW w:w="2527" w:type="dxa"/>
                  <w:vAlign w:val="center"/>
                </w:tcPr>
                <w:p>
                  <w:pPr>
                    <w:autoSpaceDE w:val="0"/>
                    <w:autoSpaceDN w:val="0"/>
                    <w:spacing w:line="360" w:lineRule="exact"/>
                    <w:jc w:val="center"/>
                    <w:rPr>
                      <w:rFonts w:hint="default"/>
                      <w:sz w:val="21"/>
                      <w:szCs w:val="21"/>
                    </w:rPr>
                  </w:pPr>
                  <w:r>
                    <w:rPr>
                      <w:rFonts w:hint="default"/>
                      <w:sz w:val="21"/>
                      <w:szCs w:val="21"/>
                    </w:rPr>
                    <w:t>排土场下游沟道溃坝泥石流堆积范围内没有居民分布，符合安全防护要求。</w:t>
                  </w:r>
                </w:p>
              </w:tc>
            </w:tr>
          </w:tbl>
          <w:p>
            <w:pPr>
              <w:autoSpaceDE w:val="0"/>
              <w:autoSpaceDN w:val="0"/>
              <w:adjustRightInd w:val="0"/>
              <w:snapToGrid w:val="0"/>
              <w:spacing w:line="360" w:lineRule="auto"/>
              <w:ind w:firstLine="480" w:firstLineChars="200"/>
              <w:jc w:val="left"/>
              <w:rPr>
                <w:sz w:val="24"/>
                <w:szCs w:val="24"/>
              </w:rPr>
            </w:pPr>
            <w:r>
              <w:rPr>
                <w:sz w:val="24"/>
                <w:szCs w:val="24"/>
              </w:rPr>
              <w:fldChar w:fldCharType="begin"/>
            </w:r>
            <w:r>
              <w:rPr>
                <w:sz w:val="24"/>
                <w:szCs w:val="24"/>
              </w:rPr>
              <w:instrText xml:space="preserve"> = 4 \* GB3 \* MERGEFORMAT </w:instrText>
            </w:r>
            <w:r>
              <w:rPr>
                <w:sz w:val="24"/>
                <w:szCs w:val="24"/>
              </w:rPr>
              <w:fldChar w:fldCharType="separate"/>
            </w:r>
            <w:r>
              <w:rPr>
                <w:sz w:val="24"/>
                <w:szCs w:val="24"/>
              </w:rPr>
              <w:t>④</w:t>
            </w:r>
            <w:r>
              <w:rPr>
                <w:sz w:val="24"/>
                <w:szCs w:val="24"/>
              </w:rPr>
              <w:fldChar w:fldCharType="end"/>
            </w:r>
            <w:r>
              <w:rPr>
                <w:sz w:val="24"/>
                <w:szCs w:val="24"/>
              </w:rPr>
              <w:t>项目布局合理性分析</w:t>
            </w:r>
          </w:p>
          <w:p>
            <w:pPr>
              <w:autoSpaceDE w:val="0"/>
              <w:autoSpaceDN w:val="0"/>
              <w:adjustRightInd w:val="0"/>
              <w:snapToGrid w:val="0"/>
              <w:spacing w:line="360" w:lineRule="auto"/>
              <w:ind w:firstLine="480" w:firstLineChars="200"/>
              <w:jc w:val="left"/>
              <w:rPr>
                <w:sz w:val="24"/>
                <w:szCs w:val="24"/>
              </w:rPr>
            </w:pPr>
            <w:r>
              <w:rPr>
                <w:sz w:val="24"/>
                <w:szCs w:val="24"/>
              </w:rPr>
              <w:t>本项目采石场与公路、居民区和其他主要建筑物爆破安全均距离大于100m。石料加工区位于采石场南侧，排土场位于露天采场</w:t>
            </w:r>
            <w:r>
              <w:rPr>
                <w:rFonts w:hint="eastAsia"/>
                <w:sz w:val="24"/>
                <w:szCs w:val="24"/>
              </w:rPr>
              <w:t>西南侧</w:t>
            </w:r>
            <w:r>
              <w:rPr>
                <w:sz w:val="24"/>
                <w:szCs w:val="24"/>
              </w:rPr>
              <w:t>，弃土、废石运输便捷，符合节能原则，项目总平面布置较为合理。</w:t>
            </w:r>
          </w:p>
          <w:p>
            <w:pPr>
              <w:autoSpaceDE w:val="0"/>
              <w:autoSpaceDN w:val="0"/>
              <w:adjustRightInd w:val="0"/>
              <w:snapToGrid w:val="0"/>
              <w:spacing w:line="360" w:lineRule="auto"/>
              <w:ind w:firstLine="480" w:firstLineChars="200"/>
              <w:jc w:val="left"/>
              <w:rPr>
                <w:sz w:val="24"/>
                <w:szCs w:val="24"/>
              </w:rPr>
            </w:pPr>
            <w:r>
              <w:rPr>
                <w:sz w:val="24"/>
                <w:szCs w:val="24"/>
              </w:rPr>
              <w:fldChar w:fldCharType="begin"/>
            </w:r>
            <w:r>
              <w:rPr>
                <w:sz w:val="24"/>
                <w:szCs w:val="24"/>
              </w:rPr>
              <w:instrText xml:space="preserve"> = 5 \* GB3 \* MERGEFORMAT </w:instrText>
            </w:r>
            <w:r>
              <w:rPr>
                <w:sz w:val="24"/>
                <w:szCs w:val="24"/>
              </w:rPr>
              <w:fldChar w:fldCharType="separate"/>
            </w:r>
            <w:r>
              <w:rPr>
                <w:sz w:val="24"/>
                <w:szCs w:val="24"/>
              </w:rPr>
              <w:t>⑤</w:t>
            </w:r>
            <w:r>
              <w:rPr>
                <w:sz w:val="24"/>
                <w:szCs w:val="24"/>
              </w:rPr>
              <w:fldChar w:fldCharType="end"/>
            </w:r>
            <w:r>
              <w:rPr>
                <w:sz w:val="24"/>
                <w:szCs w:val="24"/>
              </w:rPr>
              <w:t>开采方式的合理性</w:t>
            </w:r>
          </w:p>
          <w:p>
            <w:pPr>
              <w:autoSpaceDE w:val="0"/>
              <w:autoSpaceDN w:val="0"/>
              <w:adjustRightInd w:val="0"/>
              <w:snapToGrid w:val="0"/>
              <w:spacing w:line="360" w:lineRule="auto"/>
              <w:ind w:firstLine="480" w:firstLineChars="200"/>
              <w:jc w:val="left"/>
              <w:rPr>
                <w:sz w:val="24"/>
                <w:szCs w:val="24"/>
              </w:rPr>
            </w:pPr>
            <w:r>
              <w:rPr>
                <w:sz w:val="24"/>
                <w:szCs w:val="24"/>
              </w:rPr>
              <w:t>项目按照“采剥并举，剥离先行，分层开采”原则开采，矿区为中深孔微差爆破、采用台阶开采方式，自上而下分层开采，能最大限度地减少安全隐患和生态破坏。</w:t>
            </w:r>
          </w:p>
          <w:p>
            <w:pPr>
              <w:autoSpaceDE w:val="0"/>
              <w:autoSpaceDN w:val="0"/>
              <w:adjustRightInd w:val="0"/>
              <w:snapToGrid w:val="0"/>
              <w:spacing w:line="360" w:lineRule="auto"/>
              <w:ind w:firstLine="482" w:firstLineChars="200"/>
              <w:jc w:val="left"/>
              <w:rPr>
                <w:b/>
                <w:bCs/>
                <w:sz w:val="24"/>
                <w:szCs w:val="24"/>
              </w:rPr>
            </w:pPr>
            <w:r>
              <w:rPr>
                <w:b/>
                <w:bCs/>
                <w:sz w:val="24"/>
                <w:szCs w:val="24"/>
              </w:rPr>
              <w:t>4、关注的主要环境问题及环境影响</w:t>
            </w:r>
          </w:p>
          <w:p>
            <w:pPr>
              <w:autoSpaceDE w:val="0"/>
              <w:autoSpaceDN w:val="0"/>
              <w:adjustRightInd w:val="0"/>
              <w:snapToGrid w:val="0"/>
              <w:spacing w:line="360" w:lineRule="auto"/>
              <w:ind w:firstLine="480" w:firstLineChars="200"/>
              <w:jc w:val="left"/>
              <w:rPr>
                <w:sz w:val="24"/>
                <w:szCs w:val="24"/>
              </w:rPr>
            </w:pPr>
            <w:r>
              <w:rPr>
                <w:sz w:val="24"/>
                <w:szCs w:val="24"/>
              </w:rPr>
              <w:t>本项目主要关注的是生态环境</w:t>
            </w:r>
            <w:r>
              <w:rPr>
                <w:rFonts w:hint="eastAsia"/>
                <w:sz w:val="24"/>
                <w:szCs w:val="24"/>
                <w:lang w:val="en-US" w:eastAsia="zh-CN"/>
              </w:rPr>
              <w:t>问题及解决办法。</w:t>
            </w:r>
            <w:r>
              <w:rPr>
                <w:sz w:val="24"/>
                <w:szCs w:val="24"/>
              </w:rPr>
              <w:t>营运期的粉尘、生活污水、生产设备噪声、生活垃圾等对环境的影响，项目采取环评提出的各项污染防治措施后，对环境的不利影响可降至当地环境可接受的程度。</w:t>
            </w:r>
          </w:p>
          <w:p>
            <w:pPr>
              <w:autoSpaceDE w:val="0"/>
              <w:autoSpaceDN w:val="0"/>
              <w:adjustRightInd w:val="0"/>
              <w:snapToGrid w:val="0"/>
              <w:spacing w:line="360" w:lineRule="auto"/>
              <w:ind w:firstLine="482" w:firstLineChars="200"/>
              <w:jc w:val="left"/>
              <w:rPr>
                <w:b/>
                <w:bCs/>
                <w:sz w:val="24"/>
                <w:szCs w:val="24"/>
              </w:rPr>
            </w:pPr>
            <w:r>
              <w:rPr>
                <w:b/>
                <w:bCs/>
                <w:sz w:val="24"/>
                <w:szCs w:val="24"/>
              </w:rPr>
              <w:t>5、环境影响评价的主要结论</w:t>
            </w:r>
          </w:p>
          <w:p>
            <w:pPr>
              <w:autoSpaceDE w:val="0"/>
              <w:autoSpaceDN w:val="0"/>
              <w:adjustRightInd w:val="0"/>
              <w:snapToGrid w:val="0"/>
              <w:spacing w:line="360" w:lineRule="auto"/>
              <w:ind w:firstLine="480" w:firstLineChars="200"/>
              <w:jc w:val="left"/>
              <w:rPr>
                <w:rFonts w:hint="eastAsia"/>
                <w:sz w:val="24"/>
                <w:szCs w:val="24"/>
                <w:lang w:val="en-US" w:eastAsia="zh-CN"/>
              </w:rPr>
            </w:pPr>
            <w:r>
              <w:rPr>
                <w:sz w:val="24"/>
                <w:szCs w:val="24"/>
              </w:rPr>
              <w:t>该项目为</w:t>
            </w:r>
            <w:r>
              <w:rPr>
                <w:rFonts w:hint="eastAsia"/>
                <w:sz w:val="24"/>
                <w:szCs w:val="24"/>
                <w:lang w:val="en-US" w:eastAsia="zh-CN"/>
              </w:rPr>
              <w:t>土砂石开采</w:t>
            </w:r>
            <w:r>
              <w:rPr>
                <w:sz w:val="24"/>
                <w:szCs w:val="24"/>
              </w:rPr>
              <w:t>项目，从环保角度而言，选址可行，项目污染物可做到达标排放，项目对区域环境质量影响较小。综合其社会、经济和环境效益，从环保角度出发，项目是可行的。</w:t>
            </w:r>
          </w:p>
          <w:p>
            <w:pPr>
              <w:rPr>
                <w:rFonts w:hint="eastAsia"/>
                <w:sz w:val="24"/>
                <w:szCs w:val="24"/>
                <w:lang w:val="en-US" w:eastAsia="zh-CN"/>
              </w:rPr>
            </w:pPr>
          </w:p>
        </w:tc>
      </w:tr>
    </w:tbl>
    <w:p>
      <w:pPr>
        <w:spacing w:line="360" w:lineRule="auto"/>
        <w:outlineLvl w:val="0"/>
        <w:rPr>
          <w:rFonts w:eastAsia="黑体"/>
          <w:sz w:val="30"/>
        </w:rPr>
        <w:sectPr>
          <w:footerReference r:id="rId7" w:type="default"/>
          <w:pgSz w:w="11906" w:h="16838"/>
          <w:pgMar w:top="1701" w:right="1531" w:bottom="1701" w:left="1531" w:header="851" w:footer="1077" w:gutter="0"/>
          <w:pgNumType w:start="1"/>
          <w:cols w:space="720" w:num="1"/>
          <w:docGrid w:linePitch="312" w:charSpace="0"/>
        </w:sectPr>
      </w:pPr>
    </w:p>
    <w:p>
      <w:pPr>
        <w:pStyle w:val="15"/>
        <w:jc w:val="center"/>
        <w:outlineLvl w:val="0"/>
        <w:rPr>
          <w:rFonts w:hint="eastAsia" w:ascii="宋体" w:hAnsi="宋体" w:eastAsia="宋体" w:cs="宋体"/>
          <w:b/>
          <w:bCs/>
          <w:snapToGrid w:val="0"/>
          <w:sz w:val="30"/>
          <w:szCs w:val="30"/>
        </w:rPr>
      </w:pPr>
      <w:r>
        <w:rPr>
          <w:rFonts w:hint="eastAsia" w:ascii="宋体" w:hAnsi="宋体" w:eastAsia="宋体" w:cs="宋体"/>
          <w:b/>
          <w:bCs/>
          <w:snapToGrid w:val="0"/>
          <w:sz w:val="30"/>
          <w:szCs w:val="30"/>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823" w:type="dxa"/>
            <w:noWrap w:val="0"/>
            <w:vAlign w:val="center"/>
          </w:tcPr>
          <w:p>
            <w:pPr>
              <w:pStyle w:val="15"/>
              <w:adjustRightInd w:val="0"/>
              <w:snapToGrid w:val="0"/>
              <w:spacing w:before="0" w:beforeAutospacing="0" w:after="0" w:afterAutospacing="0"/>
              <w:jc w:val="center"/>
              <w:rPr>
                <w:rFonts w:cs="宋体"/>
                <w:sz w:val="21"/>
                <w:szCs w:val="21"/>
              </w:rPr>
            </w:pPr>
            <w:r>
              <w:rPr>
                <w:rFonts w:hint="eastAsia" w:cs="宋体"/>
                <w:sz w:val="24"/>
                <w:szCs w:val="24"/>
              </w:rPr>
              <w:t>建设内容</w:t>
            </w:r>
          </w:p>
        </w:tc>
        <w:tc>
          <w:tcPr>
            <w:tcW w:w="8217" w:type="dxa"/>
            <w:noWrap w:val="0"/>
            <w:vAlign w:val="top"/>
          </w:tcPr>
          <w:p>
            <w:pPr>
              <w:autoSpaceDE w:val="0"/>
              <w:autoSpaceDN w:val="0"/>
              <w:adjustRightInd w:val="0"/>
              <w:snapToGrid w:val="0"/>
              <w:spacing w:line="360" w:lineRule="auto"/>
              <w:ind w:firstLine="480" w:firstLineChars="200"/>
              <w:jc w:val="left"/>
              <w:rPr>
                <w:rFonts w:hint="default"/>
                <w:sz w:val="24"/>
                <w:szCs w:val="24"/>
              </w:rPr>
            </w:pPr>
            <w:r>
              <w:rPr>
                <w:rFonts w:hint="default"/>
                <w:sz w:val="24"/>
                <w:szCs w:val="24"/>
              </w:rPr>
              <w:t>安康</w:t>
            </w:r>
            <w:r>
              <w:rPr>
                <w:rFonts w:hint="eastAsia"/>
                <w:sz w:val="24"/>
                <w:szCs w:val="24"/>
                <w:lang w:val="en-US" w:eastAsia="zh-CN"/>
              </w:rPr>
              <w:t>市汉滨区梅子铺天宇采石场成立于2009年1月15日，注册资金2400万元，于2022年5月变更为安康天宇顺采石有限公司。</w:t>
            </w:r>
            <w:r>
              <w:rPr>
                <w:rFonts w:hint="default"/>
                <w:sz w:val="24"/>
                <w:szCs w:val="24"/>
              </w:rPr>
              <w:t>辉绿岩是上等建筑材料。如贵州的"罗甸绿"、浙江临海的"</w:t>
            </w:r>
            <w:r>
              <w:rPr>
                <w:rFonts w:hint="default"/>
                <w:sz w:val="24"/>
                <w:szCs w:val="24"/>
              </w:rPr>
              <w:fldChar w:fldCharType="begin"/>
            </w:r>
            <w:r>
              <w:rPr>
                <w:rFonts w:hint="default"/>
                <w:sz w:val="24"/>
                <w:szCs w:val="24"/>
              </w:rPr>
              <w:instrText xml:space="preserve"> HYPERLINK "https://baike.so.com/doc/6253740-6467153.html" \t "_blank" </w:instrText>
            </w:r>
            <w:r>
              <w:rPr>
                <w:rFonts w:hint="default"/>
                <w:sz w:val="24"/>
                <w:szCs w:val="24"/>
              </w:rPr>
              <w:fldChar w:fldCharType="separate"/>
            </w:r>
            <w:r>
              <w:rPr>
                <w:rFonts w:hint="default"/>
                <w:sz w:val="24"/>
                <w:szCs w:val="24"/>
              </w:rPr>
              <w:t>孔雀绿</w:t>
            </w:r>
            <w:r>
              <w:rPr>
                <w:rFonts w:hint="default"/>
                <w:sz w:val="24"/>
                <w:szCs w:val="24"/>
              </w:rPr>
              <w:fldChar w:fldCharType="end"/>
            </w:r>
            <w:r>
              <w:rPr>
                <w:rFonts w:hint="default"/>
                <w:sz w:val="24"/>
                <w:szCs w:val="24"/>
              </w:rPr>
              <w:t>"、河南的"五龙青"、"菊花青"、山西的"太白青"、"北岳黑"均属此类。</w:t>
            </w:r>
          </w:p>
          <w:p>
            <w:pPr>
              <w:autoSpaceDE w:val="0"/>
              <w:autoSpaceDN w:val="0"/>
              <w:adjustRightInd w:val="0"/>
              <w:snapToGrid w:val="0"/>
              <w:spacing w:line="360" w:lineRule="auto"/>
              <w:ind w:firstLine="480" w:firstLineChars="200"/>
              <w:jc w:val="left"/>
              <w:rPr>
                <w:rFonts w:hint="default"/>
                <w:sz w:val="24"/>
                <w:szCs w:val="24"/>
                <w:lang w:val="en-US" w:eastAsia="zh-CN"/>
              </w:rPr>
            </w:pPr>
            <w:r>
              <w:rPr>
                <w:rFonts w:hint="default"/>
                <w:sz w:val="24"/>
                <w:szCs w:val="24"/>
              </w:rPr>
              <w:t>安康</w:t>
            </w:r>
            <w:r>
              <w:rPr>
                <w:rFonts w:hint="eastAsia"/>
                <w:sz w:val="24"/>
                <w:szCs w:val="24"/>
                <w:lang w:val="en-US" w:eastAsia="zh-CN"/>
              </w:rPr>
              <w:t>天宇顺采石有限公司对</w:t>
            </w:r>
            <w:r>
              <w:rPr>
                <w:rFonts w:hint="default"/>
                <w:sz w:val="24"/>
                <w:szCs w:val="24"/>
              </w:rPr>
              <w:t>矿区以砂岩矿的开采和加工为主</w:t>
            </w:r>
            <w:r>
              <w:rPr>
                <w:rFonts w:hint="eastAsia"/>
                <w:sz w:val="24"/>
                <w:szCs w:val="24"/>
                <w:lang w:eastAsia="zh-CN"/>
              </w:rPr>
              <w:t>，</w:t>
            </w:r>
            <w:r>
              <w:rPr>
                <w:rFonts w:hint="eastAsia"/>
                <w:sz w:val="24"/>
                <w:szCs w:val="24"/>
                <w:lang w:val="en-US" w:eastAsia="zh-CN"/>
              </w:rPr>
              <w:t>采矿许可证号码：</w:t>
            </w:r>
            <w:r>
              <w:rPr>
                <w:rFonts w:hint="default"/>
                <w:sz w:val="24"/>
                <w:szCs w:val="24"/>
              </w:rPr>
              <w:t>C6109022010127120090284，有效期限2018年12月24日-2019年12月24日，年采矿20万吨/年。2018年2月27日取得汉滨区环境保护局</w:t>
            </w:r>
            <w:r>
              <w:rPr>
                <w:rFonts w:hint="eastAsia"/>
                <w:sz w:val="24"/>
                <w:szCs w:val="24"/>
                <w:lang w:eastAsia="zh-CN"/>
              </w:rPr>
              <w:t>《</w:t>
            </w:r>
            <w:r>
              <w:rPr>
                <w:rFonts w:hint="default"/>
                <w:sz w:val="24"/>
                <w:szCs w:val="24"/>
              </w:rPr>
              <w:t>关于安康市汉滨区梅子铺天宇采石场安康市汉滨区梅子铺石门子辉绿岩矿项目现状环境影响评估报告表备案意见</w:t>
            </w:r>
            <w:r>
              <w:rPr>
                <w:rFonts w:hint="eastAsia"/>
                <w:sz w:val="24"/>
                <w:szCs w:val="24"/>
                <w:lang w:eastAsia="zh-CN"/>
              </w:rPr>
              <w:t>》（</w:t>
            </w:r>
            <w:r>
              <w:rPr>
                <w:rFonts w:hint="default"/>
                <w:sz w:val="24"/>
                <w:szCs w:val="24"/>
              </w:rPr>
              <w:t>汉区环函[2018]81号</w:t>
            </w:r>
            <w:r>
              <w:rPr>
                <w:rFonts w:hint="eastAsia"/>
                <w:sz w:val="24"/>
                <w:szCs w:val="24"/>
                <w:lang w:eastAsia="zh-CN"/>
              </w:rPr>
              <w:t>）。</w:t>
            </w:r>
            <w:r>
              <w:rPr>
                <w:rFonts w:hint="eastAsia"/>
                <w:sz w:val="24"/>
                <w:szCs w:val="24"/>
                <w:lang w:val="en-US" w:eastAsia="zh-CN"/>
              </w:rPr>
              <w:t>2019年7月1日取得安康市恒口示范区（试验区）自然资源局《</w:t>
            </w:r>
            <w:r>
              <w:rPr>
                <w:rFonts w:hint="default"/>
                <w:sz w:val="24"/>
                <w:szCs w:val="24"/>
              </w:rPr>
              <w:t>关于安康市汉滨区梅子铺天宇采石场</w:t>
            </w:r>
            <w:r>
              <w:rPr>
                <w:rFonts w:hint="eastAsia"/>
                <w:sz w:val="24"/>
                <w:szCs w:val="24"/>
                <w:lang w:val="en-US" w:eastAsia="zh-CN"/>
              </w:rPr>
              <w:t>申请临时用地的批复》（安恒自然资字[2019]10号）</w:t>
            </w:r>
            <w:r>
              <w:rPr>
                <w:rFonts w:hint="default"/>
                <w:sz w:val="24"/>
                <w:szCs w:val="24"/>
                <w:lang w:eastAsia="zh-CN"/>
              </w:rPr>
              <w:t>。</w:t>
            </w:r>
            <w:r>
              <w:rPr>
                <w:rFonts w:hint="eastAsia"/>
                <w:sz w:val="24"/>
                <w:szCs w:val="24"/>
                <w:lang w:val="en-US" w:eastAsia="zh-CN"/>
              </w:rPr>
              <w:t>2019年5月21日取得恒口示范区（试验区）安全生产与市场监督管理局《关于恒口示范区（试验区）梅子铺石门子辉绿岩矿（20×10</w:t>
            </w:r>
            <w:r>
              <w:rPr>
                <w:rFonts w:hint="eastAsia"/>
                <w:sz w:val="24"/>
                <w:szCs w:val="24"/>
                <w:vertAlign w:val="superscript"/>
                <w:lang w:val="en-US" w:eastAsia="zh-CN"/>
              </w:rPr>
              <w:t>4</w:t>
            </w:r>
            <w:r>
              <w:rPr>
                <w:rFonts w:hint="eastAsia"/>
                <w:sz w:val="24"/>
                <w:szCs w:val="24"/>
                <w:lang w:val="en-US" w:eastAsia="zh-CN"/>
              </w:rPr>
              <w:t>t/a）露天采矿工程（续建）》开工建设批复（安恒安监发[2019]6号），并取得了汉滨区水利局《关于安康市汉滨区梅子铺石门子辉绿岩矿开采项目水土保持方案的批复》（汉区水计字[2018]197号）。</w:t>
            </w:r>
          </w:p>
          <w:p>
            <w:pPr>
              <w:autoSpaceDE w:val="0"/>
              <w:autoSpaceDN w:val="0"/>
              <w:adjustRightInd w:val="0"/>
              <w:snapToGrid w:val="0"/>
              <w:spacing w:line="360" w:lineRule="auto"/>
              <w:ind w:firstLine="480" w:firstLineChars="200"/>
              <w:jc w:val="left"/>
              <w:rPr>
                <w:rFonts w:hint="eastAsia" w:eastAsia="宋体"/>
                <w:sz w:val="24"/>
                <w:szCs w:val="24"/>
                <w:lang w:val="en-US" w:eastAsia="zh-CN"/>
              </w:rPr>
            </w:pPr>
            <w:r>
              <w:rPr>
                <w:rFonts w:hint="default"/>
                <w:sz w:val="24"/>
                <w:szCs w:val="24"/>
              </w:rPr>
              <w:t>由于近几年，石料需求量日益增长，安康</w:t>
            </w:r>
            <w:r>
              <w:rPr>
                <w:rFonts w:hint="eastAsia"/>
                <w:sz w:val="24"/>
                <w:szCs w:val="24"/>
                <w:lang w:val="en-US" w:eastAsia="zh-CN"/>
              </w:rPr>
              <w:t>天宇顺采石有限公司</w:t>
            </w:r>
            <w:r>
              <w:rPr>
                <w:rFonts w:hint="default"/>
                <w:sz w:val="24"/>
                <w:szCs w:val="24"/>
              </w:rPr>
              <w:t>决定进行</w:t>
            </w:r>
            <w:r>
              <w:rPr>
                <w:rFonts w:hint="eastAsia"/>
                <w:sz w:val="24"/>
                <w:szCs w:val="24"/>
                <w:lang w:val="en-US" w:eastAsia="zh-CN"/>
              </w:rPr>
              <w:t>技术改造</w:t>
            </w:r>
            <w:r>
              <w:rPr>
                <w:rFonts w:hint="eastAsia"/>
                <w:sz w:val="24"/>
                <w:szCs w:val="24"/>
                <w:lang w:eastAsia="zh-CN"/>
              </w:rPr>
              <w:t>，</w:t>
            </w:r>
            <w:r>
              <w:rPr>
                <w:rFonts w:hint="eastAsia"/>
                <w:sz w:val="24"/>
                <w:szCs w:val="24"/>
                <w:lang w:val="en-US" w:eastAsia="zh-CN"/>
              </w:rPr>
              <w:t>改造后年产量为50万吨/年。于2022年6月24日在</w:t>
            </w:r>
            <w:r>
              <w:rPr>
                <w:sz w:val="24"/>
                <w:szCs w:val="24"/>
              </w:rPr>
              <w:t>安康市恒口示范区经济发展</w:t>
            </w:r>
            <w:r>
              <w:rPr>
                <w:rFonts w:hint="eastAsia"/>
                <w:sz w:val="24"/>
                <w:szCs w:val="24"/>
                <w:lang w:val="en-US" w:eastAsia="zh-CN"/>
              </w:rPr>
              <w:t>与</w:t>
            </w:r>
            <w:r>
              <w:rPr>
                <w:sz w:val="24"/>
                <w:szCs w:val="24"/>
              </w:rPr>
              <w:t>招商局</w:t>
            </w:r>
            <w:r>
              <w:rPr>
                <w:rFonts w:hint="eastAsia"/>
                <w:sz w:val="24"/>
                <w:szCs w:val="24"/>
                <w:lang w:val="en-US" w:eastAsia="zh-CN"/>
              </w:rPr>
              <w:t>进行备案，备案编号为</w:t>
            </w:r>
            <w:r>
              <w:rPr>
                <w:rFonts w:hint="default" w:ascii="Times New Roman" w:hAnsi="Times New Roman" w:cs="Times New Roman"/>
                <w:sz w:val="24"/>
                <w:szCs w:val="24"/>
                <w:lang w:val="en-US" w:eastAsia="zh-CN"/>
              </w:rPr>
              <w:t>2206-610962-04-02-372173</w:t>
            </w:r>
            <w:r>
              <w:rPr>
                <w:rFonts w:hint="eastAsia"/>
                <w:sz w:val="24"/>
                <w:szCs w:val="24"/>
                <w:lang w:eastAsia="zh-CN"/>
              </w:rPr>
              <w:t>。</w:t>
            </w:r>
          </w:p>
          <w:p>
            <w:pPr>
              <w:numPr>
                <w:ilvl w:val="0"/>
                <w:numId w:val="0"/>
              </w:numPr>
              <w:adjustRightInd w:val="0"/>
              <w:snapToGrid w:val="0"/>
              <w:jc w:val="left"/>
              <w:rPr>
                <w:rFonts w:hint="default"/>
                <w:b/>
                <w:bCs/>
                <w:sz w:val="24"/>
                <w:szCs w:val="24"/>
              </w:rPr>
            </w:pPr>
            <w:r>
              <w:rPr>
                <w:rFonts w:hint="eastAsia"/>
                <w:b/>
                <w:bCs/>
                <w:sz w:val="24"/>
                <w:szCs w:val="24"/>
                <w:lang w:val="en-US" w:eastAsia="zh-CN"/>
              </w:rPr>
              <w:t>1、</w:t>
            </w:r>
            <w:r>
              <w:rPr>
                <w:rFonts w:hint="default"/>
                <w:b/>
                <w:bCs/>
                <w:sz w:val="24"/>
                <w:szCs w:val="24"/>
              </w:rPr>
              <w:t>建设概况</w:t>
            </w:r>
          </w:p>
          <w:p>
            <w:pPr>
              <w:pStyle w:val="44"/>
              <w:numPr>
                <w:ilvl w:val="0"/>
                <w:numId w:val="0"/>
              </w:numPr>
              <w:tabs>
                <w:tab w:val="left" w:pos="3820"/>
              </w:tabs>
              <w:autoSpaceDE w:val="0"/>
              <w:autoSpaceDN w:val="0"/>
              <w:spacing w:before="160" w:after="0" w:line="364" w:lineRule="auto"/>
              <w:ind w:right="375" w:rightChars="0"/>
              <w:jc w:val="both"/>
              <w:rPr>
                <w:rFonts w:hint="default" w:ascii="Times New Roman" w:hAnsi="Times New Roman" w:cs="Times New Roman"/>
                <w:sz w:val="24"/>
                <w:szCs w:val="24"/>
                <w:lang w:val="en-US" w:eastAsia="zh-CN"/>
              </w:rPr>
            </w:pPr>
            <w:r>
              <w:rPr>
                <w:rFonts w:hint="default"/>
                <w:sz w:val="24"/>
                <w:szCs w:val="24"/>
                <w:lang w:val="en-US" w:eastAsia="zh-CN"/>
              </w:rPr>
              <w:t>项目名</w:t>
            </w:r>
            <w:r>
              <w:rPr>
                <w:rFonts w:hint="default" w:ascii="Times New Roman" w:hAnsi="Times New Roman" w:cs="Times New Roman"/>
                <w:sz w:val="24"/>
                <w:szCs w:val="24"/>
                <w:lang w:val="en-US" w:eastAsia="zh-CN"/>
              </w:rPr>
              <w:t>称：</w:t>
            </w:r>
            <w:r>
              <w:rPr>
                <w:rFonts w:hint="eastAsia" w:cs="Times New Roman"/>
                <w:sz w:val="24"/>
                <w:szCs w:val="24"/>
                <w:lang w:val="en-US" w:eastAsia="zh-CN"/>
              </w:rPr>
              <w:t>安康天宇顺采石石门子辉绿岩矿</w:t>
            </w:r>
          </w:p>
          <w:p>
            <w:pPr>
              <w:pStyle w:val="44"/>
              <w:numPr>
                <w:ilvl w:val="0"/>
                <w:numId w:val="0"/>
              </w:numPr>
              <w:tabs>
                <w:tab w:val="left" w:pos="3820"/>
              </w:tabs>
              <w:autoSpaceDE w:val="0"/>
              <w:autoSpaceDN w:val="0"/>
              <w:spacing w:before="160" w:after="0" w:line="364" w:lineRule="auto"/>
              <w:ind w:right="375" w:righ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项目性质：</w:t>
            </w:r>
            <w:r>
              <w:rPr>
                <w:rFonts w:hint="eastAsia" w:ascii="Times New Roman" w:hAnsi="Times New Roman" w:cs="Times New Roman"/>
                <w:sz w:val="24"/>
                <w:szCs w:val="24"/>
                <w:lang w:val="en-US" w:eastAsia="zh-CN"/>
              </w:rPr>
              <w:t>改扩建</w:t>
            </w:r>
          </w:p>
          <w:p>
            <w:pPr>
              <w:pStyle w:val="44"/>
              <w:numPr>
                <w:ilvl w:val="0"/>
                <w:numId w:val="0"/>
              </w:numPr>
              <w:tabs>
                <w:tab w:val="left" w:pos="3820"/>
              </w:tabs>
              <w:autoSpaceDE w:val="0"/>
              <w:autoSpaceDN w:val="0"/>
              <w:spacing w:before="160" w:after="0" w:line="364" w:lineRule="auto"/>
              <w:ind w:right="375" w:righ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建设单位：</w:t>
            </w:r>
            <w:r>
              <w:rPr>
                <w:rFonts w:hint="default"/>
                <w:sz w:val="24"/>
                <w:szCs w:val="24"/>
              </w:rPr>
              <w:t>安康</w:t>
            </w:r>
            <w:r>
              <w:rPr>
                <w:rFonts w:hint="eastAsia"/>
                <w:sz w:val="24"/>
                <w:szCs w:val="24"/>
                <w:lang w:val="en-US" w:eastAsia="zh-CN"/>
              </w:rPr>
              <w:t>天宇顺采石有限公司</w:t>
            </w:r>
          </w:p>
          <w:p>
            <w:pPr>
              <w:pStyle w:val="44"/>
              <w:numPr>
                <w:ilvl w:val="0"/>
                <w:numId w:val="0"/>
              </w:numPr>
              <w:tabs>
                <w:tab w:val="left" w:pos="3820"/>
              </w:tabs>
              <w:autoSpaceDE w:val="0"/>
              <w:autoSpaceDN w:val="0"/>
              <w:spacing w:before="160" w:after="0" w:line="364" w:lineRule="auto"/>
              <w:ind w:right="375" w:righ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总投资：</w:t>
            </w:r>
            <w:r>
              <w:rPr>
                <w:rFonts w:hint="eastAsia" w:ascii="Times New Roman" w:hAnsi="Times New Roman" w:cs="Times New Roman"/>
                <w:sz w:val="24"/>
                <w:szCs w:val="24"/>
                <w:lang w:val="en-US" w:eastAsia="zh-CN"/>
              </w:rPr>
              <w:t>19000</w:t>
            </w:r>
            <w:r>
              <w:rPr>
                <w:rFonts w:hint="default" w:ascii="Times New Roman" w:hAnsi="Times New Roman" w:cs="Times New Roman"/>
                <w:sz w:val="24"/>
                <w:szCs w:val="24"/>
                <w:lang w:val="en-US" w:eastAsia="zh-CN"/>
              </w:rPr>
              <w:t>万元</w:t>
            </w:r>
          </w:p>
          <w:p>
            <w:pPr>
              <w:autoSpaceDE w:val="0"/>
              <w:autoSpaceDN w:val="0"/>
              <w:adjustRightInd w:val="0"/>
              <w:snapToGrid w:val="0"/>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建设地点：</w:t>
            </w:r>
            <w:r>
              <w:rPr>
                <w:rFonts w:hint="default" w:ascii="Times New Roman" w:hAnsi="Times New Roman" w:eastAsia="宋体" w:cs="Times New Roman"/>
                <w:sz w:val="24"/>
                <w:szCs w:val="24"/>
              </w:rPr>
              <w:t>陕西省安康市汉滨区梅子铺镇奎星村三组</w:t>
            </w:r>
            <w:r>
              <w:rPr>
                <w:rFonts w:hint="default" w:ascii="Times New Roman" w:hAnsi="Times New Roman" w:eastAsia="宋体" w:cs="Times New Roman"/>
                <w:sz w:val="24"/>
                <w:szCs w:val="24"/>
                <w:lang w:val="en-US" w:eastAsia="zh-CN"/>
              </w:rPr>
              <w:t>，场址中心坐标为东经108°43'42"；北纬32°48'27"</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厂区地理位置见附图。</w:t>
            </w:r>
          </w:p>
          <w:p>
            <w:pPr>
              <w:pStyle w:val="44"/>
              <w:numPr>
                <w:ilvl w:val="0"/>
                <w:numId w:val="0"/>
              </w:numPr>
              <w:tabs>
                <w:tab w:val="left" w:pos="3820"/>
              </w:tabs>
              <w:autoSpaceDE w:val="0"/>
              <w:autoSpaceDN w:val="0"/>
              <w:spacing w:before="160" w:after="0" w:line="364" w:lineRule="auto"/>
              <w:ind w:right="375" w:rightChars="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2、</w:t>
            </w:r>
            <w:r>
              <w:rPr>
                <w:rFonts w:hint="default" w:ascii="Times New Roman" w:hAnsi="Times New Roman" w:cs="Times New Roman"/>
                <w:b/>
                <w:bCs/>
                <w:sz w:val="24"/>
                <w:szCs w:val="24"/>
              </w:rPr>
              <w:t>建设内容</w:t>
            </w:r>
          </w:p>
          <w:p>
            <w:pPr>
              <w:autoSpaceDE w:val="0"/>
              <w:autoSpaceDN w:val="0"/>
              <w:adjustRightInd w:val="0"/>
              <w:snapToGrid w:val="0"/>
              <w:spacing w:line="360" w:lineRule="auto"/>
              <w:ind w:firstLine="480" w:firstLineChars="200"/>
              <w:jc w:val="left"/>
              <w:rPr>
                <w:rFonts w:hint="default"/>
                <w:sz w:val="24"/>
                <w:szCs w:val="24"/>
                <w:lang w:val="en-US" w:eastAsia="zh-CN"/>
              </w:rPr>
            </w:pPr>
            <w:r>
              <w:rPr>
                <w:sz w:val="24"/>
                <w:szCs w:val="24"/>
              </w:rPr>
              <w:t>本项目矿区面积0.</w:t>
            </w:r>
            <w:r>
              <w:rPr>
                <w:rFonts w:hint="eastAsia"/>
                <w:sz w:val="24"/>
                <w:szCs w:val="24"/>
              </w:rPr>
              <w:t>47</w:t>
            </w:r>
            <w:r>
              <w:rPr>
                <w:sz w:val="24"/>
                <w:szCs w:val="24"/>
              </w:rPr>
              <w:t>km</w:t>
            </w:r>
            <w:r>
              <w:rPr>
                <w:sz w:val="24"/>
                <w:szCs w:val="24"/>
                <w:vertAlign w:val="superscript"/>
              </w:rPr>
              <w:t>2</w:t>
            </w:r>
            <w:r>
              <w:rPr>
                <w:sz w:val="24"/>
                <w:szCs w:val="24"/>
              </w:rPr>
              <w:t>，</w:t>
            </w:r>
            <w:r>
              <w:rPr>
                <w:rFonts w:hint="eastAsia"/>
                <w:sz w:val="24"/>
                <w:szCs w:val="24"/>
                <w:lang w:val="en-US" w:eastAsia="zh-CN"/>
              </w:rPr>
              <w:t>建设一条</w:t>
            </w:r>
            <w:r>
              <w:rPr>
                <w:sz w:val="24"/>
                <w:szCs w:val="24"/>
              </w:rPr>
              <w:t>开采规模达到</w:t>
            </w:r>
            <w:r>
              <w:rPr>
                <w:rFonts w:hint="eastAsia"/>
                <w:sz w:val="24"/>
                <w:szCs w:val="24"/>
                <w:lang w:val="en-US" w:eastAsia="zh-CN"/>
              </w:rPr>
              <w:t>50</w:t>
            </w:r>
            <w:r>
              <w:rPr>
                <w:sz w:val="24"/>
                <w:szCs w:val="24"/>
              </w:rPr>
              <w:t>万吨/年</w:t>
            </w:r>
            <w:r>
              <w:rPr>
                <w:rFonts w:hint="eastAsia"/>
                <w:sz w:val="24"/>
                <w:szCs w:val="24"/>
                <w:lang w:val="en-US" w:eastAsia="zh-CN"/>
              </w:rPr>
              <w:t>开采线</w:t>
            </w:r>
            <w:r>
              <w:rPr>
                <w:sz w:val="24"/>
                <w:szCs w:val="24"/>
              </w:rPr>
              <w:t>，</w:t>
            </w:r>
            <w:r>
              <w:rPr>
                <w:rFonts w:hint="default"/>
                <w:sz w:val="24"/>
                <w:szCs w:val="24"/>
              </w:rPr>
              <w:t>生产车间</w:t>
            </w:r>
            <w:r>
              <w:rPr>
                <w:rFonts w:hint="eastAsia"/>
                <w:sz w:val="24"/>
                <w:szCs w:val="24"/>
                <w:lang w:val="en-US" w:eastAsia="zh-CN"/>
              </w:rPr>
              <w:t>27</w:t>
            </w:r>
            <w:r>
              <w:rPr>
                <w:rFonts w:hint="default"/>
                <w:sz w:val="24"/>
                <w:szCs w:val="24"/>
              </w:rPr>
              <w:t>00m</w:t>
            </w:r>
            <w:r>
              <w:rPr>
                <w:rFonts w:hint="default"/>
                <w:sz w:val="24"/>
                <w:szCs w:val="24"/>
                <w:vertAlign w:val="superscript"/>
              </w:rPr>
              <w:t>2</w:t>
            </w:r>
            <w:r>
              <w:rPr>
                <w:rFonts w:hint="default"/>
                <w:sz w:val="24"/>
                <w:szCs w:val="24"/>
              </w:rPr>
              <w:t>，原料堆场</w:t>
            </w:r>
            <w:r>
              <w:rPr>
                <w:rFonts w:hint="eastAsia"/>
                <w:sz w:val="24"/>
                <w:szCs w:val="24"/>
                <w:lang w:val="en-US" w:eastAsia="zh-CN"/>
              </w:rPr>
              <w:t>2</w:t>
            </w:r>
            <w:r>
              <w:rPr>
                <w:rFonts w:hint="default"/>
                <w:sz w:val="24"/>
                <w:szCs w:val="24"/>
              </w:rPr>
              <w:t>00m</w:t>
            </w:r>
            <w:r>
              <w:rPr>
                <w:rFonts w:hint="default"/>
                <w:sz w:val="24"/>
                <w:szCs w:val="24"/>
                <w:vertAlign w:val="superscript"/>
              </w:rPr>
              <w:t>2</w:t>
            </w:r>
            <w:r>
              <w:rPr>
                <w:rFonts w:hint="default"/>
                <w:sz w:val="24"/>
                <w:szCs w:val="24"/>
              </w:rPr>
              <w:t>，</w:t>
            </w:r>
            <w:r>
              <w:rPr>
                <w:rFonts w:hint="eastAsia"/>
                <w:sz w:val="24"/>
                <w:szCs w:val="24"/>
                <w:lang w:val="en-US" w:eastAsia="zh-CN"/>
              </w:rPr>
              <w:t>成品库15</w:t>
            </w:r>
            <w:r>
              <w:rPr>
                <w:rFonts w:hint="default"/>
                <w:sz w:val="24"/>
                <w:szCs w:val="24"/>
              </w:rPr>
              <w:t>00m</w:t>
            </w:r>
            <w:r>
              <w:rPr>
                <w:rFonts w:hint="default"/>
                <w:sz w:val="24"/>
                <w:szCs w:val="24"/>
                <w:vertAlign w:val="superscript"/>
              </w:rPr>
              <w:t>2</w:t>
            </w:r>
            <w:r>
              <w:rPr>
                <w:rFonts w:hint="eastAsia"/>
                <w:sz w:val="24"/>
                <w:szCs w:val="24"/>
                <w:lang w:eastAsia="zh-CN"/>
              </w:rPr>
              <w:t>，</w:t>
            </w:r>
            <w:r>
              <w:rPr>
                <w:rFonts w:hint="default"/>
                <w:sz w:val="24"/>
                <w:szCs w:val="24"/>
              </w:rPr>
              <w:t>办公区</w:t>
            </w:r>
            <w:r>
              <w:rPr>
                <w:rFonts w:hint="eastAsia"/>
                <w:sz w:val="24"/>
                <w:szCs w:val="24"/>
                <w:lang w:val="en-US" w:eastAsia="zh-CN"/>
              </w:rPr>
              <w:t>4</w:t>
            </w:r>
            <w:r>
              <w:rPr>
                <w:rFonts w:hint="default"/>
                <w:sz w:val="24"/>
                <w:szCs w:val="24"/>
              </w:rPr>
              <w:t>00m</w:t>
            </w:r>
            <w:r>
              <w:rPr>
                <w:rFonts w:hint="default"/>
                <w:sz w:val="24"/>
                <w:szCs w:val="24"/>
                <w:vertAlign w:val="superscript"/>
              </w:rPr>
              <w:t>2</w:t>
            </w:r>
            <w:r>
              <w:rPr>
                <w:rFonts w:hint="eastAsia"/>
                <w:sz w:val="24"/>
                <w:szCs w:val="24"/>
                <w:lang w:eastAsia="zh-CN"/>
              </w:rPr>
              <w:t>。</w:t>
            </w:r>
            <w:r>
              <w:rPr>
                <w:rFonts w:hint="default"/>
                <w:sz w:val="24"/>
                <w:szCs w:val="24"/>
                <w:lang w:val="zh-CN" w:eastAsia="zh-CN"/>
              </w:rPr>
              <w:t>本项目建设项目组成见表</w:t>
            </w:r>
            <w:r>
              <w:rPr>
                <w:rFonts w:hint="eastAsia"/>
                <w:sz w:val="24"/>
                <w:szCs w:val="24"/>
                <w:lang w:val="en-US" w:eastAsia="zh-CN"/>
              </w:rPr>
              <w:t>6。</w:t>
            </w:r>
          </w:p>
          <w:p>
            <w:pPr>
              <w:widowControl w:val="0"/>
              <w:numPr>
                <w:ilvl w:val="0"/>
                <w:numId w:val="0"/>
              </w:numPr>
              <w:autoSpaceDE w:val="0"/>
              <w:autoSpaceDN w:val="0"/>
              <w:adjustRightInd w:val="0"/>
              <w:snapToGrid w:val="0"/>
              <w:jc w:val="center"/>
              <w:rPr>
                <w:rFonts w:hint="eastAsia"/>
                <w:b/>
                <w:bCs/>
                <w:sz w:val="21"/>
                <w:szCs w:val="21"/>
                <w:lang w:val="en-US" w:eastAsia="zh-CN"/>
              </w:rPr>
            </w:pPr>
            <w:r>
              <w:rPr>
                <w:rFonts w:hint="default"/>
                <w:b/>
                <w:bCs/>
                <w:sz w:val="21"/>
                <w:szCs w:val="21"/>
                <w:lang w:val="zh-CN"/>
              </w:rPr>
              <w:t>表</w:t>
            </w:r>
            <w:r>
              <w:rPr>
                <w:rFonts w:hint="eastAsia"/>
                <w:b/>
                <w:bCs/>
                <w:sz w:val="21"/>
                <w:szCs w:val="21"/>
                <w:lang w:val="en-US" w:eastAsia="zh-CN"/>
              </w:rPr>
              <w:t>6</w:t>
            </w:r>
            <w:r>
              <w:rPr>
                <w:rFonts w:hint="default"/>
                <w:b/>
                <w:bCs/>
                <w:sz w:val="21"/>
                <w:szCs w:val="21"/>
                <w:lang w:val="zh-CN"/>
              </w:rPr>
              <w:t xml:space="preserve"> 项目建设内容及规模一览表</w:t>
            </w:r>
          </w:p>
          <w:tbl>
            <w:tblPr>
              <w:tblStyle w:val="19"/>
              <w:tblW w:w="78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5"/>
              <w:gridCol w:w="848"/>
              <w:gridCol w:w="1643"/>
              <w:gridCol w:w="3613"/>
              <w:gridCol w:w="11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635" w:type="dxa"/>
                  <w:vAlign w:val="center"/>
                </w:tcPr>
                <w:p>
                  <w:pPr>
                    <w:adjustRightInd w:val="0"/>
                    <w:snapToGrid w:val="0"/>
                    <w:jc w:val="center"/>
                  </w:pPr>
                  <w:r>
                    <w:t>类别</w:t>
                  </w:r>
                </w:p>
              </w:tc>
              <w:tc>
                <w:tcPr>
                  <w:tcW w:w="848" w:type="dxa"/>
                  <w:vAlign w:val="center"/>
                </w:tcPr>
                <w:p>
                  <w:pPr>
                    <w:adjustRightInd w:val="0"/>
                    <w:snapToGrid w:val="0"/>
                    <w:jc w:val="center"/>
                  </w:pPr>
                  <w:r>
                    <w:t>工程</w:t>
                  </w:r>
                </w:p>
                <w:p>
                  <w:pPr>
                    <w:adjustRightInd w:val="0"/>
                    <w:snapToGrid w:val="0"/>
                    <w:jc w:val="center"/>
                  </w:pPr>
                  <w:r>
                    <w:t>名称</w:t>
                  </w:r>
                </w:p>
              </w:tc>
              <w:tc>
                <w:tcPr>
                  <w:tcW w:w="5256" w:type="dxa"/>
                  <w:gridSpan w:val="2"/>
                  <w:tcBorders>
                    <w:right w:val="single" w:color="auto" w:sz="4" w:space="0"/>
                  </w:tcBorders>
                  <w:vAlign w:val="center"/>
                </w:tcPr>
                <w:p>
                  <w:pPr>
                    <w:adjustRightInd w:val="0"/>
                    <w:snapToGrid w:val="0"/>
                    <w:jc w:val="center"/>
                  </w:pPr>
                  <w:r>
                    <w:t>工程规模</w:t>
                  </w:r>
                </w:p>
              </w:tc>
              <w:tc>
                <w:tcPr>
                  <w:tcW w:w="1139" w:type="dxa"/>
                  <w:tcBorders>
                    <w:left w:val="single" w:color="auto" w:sz="4" w:space="0"/>
                  </w:tcBorders>
                  <w:vAlign w:val="center"/>
                </w:tcPr>
                <w:p>
                  <w:pPr>
                    <w:adjustRightInd w:val="0"/>
                    <w:snapToGrid w:val="0"/>
                    <w:jc w:val="center"/>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35" w:type="dxa"/>
                  <w:vMerge w:val="restart"/>
                  <w:vAlign w:val="center"/>
                </w:tcPr>
                <w:p>
                  <w:pPr>
                    <w:adjustRightInd w:val="0"/>
                    <w:snapToGrid w:val="0"/>
                    <w:jc w:val="center"/>
                  </w:pPr>
                  <w:r>
                    <w:t>主体工程</w:t>
                  </w:r>
                </w:p>
              </w:tc>
              <w:tc>
                <w:tcPr>
                  <w:tcW w:w="848" w:type="dxa"/>
                  <w:vAlign w:val="center"/>
                </w:tcPr>
                <w:p>
                  <w:pPr>
                    <w:adjustRightInd w:val="0"/>
                    <w:snapToGrid w:val="0"/>
                    <w:jc w:val="center"/>
                  </w:pPr>
                  <w:r>
                    <w:t>露天</w:t>
                  </w:r>
                </w:p>
                <w:p>
                  <w:pPr>
                    <w:adjustRightInd w:val="0"/>
                    <w:snapToGrid w:val="0"/>
                    <w:jc w:val="center"/>
                  </w:pPr>
                  <w:r>
                    <w:t>采场</w:t>
                  </w:r>
                </w:p>
              </w:tc>
              <w:tc>
                <w:tcPr>
                  <w:tcW w:w="5256" w:type="dxa"/>
                  <w:gridSpan w:val="2"/>
                  <w:tcBorders>
                    <w:right w:val="single" w:color="auto" w:sz="4" w:space="0"/>
                  </w:tcBorders>
                  <w:vAlign w:val="center"/>
                </w:tcPr>
                <w:p>
                  <w:pPr>
                    <w:adjustRightInd w:val="0"/>
                    <w:snapToGrid w:val="0"/>
                  </w:pPr>
                  <w:r>
                    <w:t>1、矿区面积0.47km</w:t>
                  </w:r>
                  <w:r>
                    <w:rPr>
                      <w:vertAlign w:val="superscript"/>
                    </w:rPr>
                    <w:t>2</w:t>
                  </w:r>
                  <w:r>
                    <w:t>；</w:t>
                  </w:r>
                </w:p>
                <w:p>
                  <w:pPr>
                    <w:adjustRightInd w:val="0"/>
                    <w:snapToGrid w:val="0"/>
                  </w:pPr>
                  <w:r>
                    <w:t>2、采用水平台阶式开采法；</w:t>
                  </w:r>
                </w:p>
                <w:p>
                  <w:pPr>
                    <w:adjustRightInd w:val="0"/>
                    <w:snapToGrid w:val="0"/>
                  </w:pPr>
                  <w:r>
                    <w:t>3、运输方案为汽车-公路</w:t>
                  </w:r>
                </w:p>
              </w:tc>
              <w:tc>
                <w:tcPr>
                  <w:tcW w:w="1139" w:type="dxa"/>
                  <w:tcBorders>
                    <w:left w:val="single" w:color="auto" w:sz="4" w:space="0"/>
                  </w:tcBorders>
                  <w:vAlign w:val="center"/>
                </w:tcPr>
                <w:p>
                  <w:pPr>
                    <w:adjustRightInd w:val="0"/>
                    <w:snapToGrid w:val="0"/>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pPr>
                  <w:r>
                    <w:t>石料加工区</w:t>
                  </w:r>
                </w:p>
              </w:tc>
              <w:tc>
                <w:tcPr>
                  <w:tcW w:w="5256" w:type="dxa"/>
                  <w:gridSpan w:val="2"/>
                  <w:tcBorders>
                    <w:right w:val="single" w:color="auto" w:sz="4" w:space="0"/>
                  </w:tcBorders>
                  <w:vAlign w:val="center"/>
                </w:tcPr>
                <w:p>
                  <w:pPr>
                    <w:adjustRightInd w:val="0"/>
                    <w:snapToGrid w:val="0"/>
                    <w:jc w:val="left"/>
                  </w:pPr>
                  <w:r>
                    <w:t>新建石料加工生产线1条，包括</w:t>
                  </w:r>
                  <w:r>
                    <w:rPr>
                      <w:rFonts w:hint="eastAsia"/>
                      <w:lang w:eastAsia="zh-CN"/>
                    </w:rPr>
                    <w:t>颚式破碎机</w:t>
                  </w:r>
                  <w:r>
                    <w:t>、圆锥破碎机、振动筛、制砂机、</w:t>
                  </w:r>
                  <w:r>
                    <w:rPr>
                      <w:rFonts w:hint="eastAsia"/>
                      <w:lang w:val="en-US" w:eastAsia="zh-CN"/>
                    </w:rPr>
                    <w:t>洗砂机、</w:t>
                  </w:r>
                  <w:r>
                    <w:t>挖掘机、装载机等；占地面积</w:t>
                  </w:r>
                  <w:r>
                    <w:rPr>
                      <w:rFonts w:hint="eastAsia"/>
                    </w:rPr>
                    <w:t>2700</w:t>
                  </w:r>
                  <w:r>
                    <w:t>m</w:t>
                  </w:r>
                  <w:r>
                    <w:rPr>
                      <w:vertAlign w:val="superscript"/>
                    </w:rPr>
                    <w:t>2</w:t>
                  </w:r>
                </w:p>
              </w:tc>
              <w:tc>
                <w:tcPr>
                  <w:tcW w:w="1139" w:type="dxa"/>
                  <w:tcBorders>
                    <w:left w:val="single" w:color="auto" w:sz="4" w:space="0"/>
                  </w:tcBorders>
                  <w:vAlign w:val="center"/>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35" w:type="dxa"/>
                  <w:vMerge w:val="restart"/>
                  <w:vAlign w:val="center"/>
                </w:tcPr>
                <w:p>
                  <w:pPr>
                    <w:adjustRightInd w:val="0"/>
                    <w:snapToGrid w:val="0"/>
                    <w:jc w:val="center"/>
                  </w:pPr>
                  <w:r>
                    <w:t>储运工程</w:t>
                  </w:r>
                </w:p>
              </w:tc>
              <w:tc>
                <w:tcPr>
                  <w:tcW w:w="848" w:type="dxa"/>
                  <w:vAlign w:val="center"/>
                </w:tcPr>
                <w:p>
                  <w:pPr>
                    <w:adjustRightInd w:val="0"/>
                    <w:snapToGrid w:val="0"/>
                    <w:jc w:val="center"/>
                  </w:pPr>
                  <w:r>
                    <w:t>原料</w:t>
                  </w:r>
                </w:p>
                <w:p>
                  <w:pPr>
                    <w:adjustRightInd w:val="0"/>
                    <w:snapToGrid w:val="0"/>
                    <w:jc w:val="center"/>
                  </w:pPr>
                  <w:r>
                    <w:t>堆场</w:t>
                  </w:r>
                </w:p>
              </w:tc>
              <w:tc>
                <w:tcPr>
                  <w:tcW w:w="5256" w:type="dxa"/>
                  <w:gridSpan w:val="2"/>
                  <w:tcBorders>
                    <w:right w:val="single" w:color="auto" w:sz="4" w:space="0"/>
                  </w:tcBorders>
                  <w:vAlign w:val="center"/>
                </w:tcPr>
                <w:p>
                  <w:pPr>
                    <w:adjustRightInd w:val="0"/>
                    <w:snapToGrid w:val="0"/>
                    <w:jc w:val="left"/>
                  </w:pPr>
                  <w:r>
                    <w:t>主要用于堆放开采下未经加工的石料，位于矿区</w:t>
                  </w:r>
                  <w:r>
                    <w:rPr>
                      <w:rFonts w:hint="eastAsia"/>
                    </w:rPr>
                    <w:t>南</w:t>
                  </w:r>
                  <w:r>
                    <w:t>侧，占地200m</w:t>
                  </w:r>
                  <w:r>
                    <w:rPr>
                      <w:vertAlign w:val="superscript"/>
                    </w:rPr>
                    <w:t>2</w:t>
                  </w:r>
                </w:p>
              </w:tc>
              <w:tc>
                <w:tcPr>
                  <w:tcW w:w="1139" w:type="dxa"/>
                  <w:tcBorders>
                    <w:left w:val="single" w:color="auto" w:sz="4" w:space="0"/>
                  </w:tcBorders>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pPr>
                  <w:r>
                    <w:t>成品库</w:t>
                  </w:r>
                </w:p>
              </w:tc>
              <w:tc>
                <w:tcPr>
                  <w:tcW w:w="5256" w:type="dxa"/>
                  <w:gridSpan w:val="2"/>
                  <w:tcBorders>
                    <w:right w:val="single" w:color="auto" w:sz="4" w:space="0"/>
                  </w:tcBorders>
                  <w:vAlign w:val="center"/>
                </w:tcPr>
                <w:p>
                  <w:pPr>
                    <w:adjustRightInd w:val="0"/>
                    <w:snapToGrid w:val="0"/>
                    <w:jc w:val="left"/>
                    <w:rPr>
                      <w:rFonts w:hint="eastAsia" w:eastAsia="宋体"/>
                      <w:lang w:eastAsia="zh-CN"/>
                    </w:rPr>
                  </w:pPr>
                  <w:r>
                    <w:t>位于采矿区南侧，全封闭，占地1500m</w:t>
                  </w:r>
                  <w:r>
                    <w:rPr>
                      <w:vertAlign w:val="superscript"/>
                    </w:rPr>
                    <w:t>2</w:t>
                  </w:r>
                  <w:r>
                    <w:rPr>
                      <w:rFonts w:hint="default" w:ascii="Times New Roman" w:hAnsi="Times New Roman" w:eastAsia="宋体" w:cs="Times New Roman"/>
                      <w:spacing w:val="-1"/>
                      <w:kern w:val="0"/>
                      <w:sz w:val="21"/>
                      <w:szCs w:val="21"/>
                      <w:lang w:val="zh-CN" w:eastAsia="zh-CN" w:bidi="zh-CN"/>
                    </w:rPr>
                    <w:t>按产品种类分区堆放，</w:t>
                  </w:r>
                  <w:r>
                    <w:rPr>
                      <w:rFonts w:hint="eastAsia" w:cs="Times New Roman"/>
                      <w:spacing w:val="-1"/>
                      <w:kern w:val="0"/>
                      <w:sz w:val="21"/>
                      <w:szCs w:val="21"/>
                      <w:lang w:val="en-US" w:eastAsia="zh-CN" w:bidi="zh-CN"/>
                    </w:rPr>
                    <w:t>碎石</w:t>
                  </w:r>
                  <w:r>
                    <w:rPr>
                      <w:rFonts w:hint="default" w:ascii="Times New Roman" w:hAnsi="Times New Roman" w:eastAsia="宋体" w:cs="Times New Roman"/>
                      <w:spacing w:val="-1"/>
                      <w:kern w:val="0"/>
                      <w:sz w:val="21"/>
                      <w:szCs w:val="21"/>
                      <w:lang w:val="zh-CN" w:eastAsia="zh-CN" w:bidi="zh-CN"/>
                    </w:rPr>
                    <w:t>采用抑尘网覆盖，细砂采用棚储。</w:t>
                  </w:r>
                </w:p>
              </w:tc>
              <w:tc>
                <w:tcPr>
                  <w:tcW w:w="1139" w:type="dxa"/>
                  <w:tcBorders>
                    <w:left w:val="single" w:color="auto" w:sz="4" w:space="0"/>
                  </w:tcBorders>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pPr>
                  <w:r>
                    <w:t>运输</w:t>
                  </w:r>
                </w:p>
                <w:p>
                  <w:pPr>
                    <w:adjustRightInd w:val="0"/>
                    <w:snapToGrid w:val="0"/>
                    <w:jc w:val="center"/>
                  </w:pPr>
                  <w:r>
                    <w:t>道路</w:t>
                  </w:r>
                </w:p>
              </w:tc>
              <w:tc>
                <w:tcPr>
                  <w:tcW w:w="5256" w:type="dxa"/>
                  <w:gridSpan w:val="2"/>
                  <w:tcBorders>
                    <w:right w:val="single" w:color="auto" w:sz="4" w:space="0"/>
                  </w:tcBorders>
                  <w:vAlign w:val="center"/>
                </w:tcPr>
                <w:p>
                  <w:pPr>
                    <w:adjustRightInd w:val="0"/>
                    <w:snapToGrid w:val="0"/>
                    <w:jc w:val="left"/>
                  </w:pPr>
                  <w:r>
                    <w:t>项目设运输道路</w:t>
                  </w:r>
                  <w:r>
                    <w:rPr>
                      <w:rFonts w:hint="eastAsia"/>
                    </w:rPr>
                    <w:t>2</w:t>
                  </w:r>
                  <w:r>
                    <w:t>00m，宽6m，对矿区内道路进行砂石硬化处理</w:t>
                  </w:r>
                </w:p>
              </w:tc>
              <w:tc>
                <w:tcPr>
                  <w:tcW w:w="1139" w:type="dxa"/>
                  <w:tcBorders>
                    <w:left w:val="single" w:color="auto" w:sz="4" w:space="0"/>
                  </w:tcBorders>
                  <w:vAlign w:val="center"/>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pPr>
                  <w:r>
                    <w:t>排土场</w:t>
                  </w:r>
                </w:p>
              </w:tc>
              <w:tc>
                <w:tcPr>
                  <w:tcW w:w="5256" w:type="dxa"/>
                  <w:gridSpan w:val="2"/>
                  <w:tcBorders>
                    <w:right w:val="single" w:color="auto" w:sz="4" w:space="0"/>
                  </w:tcBorders>
                  <w:vAlign w:val="center"/>
                </w:tcPr>
                <w:p>
                  <w:pPr>
                    <w:adjustRightInd w:val="0"/>
                    <w:snapToGrid w:val="0"/>
                    <w:jc w:val="left"/>
                  </w:pPr>
                  <w:r>
                    <w:t>排土场设置在矿区</w:t>
                  </w:r>
                  <w:r>
                    <w:rPr>
                      <w:rFonts w:hint="eastAsia"/>
                    </w:rPr>
                    <w:t>西</w:t>
                  </w:r>
                  <w:r>
                    <w:t>南侧，距开采境界约200m，仅设一个堆置平台，为1000m</w:t>
                  </w:r>
                  <w:r>
                    <w:rPr>
                      <w:vertAlign w:val="superscript"/>
                    </w:rPr>
                    <w:t>2</w:t>
                  </w:r>
                  <w:r>
                    <w:t>堆置平台，库容</w:t>
                  </w:r>
                  <w:r>
                    <w:rPr>
                      <w:rFonts w:hint="eastAsia"/>
                    </w:rPr>
                    <w:t>14.18万</w:t>
                  </w:r>
                  <w:r>
                    <w:t>m³</w:t>
                  </w:r>
                </w:p>
              </w:tc>
              <w:tc>
                <w:tcPr>
                  <w:tcW w:w="1139" w:type="dxa"/>
                  <w:tcBorders>
                    <w:left w:val="single" w:color="auto" w:sz="4" w:space="0"/>
                  </w:tcBorders>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35" w:type="dxa"/>
                  <w:vAlign w:val="center"/>
                </w:tcPr>
                <w:p>
                  <w:pPr>
                    <w:adjustRightInd w:val="0"/>
                    <w:snapToGrid w:val="0"/>
                    <w:jc w:val="center"/>
                  </w:pPr>
                  <w:r>
                    <w:t>辅助工程</w:t>
                  </w:r>
                </w:p>
              </w:tc>
              <w:tc>
                <w:tcPr>
                  <w:tcW w:w="848" w:type="dxa"/>
                  <w:vAlign w:val="center"/>
                </w:tcPr>
                <w:p>
                  <w:pPr>
                    <w:adjustRightInd w:val="0"/>
                    <w:snapToGrid w:val="0"/>
                    <w:jc w:val="center"/>
                  </w:pPr>
                  <w:r>
                    <w:t>办公、生活区</w:t>
                  </w:r>
                </w:p>
              </w:tc>
              <w:tc>
                <w:tcPr>
                  <w:tcW w:w="5256" w:type="dxa"/>
                  <w:gridSpan w:val="2"/>
                  <w:tcBorders>
                    <w:right w:val="single" w:color="auto" w:sz="4" w:space="0"/>
                  </w:tcBorders>
                  <w:vAlign w:val="center"/>
                </w:tcPr>
                <w:p>
                  <w:pPr>
                    <w:adjustRightInd w:val="0"/>
                    <w:snapToGrid w:val="0"/>
                    <w:jc w:val="center"/>
                  </w:pPr>
                  <w:r>
                    <w:t>矿区东南侧，占地</w:t>
                  </w:r>
                  <w:r>
                    <w:rPr>
                      <w:rFonts w:hint="eastAsia"/>
                    </w:rPr>
                    <w:t>400</w:t>
                  </w:r>
                  <w:r>
                    <w:t>m</w:t>
                  </w:r>
                  <w:r>
                    <w:rPr>
                      <w:vertAlign w:val="superscript"/>
                    </w:rPr>
                    <w:t>2</w:t>
                  </w:r>
                </w:p>
              </w:tc>
              <w:tc>
                <w:tcPr>
                  <w:tcW w:w="1139" w:type="dxa"/>
                  <w:tcBorders>
                    <w:left w:val="single" w:color="auto" w:sz="4" w:space="0"/>
                  </w:tcBorders>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35" w:type="dxa"/>
                  <w:vMerge w:val="restart"/>
                  <w:vAlign w:val="center"/>
                </w:tcPr>
                <w:p>
                  <w:pPr>
                    <w:adjustRightInd w:val="0"/>
                    <w:snapToGrid w:val="0"/>
                    <w:jc w:val="center"/>
                  </w:pPr>
                  <w:r>
                    <w:t>公用工程</w:t>
                  </w:r>
                </w:p>
              </w:tc>
              <w:tc>
                <w:tcPr>
                  <w:tcW w:w="848" w:type="dxa"/>
                  <w:vAlign w:val="center"/>
                </w:tcPr>
                <w:p>
                  <w:pPr>
                    <w:adjustRightInd w:val="0"/>
                    <w:snapToGrid w:val="0"/>
                    <w:jc w:val="center"/>
                  </w:pPr>
                  <w:r>
                    <w:t>给水</w:t>
                  </w:r>
                </w:p>
              </w:tc>
              <w:tc>
                <w:tcPr>
                  <w:tcW w:w="5256" w:type="dxa"/>
                  <w:gridSpan w:val="2"/>
                  <w:tcBorders>
                    <w:right w:val="single" w:color="auto" w:sz="4" w:space="0"/>
                  </w:tcBorders>
                  <w:vAlign w:val="center"/>
                </w:tcPr>
                <w:p>
                  <w:pPr>
                    <w:adjustRightInd w:val="0"/>
                    <w:snapToGrid w:val="0"/>
                    <w:jc w:val="left"/>
                  </w:pPr>
                  <w:r>
                    <w:rPr>
                      <w:color w:val="auto"/>
                    </w:rPr>
                    <w:t>生产用水来自</w:t>
                  </w:r>
                  <w:r>
                    <w:rPr>
                      <w:rFonts w:hint="eastAsia"/>
                      <w:color w:val="auto"/>
                      <w:lang w:val="en-US" w:eastAsia="zh-CN"/>
                    </w:rPr>
                    <w:t>白鱼河</w:t>
                  </w:r>
                  <w:r>
                    <w:rPr>
                      <w:color w:val="auto"/>
                    </w:rPr>
                    <w:t>，新建（</w:t>
                  </w:r>
                  <w:r>
                    <w:rPr>
                      <w:rFonts w:hint="eastAsia"/>
                      <w:color w:val="auto"/>
                    </w:rPr>
                    <w:t>100</w:t>
                  </w:r>
                  <w:r>
                    <w:rPr>
                      <w:color w:val="auto"/>
                    </w:rPr>
                    <w:t>m</w:t>
                  </w:r>
                  <w:r>
                    <w:rPr>
                      <w:color w:val="auto"/>
                      <w:vertAlign w:val="superscript"/>
                    </w:rPr>
                    <w:t>3</w:t>
                  </w:r>
                  <w:r>
                    <w:rPr>
                      <w:color w:val="auto"/>
                    </w:rPr>
                    <w:t>）</w:t>
                  </w:r>
                  <w:r>
                    <w:rPr>
                      <w:rFonts w:hint="eastAsia"/>
                      <w:color w:val="auto"/>
                      <w:lang w:val="en-US" w:eastAsia="zh-CN"/>
                    </w:rPr>
                    <w:t>蓄水</w:t>
                  </w:r>
                  <w:r>
                    <w:rPr>
                      <w:color w:val="auto"/>
                    </w:rPr>
                    <w:t>池</w:t>
                  </w:r>
                  <w:r>
                    <w:rPr>
                      <w:rFonts w:hint="eastAsia"/>
                      <w:color w:val="auto"/>
                      <w:lang w:eastAsia="zh-CN"/>
                    </w:rPr>
                    <w:t>；</w:t>
                  </w:r>
                  <w:r>
                    <w:rPr>
                      <w:color w:val="auto"/>
                    </w:rPr>
                    <w:t>生活用水</w:t>
                  </w:r>
                  <w:r>
                    <w:rPr>
                      <w:rFonts w:hint="eastAsia"/>
                      <w:color w:val="auto"/>
                    </w:rPr>
                    <w:t>依托奎星村管网</w:t>
                  </w:r>
                </w:p>
              </w:tc>
              <w:tc>
                <w:tcPr>
                  <w:tcW w:w="1139" w:type="dxa"/>
                  <w:tcBorders>
                    <w:left w:val="single" w:color="auto" w:sz="4" w:space="0"/>
                  </w:tcBorders>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pPr>
                  <w:r>
                    <w:t>排水</w:t>
                  </w:r>
                </w:p>
              </w:tc>
              <w:tc>
                <w:tcPr>
                  <w:tcW w:w="5256" w:type="dxa"/>
                  <w:gridSpan w:val="2"/>
                  <w:tcBorders>
                    <w:right w:val="single" w:color="auto" w:sz="4" w:space="0"/>
                  </w:tcBorders>
                  <w:vAlign w:val="center"/>
                </w:tcPr>
                <w:p>
                  <w:pPr>
                    <w:adjustRightInd w:val="0"/>
                    <w:snapToGrid w:val="0"/>
                    <w:jc w:val="left"/>
                  </w:pPr>
                  <w:r>
                    <w:t>项目生产废水</w:t>
                  </w:r>
                  <w:r>
                    <w:rPr>
                      <w:rFonts w:hint="eastAsia"/>
                    </w:rPr>
                    <w:t>进入沉淀池500m</w:t>
                  </w:r>
                  <w:r>
                    <w:rPr>
                      <w:vertAlign w:val="superscript"/>
                    </w:rPr>
                    <w:t>3</w:t>
                  </w:r>
                  <w:r>
                    <w:rPr>
                      <w:rFonts w:hint="eastAsia"/>
                    </w:rPr>
                    <w:t>，</w:t>
                  </w:r>
                  <w:r>
                    <w:t>排入三级沉淀池</w:t>
                  </w:r>
                  <w:r>
                    <w:rPr>
                      <w:rFonts w:hint="eastAsia"/>
                    </w:rPr>
                    <w:t>（1000</w:t>
                  </w:r>
                  <w:r>
                    <w:t>m</w:t>
                  </w:r>
                  <w:r>
                    <w:rPr>
                      <w:vertAlign w:val="superscript"/>
                    </w:rPr>
                    <w:t>3</w:t>
                  </w:r>
                  <w:r>
                    <w:t>)池处理后回用；项目生活废水经化粪池处理之后拉运附近肥田，生活废水不外排</w:t>
                  </w:r>
                </w:p>
              </w:tc>
              <w:tc>
                <w:tcPr>
                  <w:tcW w:w="1139" w:type="dxa"/>
                  <w:tcBorders>
                    <w:left w:val="single" w:color="auto" w:sz="4" w:space="0"/>
                  </w:tcBorders>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pPr>
                  <w:r>
                    <w:t>供电</w:t>
                  </w:r>
                </w:p>
              </w:tc>
              <w:tc>
                <w:tcPr>
                  <w:tcW w:w="5256" w:type="dxa"/>
                  <w:gridSpan w:val="2"/>
                  <w:tcBorders>
                    <w:right w:val="single" w:color="auto" w:sz="4" w:space="0"/>
                  </w:tcBorders>
                  <w:vAlign w:val="center"/>
                </w:tcPr>
                <w:p>
                  <w:pPr>
                    <w:adjustRightInd w:val="0"/>
                    <w:snapToGrid w:val="0"/>
                    <w:jc w:val="center"/>
                  </w:pPr>
                  <w:r>
                    <w:t>采用供电局专用高压线</w:t>
                  </w:r>
                </w:p>
              </w:tc>
              <w:tc>
                <w:tcPr>
                  <w:tcW w:w="1139" w:type="dxa"/>
                  <w:tcBorders>
                    <w:left w:val="single" w:color="auto" w:sz="4" w:space="0"/>
                  </w:tcBorders>
                </w:tcPr>
                <w:p>
                  <w:pPr>
                    <w:adjustRightInd w:val="0"/>
                    <w:snapToGrid w:val="0"/>
                    <w:jc w:val="center"/>
                  </w:pPr>
                  <w: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4" w:hRule="atLeast"/>
              </w:trPr>
              <w:tc>
                <w:tcPr>
                  <w:tcW w:w="635" w:type="dxa"/>
                  <w:vMerge w:val="restart"/>
                  <w:vAlign w:val="center"/>
                </w:tcPr>
                <w:p>
                  <w:pPr>
                    <w:adjustRightInd w:val="0"/>
                    <w:snapToGrid w:val="0"/>
                    <w:jc w:val="center"/>
                  </w:pPr>
                  <w:r>
                    <w:t>环保工程</w:t>
                  </w:r>
                </w:p>
              </w:tc>
              <w:tc>
                <w:tcPr>
                  <w:tcW w:w="848" w:type="dxa"/>
                  <w:vAlign w:val="center"/>
                </w:tcPr>
                <w:p>
                  <w:pPr>
                    <w:adjustRightInd w:val="0"/>
                    <w:snapToGrid w:val="0"/>
                    <w:jc w:val="center"/>
                  </w:pPr>
                  <w:r>
                    <w:t>废水</w:t>
                  </w:r>
                </w:p>
                <w:p>
                  <w:pPr>
                    <w:adjustRightInd w:val="0"/>
                    <w:snapToGrid w:val="0"/>
                    <w:jc w:val="center"/>
                  </w:pPr>
                  <w:r>
                    <w:t>处理</w:t>
                  </w:r>
                </w:p>
              </w:tc>
              <w:tc>
                <w:tcPr>
                  <w:tcW w:w="6395" w:type="dxa"/>
                  <w:gridSpan w:val="3"/>
                  <w:vAlign w:val="center"/>
                </w:tcPr>
                <w:p>
                  <w:r>
                    <w:t>雨水经新建初期收集池（1</w:t>
                  </w:r>
                  <w:r>
                    <w:rPr>
                      <w:rFonts w:hint="eastAsia"/>
                    </w:rPr>
                    <w:t>0</w:t>
                  </w:r>
                  <w:r>
                    <w:t>0m</w:t>
                  </w:r>
                  <w:r>
                    <w:rPr>
                      <w:vertAlign w:val="superscript"/>
                    </w:rPr>
                    <w:t>3</w:t>
                  </w:r>
                  <w:r>
                    <w:t>）收集之后用于生产区；车辆清洗水经过沉淀池（</w:t>
                  </w:r>
                  <w:r>
                    <w:rPr>
                      <w:rFonts w:hint="eastAsia"/>
                    </w:rPr>
                    <w:t>5</w:t>
                  </w:r>
                  <w:r>
                    <w:t>m</w:t>
                  </w:r>
                  <w:r>
                    <w:rPr>
                      <w:vertAlign w:val="superscript"/>
                    </w:rPr>
                    <w:t>3</w:t>
                  </w:r>
                  <w:r>
                    <w:t>）处理回用，生产废水经现有</w:t>
                  </w:r>
                  <w:r>
                    <w:rPr>
                      <w:rFonts w:hint="eastAsia"/>
                    </w:rPr>
                    <w:t>初级沉淀池和</w:t>
                  </w:r>
                  <w:r>
                    <w:t>三级</w:t>
                  </w:r>
                  <w:r>
                    <w:rPr>
                      <w:rFonts w:hint="eastAsia"/>
                    </w:rPr>
                    <w:t>沉淀</w:t>
                  </w:r>
                  <w:r>
                    <w:t>池处理后用于生产和厂区洒水降尘；</w:t>
                  </w:r>
                  <w:r>
                    <w:rPr>
                      <w:rFonts w:hint="eastAsia"/>
                      <w:lang w:val="en-US" w:eastAsia="zh-CN"/>
                    </w:rPr>
                    <w:t>洗砂废水经压滤机压滤后进入沉淀池+絮凝剂沉淀后循环利用；</w:t>
                  </w:r>
                  <w:r>
                    <w:t>矿山工业场地周围设排水沟，以防工业场地内积水；矿山运输一侧设排水沟，防止路面积水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35" w:type="dxa"/>
                  <w:vMerge w:val="continue"/>
                  <w:vAlign w:val="center"/>
                </w:tcPr>
                <w:p>
                  <w:pPr>
                    <w:keepNext/>
                    <w:keepLines/>
                    <w:adjustRightInd w:val="0"/>
                    <w:snapToGrid w:val="0"/>
                    <w:spacing w:before="260" w:after="260" w:line="416" w:lineRule="auto"/>
                    <w:jc w:val="center"/>
                    <w:outlineLvl w:val="2"/>
                  </w:pPr>
                </w:p>
              </w:tc>
              <w:tc>
                <w:tcPr>
                  <w:tcW w:w="848" w:type="dxa"/>
                  <w:vMerge w:val="restart"/>
                  <w:vAlign w:val="center"/>
                </w:tcPr>
                <w:p>
                  <w:pPr>
                    <w:adjustRightInd w:val="0"/>
                    <w:snapToGrid w:val="0"/>
                    <w:jc w:val="center"/>
                  </w:pPr>
                  <w:r>
                    <w:t>废气</w:t>
                  </w:r>
                </w:p>
                <w:p>
                  <w:pPr>
                    <w:adjustRightInd w:val="0"/>
                    <w:snapToGrid w:val="0"/>
                    <w:jc w:val="center"/>
                  </w:pPr>
                  <w:r>
                    <w:t>治理</w:t>
                  </w:r>
                </w:p>
              </w:tc>
              <w:tc>
                <w:tcPr>
                  <w:tcW w:w="1643" w:type="dxa"/>
                  <w:vAlign w:val="center"/>
                </w:tcPr>
                <w:p>
                  <w:pPr>
                    <w:adjustRightInd w:val="0"/>
                    <w:snapToGrid w:val="0"/>
                    <w:jc w:val="center"/>
                  </w:pPr>
                  <w:r>
                    <w:t>矿山</w:t>
                  </w:r>
                </w:p>
              </w:tc>
              <w:tc>
                <w:tcPr>
                  <w:tcW w:w="4752" w:type="dxa"/>
                  <w:gridSpan w:val="2"/>
                  <w:vAlign w:val="center"/>
                </w:tcPr>
                <w:p>
                  <w:pPr>
                    <w:adjustRightInd w:val="0"/>
                    <w:snapToGrid w:val="0"/>
                    <w:jc w:val="center"/>
                  </w:pPr>
                  <w:r>
                    <w:t>开采湿式凿岩控制粉尘，洒水抑制运输道路的扬尘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35" w:type="dxa"/>
                  <w:vMerge w:val="continue"/>
                  <w:vAlign w:val="center"/>
                </w:tcPr>
                <w:p>
                  <w:pPr>
                    <w:adjustRightInd w:val="0"/>
                    <w:snapToGrid w:val="0"/>
                    <w:jc w:val="center"/>
                  </w:pPr>
                </w:p>
              </w:tc>
              <w:tc>
                <w:tcPr>
                  <w:tcW w:w="848" w:type="dxa"/>
                  <w:vMerge w:val="continue"/>
                  <w:vAlign w:val="center"/>
                </w:tcPr>
                <w:p>
                  <w:pPr>
                    <w:adjustRightInd w:val="0"/>
                    <w:snapToGrid w:val="0"/>
                    <w:jc w:val="center"/>
                  </w:pPr>
                </w:p>
              </w:tc>
              <w:tc>
                <w:tcPr>
                  <w:tcW w:w="1643" w:type="dxa"/>
                  <w:vAlign w:val="center"/>
                </w:tcPr>
                <w:p>
                  <w:pPr>
                    <w:adjustRightInd w:val="0"/>
                    <w:snapToGrid w:val="0"/>
                    <w:jc w:val="center"/>
                    <w:rPr>
                      <w:color w:val="auto"/>
                    </w:rPr>
                  </w:pPr>
                  <w:r>
                    <w:rPr>
                      <w:color w:val="auto"/>
                    </w:rPr>
                    <w:t>石料加工</w:t>
                  </w:r>
                </w:p>
              </w:tc>
              <w:tc>
                <w:tcPr>
                  <w:tcW w:w="4752" w:type="dxa"/>
                  <w:gridSpan w:val="2"/>
                  <w:vAlign w:val="center"/>
                </w:tcPr>
                <w:p>
                  <w:pPr>
                    <w:adjustRightInd w:val="0"/>
                    <w:snapToGrid w:val="0"/>
                    <w:jc w:val="left"/>
                    <w:rPr>
                      <w:color w:val="auto"/>
                    </w:rPr>
                  </w:pPr>
                  <w:r>
                    <w:rPr>
                      <w:color w:val="auto"/>
                    </w:rPr>
                    <w:t>喂料口建设</w:t>
                  </w:r>
                  <w:r>
                    <w:rPr>
                      <w:rFonts w:hint="eastAsia"/>
                      <w:color w:val="auto"/>
                      <w:lang w:val="en-US" w:eastAsia="zh-CN"/>
                    </w:rPr>
                    <w:t>半</w:t>
                  </w:r>
                  <w:r>
                    <w:rPr>
                      <w:color w:val="auto"/>
                    </w:rPr>
                    <w:t>封闭式彩钢棚；破碎机、筛分机</w:t>
                  </w:r>
                  <w:r>
                    <w:rPr>
                      <w:rFonts w:hint="eastAsia"/>
                      <w:color w:val="auto"/>
                      <w:lang w:val="en-US" w:eastAsia="zh-CN"/>
                    </w:rPr>
                    <w:t>建设全封闭式彩钢棚</w:t>
                  </w:r>
                  <w:r>
                    <w:rPr>
                      <w:color w:val="auto"/>
                    </w:rPr>
                    <w:t>，</w:t>
                  </w:r>
                  <w:r>
                    <w:rPr>
                      <w:rFonts w:hint="eastAsia"/>
                      <w:color w:val="auto"/>
                      <w:lang w:val="en-US" w:eastAsia="zh-CN"/>
                    </w:rPr>
                    <w:t>顶部设置喷淋装置洒水抑尘；</w:t>
                  </w:r>
                  <w:r>
                    <w:rPr>
                      <w:color w:val="auto"/>
                    </w:rPr>
                    <w:t>成品库进行密闭，</w:t>
                  </w:r>
                  <w:r>
                    <w:rPr>
                      <w:rFonts w:hint="eastAsia"/>
                      <w:color w:val="auto"/>
                      <w:lang w:val="en-US" w:eastAsia="zh-CN"/>
                    </w:rPr>
                    <w:t>顶部设置喷淋装置+雾炮机</w:t>
                  </w:r>
                  <w:r>
                    <w:rPr>
                      <w:color w:val="auto"/>
                    </w:rPr>
                    <w:t>定期洒水降尘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Merge w:val="continue"/>
                  <w:vAlign w:val="center"/>
                </w:tcPr>
                <w:p>
                  <w:pPr>
                    <w:keepNext/>
                    <w:keepLines/>
                    <w:adjustRightInd w:val="0"/>
                    <w:snapToGrid w:val="0"/>
                    <w:spacing w:before="340" w:after="330" w:line="578" w:lineRule="auto"/>
                    <w:jc w:val="center"/>
                    <w:outlineLvl w:val="0"/>
                  </w:pPr>
                </w:p>
              </w:tc>
              <w:tc>
                <w:tcPr>
                  <w:tcW w:w="1643" w:type="dxa"/>
                  <w:vAlign w:val="center"/>
                </w:tcPr>
                <w:p>
                  <w:pPr>
                    <w:adjustRightInd w:val="0"/>
                    <w:snapToGrid w:val="0"/>
                    <w:jc w:val="center"/>
                    <w:rPr>
                      <w:color w:val="auto"/>
                    </w:rPr>
                  </w:pPr>
                  <w:r>
                    <w:rPr>
                      <w:color w:val="auto"/>
                    </w:rPr>
                    <w:t>原料、产品堆放</w:t>
                  </w:r>
                </w:p>
              </w:tc>
              <w:tc>
                <w:tcPr>
                  <w:tcW w:w="4752" w:type="dxa"/>
                  <w:gridSpan w:val="2"/>
                  <w:vAlign w:val="center"/>
                </w:tcPr>
                <w:p>
                  <w:pPr>
                    <w:adjustRightInd w:val="0"/>
                    <w:snapToGrid w:val="0"/>
                    <w:jc w:val="center"/>
                    <w:rPr>
                      <w:color w:val="auto"/>
                    </w:rPr>
                  </w:pPr>
                  <w:r>
                    <w:rPr>
                      <w:rFonts w:hint="eastAsia"/>
                      <w:color w:val="auto"/>
                      <w:lang w:val="en-US" w:eastAsia="zh-CN"/>
                    </w:rPr>
                    <w:t>建设全封闭厂房顶部设置喷淋装置，</w:t>
                  </w:r>
                  <w:r>
                    <w:rPr>
                      <w:color w:val="auto"/>
                    </w:rPr>
                    <w:t>定期洒水抑尘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Merge w:val="continue"/>
                  <w:vAlign w:val="center"/>
                </w:tcPr>
                <w:p>
                  <w:pPr>
                    <w:keepNext/>
                    <w:keepLines/>
                    <w:adjustRightInd w:val="0"/>
                    <w:snapToGrid w:val="0"/>
                    <w:spacing w:before="340" w:after="330" w:line="578" w:lineRule="auto"/>
                    <w:jc w:val="center"/>
                    <w:outlineLvl w:val="0"/>
                  </w:pPr>
                </w:p>
              </w:tc>
              <w:tc>
                <w:tcPr>
                  <w:tcW w:w="1643" w:type="dxa"/>
                  <w:vAlign w:val="center"/>
                </w:tcPr>
                <w:p>
                  <w:pPr>
                    <w:adjustRightInd w:val="0"/>
                    <w:snapToGrid w:val="0"/>
                    <w:jc w:val="center"/>
                  </w:pPr>
                  <w:r>
                    <w:rPr>
                      <w:rFonts w:hint="eastAsia"/>
                    </w:rPr>
                    <w:t>食堂废气</w:t>
                  </w:r>
                </w:p>
              </w:tc>
              <w:tc>
                <w:tcPr>
                  <w:tcW w:w="4752" w:type="dxa"/>
                  <w:gridSpan w:val="2"/>
                  <w:vAlign w:val="center"/>
                </w:tcPr>
                <w:p>
                  <w:pPr>
                    <w:adjustRightInd w:val="0"/>
                    <w:snapToGrid w:val="0"/>
                    <w:jc w:val="center"/>
                  </w:pPr>
                  <w:r>
                    <w:rPr>
                      <w:rFonts w:hint="eastAsia"/>
                    </w:rPr>
                    <w:t>经油烟净化器处理后有专用烟道引至楼顶排放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pPr>
                  <w:r>
                    <w:t>噪声</w:t>
                  </w:r>
                </w:p>
                <w:p>
                  <w:pPr>
                    <w:adjustRightInd w:val="0"/>
                    <w:snapToGrid w:val="0"/>
                    <w:jc w:val="center"/>
                  </w:pPr>
                  <w:r>
                    <w:t>控制</w:t>
                  </w:r>
                </w:p>
              </w:tc>
              <w:tc>
                <w:tcPr>
                  <w:tcW w:w="6395" w:type="dxa"/>
                  <w:gridSpan w:val="3"/>
                  <w:vAlign w:val="center"/>
                </w:tcPr>
                <w:p>
                  <w:pPr>
                    <w:adjustRightInd w:val="0"/>
                    <w:snapToGrid w:val="0"/>
                    <w:jc w:val="left"/>
                  </w:pPr>
                  <w:r>
                    <w:t>选用噪音小的设备，尽量选用电力设备，振动筛、破碎机等均安装减振橡胶弹簧，橡胶片，橡胶垫及橡胶</w:t>
                  </w:r>
                  <w:r>
                    <w:rPr>
                      <w:rFonts w:hint="eastAsia"/>
                      <w:lang w:eastAsia="zh-CN"/>
                    </w:rPr>
                    <w:t>防震</w:t>
                  </w:r>
                  <w:r>
                    <w:t>座进行减震，操作人员</w:t>
                  </w:r>
                  <w:r>
                    <w:rPr>
                      <w:rFonts w:hint="eastAsia"/>
                      <w:lang w:eastAsia="zh-CN"/>
                    </w:rPr>
                    <w:t>佩戴</w:t>
                  </w:r>
                  <w:r>
                    <w:t>耳塞进行个人防护；选用中深孔爆破，合理安排爆破时间，禁止夜间爆破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rPr>
                      <w:color w:val="auto"/>
                    </w:rPr>
                  </w:pPr>
                  <w:r>
                    <w:rPr>
                      <w:color w:val="auto"/>
                    </w:rPr>
                    <w:t>固废</w:t>
                  </w:r>
                </w:p>
                <w:p>
                  <w:pPr>
                    <w:adjustRightInd w:val="0"/>
                    <w:snapToGrid w:val="0"/>
                    <w:jc w:val="center"/>
                    <w:rPr>
                      <w:color w:val="auto"/>
                    </w:rPr>
                  </w:pPr>
                  <w:r>
                    <w:rPr>
                      <w:color w:val="auto"/>
                    </w:rPr>
                    <w:t>处置</w:t>
                  </w:r>
                </w:p>
              </w:tc>
              <w:tc>
                <w:tcPr>
                  <w:tcW w:w="6395" w:type="dxa"/>
                  <w:gridSpan w:val="3"/>
                  <w:vAlign w:val="center"/>
                </w:tcPr>
                <w:p>
                  <w:pPr>
                    <w:adjustRightInd w:val="0"/>
                    <w:snapToGrid w:val="0"/>
                    <w:jc w:val="left"/>
                    <w:rPr>
                      <w:rFonts w:hint="default" w:eastAsia="宋体"/>
                      <w:color w:val="auto"/>
                      <w:lang w:val="en-US" w:eastAsia="zh-CN"/>
                    </w:rPr>
                  </w:pPr>
                  <w:r>
                    <w:rPr>
                      <w:color w:val="auto"/>
                    </w:rPr>
                    <w:t>废剥离土及边角石料用于回填，生活垃圾由垃圾收集桶</w:t>
                  </w:r>
                  <w:r>
                    <w:rPr>
                      <w:rFonts w:hint="eastAsia"/>
                      <w:color w:val="auto"/>
                      <w:lang w:val="en-US" w:eastAsia="zh-CN"/>
                    </w:rPr>
                    <w:t>分类</w:t>
                  </w:r>
                  <w:r>
                    <w:rPr>
                      <w:color w:val="auto"/>
                    </w:rPr>
                    <w:t>收集后运往垃圾收集点</w:t>
                  </w:r>
                  <w:r>
                    <w:rPr>
                      <w:rFonts w:hint="eastAsia"/>
                      <w:color w:val="auto"/>
                      <w:lang w:eastAsia="zh-CN"/>
                    </w:rPr>
                    <w:t>，</w:t>
                  </w:r>
                  <w:r>
                    <w:rPr>
                      <w:rFonts w:hint="eastAsia"/>
                      <w:color w:val="auto"/>
                      <w:lang w:val="en-US" w:eastAsia="zh-CN"/>
                    </w:rPr>
                    <w:t>沉淀池底泥和压滤机泥饼运至排土场堆放，废机油暂存于危废暂存间，定期交由资质单位处置。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635" w:type="dxa"/>
                  <w:vMerge w:val="continue"/>
                  <w:vAlign w:val="center"/>
                </w:tcPr>
                <w:p>
                  <w:pPr>
                    <w:keepNext/>
                    <w:keepLines/>
                    <w:adjustRightInd w:val="0"/>
                    <w:snapToGrid w:val="0"/>
                    <w:spacing w:before="340" w:after="330" w:line="578" w:lineRule="auto"/>
                    <w:jc w:val="center"/>
                    <w:outlineLvl w:val="0"/>
                  </w:pPr>
                </w:p>
              </w:tc>
              <w:tc>
                <w:tcPr>
                  <w:tcW w:w="848" w:type="dxa"/>
                  <w:vAlign w:val="center"/>
                </w:tcPr>
                <w:p>
                  <w:pPr>
                    <w:adjustRightInd w:val="0"/>
                    <w:snapToGrid w:val="0"/>
                    <w:jc w:val="center"/>
                  </w:pPr>
                  <w:r>
                    <w:t>生态保护与恢复</w:t>
                  </w:r>
                </w:p>
              </w:tc>
              <w:tc>
                <w:tcPr>
                  <w:tcW w:w="6395" w:type="dxa"/>
                  <w:gridSpan w:val="3"/>
                  <w:vAlign w:val="center"/>
                </w:tcPr>
                <w:p>
                  <w:pPr>
                    <w:adjustRightInd w:val="0"/>
                    <w:snapToGrid w:val="0"/>
                    <w:jc w:val="left"/>
                    <w:rPr>
                      <w:rFonts w:hint="eastAsia"/>
                      <w:lang w:eastAsia="zh-CN"/>
                    </w:rPr>
                  </w:pPr>
                  <w:r>
                    <w:t>道路硬化、道路绿化、场地绿化、闭矿期恢复植被等，绿化面积352m</w:t>
                  </w:r>
                  <w:r>
                    <w:rPr>
                      <w:vertAlign w:val="superscript"/>
                    </w:rPr>
                    <w:t>2</w:t>
                  </w:r>
                  <w:r>
                    <w:t>；开采台阶采用边开采边治理的措施；排土场设置挡渣坝、截排水沟等，稳定边坡，覆土绿化，服务期满恢复植被</w:t>
                  </w:r>
                  <w:r>
                    <w:rPr>
                      <w:rFonts w:hint="eastAsia"/>
                      <w:lang w:eastAsia="zh-CN"/>
                    </w:rPr>
                    <w:t>。</w:t>
                  </w:r>
                </w:p>
              </w:tc>
            </w:tr>
          </w:tbl>
          <w:p>
            <w:pPr>
              <w:pStyle w:val="18"/>
              <w:rPr>
                <w:rFonts w:hint="eastAsia"/>
                <w:lang w:val="en-US" w:eastAsia="zh-CN"/>
              </w:rPr>
            </w:pPr>
          </w:p>
          <w:p>
            <w:pPr>
              <w:adjustRightInd w:val="0"/>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3</w:t>
            </w:r>
            <w:r>
              <w:rPr>
                <w:rFonts w:hint="default" w:ascii="Times New Roman" w:hAnsi="Times New Roman" w:cs="Times New Roman"/>
                <w:b/>
                <w:bCs/>
                <w:sz w:val="24"/>
                <w:szCs w:val="24"/>
              </w:rPr>
              <w:t>、主要生产设备</w:t>
            </w:r>
          </w:p>
          <w:p>
            <w:pPr>
              <w:adjustRightInd w:val="0"/>
              <w:snapToGrid w:val="0"/>
              <w:spacing w:line="360" w:lineRule="auto"/>
              <w:ind w:firstLine="480" w:firstLineChars="200"/>
            </w:pPr>
            <w:r>
              <w:rPr>
                <w:sz w:val="24"/>
                <w:szCs w:val="24"/>
              </w:rPr>
              <w:t>项目生产使用设备情况详见表</w:t>
            </w:r>
            <w:r>
              <w:rPr>
                <w:rFonts w:hint="eastAsia"/>
                <w:sz w:val="24"/>
                <w:szCs w:val="24"/>
                <w:lang w:val="en-US" w:eastAsia="zh-CN"/>
              </w:rPr>
              <w:t>7</w:t>
            </w:r>
            <w:r>
              <w:t>。</w:t>
            </w:r>
          </w:p>
          <w:p>
            <w:pPr>
              <w:widowControl w:val="0"/>
              <w:numPr>
                <w:ilvl w:val="0"/>
                <w:numId w:val="0"/>
              </w:numPr>
              <w:autoSpaceDE w:val="0"/>
              <w:autoSpaceDN w:val="0"/>
              <w:adjustRightInd w:val="0"/>
              <w:snapToGrid w:val="0"/>
              <w:jc w:val="center"/>
              <w:rPr>
                <w:rFonts w:hint="default"/>
                <w:b/>
                <w:bCs/>
                <w:sz w:val="21"/>
                <w:szCs w:val="21"/>
                <w:lang w:val="zh-CN"/>
              </w:rPr>
            </w:pPr>
            <w:r>
              <w:rPr>
                <w:rFonts w:hint="default"/>
                <w:b/>
                <w:bCs/>
                <w:sz w:val="21"/>
                <w:szCs w:val="21"/>
                <w:lang w:val="zh-CN"/>
              </w:rPr>
              <w:t>表</w:t>
            </w:r>
            <w:r>
              <w:rPr>
                <w:rFonts w:hint="eastAsia"/>
                <w:b/>
                <w:bCs/>
                <w:sz w:val="21"/>
                <w:szCs w:val="21"/>
                <w:lang w:val="en-US" w:eastAsia="zh-CN"/>
              </w:rPr>
              <w:t xml:space="preserve">7 </w:t>
            </w:r>
            <w:r>
              <w:rPr>
                <w:rFonts w:hint="default"/>
                <w:b/>
                <w:bCs/>
                <w:sz w:val="21"/>
                <w:szCs w:val="21"/>
                <w:lang w:val="zh-CN"/>
              </w:rPr>
              <w:t>主要设备清单</w:t>
            </w:r>
          </w:p>
          <w:tbl>
            <w:tblPr>
              <w:tblStyle w:val="19"/>
              <w:tblW w:w="78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0"/>
              <w:gridCol w:w="2164"/>
              <w:gridCol w:w="915"/>
              <w:gridCol w:w="1554"/>
              <w:gridCol w:w="15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1590" w:type="dxa"/>
                  <w:vAlign w:val="center"/>
                </w:tcPr>
                <w:p>
                  <w:pPr>
                    <w:ind w:firstLine="420" w:firstLineChars="200"/>
                  </w:pPr>
                  <w:r>
                    <w:t>序号</w:t>
                  </w:r>
                </w:p>
              </w:tc>
              <w:tc>
                <w:tcPr>
                  <w:tcW w:w="2164" w:type="dxa"/>
                  <w:vAlign w:val="center"/>
                </w:tcPr>
                <w:p>
                  <w:pPr>
                    <w:ind w:firstLine="420" w:firstLineChars="200"/>
                  </w:pPr>
                  <w:r>
                    <w:t>设备仪器名称</w:t>
                  </w:r>
                </w:p>
              </w:tc>
              <w:tc>
                <w:tcPr>
                  <w:tcW w:w="915" w:type="dxa"/>
                  <w:vAlign w:val="center"/>
                </w:tcPr>
                <w:p>
                  <w:pPr>
                    <w:ind w:firstLine="210" w:firstLineChars="100"/>
                  </w:pPr>
                  <w:r>
                    <w:t>数量</w:t>
                  </w:r>
                </w:p>
              </w:tc>
              <w:tc>
                <w:tcPr>
                  <w:tcW w:w="1554" w:type="dxa"/>
                  <w:vAlign w:val="center"/>
                </w:tcPr>
                <w:p>
                  <w:pPr>
                    <w:ind w:firstLine="420" w:firstLineChars="200"/>
                  </w:pPr>
                  <w:r>
                    <w:t>型号</w:t>
                  </w:r>
                </w:p>
              </w:tc>
              <w:tc>
                <w:tcPr>
                  <w:tcW w:w="1593" w:type="dxa"/>
                  <w:vAlign w:val="center"/>
                </w:tcPr>
                <w:p>
                  <w:pPr>
                    <w:ind w:firstLine="420" w:firstLineChars="200"/>
                  </w:pPr>
                  <w: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1</w:t>
                  </w:r>
                </w:p>
              </w:tc>
              <w:tc>
                <w:tcPr>
                  <w:tcW w:w="2164" w:type="dxa"/>
                  <w:vAlign w:val="center"/>
                </w:tcPr>
                <w:p>
                  <w:pPr>
                    <w:jc w:val="center"/>
                  </w:pPr>
                  <w:r>
                    <w:rPr>
                      <w:rFonts w:hint="eastAsia"/>
                      <w:lang w:eastAsia="zh-CN"/>
                    </w:rPr>
                    <w:t>颚式破碎机</w:t>
                  </w:r>
                </w:p>
              </w:tc>
              <w:tc>
                <w:tcPr>
                  <w:tcW w:w="915" w:type="dxa"/>
                  <w:vAlign w:val="center"/>
                </w:tcPr>
                <w:p>
                  <w:pPr>
                    <w:jc w:val="center"/>
                  </w:pPr>
                  <w:r>
                    <w:t>1</w:t>
                  </w:r>
                </w:p>
              </w:tc>
              <w:tc>
                <w:tcPr>
                  <w:tcW w:w="1554" w:type="dxa"/>
                  <w:vAlign w:val="center"/>
                </w:tcPr>
                <w:p>
                  <w:pPr>
                    <w:jc w:val="center"/>
                  </w:pPr>
                  <w:r>
                    <w:t>FE900X1200</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2</w:t>
                  </w:r>
                </w:p>
              </w:tc>
              <w:tc>
                <w:tcPr>
                  <w:tcW w:w="2164" w:type="dxa"/>
                  <w:vAlign w:val="center"/>
                </w:tcPr>
                <w:p>
                  <w:pPr>
                    <w:jc w:val="center"/>
                  </w:pPr>
                  <w:r>
                    <w:t>单杠液压圆锥破</w:t>
                  </w:r>
                </w:p>
              </w:tc>
              <w:tc>
                <w:tcPr>
                  <w:tcW w:w="915" w:type="dxa"/>
                  <w:vAlign w:val="center"/>
                </w:tcPr>
                <w:p>
                  <w:pPr>
                    <w:jc w:val="center"/>
                  </w:pPr>
                  <w:r>
                    <w:t>1</w:t>
                  </w:r>
                </w:p>
              </w:tc>
              <w:tc>
                <w:tcPr>
                  <w:tcW w:w="1554" w:type="dxa"/>
                  <w:vAlign w:val="center"/>
                </w:tcPr>
                <w:p>
                  <w:pPr>
                    <w:jc w:val="center"/>
                  </w:pPr>
                  <w:r>
                    <w:t>FE400</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3</w:t>
                  </w:r>
                </w:p>
              </w:tc>
              <w:tc>
                <w:tcPr>
                  <w:tcW w:w="2164" w:type="dxa"/>
                  <w:vAlign w:val="center"/>
                </w:tcPr>
                <w:p>
                  <w:pPr>
                    <w:jc w:val="center"/>
                  </w:pPr>
                  <w:r>
                    <w:t>震动喂料机</w:t>
                  </w:r>
                </w:p>
              </w:tc>
              <w:tc>
                <w:tcPr>
                  <w:tcW w:w="915" w:type="dxa"/>
                  <w:vAlign w:val="center"/>
                </w:tcPr>
                <w:p>
                  <w:pPr>
                    <w:jc w:val="center"/>
                  </w:pPr>
                  <w:r>
                    <w:t>1</w:t>
                  </w:r>
                </w:p>
              </w:tc>
              <w:tc>
                <w:tcPr>
                  <w:tcW w:w="1554" w:type="dxa"/>
                  <w:vAlign w:val="center"/>
                </w:tcPr>
                <w:p>
                  <w:pPr>
                    <w:jc w:val="center"/>
                  </w:pPr>
                  <w:r>
                    <w:t>1.2X6米</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4</w:t>
                  </w:r>
                </w:p>
              </w:tc>
              <w:tc>
                <w:tcPr>
                  <w:tcW w:w="2164" w:type="dxa"/>
                  <w:vAlign w:val="center"/>
                </w:tcPr>
                <w:p>
                  <w:pPr>
                    <w:jc w:val="center"/>
                  </w:pPr>
                  <w:r>
                    <w:t>震动喂料机</w:t>
                  </w:r>
                </w:p>
              </w:tc>
              <w:tc>
                <w:tcPr>
                  <w:tcW w:w="915" w:type="dxa"/>
                  <w:vAlign w:val="center"/>
                </w:tcPr>
                <w:p>
                  <w:pPr>
                    <w:jc w:val="center"/>
                  </w:pPr>
                  <w:r>
                    <w:t>2</w:t>
                  </w:r>
                </w:p>
              </w:tc>
              <w:tc>
                <w:tcPr>
                  <w:tcW w:w="1554" w:type="dxa"/>
                  <w:vAlign w:val="center"/>
                </w:tcPr>
                <w:p>
                  <w:pPr>
                    <w:jc w:val="center"/>
                  </w:pPr>
                  <w:r>
                    <w:t>0.8X2米</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5</w:t>
                  </w:r>
                </w:p>
              </w:tc>
              <w:tc>
                <w:tcPr>
                  <w:tcW w:w="2164" w:type="dxa"/>
                  <w:vAlign w:val="center"/>
                </w:tcPr>
                <w:p>
                  <w:pPr>
                    <w:jc w:val="center"/>
                  </w:pPr>
                  <w:r>
                    <w:t>制砂机</w:t>
                  </w:r>
                </w:p>
              </w:tc>
              <w:tc>
                <w:tcPr>
                  <w:tcW w:w="915" w:type="dxa"/>
                  <w:vAlign w:val="center"/>
                </w:tcPr>
                <w:p>
                  <w:pPr>
                    <w:jc w:val="center"/>
                  </w:pPr>
                  <w:r>
                    <w:t>1</w:t>
                  </w:r>
                </w:p>
              </w:tc>
              <w:tc>
                <w:tcPr>
                  <w:tcW w:w="1554" w:type="dxa"/>
                  <w:vAlign w:val="center"/>
                </w:tcPr>
                <w:p>
                  <w:pPr>
                    <w:jc w:val="center"/>
                  </w:pPr>
                  <w:r>
                    <w:t>P—VS19500</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6</w:t>
                  </w:r>
                </w:p>
              </w:tc>
              <w:tc>
                <w:tcPr>
                  <w:tcW w:w="2164" w:type="dxa"/>
                  <w:vAlign w:val="center"/>
                </w:tcPr>
                <w:p>
                  <w:pPr>
                    <w:jc w:val="center"/>
                  </w:pPr>
                  <w:r>
                    <w:t>振动筛</w:t>
                  </w:r>
                </w:p>
              </w:tc>
              <w:tc>
                <w:tcPr>
                  <w:tcW w:w="915" w:type="dxa"/>
                  <w:vAlign w:val="center"/>
                </w:tcPr>
                <w:p>
                  <w:pPr>
                    <w:jc w:val="center"/>
                  </w:pPr>
                  <w:r>
                    <w:t>2</w:t>
                  </w:r>
                </w:p>
              </w:tc>
              <w:tc>
                <w:tcPr>
                  <w:tcW w:w="1554" w:type="dxa"/>
                  <w:vAlign w:val="center"/>
                </w:tcPr>
                <w:p>
                  <w:pPr>
                    <w:jc w:val="center"/>
                  </w:pPr>
                  <w:r>
                    <w:t>2460</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7</w:t>
                  </w:r>
                </w:p>
              </w:tc>
              <w:tc>
                <w:tcPr>
                  <w:tcW w:w="2164" w:type="dxa"/>
                  <w:vAlign w:val="center"/>
                </w:tcPr>
                <w:p>
                  <w:pPr>
                    <w:jc w:val="center"/>
                  </w:pPr>
                  <w:r>
                    <w:t>洗砂机</w:t>
                  </w:r>
                </w:p>
              </w:tc>
              <w:tc>
                <w:tcPr>
                  <w:tcW w:w="915" w:type="dxa"/>
                  <w:vAlign w:val="center"/>
                </w:tcPr>
                <w:p>
                  <w:pPr>
                    <w:jc w:val="center"/>
                  </w:pPr>
                  <w:r>
                    <w:t>2</w:t>
                  </w:r>
                </w:p>
              </w:tc>
              <w:tc>
                <w:tcPr>
                  <w:tcW w:w="1554" w:type="dxa"/>
                  <w:vAlign w:val="center"/>
                </w:tcPr>
                <w:p>
                  <w:pPr>
                    <w:jc w:val="center"/>
                  </w:pPr>
                  <w:r>
                    <w:t>直径2米</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8</w:t>
                  </w:r>
                </w:p>
              </w:tc>
              <w:tc>
                <w:tcPr>
                  <w:tcW w:w="2164" w:type="dxa"/>
                  <w:vAlign w:val="center"/>
                </w:tcPr>
                <w:p>
                  <w:pPr>
                    <w:jc w:val="center"/>
                  </w:pPr>
                  <w:r>
                    <w:t>挖掘机</w:t>
                  </w:r>
                </w:p>
              </w:tc>
              <w:tc>
                <w:tcPr>
                  <w:tcW w:w="915" w:type="dxa"/>
                  <w:vAlign w:val="center"/>
                </w:tcPr>
                <w:p>
                  <w:pPr>
                    <w:jc w:val="center"/>
                  </w:pPr>
                  <w:r>
                    <w:t>2</w:t>
                  </w:r>
                </w:p>
              </w:tc>
              <w:tc>
                <w:tcPr>
                  <w:tcW w:w="1554" w:type="dxa"/>
                  <w:vAlign w:val="center"/>
                </w:tcPr>
                <w:p>
                  <w:pPr>
                    <w:jc w:val="center"/>
                  </w:pPr>
                  <w:r>
                    <w:t>FE220</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9</w:t>
                  </w:r>
                </w:p>
              </w:tc>
              <w:tc>
                <w:tcPr>
                  <w:tcW w:w="2164" w:type="dxa"/>
                  <w:vAlign w:val="center"/>
                </w:tcPr>
                <w:p>
                  <w:pPr>
                    <w:jc w:val="center"/>
                  </w:pPr>
                  <w:r>
                    <w:t>装载机</w:t>
                  </w:r>
                </w:p>
              </w:tc>
              <w:tc>
                <w:tcPr>
                  <w:tcW w:w="915" w:type="dxa"/>
                  <w:vAlign w:val="center"/>
                </w:tcPr>
                <w:p>
                  <w:pPr>
                    <w:jc w:val="center"/>
                  </w:pPr>
                  <w:r>
                    <w:t>2</w:t>
                  </w:r>
                </w:p>
              </w:tc>
              <w:tc>
                <w:tcPr>
                  <w:tcW w:w="1554" w:type="dxa"/>
                  <w:vAlign w:val="center"/>
                </w:tcPr>
                <w:p>
                  <w:pPr>
                    <w:jc w:val="center"/>
                  </w:pPr>
                  <w:r>
                    <w:t>50型</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10</w:t>
                  </w:r>
                </w:p>
              </w:tc>
              <w:tc>
                <w:tcPr>
                  <w:tcW w:w="2164" w:type="dxa"/>
                  <w:vAlign w:val="center"/>
                </w:tcPr>
                <w:p>
                  <w:pPr>
                    <w:jc w:val="center"/>
                  </w:pPr>
                  <w:r>
                    <w:t>洒水车</w:t>
                  </w:r>
                </w:p>
              </w:tc>
              <w:tc>
                <w:tcPr>
                  <w:tcW w:w="915" w:type="dxa"/>
                  <w:vAlign w:val="center"/>
                </w:tcPr>
                <w:p>
                  <w:pPr>
                    <w:jc w:val="center"/>
                  </w:pPr>
                  <w:r>
                    <w:t>1</w:t>
                  </w:r>
                </w:p>
              </w:tc>
              <w:tc>
                <w:tcPr>
                  <w:tcW w:w="1554" w:type="dxa"/>
                  <w:vAlign w:val="center"/>
                </w:tcPr>
                <w:p>
                  <w:pPr>
                    <w:jc w:val="center"/>
                  </w:pPr>
                  <w:r>
                    <w:t>/</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pPr>
                  <w:r>
                    <w:t>11</w:t>
                  </w:r>
                </w:p>
              </w:tc>
              <w:tc>
                <w:tcPr>
                  <w:tcW w:w="2164" w:type="dxa"/>
                  <w:vAlign w:val="center"/>
                </w:tcPr>
                <w:p>
                  <w:pPr>
                    <w:jc w:val="center"/>
                  </w:pPr>
                  <w:r>
                    <w:t>传送带</w:t>
                  </w:r>
                </w:p>
              </w:tc>
              <w:tc>
                <w:tcPr>
                  <w:tcW w:w="915" w:type="dxa"/>
                  <w:vAlign w:val="center"/>
                </w:tcPr>
                <w:p>
                  <w:pPr>
                    <w:jc w:val="center"/>
                  </w:pPr>
                  <w:r>
                    <w:t>9</w:t>
                  </w:r>
                </w:p>
              </w:tc>
              <w:tc>
                <w:tcPr>
                  <w:tcW w:w="1554" w:type="dxa"/>
                  <w:vAlign w:val="center"/>
                </w:tcPr>
                <w:p>
                  <w:pPr>
                    <w:jc w:val="center"/>
                  </w:pPr>
                  <w:r>
                    <w:t>0.8*70米</w:t>
                  </w:r>
                </w:p>
              </w:tc>
              <w:tc>
                <w:tcPr>
                  <w:tcW w:w="1593" w:type="dxa"/>
                  <w:vAlign w:val="center"/>
                </w:tcPr>
                <w:p>
                  <w:pPr>
                    <w:jc w:val="center"/>
                  </w:pPr>
                  <w:r>
                    <w:t>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rPr>
                      <w:color w:val="auto"/>
                    </w:rPr>
                  </w:pPr>
                  <w:r>
                    <w:rPr>
                      <w:color w:val="auto"/>
                    </w:rPr>
                    <w:t>12</w:t>
                  </w:r>
                </w:p>
              </w:tc>
              <w:tc>
                <w:tcPr>
                  <w:tcW w:w="2164" w:type="dxa"/>
                  <w:vAlign w:val="center"/>
                </w:tcPr>
                <w:p>
                  <w:pPr>
                    <w:jc w:val="center"/>
                    <w:rPr>
                      <w:color w:val="auto"/>
                    </w:rPr>
                  </w:pPr>
                  <w:r>
                    <w:rPr>
                      <w:color w:val="auto"/>
                    </w:rPr>
                    <w:t>空压机</w:t>
                  </w:r>
                </w:p>
              </w:tc>
              <w:tc>
                <w:tcPr>
                  <w:tcW w:w="915" w:type="dxa"/>
                  <w:vAlign w:val="center"/>
                </w:tcPr>
                <w:p>
                  <w:pPr>
                    <w:jc w:val="center"/>
                    <w:rPr>
                      <w:color w:val="auto"/>
                    </w:rPr>
                  </w:pPr>
                  <w:r>
                    <w:rPr>
                      <w:color w:val="auto"/>
                    </w:rPr>
                    <w:t>1</w:t>
                  </w:r>
                </w:p>
              </w:tc>
              <w:tc>
                <w:tcPr>
                  <w:tcW w:w="1554" w:type="dxa"/>
                  <w:vAlign w:val="center"/>
                </w:tcPr>
                <w:p>
                  <w:pPr>
                    <w:jc w:val="center"/>
                    <w:rPr>
                      <w:color w:val="auto"/>
                    </w:rPr>
                  </w:pPr>
                  <w:r>
                    <w:rPr>
                      <w:color w:val="auto"/>
                    </w:rPr>
                    <w:t>/</w:t>
                  </w:r>
                </w:p>
              </w:tc>
              <w:tc>
                <w:tcPr>
                  <w:tcW w:w="1593" w:type="dxa"/>
                  <w:vAlign w:val="center"/>
                </w:tcPr>
                <w:p>
                  <w:pPr>
                    <w:jc w:val="center"/>
                    <w:rPr>
                      <w:color w:val="auto"/>
                    </w:rPr>
                  </w:pPr>
                  <w:r>
                    <w:rPr>
                      <w:color w:val="auto"/>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rPr>
                      <w:rFonts w:ascii="Times New Roman" w:hAnsi="Times New Roman" w:eastAsia="宋体" w:cs="Times New Roman"/>
                      <w:color w:val="auto"/>
                      <w:kern w:val="2"/>
                      <w:sz w:val="21"/>
                      <w:szCs w:val="24"/>
                      <w:lang w:val="en-US" w:eastAsia="zh-CN" w:bidi="ar-SA"/>
                    </w:rPr>
                  </w:pPr>
                  <w:r>
                    <w:rPr>
                      <w:color w:val="auto"/>
                    </w:rPr>
                    <w:t>13</w:t>
                  </w:r>
                </w:p>
              </w:tc>
              <w:tc>
                <w:tcPr>
                  <w:tcW w:w="2164" w:type="dxa"/>
                  <w:vAlign w:val="center"/>
                </w:tcPr>
                <w:p>
                  <w:pPr>
                    <w:jc w:val="center"/>
                    <w:rPr>
                      <w:rFonts w:hint="eastAsia" w:eastAsia="宋体"/>
                      <w:color w:val="auto"/>
                      <w:lang w:val="en-US" w:eastAsia="zh-CN"/>
                    </w:rPr>
                  </w:pPr>
                  <w:r>
                    <w:rPr>
                      <w:rFonts w:hint="eastAsia"/>
                      <w:color w:val="auto"/>
                      <w:lang w:val="en-US" w:eastAsia="zh-CN"/>
                    </w:rPr>
                    <w:t>压滤机</w:t>
                  </w:r>
                </w:p>
              </w:tc>
              <w:tc>
                <w:tcPr>
                  <w:tcW w:w="915" w:type="dxa"/>
                  <w:vAlign w:val="center"/>
                </w:tcPr>
                <w:p>
                  <w:pPr>
                    <w:jc w:val="center"/>
                    <w:rPr>
                      <w:rFonts w:hint="eastAsia" w:eastAsia="宋体"/>
                      <w:color w:val="auto"/>
                      <w:lang w:val="en-US" w:eastAsia="zh-CN"/>
                    </w:rPr>
                  </w:pPr>
                  <w:r>
                    <w:rPr>
                      <w:rFonts w:hint="eastAsia"/>
                      <w:color w:val="auto"/>
                      <w:lang w:val="en-US" w:eastAsia="zh-CN"/>
                    </w:rPr>
                    <w:t>1</w:t>
                  </w:r>
                </w:p>
              </w:tc>
              <w:tc>
                <w:tcPr>
                  <w:tcW w:w="1554" w:type="dxa"/>
                  <w:vAlign w:val="center"/>
                </w:tcPr>
                <w:p>
                  <w:pPr>
                    <w:jc w:val="center"/>
                    <w:rPr>
                      <w:rFonts w:hint="default" w:eastAsia="宋体"/>
                      <w:color w:val="auto"/>
                      <w:lang w:val="en-US" w:eastAsia="zh-CN"/>
                    </w:rPr>
                  </w:pPr>
                  <w:r>
                    <w:rPr>
                      <w:rFonts w:hint="eastAsia"/>
                      <w:color w:val="auto"/>
                      <w:lang w:val="en-US" w:eastAsia="zh-CN"/>
                    </w:rPr>
                    <w:t>/</w:t>
                  </w:r>
                </w:p>
              </w:tc>
              <w:tc>
                <w:tcPr>
                  <w:tcW w:w="1593" w:type="dxa"/>
                  <w:vAlign w:val="center"/>
                </w:tcPr>
                <w:p>
                  <w:pPr>
                    <w:jc w:val="center"/>
                    <w:rPr>
                      <w:rFonts w:hint="eastAsia" w:eastAsia="宋体"/>
                      <w:color w:val="auto"/>
                      <w:lang w:val="en-US" w:eastAsia="zh-CN"/>
                    </w:rPr>
                  </w:pPr>
                  <w:r>
                    <w:rPr>
                      <w:rFonts w:hint="eastAsia"/>
                      <w:color w:val="auto"/>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rPr>
                      <w:rFonts w:ascii="Times New Roman" w:hAnsi="Times New Roman" w:eastAsia="宋体" w:cs="Times New Roman"/>
                      <w:color w:val="auto"/>
                      <w:kern w:val="2"/>
                      <w:sz w:val="21"/>
                      <w:szCs w:val="24"/>
                      <w:lang w:val="en-US" w:eastAsia="zh-CN" w:bidi="ar-SA"/>
                    </w:rPr>
                  </w:pPr>
                  <w:r>
                    <w:rPr>
                      <w:color w:val="auto"/>
                    </w:rPr>
                    <w:t>14</w:t>
                  </w:r>
                </w:p>
              </w:tc>
              <w:tc>
                <w:tcPr>
                  <w:tcW w:w="2164" w:type="dxa"/>
                  <w:vAlign w:val="center"/>
                </w:tcPr>
                <w:p>
                  <w:pPr>
                    <w:jc w:val="center"/>
                    <w:rPr>
                      <w:rFonts w:hint="default"/>
                      <w:color w:val="auto"/>
                      <w:lang w:val="en-US" w:eastAsia="zh-CN"/>
                    </w:rPr>
                  </w:pPr>
                  <w:r>
                    <w:rPr>
                      <w:rFonts w:hint="eastAsia"/>
                      <w:color w:val="auto"/>
                      <w:lang w:val="en-US" w:eastAsia="zh-CN"/>
                    </w:rPr>
                    <w:t>浓缩罐</w:t>
                  </w:r>
                </w:p>
              </w:tc>
              <w:tc>
                <w:tcPr>
                  <w:tcW w:w="915" w:type="dxa"/>
                  <w:vAlign w:val="center"/>
                </w:tcPr>
                <w:p>
                  <w:pPr>
                    <w:jc w:val="center"/>
                    <w:rPr>
                      <w:rFonts w:hint="default"/>
                      <w:color w:val="auto"/>
                      <w:lang w:val="en-US" w:eastAsia="zh-CN"/>
                    </w:rPr>
                  </w:pPr>
                  <w:r>
                    <w:rPr>
                      <w:rFonts w:hint="eastAsia"/>
                      <w:color w:val="auto"/>
                      <w:lang w:val="en-US" w:eastAsia="zh-CN"/>
                    </w:rPr>
                    <w:t>3</w:t>
                  </w:r>
                </w:p>
              </w:tc>
              <w:tc>
                <w:tcPr>
                  <w:tcW w:w="1554" w:type="dxa"/>
                  <w:vAlign w:val="center"/>
                </w:tcPr>
                <w:p>
                  <w:pPr>
                    <w:jc w:val="center"/>
                    <w:rPr>
                      <w:rFonts w:hint="default"/>
                      <w:color w:val="auto"/>
                      <w:lang w:val="en-US" w:eastAsia="zh-CN"/>
                    </w:rPr>
                  </w:pPr>
                  <w:r>
                    <w:rPr>
                      <w:rFonts w:hint="eastAsia"/>
                      <w:color w:val="auto"/>
                      <w:lang w:val="en-US" w:eastAsia="zh-CN"/>
                    </w:rPr>
                    <w:t>/</w:t>
                  </w:r>
                </w:p>
              </w:tc>
              <w:tc>
                <w:tcPr>
                  <w:tcW w:w="1593" w:type="dxa"/>
                  <w:vAlign w:val="center"/>
                </w:tcPr>
                <w:p>
                  <w:pPr>
                    <w:jc w:val="center"/>
                    <w:rPr>
                      <w:rFonts w:hint="default"/>
                      <w:color w:val="auto"/>
                      <w:lang w:val="en-US" w:eastAsia="zh-CN"/>
                    </w:rPr>
                  </w:pPr>
                  <w:r>
                    <w:rPr>
                      <w:rFonts w:hint="eastAsia"/>
                      <w:color w:val="auto"/>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rPr>
                      <w:rFonts w:ascii="Times New Roman" w:hAnsi="Times New Roman" w:eastAsia="宋体" w:cs="Times New Roman"/>
                      <w:kern w:val="2"/>
                      <w:sz w:val="21"/>
                      <w:szCs w:val="24"/>
                      <w:lang w:val="en-US" w:eastAsia="zh-CN" w:bidi="ar-SA"/>
                    </w:rPr>
                  </w:pPr>
                  <w:r>
                    <w:t>15</w:t>
                  </w:r>
                </w:p>
              </w:tc>
              <w:tc>
                <w:tcPr>
                  <w:tcW w:w="2164" w:type="dxa"/>
                  <w:vAlign w:val="center"/>
                </w:tcPr>
                <w:p>
                  <w:pPr>
                    <w:jc w:val="center"/>
                  </w:pPr>
                  <w:r>
                    <w:t>钻机</w:t>
                  </w:r>
                </w:p>
              </w:tc>
              <w:tc>
                <w:tcPr>
                  <w:tcW w:w="915" w:type="dxa"/>
                  <w:vAlign w:val="center"/>
                </w:tcPr>
                <w:p>
                  <w:pPr>
                    <w:jc w:val="center"/>
                  </w:pPr>
                  <w:r>
                    <w:t>2</w:t>
                  </w:r>
                </w:p>
              </w:tc>
              <w:tc>
                <w:tcPr>
                  <w:tcW w:w="1554" w:type="dxa"/>
                  <w:vAlign w:val="center"/>
                </w:tcPr>
                <w:p>
                  <w:pPr>
                    <w:jc w:val="center"/>
                  </w:pPr>
                  <w:r>
                    <w:t>/</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rPr>
                      <w:rFonts w:ascii="Times New Roman" w:hAnsi="Times New Roman" w:eastAsia="宋体" w:cs="Times New Roman"/>
                      <w:kern w:val="2"/>
                      <w:sz w:val="21"/>
                      <w:szCs w:val="24"/>
                      <w:lang w:val="en-US" w:eastAsia="zh-CN" w:bidi="ar-SA"/>
                    </w:rPr>
                  </w:pPr>
                  <w:r>
                    <w:t>16</w:t>
                  </w:r>
                </w:p>
              </w:tc>
              <w:tc>
                <w:tcPr>
                  <w:tcW w:w="2164" w:type="dxa"/>
                  <w:vAlign w:val="center"/>
                </w:tcPr>
                <w:p>
                  <w:pPr>
                    <w:jc w:val="center"/>
                  </w:pPr>
                  <w:r>
                    <w:t>污水污物潜水泵</w:t>
                  </w:r>
                </w:p>
              </w:tc>
              <w:tc>
                <w:tcPr>
                  <w:tcW w:w="915" w:type="dxa"/>
                  <w:vAlign w:val="center"/>
                </w:tcPr>
                <w:p>
                  <w:pPr>
                    <w:jc w:val="center"/>
                  </w:pPr>
                  <w:r>
                    <w:t>3</w:t>
                  </w:r>
                </w:p>
              </w:tc>
              <w:tc>
                <w:tcPr>
                  <w:tcW w:w="1554" w:type="dxa"/>
                  <w:vAlign w:val="center"/>
                </w:tcPr>
                <w:p>
                  <w:pPr>
                    <w:jc w:val="center"/>
                  </w:pPr>
                  <w:r>
                    <w:t>/</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rPr>
                      <w:rFonts w:ascii="Times New Roman" w:hAnsi="Times New Roman" w:eastAsia="宋体" w:cs="Times New Roman"/>
                      <w:kern w:val="2"/>
                      <w:sz w:val="21"/>
                      <w:szCs w:val="24"/>
                      <w:lang w:val="en-US" w:eastAsia="zh-CN" w:bidi="ar-SA"/>
                    </w:rPr>
                  </w:pPr>
                  <w:r>
                    <w:t>17</w:t>
                  </w:r>
                </w:p>
              </w:tc>
              <w:tc>
                <w:tcPr>
                  <w:tcW w:w="2164" w:type="dxa"/>
                  <w:vAlign w:val="center"/>
                </w:tcPr>
                <w:p>
                  <w:pPr>
                    <w:jc w:val="center"/>
                  </w:pPr>
                  <w:r>
                    <w:t>120T地磅</w:t>
                  </w:r>
                </w:p>
              </w:tc>
              <w:tc>
                <w:tcPr>
                  <w:tcW w:w="915" w:type="dxa"/>
                  <w:vAlign w:val="center"/>
                </w:tcPr>
                <w:p>
                  <w:pPr>
                    <w:jc w:val="center"/>
                  </w:pPr>
                  <w:r>
                    <w:t>1</w:t>
                  </w:r>
                </w:p>
              </w:tc>
              <w:tc>
                <w:tcPr>
                  <w:tcW w:w="1554" w:type="dxa"/>
                  <w:vAlign w:val="center"/>
                </w:tcPr>
                <w:p>
                  <w:pPr>
                    <w:jc w:val="center"/>
                  </w:pPr>
                  <w:r>
                    <w:t>/</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590" w:type="dxa"/>
                  <w:vAlign w:val="center"/>
                </w:tcPr>
                <w:p>
                  <w:pPr>
                    <w:jc w:val="center"/>
                    <w:rPr>
                      <w:rFonts w:ascii="Times New Roman" w:hAnsi="Times New Roman" w:eastAsia="宋体" w:cs="Times New Roman"/>
                      <w:kern w:val="2"/>
                      <w:sz w:val="21"/>
                      <w:szCs w:val="24"/>
                      <w:lang w:val="en-US" w:eastAsia="zh-CN" w:bidi="ar-SA"/>
                    </w:rPr>
                  </w:pPr>
                  <w:r>
                    <w:t>18</w:t>
                  </w:r>
                </w:p>
              </w:tc>
              <w:tc>
                <w:tcPr>
                  <w:tcW w:w="2164" w:type="dxa"/>
                  <w:vAlign w:val="center"/>
                </w:tcPr>
                <w:p>
                  <w:pPr>
                    <w:jc w:val="center"/>
                  </w:pPr>
                  <w:r>
                    <w:t>变压器</w:t>
                  </w:r>
                </w:p>
              </w:tc>
              <w:tc>
                <w:tcPr>
                  <w:tcW w:w="915" w:type="dxa"/>
                  <w:vAlign w:val="center"/>
                </w:tcPr>
                <w:p>
                  <w:pPr>
                    <w:jc w:val="center"/>
                  </w:pPr>
                  <w:r>
                    <w:t>3</w:t>
                  </w:r>
                </w:p>
              </w:tc>
              <w:tc>
                <w:tcPr>
                  <w:tcW w:w="1554" w:type="dxa"/>
                  <w:vAlign w:val="center"/>
                </w:tcPr>
                <w:p>
                  <w:pPr>
                    <w:jc w:val="center"/>
                  </w:pPr>
                  <w:r>
                    <w:t>800VA两台其</w:t>
                  </w:r>
                </w:p>
                <w:p>
                  <w:pPr>
                    <w:jc w:val="center"/>
                  </w:pPr>
                  <w:r>
                    <w:t>中250VA一台</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90" w:type="dxa"/>
                  <w:vAlign w:val="center"/>
                </w:tcPr>
                <w:p>
                  <w:pPr>
                    <w:jc w:val="center"/>
                    <w:rPr>
                      <w:rFonts w:hint="default" w:eastAsia="宋体"/>
                      <w:lang w:val="en-US" w:eastAsia="zh-CN"/>
                    </w:rPr>
                  </w:pPr>
                  <w:r>
                    <w:rPr>
                      <w:rFonts w:hint="eastAsia"/>
                      <w:lang w:val="en-US" w:eastAsia="zh-CN"/>
                    </w:rPr>
                    <w:t>19</w:t>
                  </w:r>
                </w:p>
              </w:tc>
              <w:tc>
                <w:tcPr>
                  <w:tcW w:w="2164" w:type="dxa"/>
                  <w:vAlign w:val="center"/>
                </w:tcPr>
                <w:p>
                  <w:pPr>
                    <w:jc w:val="center"/>
                  </w:pPr>
                  <w:r>
                    <w:t>洗车机</w:t>
                  </w:r>
                </w:p>
              </w:tc>
              <w:tc>
                <w:tcPr>
                  <w:tcW w:w="915" w:type="dxa"/>
                  <w:vAlign w:val="center"/>
                </w:tcPr>
                <w:p>
                  <w:pPr>
                    <w:jc w:val="center"/>
                  </w:pPr>
                  <w:r>
                    <w:t>1</w:t>
                  </w:r>
                </w:p>
              </w:tc>
              <w:tc>
                <w:tcPr>
                  <w:tcW w:w="1554" w:type="dxa"/>
                  <w:vAlign w:val="center"/>
                </w:tcPr>
                <w:p>
                  <w:pPr>
                    <w:jc w:val="center"/>
                  </w:pPr>
                  <w:r>
                    <w:t>/</w:t>
                  </w:r>
                </w:p>
              </w:tc>
              <w:tc>
                <w:tcPr>
                  <w:tcW w:w="1593" w:type="dxa"/>
                  <w:vAlign w:val="center"/>
                </w:tcPr>
                <w:p>
                  <w:pPr>
                    <w:jc w:val="center"/>
                  </w:pPr>
                  <w: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590" w:type="dxa"/>
                  <w:vAlign w:val="center"/>
                </w:tcPr>
                <w:p>
                  <w:pPr>
                    <w:jc w:val="center"/>
                    <w:rPr>
                      <w:rFonts w:hint="default" w:eastAsia="宋体"/>
                      <w:lang w:val="en-US" w:eastAsia="zh-CN"/>
                    </w:rPr>
                  </w:pPr>
                  <w:r>
                    <w:rPr>
                      <w:rFonts w:hint="eastAsia"/>
                      <w:lang w:val="en-US" w:eastAsia="zh-CN"/>
                    </w:rPr>
                    <w:t>20</w:t>
                  </w:r>
                </w:p>
              </w:tc>
              <w:tc>
                <w:tcPr>
                  <w:tcW w:w="2164" w:type="dxa"/>
                  <w:vAlign w:val="center"/>
                </w:tcPr>
                <w:p>
                  <w:pPr>
                    <w:jc w:val="center"/>
                  </w:pPr>
                  <w:r>
                    <w:t>环保除尘雾炮机</w:t>
                  </w:r>
                </w:p>
              </w:tc>
              <w:tc>
                <w:tcPr>
                  <w:tcW w:w="915" w:type="dxa"/>
                  <w:vAlign w:val="center"/>
                </w:tcPr>
                <w:p>
                  <w:pPr>
                    <w:jc w:val="center"/>
                    <w:rPr>
                      <w:rFonts w:hint="eastAsia" w:eastAsia="宋体"/>
                      <w:lang w:eastAsia="zh-CN"/>
                    </w:rPr>
                  </w:pPr>
                  <w:r>
                    <w:rPr>
                      <w:rFonts w:hint="eastAsia" w:ascii="Times New Roman" w:hAnsi="Times New Roman" w:cs="Times New Roman"/>
                      <w:lang w:val="en-US" w:eastAsia="zh-CN"/>
                    </w:rPr>
                    <w:t>2</w:t>
                  </w:r>
                </w:p>
              </w:tc>
              <w:tc>
                <w:tcPr>
                  <w:tcW w:w="1554" w:type="dxa"/>
                  <w:vAlign w:val="center"/>
                </w:tcPr>
                <w:p>
                  <w:pPr>
                    <w:jc w:val="center"/>
                  </w:pPr>
                  <w:r>
                    <w:t>/</w:t>
                  </w:r>
                </w:p>
              </w:tc>
              <w:tc>
                <w:tcPr>
                  <w:tcW w:w="1593" w:type="dxa"/>
                  <w:vAlign w:val="center"/>
                </w:tcPr>
                <w:p>
                  <w:pPr>
                    <w:jc w:val="center"/>
                  </w:pPr>
                  <w:r>
                    <w:t>台</w:t>
                  </w:r>
                </w:p>
              </w:tc>
            </w:tr>
          </w:tbl>
          <w:p>
            <w:pPr>
              <w:adjustRightInd w:val="0"/>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、产品方案</w:t>
            </w:r>
          </w:p>
          <w:p>
            <w:pPr>
              <w:pStyle w:val="8"/>
              <w:widowControl w:val="0"/>
              <w:numPr>
                <w:ilvl w:val="0"/>
                <w:numId w:val="0"/>
              </w:numPr>
              <w:snapToGrid/>
              <w:spacing w:before="0" w:after="0" w:line="360" w:lineRule="auto"/>
              <w:ind w:right="0" w:firstLine="480" w:firstLineChars="200"/>
              <w:rPr>
                <w:rFonts w:hint="default" w:ascii="Times New Roman" w:hAnsi="Times New Roman" w:cs="Times New Roman" w:eastAsiaTheme="minorEastAsia"/>
                <w:kern w:val="2"/>
                <w:sz w:val="24"/>
                <w:szCs w:val="32"/>
                <w:lang w:val="en-US" w:eastAsia="zh-CN"/>
              </w:rPr>
            </w:pPr>
            <w:r>
              <w:rPr>
                <w:rFonts w:hint="default" w:ascii="Times New Roman" w:hAnsi="Times New Roman" w:cs="Times New Roman" w:eastAsiaTheme="minorEastAsia"/>
                <w:kern w:val="2"/>
                <w:sz w:val="24"/>
                <w:szCs w:val="32"/>
                <w:lang w:val="en-US" w:eastAsia="zh-CN"/>
              </w:rPr>
              <w:t>现有项目位于陕西省安康市汉滨区梅子铺镇奎星村三组，占地面积2000m</w:t>
            </w:r>
            <w:r>
              <w:rPr>
                <w:rFonts w:hint="default" w:ascii="Times New Roman" w:hAnsi="Times New Roman" w:cs="Times New Roman" w:eastAsiaTheme="minorEastAsia"/>
                <w:kern w:val="2"/>
                <w:sz w:val="24"/>
                <w:szCs w:val="32"/>
                <w:vertAlign w:val="superscript"/>
                <w:lang w:val="en-US" w:eastAsia="zh-CN"/>
              </w:rPr>
              <w:t>2</w:t>
            </w:r>
            <w:r>
              <w:rPr>
                <w:rFonts w:hint="default" w:ascii="Times New Roman" w:hAnsi="Times New Roman" w:cs="Times New Roman" w:eastAsiaTheme="minorEastAsia"/>
                <w:kern w:val="2"/>
                <w:sz w:val="24"/>
                <w:szCs w:val="32"/>
                <w:lang w:val="en-US" w:eastAsia="zh-CN"/>
              </w:rPr>
              <w:t>，开采规模20万吨/年。根据现场踏勘，矿区目前处于停产状态。原有生产区设备和厂房拟全部拆除，则原有破碎设备运转产生的大气、噪声污染已不存在。则本环评不再分析现有项目情况。项目产品方案如下表</w:t>
            </w:r>
            <w:r>
              <w:rPr>
                <w:rFonts w:hint="eastAsia" w:cs="Times New Roman" w:eastAsiaTheme="minorEastAsia"/>
                <w:kern w:val="2"/>
                <w:sz w:val="24"/>
                <w:szCs w:val="32"/>
                <w:lang w:val="en-US" w:eastAsia="zh-CN"/>
              </w:rPr>
              <w:t>8</w:t>
            </w:r>
            <w:r>
              <w:rPr>
                <w:rFonts w:hint="default" w:ascii="Times New Roman" w:hAnsi="Times New Roman" w:cs="Times New Roman" w:eastAsiaTheme="minorEastAsia"/>
                <w:kern w:val="2"/>
                <w:sz w:val="24"/>
                <w:szCs w:val="32"/>
                <w:lang w:val="en-US" w:eastAsia="zh-CN"/>
              </w:rPr>
              <w:t>。</w:t>
            </w:r>
          </w:p>
          <w:p>
            <w:pPr>
              <w:widowControl w:val="0"/>
              <w:numPr>
                <w:ilvl w:val="0"/>
                <w:numId w:val="0"/>
              </w:numPr>
              <w:autoSpaceDE w:val="0"/>
              <w:autoSpaceDN w:val="0"/>
              <w:adjustRightInd w:val="0"/>
              <w:snapToGrid w:val="0"/>
              <w:jc w:val="center"/>
              <w:rPr>
                <w:rFonts w:hint="default"/>
                <w:b/>
                <w:bCs/>
                <w:sz w:val="21"/>
                <w:szCs w:val="21"/>
                <w:lang w:val="zh-CN"/>
              </w:rPr>
            </w:pPr>
            <w:r>
              <w:rPr>
                <w:rFonts w:hint="default"/>
                <w:b/>
                <w:bCs/>
                <w:sz w:val="21"/>
                <w:szCs w:val="21"/>
                <w:lang w:val="zh-CN"/>
              </w:rPr>
              <w:t>表</w:t>
            </w:r>
            <w:r>
              <w:rPr>
                <w:rFonts w:hint="eastAsia"/>
                <w:b/>
                <w:bCs/>
                <w:sz w:val="21"/>
                <w:szCs w:val="21"/>
                <w:lang w:val="en-US" w:eastAsia="zh-CN"/>
              </w:rPr>
              <w:t>8</w:t>
            </w:r>
            <w:r>
              <w:rPr>
                <w:rFonts w:hint="default"/>
                <w:b/>
                <w:bCs/>
                <w:sz w:val="21"/>
                <w:szCs w:val="21"/>
                <w:lang w:val="zh-CN"/>
              </w:rPr>
              <w:t xml:space="preserve"> 产品方案一览表</w:t>
            </w:r>
          </w:p>
          <w:tbl>
            <w:tblPr>
              <w:tblStyle w:val="19"/>
              <w:tblW w:w="7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7"/>
              <w:gridCol w:w="1526"/>
              <w:gridCol w:w="1600"/>
              <w:gridCol w:w="1077"/>
              <w:gridCol w:w="15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2037" w:type="dxa"/>
                  <w:vAlign w:val="center"/>
                </w:tcPr>
                <w:p>
                  <w:pPr>
                    <w:jc w:val="center"/>
                  </w:pPr>
                  <w:r>
                    <w:t>产品名称</w:t>
                  </w:r>
                </w:p>
              </w:tc>
              <w:tc>
                <w:tcPr>
                  <w:tcW w:w="1526" w:type="dxa"/>
                  <w:vAlign w:val="center"/>
                </w:tcPr>
                <w:p>
                  <w:pPr>
                    <w:jc w:val="center"/>
                    <w:rPr>
                      <w:rFonts w:hint="eastAsia"/>
                      <w:lang w:val="en-US" w:eastAsia="zh-CN"/>
                    </w:rPr>
                  </w:pPr>
                  <w:r>
                    <w:rPr>
                      <w:rFonts w:hint="eastAsia"/>
                      <w:lang w:val="en-US" w:eastAsia="zh-CN"/>
                    </w:rPr>
                    <w:t>原有产品</w:t>
                  </w:r>
                </w:p>
                <w:p>
                  <w:pPr>
                    <w:jc w:val="center"/>
                    <w:rPr>
                      <w:rFonts w:hint="default" w:eastAsia="宋体"/>
                      <w:lang w:val="en-US" w:eastAsia="zh-CN"/>
                    </w:rPr>
                  </w:pPr>
                  <w:r>
                    <w:rPr>
                      <w:rFonts w:hint="eastAsia"/>
                      <w:lang w:val="en-US" w:eastAsia="zh-CN"/>
                    </w:rPr>
                    <w:t>年产量</w:t>
                  </w:r>
                </w:p>
              </w:tc>
              <w:tc>
                <w:tcPr>
                  <w:tcW w:w="1600" w:type="dxa"/>
                  <w:vAlign w:val="center"/>
                </w:tcPr>
                <w:p>
                  <w:pPr>
                    <w:jc w:val="center"/>
                  </w:pPr>
                  <w:r>
                    <w:rPr>
                      <w:rFonts w:hint="eastAsia"/>
                      <w:lang w:val="en-US" w:eastAsia="zh-CN"/>
                    </w:rPr>
                    <w:t>扩建后</w:t>
                  </w:r>
                  <w:r>
                    <w:t>年产量</w:t>
                  </w:r>
                </w:p>
              </w:tc>
              <w:tc>
                <w:tcPr>
                  <w:tcW w:w="1077" w:type="dxa"/>
                  <w:vAlign w:val="center"/>
                </w:tcPr>
                <w:p>
                  <w:pPr>
                    <w:jc w:val="center"/>
                  </w:pPr>
                  <w:r>
                    <w:t>最大储存量</w:t>
                  </w:r>
                </w:p>
              </w:tc>
              <w:tc>
                <w:tcPr>
                  <w:tcW w:w="1521" w:type="dxa"/>
                  <w:vAlign w:val="center"/>
                </w:tcPr>
                <w:p>
                  <w:pPr>
                    <w:jc w:val="center"/>
                  </w:pPr>
                  <w:r>
                    <w:t>储存方式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2037" w:type="dxa"/>
                  <w:vAlign w:val="center"/>
                </w:tcPr>
                <w:p>
                  <w:pPr>
                    <w:jc w:val="center"/>
                  </w:pPr>
                  <w:r>
                    <w:t>石料粒径2.6~6.3cm</w:t>
                  </w:r>
                </w:p>
              </w:tc>
              <w:tc>
                <w:tcPr>
                  <w:tcW w:w="1526" w:type="dxa"/>
                  <w:vAlign w:val="center"/>
                </w:tcPr>
                <w:p>
                  <w:pPr>
                    <w:jc w:val="center"/>
                    <w:rPr>
                      <w:rFonts w:hint="default" w:eastAsia="宋体"/>
                      <w:lang w:val="en-US" w:eastAsia="zh-CN"/>
                    </w:rPr>
                  </w:pPr>
                  <w:r>
                    <w:rPr>
                      <w:rFonts w:hint="eastAsia"/>
                      <w:lang w:val="en-US" w:eastAsia="zh-CN"/>
                    </w:rPr>
                    <w:t>4万m</w:t>
                  </w:r>
                  <w:r>
                    <w:rPr>
                      <w:rFonts w:hint="eastAsia"/>
                      <w:vertAlign w:val="superscript"/>
                      <w:lang w:val="en-US" w:eastAsia="zh-CN"/>
                    </w:rPr>
                    <w:t>3</w:t>
                  </w:r>
                  <w:r>
                    <w:rPr>
                      <w:rFonts w:hint="eastAsia"/>
                      <w:lang w:val="en-US" w:eastAsia="zh-CN"/>
                    </w:rPr>
                    <w:t>/6万t</w:t>
                  </w:r>
                </w:p>
              </w:tc>
              <w:tc>
                <w:tcPr>
                  <w:tcW w:w="1600" w:type="dxa"/>
                  <w:vAlign w:val="center"/>
                </w:tcPr>
                <w:p>
                  <w:pPr>
                    <w:jc w:val="center"/>
                  </w:pPr>
                  <w:r>
                    <w:rPr>
                      <w:rFonts w:hint="eastAsia"/>
                    </w:rPr>
                    <w:t>8</w:t>
                  </w:r>
                  <w:r>
                    <w:t>万/m</w:t>
                  </w:r>
                  <w:r>
                    <w:rPr>
                      <w:vertAlign w:val="superscript"/>
                    </w:rPr>
                    <w:t>3</w:t>
                  </w:r>
                  <w:r>
                    <w:t>/</w:t>
                  </w:r>
                  <w:r>
                    <w:rPr>
                      <w:rFonts w:hint="eastAsia"/>
                    </w:rPr>
                    <w:t>12</w:t>
                  </w:r>
                  <w:r>
                    <w:t>万t</w:t>
                  </w:r>
                </w:p>
              </w:tc>
              <w:tc>
                <w:tcPr>
                  <w:tcW w:w="1077" w:type="dxa"/>
                  <w:vAlign w:val="center"/>
                </w:tcPr>
                <w:p>
                  <w:pPr>
                    <w:jc w:val="center"/>
                  </w:pPr>
                  <w:r>
                    <w:t>0.</w:t>
                  </w:r>
                  <w:r>
                    <w:rPr>
                      <w:rFonts w:hint="eastAsia"/>
                    </w:rPr>
                    <w:t>5</w:t>
                  </w:r>
                  <w:r>
                    <w:t>万t</w:t>
                  </w:r>
                </w:p>
              </w:tc>
              <w:tc>
                <w:tcPr>
                  <w:tcW w:w="1521" w:type="dxa"/>
                  <w:vAlign w:val="center"/>
                </w:tcPr>
                <w:p>
                  <w:pPr>
                    <w:jc w:val="center"/>
                  </w:pPr>
                  <w:r>
                    <w:t>位于1#成品库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37" w:type="dxa"/>
                  <w:vAlign w:val="center"/>
                </w:tcPr>
                <w:p>
                  <w:pPr>
                    <w:jc w:val="center"/>
                  </w:pPr>
                  <w:r>
                    <w:t>石料粒径0.6~0.9 cm</w:t>
                  </w:r>
                </w:p>
              </w:tc>
              <w:tc>
                <w:tcPr>
                  <w:tcW w:w="1526" w:type="dxa"/>
                  <w:vAlign w:val="center"/>
                </w:tcPr>
                <w:p>
                  <w:pPr>
                    <w:jc w:val="center"/>
                  </w:pPr>
                  <w:r>
                    <w:rPr>
                      <w:rFonts w:hint="eastAsia"/>
                      <w:lang w:val="en-US" w:eastAsia="zh-CN"/>
                    </w:rPr>
                    <w:t>4万m</w:t>
                  </w:r>
                  <w:r>
                    <w:rPr>
                      <w:rFonts w:hint="eastAsia"/>
                      <w:vertAlign w:val="superscript"/>
                      <w:lang w:val="en-US" w:eastAsia="zh-CN"/>
                    </w:rPr>
                    <w:t>3</w:t>
                  </w:r>
                  <w:r>
                    <w:rPr>
                      <w:rFonts w:hint="eastAsia"/>
                      <w:lang w:val="en-US" w:eastAsia="zh-CN"/>
                    </w:rPr>
                    <w:t>/6万t</w:t>
                  </w:r>
                </w:p>
              </w:tc>
              <w:tc>
                <w:tcPr>
                  <w:tcW w:w="1600" w:type="dxa"/>
                  <w:vAlign w:val="center"/>
                </w:tcPr>
                <w:p>
                  <w:pPr>
                    <w:jc w:val="center"/>
                  </w:pPr>
                  <w:r>
                    <w:rPr>
                      <w:rFonts w:hint="eastAsia"/>
                    </w:rPr>
                    <w:t>8</w:t>
                  </w:r>
                  <w:r>
                    <w:t>万/m</w:t>
                  </w:r>
                  <w:r>
                    <w:rPr>
                      <w:vertAlign w:val="superscript"/>
                    </w:rPr>
                    <w:t>3</w:t>
                  </w:r>
                  <w:r>
                    <w:t>/</w:t>
                  </w:r>
                  <w:r>
                    <w:rPr>
                      <w:rFonts w:hint="eastAsia"/>
                    </w:rPr>
                    <w:t>12</w:t>
                  </w:r>
                  <w:r>
                    <w:t>万t</w:t>
                  </w:r>
                </w:p>
              </w:tc>
              <w:tc>
                <w:tcPr>
                  <w:tcW w:w="1077" w:type="dxa"/>
                  <w:vAlign w:val="center"/>
                </w:tcPr>
                <w:p>
                  <w:pPr>
                    <w:jc w:val="center"/>
                  </w:pPr>
                  <w:r>
                    <w:t>0.</w:t>
                  </w:r>
                  <w:r>
                    <w:rPr>
                      <w:rFonts w:hint="eastAsia"/>
                    </w:rPr>
                    <w:t>5</w:t>
                  </w:r>
                  <w:r>
                    <w:t>万t</w:t>
                  </w:r>
                </w:p>
              </w:tc>
              <w:tc>
                <w:tcPr>
                  <w:tcW w:w="1521" w:type="dxa"/>
                  <w:vAlign w:val="center"/>
                </w:tcPr>
                <w:p>
                  <w:pPr>
                    <w:jc w:val="center"/>
                  </w:pPr>
                  <w:r>
                    <w:t>位于2#成品库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037" w:type="dxa"/>
                  <w:vAlign w:val="center"/>
                </w:tcPr>
                <w:p>
                  <w:pPr>
                    <w:jc w:val="center"/>
                  </w:pPr>
                  <w:r>
                    <w:t>石料粒径1.2~1.3 cm</w:t>
                  </w:r>
                </w:p>
              </w:tc>
              <w:tc>
                <w:tcPr>
                  <w:tcW w:w="1526" w:type="dxa"/>
                  <w:vAlign w:val="center"/>
                </w:tcPr>
                <w:p>
                  <w:pPr>
                    <w:jc w:val="center"/>
                  </w:pPr>
                  <w:r>
                    <w:rPr>
                      <w:rFonts w:hint="eastAsia"/>
                      <w:lang w:val="en-US" w:eastAsia="zh-CN"/>
                    </w:rPr>
                    <w:t>5.3万m</w:t>
                  </w:r>
                  <w:r>
                    <w:rPr>
                      <w:rFonts w:hint="eastAsia"/>
                      <w:vertAlign w:val="superscript"/>
                      <w:lang w:val="en-US" w:eastAsia="zh-CN"/>
                    </w:rPr>
                    <w:t>3</w:t>
                  </w:r>
                  <w:r>
                    <w:rPr>
                      <w:rFonts w:hint="eastAsia"/>
                      <w:lang w:val="en-US" w:eastAsia="zh-CN"/>
                    </w:rPr>
                    <w:t>/8万t</w:t>
                  </w:r>
                </w:p>
              </w:tc>
              <w:tc>
                <w:tcPr>
                  <w:tcW w:w="1600" w:type="dxa"/>
                  <w:vAlign w:val="center"/>
                </w:tcPr>
                <w:p>
                  <w:pPr>
                    <w:jc w:val="center"/>
                  </w:pPr>
                  <w:r>
                    <w:rPr>
                      <w:rFonts w:hint="eastAsia"/>
                    </w:rPr>
                    <w:t>10</w:t>
                  </w:r>
                  <w:r>
                    <w:t>万/m</w:t>
                  </w:r>
                  <w:r>
                    <w:rPr>
                      <w:vertAlign w:val="superscript"/>
                    </w:rPr>
                    <w:t>3</w:t>
                  </w:r>
                  <w:r>
                    <w:t>/</w:t>
                  </w:r>
                  <w:r>
                    <w:rPr>
                      <w:rFonts w:hint="eastAsia"/>
                      <w:lang w:val="en-US" w:eastAsia="zh-CN"/>
                    </w:rPr>
                    <w:t>20</w:t>
                  </w:r>
                  <w:r>
                    <w:t>万t</w:t>
                  </w:r>
                </w:p>
              </w:tc>
              <w:tc>
                <w:tcPr>
                  <w:tcW w:w="1077" w:type="dxa"/>
                  <w:vAlign w:val="center"/>
                </w:tcPr>
                <w:p>
                  <w:pPr>
                    <w:jc w:val="center"/>
                  </w:pPr>
                  <w:r>
                    <w:t>0.</w:t>
                  </w:r>
                  <w:r>
                    <w:rPr>
                      <w:rFonts w:hint="eastAsia"/>
                    </w:rPr>
                    <w:t>5</w:t>
                  </w:r>
                  <w:r>
                    <w:t>万t</w:t>
                  </w:r>
                </w:p>
              </w:tc>
              <w:tc>
                <w:tcPr>
                  <w:tcW w:w="1521" w:type="dxa"/>
                  <w:vAlign w:val="center"/>
                </w:tcPr>
                <w:p>
                  <w:pPr>
                    <w:jc w:val="center"/>
                  </w:pPr>
                  <w:r>
                    <w:t>位于2#成品库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037" w:type="dxa"/>
                  <w:vAlign w:val="center"/>
                </w:tcPr>
                <w:p>
                  <w:pPr>
                    <w:wordWrap w:val="0"/>
                    <w:topLinePunct/>
                    <w:jc w:val="center"/>
                  </w:pPr>
                  <w:r>
                    <w:t>机制砂0.1~0.5cm</w:t>
                  </w:r>
                </w:p>
              </w:tc>
              <w:tc>
                <w:tcPr>
                  <w:tcW w:w="1526" w:type="dxa"/>
                  <w:vAlign w:val="center"/>
                </w:tcPr>
                <w:p>
                  <w:pPr>
                    <w:wordWrap w:val="0"/>
                    <w:topLinePunct/>
                    <w:jc w:val="center"/>
                    <w:rPr>
                      <w:rFonts w:hint="default" w:eastAsia="宋体"/>
                      <w:lang w:val="en-US" w:eastAsia="zh-CN"/>
                    </w:rPr>
                  </w:pPr>
                  <w:r>
                    <w:rPr>
                      <w:rFonts w:hint="eastAsia"/>
                      <w:lang w:val="en-US" w:eastAsia="zh-CN"/>
                    </w:rPr>
                    <w:t>/</w:t>
                  </w:r>
                </w:p>
              </w:tc>
              <w:tc>
                <w:tcPr>
                  <w:tcW w:w="1600" w:type="dxa"/>
                  <w:vAlign w:val="center"/>
                </w:tcPr>
                <w:p>
                  <w:pPr>
                    <w:jc w:val="center"/>
                  </w:pPr>
                  <w:r>
                    <w:rPr>
                      <w:rFonts w:hint="eastAsia"/>
                    </w:rPr>
                    <w:t>4</w:t>
                  </w:r>
                  <w:r>
                    <w:t>万/m</w:t>
                  </w:r>
                  <w:r>
                    <w:rPr>
                      <w:vertAlign w:val="superscript"/>
                    </w:rPr>
                    <w:t>3</w:t>
                  </w:r>
                  <w:r>
                    <w:t>/</w:t>
                  </w:r>
                  <w:r>
                    <w:rPr>
                      <w:rFonts w:hint="eastAsia"/>
                    </w:rPr>
                    <w:t>6</w:t>
                  </w:r>
                  <w:r>
                    <w:t>万t</w:t>
                  </w:r>
                </w:p>
              </w:tc>
              <w:tc>
                <w:tcPr>
                  <w:tcW w:w="1077" w:type="dxa"/>
                  <w:vAlign w:val="center"/>
                </w:tcPr>
                <w:p>
                  <w:pPr>
                    <w:jc w:val="center"/>
                  </w:pPr>
                  <w:r>
                    <w:t>0.5万t</w:t>
                  </w:r>
                </w:p>
              </w:tc>
              <w:tc>
                <w:tcPr>
                  <w:tcW w:w="1521" w:type="dxa"/>
                  <w:vAlign w:val="center"/>
                </w:tcPr>
                <w:p>
                  <w:pPr>
                    <w:jc w:val="center"/>
                  </w:pPr>
                  <w:r>
                    <w:t>位于2#成品库</w:t>
                  </w:r>
                </w:p>
              </w:tc>
            </w:tr>
          </w:tbl>
          <w:p>
            <w:pPr>
              <w:adjustRightInd w:val="0"/>
              <w:snapToGrid w:val="0"/>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5</w:t>
            </w:r>
            <w:r>
              <w:rPr>
                <w:rFonts w:hint="default" w:ascii="Times New Roman" w:hAnsi="Times New Roman" w:cs="Times New Roman"/>
                <w:b/>
                <w:bCs/>
                <w:sz w:val="24"/>
                <w:szCs w:val="24"/>
              </w:rPr>
              <w:t>、矿山资源概况</w:t>
            </w:r>
          </w:p>
          <w:p>
            <w:pPr>
              <w:adjustRightInd w:val="0"/>
              <w:snapToGrid w:val="0"/>
              <w:spacing w:line="360" w:lineRule="auto"/>
              <w:ind w:firstLine="480" w:firstLineChars="200"/>
              <w:rPr>
                <w:sz w:val="24"/>
                <w:szCs w:val="24"/>
              </w:rPr>
            </w:pPr>
            <w:r>
              <w:rPr>
                <w:sz w:val="24"/>
                <w:szCs w:val="24"/>
              </w:rPr>
              <w:t>（1）矿区情况</w:t>
            </w:r>
          </w:p>
          <w:p>
            <w:pPr>
              <w:adjustRightInd w:val="0"/>
              <w:snapToGrid w:val="0"/>
              <w:spacing w:line="360" w:lineRule="auto"/>
              <w:ind w:firstLine="480" w:firstLineChars="200"/>
            </w:pPr>
            <w:r>
              <w:rPr>
                <w:sz w:val="24"/>
                <w:szCs w:val="24"/>
              </w:rPr>
              <w:t>本项目矿区面积0.</w:t>
            </w:r>
            <w:r>
              <w:rPr>
                <w:rFonts w:hint="eastAsia"/>
                <w:sz w:val="24"/>
                <w:szCs w:val="24"/>
              </w:rPr>
              <w:t>47</w:t>
            </w:r>
            <w:r>
              <w:rPr>
                <w:sz w:val="24"/>
                <w:szCs w:val="24"/>
              </w:rPr>
              <w:t>平方公里，矿区范围由</w:t>
            </w:r>
            <w:r>
              <w:rPr>
                <w:rFonts w:hint="eastAsia"/>
                <w:sz w:val="24"/>
                <w:szCs w:val="24"/>
              </w:rPr>
              <w:t>4</w:t>
            </w:r>
            <w:r>
              <w:rPr>
                <w:sz w:val="24"/>
                <w:szCs w:val="24"/>
              </w:rPr>
              <w:t>个拐点构成，开采矿种为建筑用辉绿岩</w:t>
            </w:r>
            <w:r>
              <w:rPr>
                <w:rFonts w:hint="eastAsia"/>
                <w:sz w:val="24"/>
                <w:szCs w:val="24"/>
              </w:rPr>
              <w:t>。</w:t>
            </w:r>
          </w:p>
          <w:p>
            <w:pPr>
              <w:widowControl w:val="0"/>
              <w:numPr>
                <w:ilvl w:val="0"/>
                <w:numId w:val="0"/>
              </w:numPr>
              <w:autoSpaceDE w:val="0"/>
              <w:autoSpaceDN w:val="0"/>
              <w:adjustRightInd w:val="0"/>
              <w:snapToGrid w:val="0"/>
              <w:jc w:val="center"/>
              <w:rPr>
                <w:rFonts w:hint="default"/>
                <w:b/>
                <w:bCs/>
                <w:sz w:val="21"/>
                <w:szCs w:val="21"/>
                <w:lang w:val="zh-CN"/>
              </w:rPr>
            </w:pPr>
            <w:r>
              <w:rPr>
                <w:rFonts w:hint="default"/>
                <w:b/>
                <w:bCs/>
                <w:sz w:val="21"/>
                <w:szCs w:val="21"/>
                <w:lang w:val="zh-CN"/>
              </w:rPr>
              <w:t>表</w:t>
            </w:r>
            <w:r>
              <w:rPr>
                <w:rFonts w:hint="eastAsia"/>
                <w:b/>
                <w:bCs/>
                <w:sz w:val="21"/>
                <w:szCs w:val="21"/>
                <w:lang w:val="en-US" w:eastAsia="zh-CN"/>
              </w:rPr>
              <w:t xml:space="preserve">9 </w:t>
            </w:r>
            <w:r>
              <w:rPr>
                <w:rFonts w:hint="default"/>
                <w:b/>
                <w:bCs/>
                <w:sz w:val="21"/>
                <w:szCs w:val="21"/>
                <w:lang w:val="zh-CN"/>
              </w:rPr>
              <w:t>矿区范围拐点坐标</w:t>
            </w:r>
          </w:p>
          <w:tbl>
            <w:tblPr>
              <w:tblStyle w:val="19"/>
              <w:tblW w:w="77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6"/>
              <w:gridCol w:w="2934"/>
              <w:gridCol w:w="3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786" w:type="dxa"/>
                  <w:vMerge w:val="restart"/>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pPr>
                  <w:r>
                    <w:t>拐点序号</w:t>
                  </w:r>
                </w:p>
              </w:tc>
              <w:tc>
                <w:tcPr>
                  <w:tcW w:w="5944" w:type="dxa"/>
                  <w:gridSpan w:val="2"/>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pPr>
                  <w:r>
                    <w:t>西安80坐标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786" w:type="dxa"/>
                  <w:vMerge w:val="continue"/>
                  <w:tcBorders>
                    <w:top w:val="single" w:color="auto" w:sz="12" w:space="0"/>
                    <w:left w:val="single" w:color="auto" w:sz="12" w:space="0"/>
                    <w:bottom w:val="single" w:color="auto" w:sz="6" w:space="0"/>
                    <w:right w:val="single" w:color="auto" w:sz="6" w:space="0"/>
                  </w:tcBorders>
                  <w:vAlign w:val="center"/>
                </w:tcPr>
                <w:p>
                  <w:pPr>
                    <w:keepNext/>
                    <w:keepLines/>
                    <w:widowControl/>
                    <w:spacing w:before="340" w:after="330" w:line="578" w:lineRule="auto"/>
                    <w:jc w:val="left"/>
                    <w:outlineLvl w:val="0"/>
                  </w:pPr>
                </w:p>
              </w:tc>
              <w:tc>
                <w:tcPr>
                  <w:tcW w:w="29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pPr>
                  <w:r>
                    <w:t>X</w:t>
                  </w:r>
                </w:p>
              </w:tc>
              <w:tc>
                <w:tcPr>
                  <w:tcW w:w="30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pPr>
                  <w:r>
                    <w:t>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78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pPr>
                  <w:r>
                    <w:t>1</w:t>
                  </w:r>
                </w:p>
              </w:tc>
              <w:tc>
                <w:tcPr>
                  <w:tcW w:w="29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pPr>
                  <w:r>
                    <w:t>3632261.98</w:t>
                  </w:r>
                </w:p>
              </w:tc>
              <w:tc>
                <w:tcPr>
                  <w:tcW w:w="30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pPr>
                  <w:r>
                    <w:t>36567053.62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78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pPr>
                  <w:r>
                    <w:t>2</w:t>
                  </w:r>
                </w:p>
              </w:tc>
              <w:tc>
                <w:tcPr>
                  <w:tcW w:w="29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pPr>
                  <w:r>
                    <w:t>3635588.93</w:t>
                  </w:r>
                </w:p>
              </w:tc>
              <w:tc>
                <w:tcPr>
                  <w:tcW w:w="30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pPr>
                  <w:r>
                    <w:t>36568002.76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78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pPr>
                  <w:r>
                    <w:t>3</w:t>
                  </w:r>
                </w:p>
              </w:tc>
              <w:tc>
                <w:tcPr>
                  <w:tcW w:w="29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pPr>
                  <w:r>
                    <w:t>3631789.38</w:t>
                  </w:r>
                </w:p>
              </w:tc>
              <w:tc>
                <w:tcPr>
                  <w:tcW w:w="30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pPr>
                  <w:r>
                    <w:t>36568016.95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78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pPr>
                  <w:r>
                    <w:t>4</w:t>
                  </w:r>
                </w:p>
              </w:tc>
              <w:tc>
                <w:tcPr>
                  <w:tcW w:w="29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pPr>
                  <w:r>
                    <w:t>3631762.44</w:t>
                  </w:r>
                </w:p>
              </w:tc>
              <w:tc>
                <w:tcPr>
                  <w:tcW w:w="30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pPr>
                  <w:r>
                    <w:t>36567067.80</w:t>
                  </w:r>
                </w:p>
              </w:tc>
            </w:tr>
          </w:tbl>
          <w:p>
            <w:pPr>
              <w:adjustRightInd w:val="0"/>
              <w:snapToGrid w:val="0"/>
              <w:spacing w:line="360" w:lineRule="auto"/>
              <w:ind w:firstLine="480" w:firstLineChars="200"/>
              <w:jc w:val="left"/>
              <w:rPr>
                <w:sz w:val="24"/>
                <w:szCs w:val="24"/>
              </w:rPr>
            </w:pPr>
            <w:r>
              <w:rPr>
                <w:sz w:val="24"/>
                <w:szCs w:val="24"/>
              </w:rPr>
              <w:t xml:space="preserve">（2）矿区地层岩性与地质构造 </w:t>
            </w:r>
          </w:p>
          <w:p>
            <w:pPr>
              <w:adjustRightInd w:val="0"/>
              <w:snapToGrid w:val="0"/>
              <w:spacing w:line="360" w:lineRule="auto"/>
              <w:ind w:firstLine="480" w:firstLineChars="200"/>
              <w:jc w:val="left"/>
              <w:rPr>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sz w:val="24"/>
                <w:szCs w:val="24"/>
              </w:rPr>
              <w:t>地层</w:t>
            </w:r>
          </w:p>
          <w:p>
            <w:pPr>
              <w:adjustRightInd w:val="0"/>
              <w:snapToGrid w:val="0"/>
              <w:spacing w:line="360" w:lineRule="auto"/>
              <w:ind w:firstLine="480" w:firstLineChars="200"/>
              <w:jc w:val="left"/>
              <w:rPr>
                <w:sz w:val="24"/>
                <w:szCs w:val="24"/>
              </w:rPr>
            </w:pPr>
            <w:r>
              <w:rPr>
                <w:sz w:val="24"/>
                <w:szCs w:val="24"/>
              </w:rPr>
              <w:t>矿区出露地层主要为震旦系和分布于沟谷、宽缓斜坡地带的第四系全新统Q4地层。由新至老简述如下：</w:t>
            </w:r>
          </w:p>
          <w:p>
            <w:pPr>
              <w:pStyle w:val="18"/>
              <w:numPr>
                <w:ilvl w:val="0"/>
                <w:numId w:val="0"/>
              </w:numPr>
              <w:adjustRightInd w:val="0"/>
              <w:snapToGrid w:val="0"/>
              <w:spacing w:line="360" w:lineRule="auto"/>
              <w:ind w:left="200" w:leftChars="0" w:firstLine="240" w:firstLineChars="100"/>
              <w:jc w:val="left"/>
              <w:rPr>
                <w:sz w:val="24"/>
                <w:szCs w:val="24"/>
              </w:rPr>
            </w:pPr>
            <w:r>
              <w:rPr>
                <w:rFonts w:hint="eastAsia"/>
                <w:sz w:val="24"/>
                <w:szCs w:val="24"/>
                <w:lang w:val="en-US" w:eastAsia="zh-CN"/>
              </w:rPr>
              <w:t>1、</w:t>
            </w:r>
            <w:r>
              <w:rPr>
                <w:sz w:val="24"/>
                <w:szCs w:val="24"/>
              </w:rPr>
              <w:t>第四系全新统（Q</w:t>
            </w:r>
            <w:r>
              <w:rPr>
                <w:sz w:val="24"/>
                <w:szCs w:val="24"/>
                <w:vertAlign w:val="subscript"/>
              </w:rPr>
              <w:t>4</w:t>
            </w:r>
            <w:r>
              <w:rPr>
                <w:sz w:val="24"/>
                <w:szCs w:val="24"/>
              </w:rPr>
              <w:t>）</w:t>
            </w:r>
          </w:p>
          <w:p>
            <w:pPr>
              <w:numPr>
                <w:ilvl w:val="0"/>
                <w:numId w:val="0"/>
              </w:numPr>
              <w:adjustRightInd w:val="0"/>
              <w:snapToGrid w:val="0"/>
              <w:spacing w:line="360" w:lineRule="auto"/>
              <w:ind w:left="200" w:leftChars="0"/>
              <w:jc w:val="left"/>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全新统冲洪积（Q</w:t>
            </w:r>
            <w:r>
              <w:rPr>
                <w:sz w:val="24"/>
                <w:szCs w:val="24"/>
                <w:vertAlign w:val="subscript"/>
              </w:rPr>
              <w:t>4</w:t>
            </w:r>
            <w:r>
              <w:rPr>
                <w:sz w:val="24"/>
                <w:szCs w:val="24"/>
                <w:vertAlign w:val="superscript"/>
              </w:rPr>
              <w:t>apl</w:t>
            </w:r>
            <w:r>
              <w:rPr>
                <w:sz w:val="24"/>
                <w:szCs w:val="24"/>
              </w:rPr>
              <w:t>）：该地层颜色主要为灰黄色，结构较松散，主要由各类灰岩、板岩组成，以卵石为主，漂石次之，卵石多程亚圆形，漂石多呈薄片状，厚度约0.4—1.2m，密实程度较松散。主要分布于白鱼河、西沟以及矿区周边沟谷之中。</w:t>
            </w:r>
          </w:p>
          <w:p>
            <w:pPr>
              <w:pStyle w:val="18"/>
              <w:numPr>
                <w:ilvl w:val="0"/>
                <w:numId w:val="0"/>
              </w:numPr>
              <w:adjustRightInd w:val="0"/>
              <w:snapToGrid w:val="0"/>
              <w:spacing w:line="360" w:lineRule="auto"/>
              <w:ind w:left="200" w:leftChars="0"/>
              <w:jc w:val="left"/>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全新统残坡积（Q</w:t>
            </w:r>
            <w:r>
              <w:rPr>
                <w:sz w:val="24"/>
                <w:szCs w:val="24"/>
                <w:vertAlign w:val="subscript"/>
              </w:rPr>
              <w:t>4</w:t>
            </w:r>
            <w:r>
              <w:rPr>
                <w:sz w:val="24"/>
                <w:szCs w:val="24"/>
                <w:vertAlign w:val="superscript"/>
              </w:rPr>
              <w:t>edl</w:t>
            </w:r>
            <w:r>
              <w:rPr>
                <w:sz w:val="24"/>
                <w:szCs w:val="24"/>
              </w:rPr>
              <w:t>）：主要分布于矿区山梁、鞍部、斜坡及其它负地形等宽缓地带。其岩性主要为粉土及碎石土，土体一般松散，厚度1—3米，部分地段可达5米。土层顺坡面堆积，坡度一般大于25°。</w:t>
            </w:r>
          </w:p>
          <w:p>
            <w:pPr>
              <w:numPr>
                <w:ilvl w:val="0"/>
                <w:numId w:val="0"/>
              </w:numPr>
              <w:adjustRightInd w:val="0"/>
              <w:snapToGrid w:val="0"/>
              <w:spacing w:line="360" w:lineRule="auto"/>
              <w:ind w:left="200" w:leftChars="0" w:firstLine="240" w:firstLineChars="100"/>
              <w:jc w:val="left"/>
              <w:rPr>
                <w:sz w:val="24"/>
                <w:szCs w:val="24"/>
              </w:rPr>
            </w:pPr>
            <w:r>
              <w:rPr>
                <w:rFonts w:hint="eastAsia"/>
                <w:sz w:val="24"/>
                <w:szCs w:val="24"/>
                <w:lang w:val="en-US" w:eastAsia="zh-CN"/>
              </w:rPr>
              <w:t>2、</w:t>
            </w:r>
            <w:r>
              <w:rPr>
                <w:sz w:val="24"/>
                <w:szCs w:val="24"/>
              </w:rPr>
              <w:t>震旦系（Z）</w:t>
            </w:r>
          </w:p>
          <w:p>
            <w:pPr>
              <w:pStyle w:val="18"/>
              <w:adjustRightInd w:val="0"/>
              <w:snapToGrid w:val="0"/>
              <w:spacing w:line="360" w:lineRule="auto"/>
              <w:ind w:firstLineChars="0"/>
              <w:jc w:val="left"/>
              <w:rPr>
                <w:sz w:val="24"/>
                <w:szCs w:val="24"/>
              </w:rPr>
            </w:pPr>
            <w:r>
              <w:rPr>
                <w:sz w:val="24"/>
                <w:szCs w:val="24"/>
              </w:rPr>
              <w:t>郧西群（Zayx）：主要岩性为绿灰色娟云石英片岩，娟云绿泥石英片岩、长石石英砂岩。</w:t>
            </w:r>
          </w:p>
          <w:p>
            <w:pPr>
              <w:adjustRightInd w:val="0"/>
              <w:snapToGrid w:val="0"/>
              <w:spacing w:line="360" w:lineRule="auto"/>
              <w:ind w:firstLine="480" w:firstLineChars="200"/>
              <w:jc w:val="left"/>
              <w:rPr>
                <w:sz w:val="24"/>
                <w:szCs w:val="24"/>
              </w:rPr>
            </w:pPr>
            <w:r>
              <w:rPr>
                <w:sz w:val="24"/>
                <w:szCs w:val="24"/>
              </w:rPr>
              <w:t>（二）构造</w:t>
            </w:r>
          </w:p>
          <w:p>
            <w:pPr>
              <w:adjustRightInd w:val="0"/>
              <w:snapToGrid w:val="0"/>
              <w:spacing w:line="360" w:lineRule="auto"/>
              <w:ind w:firstLine="480" w:firstLineChars="200"/>
              <w:jc w:val="left"/>
              <w:rPr>
                <w:sz w:val="24"/>
                <w:szCs w:val="24"/>
              </w:rPr>
            </w:pPr>
            <w:r>
              <w:rPr>
                <w:sz w:val="24"/>
                <w:szCs w:val="24"/>
              </w:rPr>
              <w:t>1</w:t>
            </w:r>
            <w:r>
              <w:rPr>
                <w:rFonts w:hint="eastAsia"/>
                <w:sz w:val="24"/>
                <w:szCs w:val="24"/>
                <w:lang w:eastAsia="zh-CN"/>
              </w:rPr>
              <w:t>、</w:t>
            </w:r>
            <w:r>
              <w:rPr>
                <w:sz w:val="24"/>
                <w:szCs w:val="24"/>
              </w:rPr>
              <w:t>褶皱</w:t>
            </w:r>
          </w:p>
          <w:p>
            <w:pPr>
              <w:adjustRightInd w:val="0"/>
              <w:snapToGrid w:val="0"/>
              <w:spacing w:line="360" w:lineRule="auto"/>
              <w:ind w:firstLine="480" w:firstLineChars="200"/>
              <w:jc w:val="left"/>
              <w:rPr>
                <w:sz w:val="24"/>
                <w:szCs w:val="24"/>
              </w:rPr>
            </w:pPr>
            <w:r>
              <w:rPr>
                <w:sz w:val="24"/>
                <w:szCs w:val="24"/>
              </w:rPr>
              <w:t>工作区整体为一单斜构造，出露震旦下通郧西群地层，走向近东西向，产状混乱。区内主要发育一系列由层间挠曲、摇曳褶曲。</w:t>
            </w:r>
          </w:p>
          <w:p>
            <w:pPr>
              <w:adjustRightInd w:val="0"/>
              <w:snapToGrid w:val="0"/>
              <w:spacing w:line="360" w:lineRule="auto"/>
              <w:ind w:firstLine="480" w:firstLineChars="200"/>
              <w:jc w:val="left"/>
              <w:rPr>
                <w:sz w:val="24"/>
                <w:szCs w:val="24"/>
              </w:rPr>
            </w:pPr>
            <w:r>
              <w:rPr>
                <w:sz w:val="24"/>
                <w:szCs w:val="24"/>
              </w:rPr>
              <w:t>2、断层</w:t>
            </w:r>
          </w:p>
          <w:p>
            <w:pPr>
              <w:adjustRightInd w:val="0"/>
              <w:snapToGrid w:val="0"/>
              <w:spacing w:line="360" w:lineRule="auto"/>
              <w:ind w:firstLine="480" w:firstLineChars="200"/>
              <w:jc w:val="left"/>
              <w:rPr>
                <w:sz w:val="24"/>
                <w:szCs w:val="24"/>
              </w:rPr>
            </w:pPr>
            <w:r>
              <w:rPr>
                <w:sz w:val="24"/>
                <w:szCs w:val="24"/>
              </w:rPr>
              <w:t>矿区断层不发育，构造简单，局部地层褶曲部位发育有小裂隙。</w:t>
            </w:r>
          </w:p>
          <w:p>
            <w:pPr>
              <w:adjustRightInd w:val="0"/>
              <w:snapToGrid w:val="0"/>
              <w:spacing w:line="360" w:lineRule="auto"/>
              <w:ind w:firstLine="480" w:firstLineChars="200"/>
              <w:jc w:val="left"/>
              <w:rPr>
                <w:sz w:val="24"/>
                <w:szCs w:val="24"/>
              </w:rPr>
            </w:pPr>
            <w:r>
              <w:rPr>
                <w:sz w:val="24"/>
                <w:szCs w:val="24"/>
              </w:rPr>
              <w:t>（三）地震</w:t>
            </w:r>
          </w:p>
          <w:p>
            <w:pPr>
              <w:adjustRightInd w:val="0"/>
              <w:snapToGrid w:val="0"/>
              <w:spacing w:line="360" w:lineRule="auto"/>
              <w:ind w:firstLine="480" w:firstLineChars="200"/>
              <w:jc w:val="left"/>
              <w:rPr>
                <w:sz w:val="24"/>
                <w:szCs w:val="24"/>
              </w:rPr>
            </w:pPr>
            <w:r>
              <w:rPr>
                <w:sz w:val="24"/>
                <w:szCs w:val="24"/>
              </w:rPr>
              <w:t>汉滨区地震具有持续活动的特点，但震级一般较低，破坏性不大。矿区属相对稳定的地块，场地稳定性较好。根据国标《建筑抗震设计规范》（GB50011-2010）查知，汉滨区抗震设防裂度为7度，设计基本地震加速度值为0.10g，属设计地震分组第一组。</w:t>
            </w:r>
          </w:p>
          <w:p>
            <w:pPr>
              <w:adjustRightInd w:val="0"/>
              <w:snapToGrid w:val="0"/>
              <w:spacing w:line="360" w:lineRule="auto"/>
              <w:ind w:firstLine="480" w:firstLineChars="200"/>
              <w:jc w:val="left"/>
              <w:rPr>
                <w:sz w:val="24"/>
                <w:szCs w:val="24"/>
              </w:rPr>
            </w:pPr>
            <w:r>
              <w:rPr>
                <w:sz w:val="24"/>
                <w:szCs w:val="24"/>
              </w:rPr>
              <w:t>（四）岩浆岩</w:t>
            </w:r>
          </w:p>
          <w:p>
            <w:pPr>
              <w:adjustRightInd w:val="0"/>
              <w:snapToGrid w:val="0"/>
              <w:spacing w:line="360" w:lineRule="auto"/>
              <w:ind w:firstLine="480" w:firstLineChars="200"/>
              <w:jc w:val="left"/>
              <w:rPr>
                <w:sz w:val="24"/>
                <w:szCs w:val="24"/>
              </w:rPr>
            </w:pPr>
            <w:r>
              <w:rPr>
                <w:sz w:val="24"/>
                <w:szCs w:val="24"/>
              </w:rPr>
              <w:t>区内基性岩脉较发育，主要为辉绿岩、辉长辉绿岩、橄榄辉石辉绿岩，呈透镜状分布于矿区，出露宽度、长度均延展出图外，下盘围岩为绿灰色卷云石英片岩，娟云绿泥石英片岩、长石石英砂岩。</w:t>
            </w:r>
          </w:p>
          <w:p>
            <w:pPr>
              <w:adjustRightInd w:val="0"/>
              <w:snapToGrid w:val="0"/>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（3）开采范围</w:t>
            </w:r>
          </w:p>
          <w:p>
            <w:pPr>
              <w:adjustRightInd w:val="0"/>
              <w:snapToGrid w:val="0"/>
              <w:spacing w:line="360" w:lineRule="auto"/>
              <w:ind w:firstLine="480" w:firstLineChars="200"/>
              <w:jc w:val="left"/>
              <w:rPr>
                <w:rFonts w:hint="default"/>
                <w:lang w:val="en-US" w:eastAsia="zh-CN"/>
              </w:rPr>
            </w:pPr>
            <w:r>
              <w:rPr>
                <w:rFonts w:hint="eastAsia"/>
                <w:sz w:val="24"/>
                <w:szCs w:val="24"/>
                <w:lang w:val="en-US" w:eastAsia="zh-CN"/>
              </w:rPr>
              <w:t>以白鱼河为界将矿区划分为两个开采区，</w:t>
            </w:r>
            <w:r>
              <w:rPr>
                <w:rFonts w:hint="eastAsia"/>
                <w:color w:val="FF0000"/>
                <w:sz w:val="24"/>
                <w:szCs w:val="24"/>
                <w:lang w:val="en-US" w:eastAsia="zh-CN"/>
              </w:rPr>
              <w:t>白鱼河南侧为原开采区，</w:t>
            </w:r>
            <w:r>
              <w:commentReference w:id="0"/>
            </w:r>
            <w:r>
              <w:rPr>
                <w:rFonts w:hint="eastAsia"/>
                <w:sz w:val="24"/>
                <w:szCs w:val="24"/>
                <w:lang w:val="en-US" w:eastAsia="zh-CN"/>
              </w:rPr>
              <w:t>现进行土地复垦，白鱼河北侧矿区未进行开采。</w:t>
            </w:r>
          </w:p>
          <w:p>
            <w:pPr>
              <w:adjustRightInd w:val="0"/>
              <w:snapToGrid w:val="0"/>
              <w:spacing w:line="360" w:lineRule="auto"/>
              <w:ind w:firstLine="482" w:firstLineChars="200"/>
              <w:jc w:val="left"/>
              <w:rPr>
                <w:b/>
                <w:bCs/>
                <w:sz w:val="24"/>
                <w:szCs w:val="24"/>
              </w:rPr>
            </w:pPr>
            <w:r>
              <w:rPr>
                <w:rFonts w:hint="eastAsia"/>
                <w:b/>
                <w:bCs/>
                <w:sz w:val="24"/>
                <w:szCs w:val="24"/>
                <w:lang w:val="en-US" w:eastAsia="zh-CN"/>
              </w:rPr>
              <w:t>6</w:t>
            </w:r>
            <w:r>
              <w:rPr>
                <w:b/>
                <w:bCs/>
                <w:sz w:val="24"/>
                <w:szCs w:val="24"/>
              </w:rPr>
              <w:t>、总平面布置</w:t>
            </w:r>
          </w:p>
          <w:p>
            <w:pPr>
              <w:adjustRightInd w:val="0"/>
              <w:snapToGrid w:val="0"/>
              <w:spacing w:line="360" w:lineRule="auto"/>
              <w:ind w:firstLine="564" w:firstLineChars="235"/>
              <w:jc w:val="left"/>
              <w:rPr>
                <w:sz w:val="24"/>
                <w:szCs w:val="24"/>
              </w:rPr>
            </w:pPr>
            <w:r>
              <w:rPr>
                <w:sz w:val="24"/>
                <w:szCs w:val="24"/>
              </w:rPr>
              <w:t>根据矿区矿体分布等情况，本项目主要由露天开采区、石料加工区、排土场及办公生活区组成。平面布置图详见附图</w:t>
            </w:r>
            <w:r>
              <w:rPr>
                <w:rFonts w:hint="eastAsia"/>
                <w:sz w:val="24"/>
                <w:szCs w:val="24"/>
              </w:rPr>
              <w:t>。</w:t>
            </w:r>
          </w:p>
          <w:p>
            <w:pPr>
              <w:adjustRightInd w:val="0"/>
              <w:snapToGrid w:val="0"/>
              <w:spacing w:line="360" w:lineRule="auto"/>
              <w:ind w:firstLine="564" w:firstLineChars="235"/>
              <w:jc w:val="left"/>
              <w:rPr>
                <w:sz w:val="24"/>
                <w:szCs w:val="24"/>
              </w:rPr>
            </w:pPr>
            <w:r>
              <w:rPr>
                <w:sz w:val="24"/>
                <w:szCs w:val="24"/>
              </w:rPr>
              <w:t>（1）露天开采区</w:t>
            </w:r>
          </w:p>
          <w:p>
            <w:pPr>
              <w:adjustRightInd w:val="0"/>
              <w:snapToGrid w:val="0"/>
              <w:spacing w:line="360" w:lineRule="auto"/>
              <w:ind w:firstLine="564" w:firstLineChars="235"/>
              <w:jc w:val="left"/>
              <w:rPr>
                <w:sz w:val="24"/>
                <w:szCs w:val="24"/>
              </w:rPr>
            </w:pPr>
            <w:r>
              <w:rPr>
                <w:sz w:val="24"/>
                <w:szCs w:val="24"/>
              </w:rPr>
              <w:t>本工程采用露天开采法，</w:t>
            </w:r>
            <w:r>
              <w:rPr>
                <w:color w:val="FF0000"/>
                <w:sz w:val="24"/>
                <w:szCs w:val="24"/>
              </w:rPr>
              <w:t>位于矿区</w:t>
            </w:r>
            <w:r>
              <w:rPr>
                <w:rFonts w:hint="eastAsia"/>
                <w:color w:val="FF0000"/>
                <w:sz w:val="24"/>
                <w:szCs w:val="24"/>
                <w:lang w:val="en-US" w:eastAsia="zh-CN"/>
              </w:rPr>
              <w:t>北</w:t>
            </w:r>
            <w:r>
              <w:rPr>
                <w:color w:val="FF0000"/>
                <w:sz w:val="24"/>
                <w:szCs w:val="24"/>
              </w:rPr>
              <w:t>侧</w:t>
            </w:r>
            <w:r>
              <w:rPr>
                <w:sz w:val="24"/>
                <w:szCs w:val="24"/>
              </w:rPr>
              <w:t>，矿区内运输道路采用直进式道路进入各个装载作业平台。</w:t>
            </w:r>
          </w:p>
          <w:p>
            <w:pPr>
              <w:adjustRightInd w:val="0"/>
              <w:snapToGrid w:val="0"/>
              <w:spacing w:line="360" w:lineRule="auto"/>
              <w:ind w:firstLine="564" w:firstLineChars="235"/>
              <w:jc w:val="left"/>
              <w:rPr>
                <w:sz w:val="24"/>
                <w:szCs w:val="24"/>
              </w:rPr>
            </w:pPr>
            <w:r>
              <w:rPr>
                <w:sz w:val="24"/>
                <w:szCs w:val="24"/>
              </w:rPr>
              <w:t>（2）工业场地</w:t>
            </w:r>
          </w:p>
          <w:p>
            <w:pPr>
              <w:adjustRightInd w:val="0"/>
              <w:snapToGrid w:val="0"/>
              <w:spacing w:line="360" w:lineRule="auto"/>
              <w:ind w:firstLine="564" w:firstLineChars="235"/>
              <w:jc w:val="left"/>
              <w:rPr>
                <w:sz w:val="24"/>
                <w:szCs w:val="24"/>
              </w:rPr>
            </w:pPr>
            <w:r>
              <w:rPr>
                <w:sz w:val="24"/>
                <w:szCs w:val="24"/>
              </w:rPr>
              <w:t>工业场地位于矿区的南部，距开采境界约50m，主要包括办公室、材料库、石料加工厂房等。矿区不设炸药库和油库。材料库、值班室、配电：材料库、配电室均位于采场东。石料加工厂房位于采区南侧，主要用于爆破原矿石的破碎加工，配备有喂料机、破碎机、筛分机等。</w:t>
            </w:r>
          </w:p>
          <w:p>
            <w:pPr>
              <w:adjustRightInd w:val="0"/>
              <w:snapToGrid w:val="0"/>
              <w:spacing w:line="360" w:lineRule="auto"/>
              <w:ind w:firstLine="564" w:firstLineChars="235"/>
              <w:jc w:val="left"/>
              <w:rPr>
                <w:sz w:val="24"/>
                <w:szCs w:val="24"/>
              </w:rPr>
            </w:pPr>
            <w:r>
              <w:rPr>
                <w:sz w:val="24"/>
                <w:szCs w:val="24"/>
              </w:rPr>
              <w:t>（3）排土场</w:t>
            </w:r>
          </w:p>
          <w:p>
            <w:pPr>
              <w:adjustRightInd w:val="0"/>
              <w:snapToGrid w:val="0"/>
              <w:spacing w:line="360" w:lineRule="auto"/>
              <w:ind w:firstLine="564" w:firstLineChars="235"/>
              <w:jc w:val="left"/>
              <w:rPr>
                <w:sz w:val="24"/>
                <w:szCs w:val="24"/>
              </w:rPr>
            </w:pPr>
            <w:r>
              <w:rPr>
                <w:sz w:val="24"/>
                <w:szCs w:val="24"/>
              </w:rPr>
              <w:t>矿区矿体无夹层，地表局部有表土层，故在开采中有少量表土存在，用于采场覆土绿化。根据该矿山开发利用方案初步估计，该项目</w:t>
            </w:r>
            <w:r>
              <w:rPr>
                <w:rFonts w:hint="eastAsia"/>
                <w:sz w:val="24"/>
                <w:szCs w:val="24"/>
              </w:rPr>
              <w:t>年</w:t>
            </w:r>
            <w:r>
              <w:rPr>
                <w:sz w:val="24"/>
                <w:szCs w:val="24"/>
              </w:rPr>
              <w:t>排废量为</w:t>
            </w:r>
            <w:r>
              <w:rPr>
                <w:rFonts w:hint="eastAsia"/>
                <w:sz w:val="24"/>
                <w:szCs w:val="24"/>
              </w:rPr>
              <w:t>76500</w:t>
            </w:r>
            <w:r>
              <w:rPr>
                <w:sz w:val="24"/>
                <w:szCs w:val="24"/>
              </w:rPr>
              <w:t>m³。排土场设置在矿区东南侧无名沟内，距开采境界约150m，仅设一个堆置平台，为1000m</w:t>
            </w:r>
            <w:r>
              <w:rPr>
                <w:sz w:val="24"/>
                <w:szCs w:val="24"/>
                <w:vertAlign w:val="superscript"/>
              </w:rPr>
              <w:t>2</w:t>
            </w:r>
            <w:r>
              <w:rPr>
                <w:sz w:val="24"/>
                <w:szCs w:val="24"/>
              </w:rPr>
              <w:t>堆置平台，库容</w:t>
            </w:r>
            <w:r>
              <w:rPr>
                <w:rFonts w:hint="eastAsia"/>
                <w:sz w:val="24"/>
                <w:szCs w:val="24"/>
              </w:rPr>
              <w:t>14.18万</w:t>
            </w:r>
            <w:r>
              <w:rPr>
                <w:sz w:val="24"/>
                <w:szCs w:val="24"/>
              </w:rPr>
              <w:t>m³。排土场下部经扇形展开，堆积边坡角30°，下部设置拦渣坝拦挡，上部通过截排水沟将排土场水进行引流。</w:t>
            </w:r>
          </w:p>
          <w:p>
            <w:pPr>
              <w:adjustRightInd w:val="0"/>
              <w:snapToGrid w:val="0"/>
              <w:spacing w:line="360" w:lineRule="auto"/>
              <w:ind w:firstLine="564" w:firstLineChars="235"/>
              <w:jc w:val="left"/>
              <w:rPr>
                <w:sz w:val="24"/>
                <w:szCs w:val="24"/>
              </w:rPr>
            </w:pPr>
            <w:r>
              <w:rPr>
                <w:sz w:val="24"/>
                <w:szCs w:val="24"/>
              </w:rPr>
              <w:t>环评要求：企业委托具有相应资质单位按照《有色金属矿山排土场设计规范》GB50421-2007对排土场做专门的设计，要求在排土场沟道下游设置专门的拦渣坝，在排土场平台上修筑截排水沟等安全设置，防治泥石流、滑坡等事故的发生。</w:t>
            </w:r>
          </w:p>
          <w:p>
            <w:pPr>
              <w:adjustRightInd w:val="0"/>
              <w:snapToGrid w:val="0"/>
              <w:spacing w:line="360" w:lineRule="auto"/>
              <w:ind w:firstLine="564" w:firstLineChars="235"/>
              <w:jc w:val="left"/>
              <w:rPr>
                <w:sz w:val="24"/>
                <w:szCs w:val="24"/>
              </w:rPr>
            </w:pPr>
            <w:r>
              <w:rPr>
                <w:sz w:val="24"/>
                <w:szCs w:val="24"/>
              </w:rPr>
              <w:t>（4）办公、生活区</w:t>
            </w:r>
          </w:p>
          <w:p>
            <w:pPr>
              <w:adjustRightInd w:val="0"/>
              <w:snapToGrid w:val="0"/>
              <w:spacing w:line="360" w:lineRule="auto"/>
              <w:ind w:firstLine="564" w:firstLineChars="235"/>
              <w:jc w:val="left"/>
              <w:rPr>
                <w:sz w:val="24"/>
                <w:szCs w:val="24"/>
              </w:rPr>
            </w:pPr>
            <w:r>
              <w:rPr>
                <w:sz w:val="24"/>
                <w:szCs w:val="24"/>
              </w:rPr>
              <w:t>办公区位于开采境界西南侧200m，主要为办公用房和食堂等。</w:t>
            </w:r>
          </w:p>
          <w:p>
            <w:pPr>
              <w:adjustRightInd w:val="0"/>
              <w:snapToGrid w:val="0"/>
              <w:spacing w:line="360" w:lineRule="auto"/>
              <w:ind w:firstLine="200"/>
              <w:jc w:val="left"/>
              <w:rPr>
                <w:b/>
                <w:bCs/>
                <w:sz w:val="24"/>
                <w:szCs w:val="24"/>
              </w:rPr>
            </w:pPr>
            <w:r>
              <w:rPr>
                <w:rFonts w:hint="eastAsia"/>
                <w:b/>
                <w:bCs/>
                <w:sz w:val="24"/>
                <w:szCs w:val="24"/>
                <w:lang w:val="en-US" w:eastAsia="zh-CN"/>
              </w:rPr>
              <w:t>7</w:t>
            </w:r>
            <w:r>
              <w:rPr>
                <w:b/>
                <w:bCs/>
                <w:sz w:val="24"/>
                <w:szCs w:val="24"/>
              </w:rPr>
              <w:t>、公用工程</w:t>
            </w:r>
          </w:p>
          <w:p>
            <w:pPr>
              <w:adjustRightInd w:val="0"/>
              <w:snapToGrid w:val="0"/>
              <w:spacing w:line="360" w:lineRule="auto"/>
              <w:ind w:firstLine="200"/>
              <w:jc w:val="left"/>
              <w:rPr>
                <w:color w:val="FF0000"/>
                <w:sz w:val="24"/>
                <w:szCs w:val="24"/>
              </w:rPr>
            </w:pPr>
            <w:r>
              <w:rPr>
                <w:sz w:val="24"/>
                <w:szCs w:val="24"/>
              </w:rPr>
              <w:t>（1）供电</w:t>
            </w:r>
          </w:p>
          <w:p>
            <w:pPr>
              <w:adjustRightInd w:val="0"/>
              <w:snapToGrid w:val="0"/>
              <w:spacing w:line="360" w:lineRule="auto"/>
              <w:ind w:firstLine="564" w:firstLineChars="235"/>
              <w:jc w:val="left"/>
              <w:rPr>
                <w:sz w:val="24"/>
                <w:szCs w:val="24"/>
              </w:rPr>
            </w:pPr>
            <w:r>
              <w:rPr>
                <w:sz w:val="24"/>
                <w:szCs w:val="24"/>
              </w:rPr>
              <w:t>电源引自城市电网，通过高压架空线引至矿区，为矿山供电，其电力负荷可满足矿山开采用电需要，矿山年耗电量为6×10</w:t>
            </w:r>
            <w:r>
              <w:rPr>
                <w:sz w:val="24"/>
                <w:szCs w:val="24"/>
                <w:vertAlign w:val="superscript"/>
              </w:rPr>
              <w:t>4</w:t>
            </w:r>
            <w:r>
              <w:rPr>
                <w:sz w:val="24"/>
                <w:szCs w:val="24"/>
              </w:rPr>
              <w:t>kWh。</w:t>
            </w:r>
          </w:p>
          <w:p>
            <w:pPr>
              <w:adjustRightInd w:val="0"/>
              <w:snapToGrid w:val="0"/>
              <w:spacing w:line="360" w:lineRule="auto"/>
              <w:ind w:firstLine="200"/>
              <w:jc w:val="left"/>
              <w:rPr>
                <w:sz w:val="24"/>
                <w:szCs w:val="24"/>
              </w:rPr>
            </w:pPr>
            <w:r>
              <w:rPr>
                <w:sz w:val="24"/>
                <w:szCs w:val="24"/>
              </w:rPr>
              <w:t>（2）给水</w:t>
            </w:r>
          </w:p>
          <w:p>
            <w:pPr>
              <w:adjustRightInd w:val="0"/>
              <w:snapToGrid w:val="0"/>
              <w:spacing w:line="360" w:lineRule="auto"/>
              <w:ind w:firstLine="564" w:firstLineChars="235"/>
              <w:jc w:val="left"/>
              <w:rPr>
                <w:rFonts w:hint="default" w:ascii="Times New Roman" w:hAnsi="Times New Roman" w:cs="Times New Roman"/>
                <w:sz w:val="24"/>
                <w:szCs w:val="24"/>
              </w:rPr>
            </w:pPr>
            <w:r>
              <w:rPr>
                <w:rFonts w:hint="default"/>
                <w:sz w:val="24"/>
                <w:szCs w:val="24"/>
                <w:lang w:val="en-US" w:eastAsia="zh-CN"/>
              </w:rPr>
              <w:t>项目用水类型为生活用水、洗砂用水</w:t>
            </w:r>
            <w:r>
              <w:rPr>
                <w:rFonts w:hint="eastAsia"/>
                <w:sz w:val="24"/>
                <w:szCs w:val="24"/>
                <w:lang w:val="en-US" w:eastAsia="zh-CN"/>
              </w:rPr>
              <w:t>、厂区抑尘</w:t>
            </w:r>
            <w:r>
              <w:rPr>
                <w:rFonts w:hint="default"/>
                <w:sz w:val="24"/>
                <w:szCs w:val="24"/>
                <w:lang w:val="en-US" w:eastAsia="zh-CN"/>
              </w:rPr>
              <w:t>及车辆冲洗用水，</w:t>
            </w:r>
            <w:r>
              <w:rPr>
                <w:rFonts w:hint="eastAsia"/>
                <w:sz w:val="24"/>
                <w:szCs w:val="24"/>
                <w:lang w:val="en-US" w:eastAsia="zh-CN"/>
              </w:rPr>
              <w:t>生产用水</w:t>
            </w:r>
            <w:r>
              <w:rPr>
                <w:rFonts w:hint="default" w:ascii="Times New Roman" w:hAnsi="Times New Roman" w:cs="Times New Roman"/>
                <w:sz w:val="24"/>
                <w:szCs w:val="24"/>
                <w:lang w:val="en-US" w:eastAsia="zh-CN"/>
              </w:rPr>
              <w:t>来自白鱼河，生活用水依托奎星村管网。</w:t>
            </w:r>
          </w:p>
          <w:p>
            <w:pPr>
              <w:adjustRightInd w:val="0"/>
              <w:snapToGrid w:val="0"/>
              <w:spacing w:line="360" w:lineRule="auto"/>
              <w:ind w:firstLine="564" w:firstLineChars="235"/>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①生活用水：项目共有工作人员15人，全年工作300天，根据陕西省地方标准《行业用水定额》（DB61/T 943-20</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），生活用水量按</w:t>
            </w:r>
            <w:r>
              <w:rPr>
                <w:rFonts w:hint="default" w:ascii="Times New Roman" w:hAnsi="Times New Roman" w:cs="Times New Roman"/>
                <w:sz w:val="24"/>
                <w:szCs w:val="24"/>
                <w:lang w:val="en-US" w:eastAsia="zh-CN"/>
              </w:rPr>
              <w:t>80</w:t>
            </w:r>
            <w:r>
              <w:rPr>
                <w:rFonts w:hint="default" w:ascii="Times New Roman" w:hAnsi="Times New Roman" w:cs="Times New Roman"/>
                <w:sz w:val="24"/>
                <w:szCs w:val="24"/>
              </w:rPr>
              <w:t>L/人·d计，项目员工生活用水量为</w:t>
            </w: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w:t>
            </w:r>
            <w:r>
              <w:rPr>
                <w:rFonts w:hint="default" w:ascii="Times New Roman" w:hAnsi="Times New Roman" w:cs="Times New Roman"/>
                <w:sz w:val="24"/>
                <w:szCs w:val="24"/>
                <w:lang w:val="en-US" w:eastAsia="zh-CN"/>
              </w:rPr>
              <w:t>360</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w:t>
            </w:r>
            <w:r>
              <w:rPr>
                <w:rFonts w:hint="default" w:ascii="Times New Roman" w:hAnsi="Times New Roman" w:cs="Times New Roman"/>
                <w:sz w:val="24"/>
                <w:szCs w:val="24"/>
                <w:lang w:eastAsia="zh-CN"/>
              </w:rPr>
              <w:t>。</w:t>
            </w:r>
          </w:p>
          <w:p>
            <w:pPr>
              <w:adjustRightInd w:val="0"/>
              <w:snapToGrid w:val="0"/>
              <w:spacing w:line="360" w:lineRule="auto"/>
              <w:ind w:firstLine="564" w:firstLineChars="235"/>
              <w:jc w:val="left"/>
              <w:rPr>
                <w:rFonts w:hint="eastAsia" w:cs="Times New Roman"/>
                <w:spacing w:val="-1"/>
                <w:kern w:val="0"/>
                <w:sz w:val="24"/>
                <w:szCs w:val="22"/>
                <w:lang w:val="en-US" w:eastAsia="zh-CN"/>
              </w:rPr>
            </w:pPr>
            <w:r>
              <w:rPr>
                <w:rFonts w:hint="default" w:ascii="Times New Roman" w:hAnsi="Times New Roman" w:cs="Times New Roman"/>
                <w:sz w:val="24"/>
                <w:szCs w:val="24"/>
              </w:rPr>
              <w:t>②车辆</w:t>
            </w:r>
            <w:r>
              <w:rPr>
                <w:rFonts w:hint="default" w:ascii="Times New Roman" w:hAnsi="Times New Roman" w:cs="Times New Roman"/>
                <w:sz w:val="24"/>
                <w:szCs w:val="24"/>
                <w:lang w:val="en-US" w:eastAsia="zh-CN"/>
              </w:rPr>
              <w:t>冲</w:t>
            </w:r>
            <w:r>
              <w:rPr>
                <w:rFonts w:hint="default" w:ascii="Times New Roman" w:hAnsi="Times New Roman" w:cs="Times New Roman"/>
                <w:sz w:val="24"/>
                <w:szCs w:val="24"/>
              </w:rPr>
              <w:t>洗用水：</w:t>
            </w:r>
            <w:r>
              <w:rPr>
                <w:rFonts w:hint="eastAsia" w:ascii="Times New Roman" w:hAnsi="Times New Roman" w:eastAsia="宋体" w:cs="Times New Roman"/>
                <w:spacing w:val="-1"/>
                <w:kern w:val="0"/>
                <w:sz w:val="24"/>
                <w:szCs w:val="22"/>
                <w:lang w:val="en-US" w:eastAsia="zh-CN"/>
              </w:rPr>
              <w:t>为防止外出车辆将粉尘带出厂区污染沿线环境，建设单位配备洗车设备和洗车</w:t>
            </w:r>
            <w:r>
              <w:rPr>
                <w:rFonts w:hint="eastAsia" w:cs="Times New Roman"/>
                <w:spacing w:val="-1"/>
                <w:kern w:val="0"/>
                <w:sz w:val="24"/>
                <w:szCs w:val="22"/>
                <w:lang w:val="en-US" w:eastAsia="zh-CN"/>
              </w:rPr>
              <w:t>污水</w:t>
            </w:r>
            <w:r>
              <w:rPr>
                <w:rFonts w:hint="eastAsia" w:ascii="Times New Roman" w:hAnsi="Times New Roman" w:eastAsia="宋体" w:cs="Times New Roman"/>
                <w:spacing w:val="-1"/>
                <w:kern w:val="0"/>
                <w:sz w:val="24"/>
                <w:szCs w:val="22"/>
                <w:lang w:val="en-US" w:eastAsia="zh-CN"/>
              </w:rPr>
              <w:t>沉淀池，对外出运输车辆轮胎及车身进行清洗，减少运输扬尘产生。根据《陕西省行业用水定额》(DB61/T943-2020</w:t>
            </w:r>
            <w:r>
              <w:rPr>
                <w:rFonts w:hint="eastAsia" w:cs="Times New Roman"/>
                <w:spacing w:val="-1"/>
                <w:kern w:val="0"/>
                <w:sz w:val="24"/>
                <w:szCs w:val="22"/>
                <w:lang w:val="en-US" w:eastAsia="zh-CN"/>
              </w:rPr>
              <w:t>）</w:t>
            </w:r>
            <w:r>
              <w:rPr>
                <w:rFonts w:hint="eastAsia" w:ascii="Times New Roman" w:hAnsi="Times New Roman" w:eastAsia="宋体" w:cs="Times New Roman"/>
                <w:spacing w:val="-1"/>
                <w:kern w:val="0"/>
                <w:sz w:val="24"/>
                <w:szCs w:val="22"/>
                <w:lang w:val="en-US" w:eastAsia="zh-CN"/>
              </w:rPr>
              <w:t>中汽车冲洗用水定额，循环用水冲洗用水定额为55L/辆次，本项目每天车辆进出次数约为</w:t>
            </w:r>
            <w:r>
              <w:rPr>
                <w:rFonts w:hint="eastAsia" w:cs="Times New Roman"/>
                <w:spacing w:val="-1"/>
                <w:kern w:val="0"/>
                <w:sz w:val="24"/>
                <w:szCs w:val="22"/>
                <w:lang w:val="en-US" w:eastAsia="zh-CN"/>
              </w:rPr>
              <w:t>5</w:t>
            </w:r>
            <w:r>
              <w:rPr>
                <w:rFonts w:hint="eastAsia" w:ascii="Times New Roman" w:hAnsi="Times New Roman" w:eastAsia="宋体" w:cs="Times New Roman"/>
                <w:spacing w:val="-1"/>
                <w:kern w:val="0"/>
                <w:sz w:val="24"/>
                <w:szCs w:val="22"/>
                <w:lang w:val="en-US" w:eastAsia="zh-CN"/>
              </w:rPr>
              <w:t>0次，经计算车辆冲洗用水量为</w:t>
            </w:r>
            <w:r>
              <w:rPr>
                <w:rFonts w:hint="eastAsia" w:cs="Times New Roman"/>
                <w:spacing w:val="-1"/>
                <w:kern w:val="0"/>
                <w:sz w:val="24"/>
                <w:szCs w:val="22"/>
                <w:lang w:val="en-US" w:eastAsia="zh-CN"/>
              </w:rPr>
              <w:t>2.75</w:t>
            </w:r>
            <w:r>
              <w:rPr>
                <w:rFonts w:hint="eastAsia" w:ascii="Times New Roman" w:hAnsi="Times New Roman" w:eastAsia="宋体" w:cs="Times New Roman"/>
                <w:spacing w:val="-1"/>
                <w:kern w:val="0"/>
                <w:sz w:val="24"/>
                <w:szCs w:val="22"/>
                <w:lang w:val="en-US" w:eastAsia="zh-CN"/>
              </w:rPr>
              <w:t>m</w:t>
            </w:r>
            <w:r>
              <w:rPr>
                <w:rFonts w:hint="eastAsia" w:ascii="Times New Roman" w:hAnsi="Times New Roman" w:eastAsia="宋体" w:cs="Times New Roman"/>
                <w:spacing w:val="-1"/>
                <w:kern w:val="0"/>
                <w:sz w:val="24"/>
                <w:szCs w:val="22"/>
                <w:vertAlign w:val="superscript"/>
                <w:lang w:val="en-US" w:eastAsia="zh-CN"/>
              </w:rPr>
              <w:t>3</w:t>
            </w:r>
            <w:r>
              <w:rPr>
                <w:rFonts w:hint="eastAsia" w:ascii="Times New Roman" w:hAnsi="Times New Roman" w:eastAsia="宋体" w:cs="Times New Roman"/>
                <w:spacing w:val="-1"/>
                <w:kern w:val="0"/>
                <w:sz w:val="24"/>
                <w:szCs w:val="22"/>
                <w:lang w:val="en-US" w:eastAsia="zh-CN"/>
              </w:rPr>
              <w:t>/d。车辆冲洗水在循环使用过程中会有一定量的损耗，本项目取30%</w:t>
            </w:r>
            <w:r>
              <w:rPr>
                <w:rFonts w:hint="eastAsia" w:ascii="Times New Roman" w:hAnsi="Times New Roman" w:cs="Times New Roman"/>
                <w:spacing w:val="-1"/>
                <w:kern w:val="0"/>
                <w:sz w:val="24"/>
                <w:szCs w:val="22"/>
                <w:lang w:val="en-US" w:eastAsia="zh-CN"/>
              </w:rPr>
              <w:t>，</w:t>
            </w:r>
            <w:r>
              <w:rPr>
                <w:rFonts w:hint="eastAsia" w:ascii="Times New Roman" w:hAnsi="Times New Roman" w:eastAsia="宋体" w:cs="Times New Roman"/>
                <w:spacing w:val="-1"/>
                <w:kern w:val="0"/>
                <w:sz w:val="24"/>
                <w:szCs w:val="22"/>
                <w:lang w:val="en-US" w:eastAsia="zh-CN"/>
              </w:rPr>
              <w:t>则需补充水量为0.</w:t>
            </w:r>
            <w:r>
              <w:rPr>
                <w:rFonts w:hint="eastAsia" w:cs="Times New Roman"/>
                <w:spacing w:val="-1"/>
                <w:kern w:val="0"/>
                <w:sz w:val="24"/>
                <w:szCs w:val="22"/>
                <w:lang w:val="en-US" w:eastAsia="zh-CN"/>
              </w:rPr>
              <w:t>825</w:t>
            </w:r>
            <w:r>
              <w:rPr>
                <w:rFonts w:hint="eastAsia" w:ascii="Times New Roman" w:hAnsi="Times New Roman" w:eastAsia="宋体" w:cs="Times New Roman"/>
                <w:spacing w:val="-1"/>
                <w:kern w:val="0"/>
                <w:sz w:val="24"/>
                <w:szCs w:val="22"/>
                <w:lang w:val="en-US" w:eastAsia="zh-CN"/>
              </w:rPr>
              <w:t>m</w:t>
            </w:r>
            <w:r>
              <w:rPr>
                <w:rFonts w:hint="eastAsia" w:ascii="Times New Roman" w:hAnsi="Times New Roman" w:eastAsia="宋体" w:cs="Times New Roman"/>
                <w:spacing w:val="-1"/>
                <w:kern w:val="0"/>
                <w:sz w:val="24"/>
                <w:szCs w:val="22"/>
                <w:vertAlign w:val="superscript"/>
                <w:lang w:val="en-US" w:eastAsia="zh-CN"/>
              </w:rPr>
              <w:t>3</w:t>
            </w:r>
            <w:r>
              <w:rPr>
                <w:rFonts w:hint="eastAsia" w:ascii="Times New Roman" w:hAnsi="Times New Roman" w:eastAsia="宋体" w:cs="Times New Roman"/>
                <w:spacing w:val="-1"/>
                <w:kern w:val="0"/>
                <w:sz w:val="24"/>
                <w:szCs w:val="22"/>
                <w:lang w:val="en-US" w:eastAsia="zh-CN"/>
              </w:rPr>
              <w:t>/d</w:t>
            </w:r>
            <w:r>
              <w:rPr>
                <w:rFonts w:hint="eastAsia" w:ascii="Times New Roman" w:hAnsi="Times New Roman" w:cs="Times New Roman"/>
                <w:spacing w:val="-1"/>
                <w:kern w:val="0"/>
                <w:sz w:val="24"/>
                <w:szCs w:val="22"/>
                <w:lang w:val="en-US" w:eastAsia="zh-CN"/>
              </w:rPr>
              <w:t>，</w:t>
            </w:r>
            <w:r>
              <w:rPr>
                <w:rFonts w:hint="eastAsia" w:ascii="Times New Roman" w:hAnsi="Times New Roman" w:eastAsia="宋体" w:cs="Times New Roman"/>
                <w:spacing w:val="-1"/>
                <w:kern w:val="0"/>
                <w:sz w:val="24"/>
                <w:szCs w:val="22"/>
                <w:lang w:val="en-US" w:eastAsia="zh-CN"/>
              </w:rPr>
              <w:t>2</w:t>
            </w:r>
            <w:r>
              <w:rPr>
                <w:rFonts w:hint="eastAsia" w:cs="Times New Roman"/>
                <w:spacing w:val="-1"/>
                <w:kern w:val="0"/>
                <w:sz w:val="24"/>
                <w:szCs w:val="22"/>
                <w:lang w:val="en-US" w:eastAsia="zh-CN"/>
              </w:rPr>
              <w:t>47.5</w:t>
            </w:r>
            <w:r>
              <w:rPr>
                <w:rFonts w:hint="eastAsia" w:ascii="Times New Roman" w:hAnsi="Times New Roman" w:eastAsia="宋体" w:cs="Times New Roman"/>
                <w:spacing w:val="-1"/>
                <w:kern w:val="0"/>
                <w:sz w:val="24"/>
                <w:szCs w:val="22"/>
                <w:lang w:val="en-US" w:eastAsia="zh-CN"/>
              </w:rPr>
              <w:t>m</w:t>
            </w:r>
            <w:r>
              <w:rPr>
                <w:rFonts w:hint="eastAsia" w:ascii="Times New Roman" w:hAnsi="Times New Roman" w:eastAsia="宋体" w:cs="Times New Roman"/>
                <w:spacing w:val="-1"/>
                <w:kern w:val="0"/>
                <w:sz w:val="24"/>
                <w:szCs w:val="22"/>
                <w:vertAlign w:val="superscript"/>
                <w:lang w:val="en-US" w:eastAsia="zh-CN"/>
              </w:rPr>
              <w:t>3</w:t>
            </w:r>
            <w:r>
              <w:rPr>
                <w:rFonts w:hint="eastAsia" w:ascii="Times New Roman" w:hAnsi="Times New Roman" w:eastAsia="宋体" w:cs="Times New Roman"/>
                <w:spacing w:val="-1"/>
                <w:kern w:val="0"/>
                <w:sz w:val="24"/>
                <w:szCs w:val="22"/>
                <w:lang w:val="en-US" w:eastAsia="zh-CN"/>
              </w:rPr>
              <w:t>/a</w:t>
            </w:r>
            <w:r>
              <w:rPr>
                <w:rFonts w:hint="eastAsia" w:ascii="Times New Roman" w:hAnsi="Times New Roman" w:cs="Times New Roman"/>
                <w:spacing w:val="-1"/>
                <w:kern w:val="0"/>
                <w:sz w:val="24"/>
                <w:szCs w:val="22"/>
                <w:lang w:val="en-US" w:eastAsia="zh-CN"/>
              </w:rPr>
              <w:t>。</w:t>
            </w:r>
            <w:r>
              <w:rPr>
                <w:rFonts w:hint="eastAsia" w:cs="Times New Roman"/>
                <w:spacing w:val="-1"/>
                <w:kern w:val="0"/>
                <w:sz w:val="24"/>
                <w:szCs w:val="22"/>
                <w:lang w:val="en-US" w:eastAsia="zh-CN"/>
              </w:rPr>
              <w:t xml:space="preserve">  </w:t>
            </w:r>
          </w:p>
          <w:p>
            <w:pPr>
              <w:adjustRightInd w:val="0"/>
              <w:snapToGrid w:val="0"/>
              <w:spacing w:line="360" w:lineRule="auto"/>
              <w:ind w:firstLine="480" w:firstLineChars="200"/>
              <w:jc w:val="left"/>
              <w:rPr>
                <w:sz w:val="24"/>
                <w:szCs w:val="24"/>
              </w:rPr>
            </w:pPr>
            <w:r>
              <w:rPr>
                <w:sz w:val="24"/>
                <w:szCs w:val="24"/>
              </w:rPr>
              <w:t>③厂区抑尘用水：本项目厂区抑尘用水按2L/m</w:t>
            </w:r>
            <w:r>
              <w:rPr>
                <w:sz w:val="24"/>
                <w:szCs w:val="24"/>
                <w:vertAlign w:val="superscript"/>
              </w:rPr>
              <w:t>2</w:t>
            </w:r>
            <w:r>
              <w:rPr>
                <w:sz w:val="24"/>
                <w:szCs w:val="24"/>
              </w:rPr>
              <w:t>·d计，厂区建筑及道路周边面积约为8500m</w:t>
            </w:r>
            <w:r>
              <w:rPr>
                <w:sz w:val="24"/>
                <w:szCs w:val="24"/>
                <w:vertAlign w:val="superscript"/>
              </w:rPr>
              <w:t>2</w:t>
            </w:r>
            <w:r>
              <w:rPr>
                <w:sz w:val="24"/>
                <w:szCs w:val="24"/>
              </w:rPr>
              <w:t>，则抑尘用水为17m³/d，5100m³/a；厂区洒水抑尘用水部分由道路旁排水沟排入沉淀池，经三级沉砂池沉淀后，再次回用于厂区抑尘，回用水量按80%计，回用的水量为13.6m</w:t>
            </w:r>
            <w:r>
              <w:rPr>
                <w:sz w:val="24"/>
                <w:szCs w:val="24"/>
                <w:vertAlign w:val="superscript"/>
              </w:rPr>
              <w:t>3</w:t>
            </w:r>
            <w:r>
              <w:rPr>
                <w:sz w:val="24"/>
                <w:szCs w:val="24"/>
              </w:rPr>
              <w:t>/d，所以项目新鲜用水量为3.4m</w:t>
            </w:r>
            <w:r>
              <w:rPr>
                <w:sz w:val="24"/>
                <w:szCs w:val="24"/>
                <w:vertAlign w:val="superscript"/>
              </w:rPr>
              <w:t>3</w:t>
            </w:r>
            <w:r>
              <w:rPr>
                <w:sz w:val="24"/>
                <w:szCs w:val="24"/>
              </w:rPr>
              <w:t>/d。</w:t>
            </w:r>
          </w:p>
          <w:p>
            <w:pPr>
              <w:adjustRightInd w:val="0"/>
              <w:snapToGrid w:val="0"/>
              <w:spacing w:line="360" w:lineRule="auto"/>
              <w:ind w:firstLine="564" w:firstLineChars="235"/>
              <w:jc w:val="left"/>
              <w:rPr>
                <w:rFonts w:hint="eastAsia" w:ascii="Times New Roman" w:hAnsi="Times New Roman" w:eastAsia="宋体" w:cs="Times New Roman"/>
                <w:spacing w:val="-1"/>
                <w:kern w:val="0"/>
                <w:sz w:val="24"/>
                <w:szCs w:val="22"/>
                <w:lang w:val="en-US" w:eastAsia="zh-CN"/>
              </w:rPr>
            </w:pPr>
            <w:r>
              <w:rPr>
                <w:color w:val="auto"/>
                <w:sz w:val="24"/>
                <w:szCs w:val="24"/>
              </w:rPr>
              <w:t>④洗砂用水</w:t>
            </w:r>
            <w:r>
              <w:rPr>
                <w:rFonts w:hint="eastAsia"/>
                <w:color w:val="auto"/>
                <w:sz w:val="24"/>
                <w:szCs w:val="24"/>
                <w:lang w:eastAsia="zh-CN"/>
              </w:rPr>
              <w:t>：</w:t>
            </w:r>
            <w:r>
              <w:rPr>
                <w:rFonts w:hint="eastAsia" w:ascii="Times New Roman" w:hAnsi="Times New Roman" w:eastAsia="宋体" w:cs="Times New Roman"/>
                <w:color w:val="auto"/>
                <w:spacing w:val="-1"/>
                <w:kern w:val="0"/>
                <w:sz w:val="24"/>
                <w:szCs w:val="22"/>
                <w:lang w:val="en-US" w:eastAsia="zh-CN" w:bidi="zh-CN"/>
              </w:rPr>
              <w:t>根据生态环境部2021年6月发布的《排放源统计调查产排污核算方法和系数手册》（公告2021年第24号）中303砖瓦、石材等建筑材料制造行业系数手册，“3039其他建筑材料制造行业”产污系数，砂石骨料</w:t>
            </w:r>
            <w:r>
              <w:rPr>
                <w:rFonts w:hint="eastAsia" w:ascii="Times New Roman" w:hAnsi="Times New Roman" w:cs="Times New Roman"/>
                <w:color w:val="auto"/>
                <w:spacing w:val="-1"/>
                <w:kern w:val="0"/>
                <w:sz w:val="24"/>
                <w:szCs w:val="22"/>
                <w:lang w:val="en-US" w:eastAsia="zh-CN" w:bidi="zh-CN"/>
              </w:rPr>
              <w:t>废水</w:t>
            </w:r>
            <w:r>
              <w:rPr>
                <w:rFonts w:hint="eastAsia" w:ascii="Times New Roman" w:hAnsi="Times New Roman" w:eastAsia="宋体" w:cs="Times New Roman"/>
                <w:color w:val="auto"/>
                <w:spacing w:val="-1"/>
                <w:kern w:val="0"/>
                <w:sz w:val="24"/>
                <w:szCs w:val="22"/>
                <w:lang w:val="en-US" w:eastAsia="zh-CN" w:bidi="zh-CN"/>
              </w:rPr>
              <w:t>产</w:t>
            </w:r>
            <w:r>
              <w:rPr>
                <w:rFonts w:hint="eastAsia" w:ascii="Times New Roman" w:hAnsi="Times New Roman" w:cs="Times New Roman"/>
                <w:color w:val="auto"/>
                <w:spacing w:val="-1"/>
                <w:kern w:val="0"/>
                <w:sz w:val="24"/>
                <w:szCs w:val="22"/>
                <w:lang w:val="en-US" w:eastAsia="zh-CN" w:bidi="zh-CN"/>
              </w:rPr>
              <w:t>污</w:t>
            </w:r>
            <w:r>
              <w:rPr>
                <w:rFonts w:hint="eastAsia" w:ascii="Times New Roman" w:hAnsi="Times New Roman" w:eastAsia="宋体" w:cs="Times New Roman"/>
                <w:color w:val="auto"/>
                <w:spacing w:val="-1"/>
                <w:kern w:val="0"/>
                <w:sz w:val="24"/>
                <w:szCs w:val="22"/>
                <w:lang w:val="en-US" w:eastAsia="zh-CN" w:bidi="zh-CN"/>
              </w:rPr>
              <w:t>系数为</w:t>
            </w:r>
            <w:r>
              <w:rPr>
                <w:rFonts w:hint="eastAsia" w:ascii="Times New Roman" w:hAnsi="Times New Roman" w:cs="Times New Roman"/>
                <w:color w:val="auto"/>
                <w:spacing w:val="-1"/>
                <w:kern w:val="0"/>
                <w:sz w:val="24"/>
                <w:szCs w:val="22"/>
                <w:lang w:val="en-US" w:eastAsia="zh-CN" w:bidi="zh-CN"/>
              </w:rPr>
              <w:t>0.14t</w:t>
            </w:r>
            <w:r>
              <w:rPr>
                <w:rFonts w:hint="eastAsia" w:ascii="Times New Roman" w:hAnsi="Times New Roman" w:eastAsia="宋体" w:cs="Times New Roman"/>
                <w:color w:val="auto"/>
                <w:spacing w:val="-1"/>
                <w:kern w:val="0"/>
                <w:sz w:val="24"/>
                <w:szCs w:val="22"/>
                <w:lang w:val="en-US" w:eastAsia="zh-CN" w:bidi="zh-CN"/>
              </w:rPr>
              <w:t>/t-产品</w:t>
            </w:r>
            <w:r>
              <w:rPr>
                <w:rFonts w:hint="eastAsia"/>
                <w:color w:val="auto"/>
                <w:sz w:val="24"/>
                <w:szCs w:val="24"/>
                <w:lang w:eastAsia="zh-CN"/>
              </w:rPr>
              <w:t>，</w:t>
            </w:r>
            <w:r>
              <w:rPr>
                <w:rFonts w:hint="eastAsia"/>
                <w:color w:val="auto"/>
                <w:sz w:val="24"/>
                <w:szCs w:val="24"/>
                <w:lang w:val="en-US" w:eastAsia="zh-CN"/>
              </w:rPr>
              <w:t>机制砂为6万吨，则</w:t>
            </w:r>
            <w:r>
              <w:rPr>
                <w:color w:val="auto"/>
                <w:sz w:val="24"/>
                <w:szCs w:val="24"/>
              </w:rPr>
              <w:t>洗砂用水量为</w:t>
            </w:r>
            <w:r>
              <w:rPr>
                <w:rFonts w:hint="eastAsia"/>
                <w:color w:val="auto"/>
                <w:sz w:val="24"/>
                <w:szCs w:val="24"/>
              </w:rPr>
              <w:t>2</w:t>
            </w:r>
            <w:r>
              <w:rPr>
                <w:rFonts w:hint="eastAsia"/>
                <w:color w:val="auto"/>
                <w:sz w:val="24"/>
                <w:szCs w:val="24"/>
                <w:lang w:val="en-US" w:eastAsia="zh-CN"/>
              </w:rPr>
              <w:t>8</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eastAsia="zh-CN"/>
              </w:rPr>
              <w:t>（</w:t>
            </w:r>
            <w:r>
              <w:rPr>
                <w:rFonts w:hint="eastAsia"/>
                <w:color w:val="auto"/>
                <w:sz w:val="24"/>
                <w:szCs w:val="24"/>
                <w:lang w:val="en-US" w:eastAsia="zh-CN"/>
              </w:rPr>
              <w:t>8400m</w:t>
            </w:r>
            <w:r>
              <w:rPr>
                <w:rFonts w:hint="eastAsia"/>
                <w:color w:val="auto"/>
                <w:sz w:val="24"/>
                <w:szCs w:val="24"/>
                <w:vertAlign w:val="superscript"/>
                <w:lang w:val="en-US" w:eastAsia="zh-CN"/>
              </w:rPr>
              <w:t>3</w:t>
            </w:r>
            <w:r>
              <w:rPr>
                <w:rFonts w:hint="eastAsia"/>
                <w:color w:val="auto"/>
                <w:sz w:val="24"/>
                <w:szCs w:val="24"/>
                <w:lang w:val="en-US" w:eastAsia="zh-CN"/>
              </w:rPr>
              <w:t>/a</w:t>
            </w:r>
            <w:r>
              <w:rPr>
                <w:rFonts w:hint="eastAsia"/>
                <w:color w:val="auto"/>
                <w:sz w:val="24"/>
                <w:szCs w:val="24"/>
                <w:lang w:eastAsia="zh-CN"/>
              </w:rPr>
              <w:t>）</w:t>
            </w:r>
            <w:r>
              <w:rPr>
                <w:color w:val="auto"/>
                <w:sz w:val="24"/>
                <w:szCs w:val="24"/>
              </w:rPr>
              <w:t>，回用水量按</w:t>
            </w:r>
            <w:r>
              <w:rPr>
                <w:rFonts w:hint="eastAsia"/>
                <w:color w:val="auto"/>
                <w:sz w:val="24"/>
                <w:szCs w:val="24"/>
                <w:lang w:val="en-US" w:eastAsia="zh-CN"/>
              </w:rPr>
              <w:t>9</w:t>
            </w:r>
            <w:r>
              <w:rPr>
                <w:color w:val="auto"/>
                <w:sz w:val="24"/>
                <w:szCs w:val="24"/>
              </w:rPr>
              <w:t>0%计，回用的水量为</w:t>
            </w:r>
            <w:r>
              <w:rPr>
                <w:rFonts w:hint="eastAsia"/>
                <w:color w:val="auto"/>
                <w:sz w:val="24"/>
                <w:szCs w:val="24"/>
                <w:lang w:val="en-US" w:eastAsia="zh-CN"/>
              </w:rPr>
              <w:t>25.2</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val="en-US" w:eastAsia="zh-CN"/>
              </w:rPr>
              <w:t>冲洗砂用水损耗量为15%，</w:t>
            </w:r>
            <w:r>
              <w:rPr>
                <w:rFonts w:hint="eastAsia" w:ascii="Times New Roman" w:hAnsi="Times New Roman" w:eastAsia="宋体" w:cs="Times New Roman"/>
                <w:spacing w:val="-1"/>
                <w:kern w:val="0"/>
                <w:sz w:val="24"/>
                <w:szCs w:val="22"/>
                <w:lang w:val="en-US" w:eastAsia="zh-CN"/>
              </w:rPr>
              <w:t>损耗的水量为4.2m</w:t>
            </w:r>
            <w:r>
              <w:rPr>
                <w:rFonts w:hint="eastAsia" w:ascii="Times New Roman" w:hAnsi="Times New Roman" w:eastAsia="宋体" w:cs="Times New Roman"/>
                <w:spacing w:val="-1"/>
                <w:kern w:val="0"/>
                <w:sz w:val="24"/>
                <w:szCs w:val="22"/>
                <w:vertAlign w:val="superscript"/>
                <w:lang w:val="en-US" w:eastAsia="zh-CN"/>
              </w:rPr>
              <w:t>3</w:t>
            </w:r>
            <w:r>
              <w:rPr>
                <w:rFonts w:hint="eastAsia" w:ascii="Times New Roman" w:hAnsi="Times New Roman" w:eastAsia="宋体" w:cs="Times New Roman"/>
                <w:spacing w:val="-1"/>
                <w:kern w:val="0"/>
                <w:sz w:val="24"/>
                <w:szCs w:val="22"/>
                <w:lang w:val="en-US" w:eastAsia="zh-CN"/>
              </w:rPr>
              <w:t>/d，所以项目新鲜用水量为57.4m</w:t>
            </w:r>
            <w:r>
              <w:rPr>
                <w:rFonts w:hint="eastAsia" w:ascii="Times New Roman" w:hAnsi="Times New Roman" w:eastAsia="宋体" w:cs="Times New Roman"/>
                <w:spacing w:val="-1"/>
                <w:kern w:val="0"/>
                <w:sz w:val="24"/>
                <w:szCs w:val="22"/>
                <w:vertAlign w:val="superscript"/>
                <w:lang w:val="en-US" w:eastAsia="zh-CN"/>
              </w:rPr>
              <w:t>3</w:t>
            </w:r>
            <w:r>
              <w:rPr>
                <w:rFonts w:hint="eastAsia" w:ascii="Times New Roman" w:hAnsi="Times New Roman" w:eastAsia="宋体" w:cs="Times New Roman"/>
                <w:spacing w:val="-1"/>
                <w:kern w:val="0"/>
                <w:sz w:val="24"/>
                <w:szCs w:val="22"/>
                <w:lang w:val="en-US" w:eastAsia="zh-CN"/>
              </w:rPr>
              <w:t>/d。</w:t>
            </w:r>
          </w:p>
          <w:p>
            <w:pPr>
              <w:adjustRightInd w:val="0"/>
              <w:snapToGrid w:val="0"/>
              <w:spacing w:line="360" w:lineRule="auto"/>
              <w:ind w:firstLine="559" w:firstLineChars="235"/>
              <w:jc w:val="left"/>
              <w:rPr>
                <w:rFonts w:hint="default" w:ascii="Times New Roman" w:hAnsi="Times New Roman" w:eastAsia="宋体" w:cs="Times New Roman"/>
                <w:spacing w:val="-1"/>
                <w:kern w:val="0"/>
                <w:sz w:val="24"/>
                <w:szCs w:val="22"/>
                <w:lang w:val="en-US" w:eastAsia="zh-CN"/>
              </w:rPr>
            </w:pPr>
            <w:r>
              <w:rPr>
                <w:rFonts w:hint="eastAsia" w:ascii="Times New Roman" w:hAnsi="Times New Roman" w:eastAsia="宋体" w:cs="Times New Roman"/>
                <w:spacing w:val="-1"/>
                <w:kern w:val="0"/>
                <w:sz w:val="24"/>
                <w:szCs w:val="22"/>
                <w:lang w:val="en-US" w:eastAsia="zh-CN"/>
              </w:rPr>
              <w:t>综上，项目总用水量为62.825m</w:t>
            </w:r>
            <w:r>
              <w:rPr>
                <w:rFonts w:hint="eastAsia" w:ascii="Times New Roman" w:hAnsi="Times New Roman" w:eastAsia="宋体" w:cs="Times New Roman"/>
                <w:spacing w:val="-1"/>
                <w:kern w:val="0"/>
                <w:sz w:val="24"/>
                <w:szCs w:val="22"/>
                <w:vertAlign w:val="superscript"/>
                <w:lang w:val="en-US" w:eastAsia="zh-CN"/>
              </w:rPr>
              <w:t>3</w:t>
            </w:r>
            <w:r>
              <w:rPr>
                <w:rFonts w:hint="eastAsia" w:ascii="Times New Roman" w:hAnsi="Times New Roman" w:eastAsia="宋体" w:cs="Times New Roman"/>
                <w:spacing w:val="-1"/>
                <w:kern w:val="0"/>
                <w:sz w:val="24"/>
                <w:szCs w:val="22"/>
                <w:lang w:val="en-US" w:eastAsia="zh-CN"/>
              </w:rPr>
              <w:t>/d，18847.5m</w:t>
            </w:r>
            <w:r>
              <w:rPr>
                <w:rFonts w:hint="eastAsia" w:ascii="Times New Roman" w:hAnsi="Times New Roman" w:eastAsia="宋体" w:cs="Times New Roman"/>
                <w:spacing w:val="-1"/>
                <w:kern w:val="0"/>
                <w:sz w:val="24"/>
                <w:szCs w:val="22"/>
                <w:vertAlign w:val="superscript"/>
                <w:lang w:val="en-US" w:eastAsia="zh-CN"/>
              </w:rPr>
              <w:t>3</w:t>
            </w:r>
            <w:r>
              <w:rPr>
                <w:rFonts w:hint="eastAsia" w:ascii="Times New Roman" w:hAnsi="Times New Roman" w:eastAsia="宋体" w:cs="Times New Roman"/>
                <w:spacing w:val="-1"/>
                <w:kern w:val="0"/>
                <w:sz w:val="24"/>
                <w:szCs w:val="22"/>
                <w:lang w:val="en-US" w:eastAsia="zh-CN"/>
              </w:rPr>
              <w:t>/a。项目用水平衡图见图。</w:t>
            </w:r>
          </w:p>
          <w:p>
            <w:pPr>
              <w:adjustRightInd w:val="0"/>
              <w:snapToGrid w:val="0"/>
              <w:spacing w:line="360" w:lineRule="auto"/>
              <w:jc w:val="left"/>
              <w:rPr>
                <w:rFonts w:hint="eastAsia" w:ascii="Times New Roman" w:hAnsi="Times New Roman" w:eastAsia="宋体" w:cs="Times New Roman"/>
                <w:spacing w:val="-1"/>
                <w:kern w:val="0"/>
                <w:sz w:val="24"/>
                <w:szCs w:val="22"/>
                <w:lang w:val="en-US" w:eastAsia="zh-CN"/>
              </w:rPr>
            </w:pPr>
            <w:r>
              <w:rPr>
                <w:rFonts w:hint="eastAsia" w:ascii="Times New Roman" w:hAnsi="Times New Roman" w:eastAsia="宋体" w:cs="Times New Roman"/>
                <w:spacing w:val="-1"/>
                <w:kern w:val="0"/>
                <w:sz w:val="24"/>
                <w:szCs w:val="22"/>
                <w:lang w:val="en-US" w:eastAsia="zh-CN"/>
              </w:rPr>
              <w:t>（3）排水</w:t>
            </w:r>
          </w:p>
          <w:p>
            <w:pPr>
              <w:adjustRightInd w:val="0"/>
              <w:snapToGrid w:val="0"/>
              <w:spacing w:line="360" w:lineRule="auto"/>
              <w:ind w:firstLine="559" w:firstLineChars="235"/>
              <w:jc w:val="left"/>
              <w:rPr>
                <w:rFonts w:hint="eastAsia" w:ascii="Times New Roman" w:hAnsi="Times New Roman" w:eastAsia="宋体" w:cs="Times New Roman"/>
                <w:spacing w:val="-1"/>
                <w:kern w:val="0"/>
                <w:sz w:val="24"/>
                <w:szCs w:val="22"/>
                <w:lang w:val="en-US" w:eastAsia="zh-CN"/>
              </w:rPr>
            </w:pPr>
            <w:r>
              <w:rPr>
                <w:rFonts w:hint="eastAsia" w:ascii="Times New Roman" w:hAnsi="Times New Roman" w:eastAsia="宋体" w:cs="Times New Roman"/>
                <w:spacing w:val="-1"/>
                <w:kern w:val="0"/>
                <w:sz w:val="24"/>
                <w:szCs w:val="22"/>
                <w:lang w:val="en-US" w:eastAsia="zh-CN"/>
              </w:rPr>
              <w:t>①雨水：本矿山露天开采境界全部为山坡露天型，地形条件有利于自然排水。结合矿区的水文地质条件，方案确定矿山排水方式以自然排泄为主。在各清扫</w:t>
            </w:r>
            <w:r>
              <w:rPr>
                <w:rFonts w:hint="default" w:ascii="Times New Roman" w:hAnsi="Times New Roman" w:eastAsia="宋体" w:cs="Times New Roman"/>
                <w:spacing w:val="-1"/>
                <w:kern w:val="0"/>
                <w:sz w:val="24"/>
                <w:szCs w:val="22"/>
                <w:lang w:val="en-US" w:eastAsia="zh-CN"/>
              </w:rPr>
              <w:t>平台上设置截排水沟，工作平台上只设置临时截排水沟，加强露天采场排水，水沟坡度3‰。采</w:t>
            </w:r>
            <w:r>
              <w:rPr>
                <w:rFonts w:hint="eastAsia" w:ascii="Times New Roman" w:hAnsi="Times New Roman" w:eastAsia="宋体" w:cs="Times New Roman"/>
                <w:spacing w:val="-1"/>
                <w:kern w:val="0"/>
                <w:sz w:val="24"/>
                <w:szCs w:val="22"/>
                <w:lang w:val="en-US" w:eastAsia="zh-CN"/>
              </w:rPr>
              <w:t>场保持一定的自然坡度，使露天境界内的水能够自流排出。</w:t>
            </w:r>
          </w:p>
          <w:p>
            <w:pPr>
              <w:adjustRightInd w:val="0"/>
              <w:snapToGrid w:val="0"/>
              <w:spacing w:line="360" w:lineRule="auto"/>
              <w:ind w:firstLine="480" w:firstLineChars="200"/>
              <w:jc w:val="left"/>
              <w:rPr>
                <w:sz w:val="24"/>
                <w:szCs w:val="24"/>
              </w:rPr>
            </w:pPr>
            <w:r>
              <w:rPr>
                <w:sz w:val="24"/>
                <w:szCs w:val="24"/>
              </w:rPr>
              <w:t>工业场地周边、采场、运输道路设有截水沟，防止工业场地内积水、雨水冲刷路面而造成公路边坡坍塌等灾害。</w:t>
            </w:r>
          </w:p>
          <w:p>
            <w:pPr>
              <w:spacing w:line="360" w:lineRule="auto"/>
              <w:ind w:firstLine="564" w:firstLineChars="235"/>
              <w:jc w:val="left"/>
              <w:rPr>
                <w:sz w:val="24"/>
                <w:szCs w:val="24"/>
              </w:rPr>
            </w:pPr>
            <w:r>
              <w:rPr>
                <w:sz w:val="24"/>
                <w:szCs w:val="24"/>
              </w:rPr>
              <w:t>②生产、生活排水</w:t>
            </w:r>
          </w:p>
          <w:p>
            <w:pPr>
              <w:adjustRightInd w:val="0"/>
              <w:snapToGrid w:val="0"/>
              <w:spacing w:line="360" w:lineRule="auto"/>
              <w:ind w:firstLine="480" w:firstLineChars="200"/>
              <w:jc w:val="left"/>
              <w:rPr>
                <w:rFonts w:hint="default"/>
                <w:b/>
                <w:bCs/>
                <w:sz w:val="21"/>
                <w:szCs w:val="21"/>
                <w:lang w:val="zh-CN"/>
              </w:rPr>
            </w:pPr>
            <w:r>
              <w:rPr>
                <w:sz w:val="24"/>
                <w:szCs w:val="24"/>
              </w:rPr>
              <w:t>项目生活废水经化粪池处理后定期清掏，</w:t>
            </w:r>
            <w:r>
              <w:rPr>
                <w:rFonts w:hint="eastAsia"/>
                <w:sz w:val="24"/>
                <w:szCs w:val="24"/>
                <w:lang w:val="en-US" w:eastAsia="zh-CN"/>
              </w:rPr>
              <w:t>用于周边施肥，</w:t>
            </w:r>
            <w:r>
              <w:rPr>
                <w:sz w:val="24"/>
                <w:szCs w:val="24"/>
              </w:rPr>
              <w:t>生活废水不外排；</w:t>
            </w:r>
            <w:r>
              <w:rPr>
                <w:rFonts w:hint="eastAsia"/>
                <w:sz w:val="24"/>
                <w:szCs w:val="24"/>
                <w:lang w:val="en-US" w:eastAsia="zh-CN"/>
              </w:rPr>
              <w:t>车间抑尘废水、</w:t>
            </w:r>
            <w:r>
              <w:rPr>
                <w:sz w:val="24"/>
                <w:szCs w:val="24"/>
              </w:rPr>
              <w:t>车辆清洗水和厂区抑尘废水均采用沉砂池处理暂存后回用，不外排。洗砂废水经过沉砂后回用于该过程，不外排。本项目废水不外排。</w:t>
            </w:r>
          </w:p>
          <w:p>
            <w:pPr>
              <w:widowControl w:val="0"/>
              <w:numPr>
                <w:ilvl w:val="0"/>
                <w:numId w:val="0"/>
              </w:numPr>
              <w:autoSpaceDE w:val="0"/>
              <w:autoSpaceDN w:val="0"/>
              <w:adjustRightInd w:val="0"/>
              <w:snapToGrid w:val="0"/>
              <w:jc w:val="center"/>
              <w:rPr>
                <w:rFonts w:hint="default"/>
                <w:b/>
                <w:bCs/>
                <w:sz w:val="21"/>
                <w:szCs w:val="21"/>
                <w:lang w:val="zh-CN"/>
              </w:rPr>
            </w:pPr>
            <w:r>
              <w:rPr>
                <w:rFonts w:hint="default"/>
                <w:b/>
                <w:bCs/>
                <w:sz w:val="21"/>
                <w:szCs w:val="21"/>
                <w:lang w:val="zh-CN"/>
              </w:rPr>
              <w:t>表</w:t>
            </w:r>
            <w:r>
              <w:rPr>
                <w:rFonts w:hint="eastAsia"/>
                <w:b/>
                <w:bCs/>
                <w:sz w:val="21"/>
                <w:szCs w:val="21"/>
                <w:lang w:val="zh-CN"/>
              </w:rPr>
              <w:t>1</w:t>
            </w:r>
            <w:r>
              <w:rPr>
                <w:rFonts w:hint="eastAsia"/>
                <w:b/>
                <w:bCs/>
                <w:sz w:val="21"/>
                <w:szCs w:val="21"/>
                <w:lang w:val="en-US" w:eastAsia="zh-CN"/>
              </w:rPr>
              <w:t xml:space="preserve">0 </w:t>
            </w:r>
            <w:r>
              <w:rPr>
                <w:rFonts w:hint="default"/>
                <w:b/>
                <w:bCs/>
                <w:sz w:val="21"/>
                <w:szCs w:val="21"/>
                <w:lang w:val="zh-CN"/>
              </w:rPr>
              <w:t>项目用排水量一览表</w:t>
            </w:r>
          </w:p>
          <w:tbl>
            <w:tblPr>
              <w:tblStyle w:val="19"/>
              <w:tblW w:w="7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686"/>
              <w:gridCol w:w="1740"/>
              <w:gridCol w:w="1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2137" w:type="dxa"/>
                  <w:tcBorders>
                    <w:top w:val="single" w:color="auto" w:sz="12" w:space="0"/>
                    <w:left w:val="single" w:color="auto" w:sz="12"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类型</w:t>
                  </w:r>
                </w:p>
              </w:tc>
              <w:tc>
                <w:tcPr>
                  <w:tcW w:w="1686" w:type="dxa"/>
                  <w:tcBorders>
                    <w:top w:val="single" w:color="auto" w:sz="12"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用水标准</w:t>
                  </w:r>
                </w:p>
              </w:tc>
              <w:tc>
                <w:tcPr>
                  <w:tcW w:w="1740" w:type="dxa"/>
                  <w:tcBorders>
                    <w:top w:val="single" w:color="auto" w:sz="12"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最大日用水量</w:t>
                  </w:r>
                </w:p>
              </w:tc>
              <w:tc>
                <w:tcPr>
                  <w:tcW w:w="1608" w:type="dxa"/>
                  <w:tcBorders>
                    <w:top w:val="single" w:color="auto" w:sz="12" w:space="0"/>
                    <w:left w:val="single" w:color="auto" w:sz="4" w:space="0"/>
                    <w:bottom w:val="single" w:color="auto" w:sz="4" w:space="0"/>
                    <w:right w:val="single" w:color="auto" w:sz="12"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最大日排水量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137" w:type="dxa"/>
                  <w:tcBorders>
                    <w:top w:val="single" w:color="auto" w:sz="4" w:space="0"/>
                    <w:left w:val="single" w:color="auto" w:sz="12"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办公生活用水</w:t>
                  </w:r>
                </w:p>
              </w:tc>
              <w:tc>
                <w:tcPr>
                  <w:tcW w:w="168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80</w:t>
                  </w:r>
                  <w:r>
                    <w:rPr>
                      <w:rFonts w:eastAsiaTheme="minorEastAsia"/>
                      <w:color w:val="000000" w:themeColor="text1"/>
                      <w:kern w:val="0"/>
                      <w:szCs w:val="21"/>
                      <w14:textFill>
                        <w14:solidFill>
                          <w14:schemeClr w14:val="tx1"/>
                        </w14:solidFill>
                      </w14:textFill>
                    </w:rPr>
                    <w:t>L/</w:t>
                  </w:r>
                  <w:r>
                    <w:rPr>
                      <w:rFonts w:hAnsiTheme="minorEastAsia" w:eastAsiaTheme="minorEastAsia"/>
                      <w:color w:val="000000" w:themeColor="text1"/>
                      <w:kern w:val="0"/>
                      <w:szCs w:val="21"/>
                      <w14:textFill>
                        <w14:solidFill>
                          <w14:schemeClr w14:val="tx1"/>
                        </w14:solidFill>
                      </w14:textFill>
                    </w:rPr>
                    <w:t>人</w:t>
                  </w:r>
                  <w:r>
                    <w:rPr>
                      <w:rFonts w:eastAsiaTheme="minorEastAsia"/>
                      <w:color w:val="000000" w:themeColor="text1"/>
                      <w:kern w:val="0"/>
                      <w:szCs w:val="21"/>
                      <w14:textFill>
                        <w14:solidFill>
                          <w14:schemeClr w14:val="tx1"/>
                        </w14:solidFill>
                      </w14:textFill>
                    </w:rPr>
                    <w:t>·d</w:t>
                  </w:r>
                </w:p>
              </w:tc>
              <w:tc>
                <w:tcPr>
                  <w:tcW w:w="17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auto"/>
                      <w:kern w:val="0"/>
                      <w:szCs w:val="21"/>
                    </w:rPr>
                  </w:pPr>
                  <w:r>
                    <w:rPr>
                      <w:rFonts w:hint="eastAsia" w:eastAsiaTheme="minorEastAsia"/>
                      <w:color w:val="auto"/>
                      <w:kern w:val="0"/>
                      <w:szCs w:val="21"/>
                      <w:lang w:val="en-US" w:eastAsia="zh-CN"/>
                    </w:rPr>
                    <w:t>1.2</w:t>
                  </w:r>
                  <w:r>
                    <w:rPr>
                      <w:rFonts w:eastAsiaTheme="minorEastAsia"/>
                      <w:color w:val="auto"/>
                      <w:kern w:val="0"/>
                      <w:szCs w:val="21"/>
                    </w:rPr>
                    <w:t>m³/d</w:t>
                  </w:r>
                </w:p>
              </w:tc>
              <w:tc>
                <w:tcPr>
                  <w:tcW w:w="1608" w:type="dxa"/>
                  <w:tcBorders>
                    <w:top w:val="single" w:color="auto" w:sz="4" w:space="0"/>
                    <w:left w:val="single" w:color="auto" w:sz="4" w:space="0"/>
                    <w:bottom w:val="single" w:color="auto" w:sz="4" w:space="0"/>
                    <w:right w:val="single" w:color="auto" w:sz="12" w:space="0"/>
                  </w:tcBorders>
                  <w:vAlign w:val="center"/>
                </w:tcPr>
                <w:p>
                  <w:pPr>
                    <w:spacing w:before="100" w:beforeAutospacing="1" w:after="100" w:afterAutospacing="1"/>
                    <w:jc w:val="center"/>
                    <w:rPr>
                      <w:rFonts w:hint="default"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0.</w:t>
                  </w:r>
                  <w:r>
                    <w:rPr>
                      <w:rFonts w:hint="eastAsia" w:eastAsiaTheme="minorEastAsia"/>
                      <w:color w:val="000000" w:themeColor="text1"/>
                      <w:kern w:val="0"/>
                      <w:szCs w:val="21"/>
                      <w:lang w:val="en-US" w:eastAsia="zh-CN"/>
                      <w14:textFill>
                        <w14:solidFill>
                          <w14:schemeClr w14:val="tx1"/>
                        </w14:solidFill>
                      </w14:textFill>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137" w:type="dxa"/>
                  <w:tcBorders>
                    <w:top w:val="single" w:color="auto" w:sz="4" w:space="0"/>
                    <w:left w:val="single" w:color="auto" w:sz="12"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24"/>
                      <w:szCs w:val="21"/>
                      <w14:textFill>
                        <w14:solidFill>
                          <w14:schemeClr w14:val="tx1"/>
                        </w14:solidFill>
                      </w14:textFill>
                    </w:rPr>
                    <w:t>厂区抑尘</w:t>
                  </w:r>
                  <w:r>
                    <w:rPr>
                      <w:rFonts w:hAnsiTheme="minorEastAsia" w:eastAsiaTheme="minorEastAsia"/>
                      <w:color w:val="000000" w:themeColor="text1"/>
                      <w:kern w:val="0"/>
                      <w:szCs w:val="21"/>
                      <w14:textFill>
                        <w14:solidFill>
                          <w14:schemeClr w14:val="tx1"/>
                        </w14:solidFill>
                      </w14:textFill>
                    </w:rPr>
                    <w:t>用水</w:t>
                  </w:r>
                </w:p>
              </w:tc>
              <w:tc>
                <w:tcPr>
                  <w:tcW w:w="168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2L/ m</w:t>
                  </w:r>
                  <w:r>
                    <w:rPr>
                      <w:rFonts w:eastAsiaTheme="minorEastAsia"/>
                      <w:color w:val="000000" w:themeColor="text1"/>
                      <w:kern w:val="0"/>
                      <w:szCs w:val="21"/>
                      <w:vertAlign w:val="superscript"/>
                      <w14:textFill>
                        <w14:solidFill>
                          <w14:schemeClr w14:val="tx1"/>
                        </w14:solidFill>
                      </w14:textFill>
                    </w:rPr>
                    <w:t>2</w:t>
                  </w:r>
                  <w:r>
                    <w:rPr>
                      <w:rFonts w:eastAsiaTheme="minorEastAsia"/>
                      <w:color w:val="000000" w:themeColor="text1"/>
                      <w:kern w:val="0"/>
                      <w:szCs w:val="21"/>
                      <w14:textFill>
                        <w14:solidFill>
                          <w14:schemeClr w14:val="tx1"/>
                        </w14:solidFill>
                      </w14:textFill>
                    </w:rPr>
                    <w:t>·d</w:t>
                  </w:r>
                </w:p>
              </w:tc>
              <w:tc>
                <w:tcPr>
                  <w:tcW w:w="17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auto"/>
                      <w:kern w:val="0"/>
                      <w:szCs w:val="21"/>
                    </w:rPr>
                  </w:pPr>
                  <w:r>
                    <w:rPr>
                      <w:rFonts w:eastAsiaTheme="minorEastAsia"/>
                      <w:color w:val="auto"/>
                      <w:kern w:val="0"/>
                      <w:szCs w:val="21"/>
                    </w:rPr>
                    <w:t>3.4m³/d</w:t>
                  </w:r>
                </w:p>
              </w:tc>
              <w:tc>
                <w:tcPr>
                  <w:tcW w:w="1608" w:type="dxa"/>
                  <w:tcBorders>
                    <w:top w:val="single" w:color="auto" w:sz="4" w:space="0"/>
                    <w:left w:val="single" w:color="auto" w:sz="4" w:space="0"/>
                    <w:bottom w:val="single" w:color="auto" w:sz="4" w:space="0"/>
                    <w:right w:val="single" w:color="auto" w:sz="12"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137" w:type="dxa"/>
                  <w:tcBorders>
                    <w:top w:val="single" w:color="auto" w:sz="4" w:space="0"/>
                    <w:left w:val="single" w:color="auto" w:sz="12" w:space="0"/>
                    <w:bottom w:val="single" w:color="auto" w:sz="4" w:space="0"/>
                    <w:right w:val="single" w:color="auto" w:sz="4" w:space="0"/>
                  </w:tcBorders>
                  <w:vAlign w:val="center"/>
                </w:tcPr>
                <w:p>
                  <w:pPr>
                    <w:spacing w:before="100" w:beforeAutospacing="1" w:after="100" w:afterAutospacing="1"/>
                    <w:jc w:val="center"/>
                    <w:rPr>
                      <w:rFonts w:hint="default" w:eastAsiaTheme="minorEastAsia"/>
                      <w:color w:val="000000" w:themeColor="text1"/>
                      <w:kern w:val="0"/>
                      <w:szCs w:val="21"/>
                      <w:lang w:val="en-US" w:eastAsia="zh-CN"/>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车辆冲洗用水</w:t>
                  </w:r>
                </w:p>
              </w:tc>
              <w:tc>
                <w:tcPr>
                  <w:tcW w:w="168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24"/>
                      <w:szCs w:val="21"/>
                      <w:lang w:val="en-US" w:eastAsia="zh-CN"/>
                      <w14:textFill>
                        <w14:solidFill>
                          <w14:schemeClr w14:val="tx1"/>
                        </w14:solidFill>
                      </w14:textFill>
                    </w:rPr>
                    <w:t>55</w:t>
                  </w:r>
                  <w:r>
                    <w:rPr>
                      <w:rFonts w:eastAsiaTheme="minorEastAsia"/>
                      <w:color w:val="000000" w:themeColor="text1"/>
                      <w:kern w:val="24"/>
                      <w:szCs w:val="21"/>
                      <w14:textFill>
                        <w14:solidFill>
                          <w14:schemeClr w14:val="tx1"/>
                        </w14:solidFill>
                      </w14:textFill>
                    </w:rPr>
                    <w:t>L/</w:t>
                  </w:r>
                  <w:r>
                    <w:rPr>
                      <w:rFonts w:hAnsiTheme="minorEastAsia" w:eastAsiaTheme="minorEastAsia"/>
                      <w:color w:val="000000" w:themeColor="text1"/>
                      <w:kern w:val="24"/>
                      <w:szCs w:val="21"/>
                      <w14:textFill>
                        <w14:solidFill>
                          <w14:schemeClr w14:val="tx1"/>
                        </w14:solidFill>
                      </w14:textFill>
                    </w:rPr>
                    <w:t>车</w:t>
                  </w:r>
                  <w:r>
                    <w:rPr>
                      <w:rFonts w:eastAsiaTheme="minorEastAsia"/>
                      <w:color w:val="000000" w:themeColor="text1"/>
                      <w:kern w:val="24"/>
                      <w:szCs w:val="21"/>
                      <w14:textFill>
                        <w14:solidFill>
                          <w14:schemeClr w14:val="tx1"/>
                        </w14:solidFill>
                      </w14:textFill>
                    </w:rPr>
                    <w:t>·</w:t>
                  </w:r>
                  <w:r>
                    <w:rPr>
                      <w:rFonts w:hAnsiTheme="minorEastAsia" w:eastAsiaTheme="minorEastAsia"/>
                      <w:color w:val="000000" w:themeColor="text1"/>
                      <w:kern w:val="24"/>
                      <w:szCs w:val="21"/>
                      <w14:textFill>
                        <w14:solidFill>
                          <w14:schemeClr w14:val="tx1"/>
                        </w14:solidFill>
                      </w14:textFill>
                    </w:rPr>
                    <w:t>次</w:t>
                  </w:r>
                </w:p>
              </w:tc>
              <w:tc>
                <w:tcPr>
                  <w:tcW w:w="17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auto"/>
                      <w:kern w:val="0"/>
                      <w:szCs w:val="21"/>
                    </w:rPr>
                  </w:pPr>
                  <w:r>
                    <w:rPr>
                      <w:rFonts w:hint="eastAsia" w:eastAsiaTheme="minorEastAsia"/>
                      <w:color w:val="auto"/>
                      <w:kern w:val="0"/>
                      <w:szCs w:val="21"/>
                      <w:lang w:val="en-US" w:eastAsia="zh-CN"/>
                    </w:rPr>
                    <w:t>0.825</w:t>
                  </w:r>
                  <w:r>
                    <w:rPr>
                      <w:rFonts w:eastAsiaTheme="minorEastAsia"/>
                      <w:color w:val="auto"/>
                      <w:kern w:val="0"/>
                      <w:szCs w:val="21"/>
                    </w:rPr>
                    <w:t>m³/d</w:t>
                  </w:r>
                </w:p>
              </w:tc>
              <w:tc>
                <w:tcPr>
                  <w:tcW w:w="1608" w:type="dxa"/>
                  <w:tcBorders>
                    <w:top w:val="single" w:color="auto" w:sz="4" w:space="0"/>
                    <w:left w:val="single" w:color="auto" w:sz="4" w:space="0"/>
                    <w:bottom w:val="single" w:color="auto" w:sz="4" w:space="0"/>
                    <w:right w:val="single" w:color="auto" w:sz="12"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137" w:type="dxa"/>
                  <w:tcBorders>
                    <w:top w:val="single" w:color="auto" w:sz="4" w:space="0"/>
                    <w:left w:val="single" w:color="auto" w:sz="12" w:space="0"/>
                    <w:bottom w:val="single" w:color="auto" w:sz="4"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洗砂用水</w:t>
                  </w:r>
                </w:p>
              </w:tc>
              <w:tc>
                <w:tcPr>
                  <w:tcW w:w="168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auto"/>
                      <w:kern w:val="24"/>
                      <w:szCs w:val="21"/>
                    </w:rPr>
                  </w:pPr>
                  <w:r>
                    <w:rPr>
                      <w:rFonts w:hint="eastAsia" w:eastAsiaTheme="minorEastAsia"/>
                      <w:color w:val="auto"/>
                      <w:kern w:val="0"/>
                      <w:szCs w:val="21"/>
                    </w:rPr>
                    <w:t>2</w:t>
                  </w:r>
                  <w:r>
                    <w:rPr>
                      <w:rFonts w:hint="eastAsia" w:eastAsiaTheme="minorEastAsia"/>
                      <w:color w:val="auto"/>
                      <w:kern w:val="0"/>
                      <w:szCs w:val="21"/>
                      <w:lang w:val="en-US" w:eastAsia="zh-CN"/>
                    </w:rPr>
                    <w:t>8</w:t>
                  </w:r>
                  <w:r>
                    <w:rPr>
                      <w:rFonts w:eastAsiaTheme="minorEastAsia"/>
                      <w:color w:val="auto"/>
                      <w:kern w:val="0"/>
                      <w:szCs w:val="21"/>
                    </w:rPr>
                    <w:t>m</w:t>
                  </w:r>
                  <w:r>
                    <w:rPr>
                      <w:rFonts w:eastAsiaTheme="minorEastAsia"/>
                      <w:color w:val="auto"/>
                      <w:kern w:val="0"/>
                      <w:szCs w:val="21"/>
                      <w:vertAlign w:val="superscript"/>
                    </w:rPr>
                    <w:t>3</w:t>
                  </w:r>
                  <w:r>
                    <w:rPr>
                      <w:rFonts w:eastAsiaTheme="minorEastAsia"/>
                      <w:color w:val="auto"/>
                      <w:kern w:val="0"/>
                      <w:szCs w:val="21"/>
                    </w:rPr>
                    <w:t>/d</w:t>
                  </w:r>
                </w:p>
              </w:tc>
              <w:tc>
                <w:tcPr>
                  <w:tcW w:w="17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Theme="minorEastAsia"/>
                      <w:color w:val="auto"/>
                      <w:kern w:val="0"/>
                      <w:szCs w:val="21"/>
                    </w:rPr>
                  </w:pPr>
                  <w:r>
                    <w:rPr>
                      <w:rFonts w:hint="eastAsia" w:eastAsiaTheme="minorEastAsia"/>
                      <w:color w:val="auto"/>
                      <w:kern w:val="0"/>
                      <w:szCs w:val="21"/>
                      <w:lang w:val="en-US" w:eastAsia="zh-CN"/>
                    </w:rPr>
                    <w:t>57.4</w:t>
                  </w:r>
                  <w:r>
                    <w:rPr>
                      <w:rFonts w:eastAsiaTheme="minorEastAsia"/>
                      <w:color w:val="auto"/>
                      <w:kern w:val="0"/>
                      <w:szCs w:val="21"/>
                    </w:rPr>
                    <w:t>m³/d</w:t>
                  </w:r>
                </w:p>
              </w:tc>
              <w:tc>
                <w:tcPr>
                  <w:tcW w:w="1608" w:type="dxa"/>
                  <w:tcBorders>
                    <w:top w:val="single" w:color="auto" w:sz="4" w:space="0"/>
                    <w:left w:val="single" w:color="auto" w:sz="4" w:space="0"/>
                    <w:bottom w:val="single" w:color="auto" w:sz="4" w:space="0"/>
                    <w:right w:val="single" w:color="auto" w:sz="12" w:space="0"/>
                  </w:tcBorders>
                  <w:vAlign w:val="center"/>
                </w:tcPr>
                <w:p>
                  <w:pPr>
                    <w:spacing w:before="100" w:beforeAutospacing="1" w:after="100" w:afterAutospacing="1"/>
                    <w:jc w:val="center"/>
                    <w:rPr>
                      <w:rFonts w:eastAsiaTheme="minorEastAsia"/>
                      <w:color w:val="auto"/>
                      <w:kern w:val="0"/>
                      <w:szCs w:val="21"/>
                    </w:rPr>
                  </w:pPr>
                  <w:r>
                    <w:rPr>
                      <w:rFonts w:eastAsiaTheme="minorEastAsia"/>
                      <w:color w:val="auto"/>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823" w:type="dxa"/>
                  <w:gridSpan w:val="2"/>
                  <w:tcBorders>
                    <w:top w:val="single" w:color="auto" w:sz="4" w:space="0"/>
                    <w:left w:val="single" w:color="auto" w:sz="12" w:space="0"/>
                    <w:bottom w:val="single" w:color="auto" w:sz="12" w:space="0"/>
                    <w:right w:val="single" w:color="auto" w:sz="4" w:space="0"/>
                  </w:tcBorders>
                  <w:vAlign w:val="center"/>
                </w:tcPr>
                <w:p>
                  <w:pPr>
                    <w:spacing w:before="100" w:beforeAutospacing="1" w:after="100" w:afterAutospacing="1"/>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总计</w:t>
                  </w:r>
                </w:p>
              </w:tc>
              <w:tc>
                <w:tcPr>
                  <w:tcW w:w="1740" w:type="dxa"/>
                  <w:tcBorders>
                    <w:top w:val="single" w:color="auto" w:sz="4" w:space="0"/>
                    <w:left w:val="single" w:color="auto" w:sz="4" w:space="0"/>
                    <w:bottom w:val="single" w:color="auto" w:sz="12" w:space="0"/>
                    <w:right w:val="single" w:color="auto" w:sz="4" w:space="0"/>
                  </w:tcBorders>
                  <w:vAlign w:val="center"/>
                </w:tcPr>
                <w:p>
                  <w:pPr>
                    <w:spacing w:before="100" w:beforeAutospacing="1" w:after="100" w:afterAutospacing="1"/>
                    <w:jc w:val="center"/>
                    <w:rPr>
                      <w:rFonts w:eastAsiaTheme="minorEastAsia"/>
                      <w:color w:val="auto"/>
                      <w:kern w:val="0"/>
                      <w:szCs w:val="21"/>
                    </w:rPr>
                  </w:pPr>
                  <w:r>
                    <w:rPr>
                      <w:rFonts w:hint="eastAsia" w:eastAsiaTheme="minorEastAsia"/>
                      <w:color w:val="auto"/>
                      <w:kern w:val="0"/>
                      <w:szCs w:val="21"/>
                      <w:lang w:val="en-US" w:eastAsia="zh-CN"/>
                    </w:rPr>
                    <w:t>62.825</w:t>
                  </w:r>
                  <w:r>
                    <w:rPr>
                      <w:rFonts w:eastAsiaTheme="minorEastAsia"/>
                      <w:color w:val="auto"/>
                      <w:kern w:val="0"/>
                      <w:szCs w:val="21"/>
                    </w:rPr>
                    <w:t>m³/d</w:t>
                  </w:r>
                </w:p>
              </w:tc>
              <w:tc>
                <w:tcPr>
                  <w:tcW w:w="1608" w:type="dxa"/>
                  <w:tcBorders>
                    <w:top w:val="single" w:color="auto" w:sz="4" w:space="0"/>
                    <w:left w:val="single" w:color="auto" w:sz="4" w:space="0"/>
                    <w:bottom w:val="single" w:color="auto" w:sz="12" w:space="0"/>
                    <w:right w:val="single" w:color="auto" w:sz="12" w:space="0"/>
                  </w:tcBorders>
                  <w:vAlign w:val="center"/>
                </w:tcPr>
                <w:p>
                  <w:pPr>
                    <w:spacing w:before="100" w:beforeAutospacing="1" w:after="100" w:afterAutospacing="1"/>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0.96</w:t>
                  </w:r>
                </w:p>
              </w:tc>
            </w:tr>
          </w:tbl>
          <w:p/>
          <w:p>
            <w:pPr>
              <w:pStyle w:val="18"/>
              <w:jc w:val="left"/>
              <w:rPr>
                <w:rFonts w:hint="eastAsia" w:eastAsia="宋体"/>
                <w:lang w:eastAsia="zh-CN"/>
              </w:rPr>
            </w:pPr>
            <w:r>
              <w:drawing>
                <wp:inline distT="0" distB="0" distL="114300" distR="114300">
                  <wp:extent cx="4669155" cy="3007360"/>
                  <wp:effectExtent l="0" t="0" r="9525" b="10160"/>
                  <wp:docPr id="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
                          <pic:cNvPicPr>
                            <a:picLocks noChangeAspect="1"/>
                          </pic:cNvPicPr>
                        </pic:nvPicPr>
                        <pic:blipFill>
                          <a:blip r:embed="rId11"/>
                          <a:stretch>
                            <a:fillRect/>
                          </a:stretch>
                        </pic:blipFill>
                        <pic:spPr>
                          <a:xfrm>
                            <a:off x="0" y="0"/>
                            <a:ext cx="4669155" cy="3007360"/>
                          </a:xfrm>
                          <a:prstGeom prst="rect">
                            <a:avLst/>
                          </a:prstGeom>
                          <a:noFill/>
                          <a:ln>
                            <a:noFill/>
                          </a:ln>
                        </pic:spPr>
                      </pic:pic>
                    </a:graphicData>
                  </a:graphic>
                </wp:inline>
              </w:drawing>
            </w:r>
          </w:p>
          <w:p/>
          <w:p>
            <w:pPr>
              <w:pStyle w:val="18"/>
              <w:jc w:val="center"/>
              <w:rPr>
                <w:rFonts w:hint="default" w:eastAsia="宋体"/>
                <w:b/>
                <w:bCs/>
                <w:color w:val="auto"/>
                <w:lang w:val="en-US" w:eastAsia="zh-CN"/>
              </w:rPr>
            </w:pPr>
            <w:r>
              <w:rPr>
                <w:rFonts w:hint="eastAsia"/>
                <w:b/>
                <w:bCs/>
                <w:color w:val="auto"/>
                <w:lang w:val="en-US" w:eastAsia="zh-CN"/>
              </w:rPr>
              <w:t>图1 项目水平衡图 单位：m</w:t>
            </w:r>
            <w:r>
              <w:rPr>
                <w:rFonts w:hint="eastAsia"/>
                <w:b/>
                <w:bCs/>
                <w:color w:val="auto"/>
                <w:vertAlign w:val="superscript"/>
                <w:lang w:val="en-US" w:eastAsia="zh-CN"/>
              </w:rPr>
              <w:t>3</w:t>
            </w:r>
            <w:r>
              <w:rPr>
                <w:rFonts w:hint="eastAsia"/>
                <w:b/>
                <w:bCs/>
                <w:color w:val="auto"/>
                <w:lang w:val="en-US" w:eastAsia="zh-CN"/>
              </w:rPr>
              <w:t>/d</w:t>
            </w:r>
          </w:p>
          <w:p>
            <w:pPr>
              <w:adjustRightInd w:val="0"/>
              <w:snapToGrid w:val="0"/>
              <w:spacing w:line="360" w:lineRule="auto"/>
              <w:jc w:val="left"/>
              <w:rPr>
                <w:rFonts w:hAnsiTheme="minorEastAsia" w:eastAsiaTheme="minorEastAsia"/>
                <w:b w:val="0"/>
                <w:bCs w:val="0"/>
                <w:color w:val="000000" w:themeColor="text1"/>
                <w:sz w:val="24"/>
                <w:szCs w:val="24"/>
                <w14:textFill>
                  <w14:solidFill>
                    <w14:schemeClr w14:val="tx1"/>
                  </w14:solidFill>
                </w14:textFill>
              </w:rPr>
            </w:pPr>
          </w:p>
          <w:p>
            <w:pPr>
              <w:adjustRightInd w:val="0"/>
              <w:snapToGrid w:val="0"/>
              <w:spacing w:line="360" w:lineRule="auto"/>
              <w:ind w:firstLine="200"/>
              <w:jc w:val="left"/>
              <w:rPr>
                <w:rFonts w:eastAsiaTheme="minorEastAsia"/>
                <w:b w:val="0"/>
                <w:bCs w:val="0"/>
                <w:color w:val="000000" w:themeColor="text1"/>
                <w:sz w:val="24"/>
                <w:szCs w:val="24"/>
                <w14:textFill>
                  <w14:solidFill>
                    <w14:schemeClr w14:val="tx1"/>
                  </w14:solidFill>
                </w14:textFill>
              </w:rPr>
            </w:pPr>
            <w:r>
              <w:rPr>
                <w:rFonts w:hAnsiTheme="minorEastAsia" w:eastAsiaTheme="minorEastAsia"/>
                <w:b w:val="0"/>
                <w:bCs w:val="0"/>
                <w:color w:val="000000" w:themeColor="text1"/>
                <w:sz w:val="24"/>
                <w:szCs w:val="24"/>
                <w14:textFill>
                  <w14:solidFill>
                    <w14:schemeClr w14:val="tx1"/>
                  </w14:solidFill>
                </w14:textFill>
              </w:rPr>
              <w:t>（</w:t>
            </w:r>
            <w:r>
              <w:rPr>
                <w:rFonts w:eastAsiaTheme="minorEastAsia"/>
                <w:b w:val="0"/>
                <w:bCs w:val="0"/>
                <w:color w:val="000000" w:themeColor="text1"/>
                <w:sz w:val="24"/>
                <w:szCs w:val="24"/>
                <w14:textFill>
                  <w14:solidFill>
                    <w14:schemeClr w14:val="tx1"/>
                  </w14:solidFill>
                </w14:textFill>
              </w:rPr>
              <w:t>4</w:t>
            </w:r>
            <w:r>
              <w:rPr>
                <w:rFonts w:hAnsiTheme="minorEastAsia" w:eastAsiaTheme="minorEastAsia"/>
                <w:b w:val="0"/>
                <w:bCs w:val="0"/>
                <w:color w:val="000000" w:themeColor="text1"/>
                <w:sz w:val="24"/>
                <w:szCs w:val="24"/>
                <w14:textFill>
                  <w14:solidFill>
                    <w14:schemeClr w14:val="tx1"/>
                  </w14:solidFill>
                </w14:textFill>
              </w:rPr>
              <w:t>）爆破器材供应及爆破器材库</w:t>
            </w:r>
          </w:p>
          <w:p>
            <w:pPr>
              <w:adjustRightInd w:val="0"/>
              <w:snapToGrid w:val="0"/>
              <w:spacing w:line="360" w:lineRule="auto"/>
              <w:ind w:firstLine="480" w:firstLineChars="200"/>
              <w:jc w:val="left"/>
              <w:rPr>
                <w:rFonts w:eastAsiaTheme="minorEastAsia"/>
                <w:b/>
                <w:color w:val="000000" w:themeColor="text1"/>
                <w:sz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矿区不设爆破器材临时存放点。爆破作业由</w:t>
            </w:r>
            <w:r>
              <w:rPr>
                <w:rFonts w:hint="eastAsia" w:hAnsiTheme="minorEastAsia" w:eastAsiaTheme="minorEastAsia"/>
                <w:color w:val="000000" w:themeColor="text1"/>
                <w:sz w:val="24"/>
                <w:szCs w:val="24"/>
                <w14:textFill>
                  <w14:solidFill>
                    <w14:schemeClr w14:val="tx1"/>
                  </w14:solidFill>
                </w14:textFill>
              </w:rPr>
              <w:t>安康</w:t>
            </w:r>
            <w:r>
              <w:rPr>
                <w:rFonts w:hAnsiTheme="minorEastAsia" w:eastAsiaTheme="minorEastAsia"/>
                <w:color w:val="000000" w:themeColor="text1"/>
                <w:sz w:val="24"/>
                <w:szCs w:val="24"/>
                <w14:textFill>
                  <w14:solidFill>
                    <w14:schemeClr w14:val="tx1"/>
                  </w14:solidFill>
                </w14:textFill>
              </w:rPr>
              <w:t>恒泰爆破服务有限公司负责，剩余爆破器材当天退回，不在项目矿区储存。</w:t>
            </w:r>
          </w:p>
          <w:p>
            <w:pPr>
              <w:adjustRightInd w:val="0"/>
              <w:snapToGrid w:val="0"/>
              <w:spacing w:line="360" w:lineRule="auto"/>
              <w:ind w:firstLine="200"/>
              <w:jc w:val="left"/>
              <w:rPr>
                <w:rFonts w:eastAsiaTheme="minorEastAsia"/>
                <w:b/>
                <w:color w:val="000000" w:themeColor="text1"/>
                <w:sz w:val="24"/>
                <w14:textFill>
                  <w14:solidFill>
                    <w14:schemeClr w14:val="tx1"/>
                  </w14:solidFill>
                </w14:textFill>
              </w:rPr>
            </w:pPr>
            <w:r>
              <w:rPr>
                <w:rFonts w:hint="eastAsia" w:hAnsiTheme="minorEastAsia" w:eastAsiaTheme="minorEastAsia"/>
                <w:b/>
                <w:color w:val="000000" w:themeColor="text1"/>
                <w:sz w:val="24"/>
                <w:lang w:val="en-US" w:eastAsia="zh-CN"/>
                <w14:textFill>
                  <w14:solidFill>
                    <w14:schemeClr w14:val="tx1"/>
                  </w14:solidFill>
                </w14:textFill>
              </w:rPr>
              <w:t>7</w:t>
            </w:r>
            <w:r>
              <w:rPr>
                <w:rFonts w:hAnsiTheme="minorEastAsia" w:eastAsiaTheme="minorEastAsia"/>
                <w:b/>
                <w:color w:val="000000" w:themeColor="text1"/>
                <w:sz w:val="24"/>
                <w14:textFill>
                  <w14:solidFill>
                    <w14:schemeClr w14:val="tx1"/>
                  </w14:solidFill>
                </w14:textFill>
              </w:rPr>
              <w:t>、劳动定员及工作制度</w:t>
            </w:r>
          </w:p>
          <w:p>
            <w:pPr>
              <w:adjustRightInd w:val="0"/>
              <w:snapToGrid w:val="0"/>
              <w:spacing w:line="360" w:lineRule="auto"/>
              <w:ind w:firstLine="480" w:firstLineChars="200"/>
              <w:jc w:val="left"/>
              <w:rPr>
                <w:rFonts w:hAnsiTheme="minorEastAsia"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项目建成投产后公司劳动定员为15人，年工作时间300d，每天工作</w:t>
            </w:r>
            <w:r>
              <w:rPr>
                <w:rFonts w:hint="eastAsia" w:hAnsiTheme="minorEastAsia" w:eastAsiaTheme="minorEastAsia"/>
                <w:color w:val="000000" w:themeColor="text1"/>
                <w:sz w:val="24"/>
                <w:szCs w:val="24"/>
                <w:lang w:val="en-US" w:eastAsia="zh-CN"/>
                <w14:textFill>
                  <w14:solidFill>
                    <w14:schemeClr w14:val="tx1"/>
                  </w14:solidFill>
                </w14:textFill>
              </w:rPr>
              <w:t>8</w:t>
            </w:r>
            <w:r>
              <w:rPr>
                <w:rFonts w:hAnsiTheme="minorEastAsia" w:eastAsiaTheme="minorEastAsia"/>
                <w:color w:val="000000" w:themeColor="text1"/>
                <w:sz w:val="24"/>
                <w:szCs w:val="24"/>
                <w14:textFill>
                  <w14:solidFill>
                    <w14:schemeClr w14:val="tx1"/>
                  </w14:solidFill>
                </w14:textFill>
              </w:rPr>
              <w:t>h。</w:t>
            </w:r>
          </w:p>
          <w:p>
            <w:pPr>
              <w:adjustRightInd w:val="0"/>
              <w:snapToGrid w:val="0"/>
              <w:spacing w:line="360" w:lineRule="auto"/>
              <w:ind w:firstLine="480" w:firstLineChars="200"/>
              <w:jc w:val="left"/>
              <w:rPr>
                <w:rFonts w:hAnsiTheme="minorEastAsia" w:eastAsiaTheme="minorEastAsia"/>
                <w:color w:val="000000" w:themeColor="text1"/>
                <w:sz w:val="24"/>
                <w:szCs w:val="24"/>
                <w14:textFill>
                  <w14:solidFill>
                    <w14:schemeClr w14:val="tx1"/>
                  </w14:solidFill>
                </w14:textFill>
              </w:rPr>
            </w:pPr>
          </w:p>
          <w:p>
            <w:pPr>
              <w:pStyle w:val="18"/>
            </w:pPr>
          </w:p>
          <w:p/>
          <w:p>
            <w:pPr>
              <w:pStyle w:val="18"/>
              <w:ind w:left="0" w:leftChars="0"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noWrap w:val="0"/>
            <w:vAlign w:val="center"/>
          </w:tcPr>
          <w:p>
            <w:pPr>
              <w:pStyle w:val="15"/>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217" w:type="dxa"/>
            <w:noWrap w:val="0"/>
            <w:vAlign w:val="top"/>
          </w:tcPr>
          <w:p>
            <w:pPr>
              <w:pStyle w:val="45"/>
              <w:adjustRightInd w:val="0"/>
              <w:snapToGrid w:val="0"/>
              <w:spacing w:before="120" w:line="360" w:lineRule="auto"/>
              <w:rPr>
                <w:b/>
                <w:bCs/>
                <w:sz w:val="24"/>
                <w:szCs w:val="24"/>
              </w:rPr>
            </w:pPr>
            <w:r>
              <w:rPr>
                <w:b/>
                <w:bCs/>
                <w:sz w:val="24"/>
                <w:szCs w:val="24"/>
              </w:rPr>
              <w:t>施工期工程分析</w:t>
            </w:r>
          </w:p>
          <w:p>
            <w:pPr>
              <w:pStyle w:val="45"/>
              <w:adjustRightInd w:val="0"/>
              <w:snapToGrid w:val="0"/>
              <w:spacing w:before="120" w:line="360" w:lineRule="auto"/>
            </w:pPr>
          </w:p>
          <w:p>
            <w:pPr>
              <w:adjustRightInd w:val="0"/>
              <w:snapToGrid w:val="0"/>
              <w:jc w:val="center"/>
            </w:pPr>
            <w:r>
              <w:object>
                <v:shape id="_x0000_i1025" o:spt="75" type="#_x0000_t75" style="height:99.85pt;width:338.1pt;" o:ole="t" filled="f" o:preferrelative="t" stroked="f" coordsize="21600,21600">
                  <v:path/>
                  <v:fill on="f" focussize="0,0"/>
                  <v:stroke on="f"/>
                  <v:imagedata r:id="rId13" croptop="-2841f" cropbottom="4031f" o:title=""/>
                  <o:lock v:ext="edit" aspectratio="t"/>
                  <w10:wrap type="none"/>
                  <w10:anchorlock/>
                </v:shape>
                <o:OLEObject Type="Embed" ProgID="Visio.Drawing.11" ShapeID="_x0000_i1025" DrawAspect="Content" ObjectID="_1468075725" r:id="rId12">
                  <o:LockedField>false</o:LockedField>
                </o:OLEObject>
              </w:object>
            </w:r>
          </w:p>
          <w:p>
            <w:pPr>
              <w:pStyle w:val="18"/>
              <w:spacing w:line="360" w:lineRule="auto"/>
              <w:ind w:firstLine="0" w:firstLineChars="0"/>
              <w:jc w:val="both"/>
            </w:pPr>
          </w:p>
          <w:p>
            <w:pPr>
              <w:pStyle w:val="18"/>
              <w:spacing w:line="360" w:lineRule="auto"/>
              <w:ind w:firstLine="0" w:firstLineChars="0"/>
              <w:jc w:val="center"/>
            </w:pPr>
            <w:r>
              <w:t xml:space="preserve">图2 </w:t>
            </w:r>
            <w:r>
              <w:rPr>
                <w:rFonts w:hint="eastAsia"/>
              </w:rPr>
              <w:t>施工期</w:t>
            </w:r>
            <w:r>
              <w:t>工艺流程及产污环节</w:t>
            </w:r>
          </w:p>
          <w:p/>
          <w:p>
            <w:pPr>
              <w:pStyle w:val="45"/>
              <w:adjustRightInd w:val="0"/>
              <w:snapToGrid w:val="0"/>
              <w:spacing w:line="360" w:lineRule="auto"/>
              <w:rPr>
                <w:rFonts w:eastAsiaTheme="minorEastAsia"/>
                <w:b/>
                <w:color w:val="000000" w:themeColor="text1"/>
                <w:kern w:val="2"/>
                <w:sz w:val="24"/>
                <w:szCs w:val="24"/>
                <w14:textFill>
                  <w14:solidFill>
                    <w14:schemeClr w14:val="tx1"/>
                  </w14:solidFill>
                </w14:textFill>
              </w:rPr>
            </w:pPr>
            <w:r>
              <w:rPr>
                <w:rFonts w:hAnsiTheme="minorEastAsia" w:eastAsiaTheme="minorEastAsia"/>
                <w:b/>
                <w:color w:val="000000" w:themeColor="text1"/>
                <w:kern w:val="2"/>
                <w:sz w:val="24"/>
                <w:szCs w:val="24"/>
                <w14:textFill>
                  <w14:solidFill>
                    <w14:schemeClr w14:val="tx1"/>
                  </w14:solidFill>
                </w14:textFill>
              </w:rPr>
              <w:t>运营期工程分析</w:t>
            </w:r>
          </w:p>
          <w:p>
            <w:pPr>
              <w:numPr>
                <w:ilvl w:val="0"/>
                <w:numId w:val="2"/>
              </w:numPr>
              <w:adjustRightInd w:val="0"/>
              <w:snapToGrid w:val="0"/>
              <w:spacing w:line="360" w:lineRule="auto"/>
              <w:rPr>
                <w:rFonts w:hAnsiTheme="minorEastAsia" w:eastAsiaTheme="minorEastAsia"/>
                <w:b/>
                <w:color w:val="000000" w:themeColor="text1"/>
                <w:kern w:val="0"/>
                <w:sz w:val="24"/>
                <w:szCs w:val="24"/>
                <w14:textFill>
                  <w14:solidFill>
                    <w14:schemeClr w14:val="tx1"/>
                  </w14:solidFill>
                </w14:textFill>
              </w:rPr>
            </w:pPr>
            <w:r>
              <w:rPr>
                <w:rFonts w:hAnsiTheme="minorEastAsia" w:eastAsiaTheme="minorEastAsia"/>
                <w:b/>
                <w:color w:val="000000" w:themeColor="text1"/>
                <w:kern w:val="0"/>
                <w:sz w:val="24"/>
                <w:szCs w:val="24"/>
                <w14:textFill>
                  <w14:solidFill>
                    <w14:schemeClr w14:val="tx1"/>
                  </w14:solidFill>
                </w14:textFill>
              </w:rPr>
              <w:t>工艺流程简述（图示）：</w:t>
            </w:r>
          </w:p>
          <w:p>
            <w:pPr>
              <w:pStyle w:val="8"/>
              <w:widowControl/>
              <w:numPr>
                <w:ilvl w:val="0"/>
                <w:numId w:val="0"/>
              </w:numPr>
              <w:snapToGrid w:val="0"/>
              <w:spacing w:before="60" w:after="160" w:line="259" w:lineRule="auto"/>
              <w:ind w:right="113" w:rightChars="0"/>
              <w:jc w:val="center"/>
            </w:pPr>
            <w:r>
              <w:rPr>
                <w:rFonts w:eastAsiaTheme="minorEastAsia"/>
                <w:color w:val="000000" w:themeColor="text1"/>
                <w14:textFill>
                  <w14:solidFill>
                    <w14:schemeClr w14:val="tx1"/>
                  </w14:solidFill>
                </w14:textFill>
              </w:rPr>
              <w:object>
                <v:shape id="_x0000_i1026" o:spt="75" type="#_x0000_t75" style="height:379.45pt;width:309.1pt;" o:ole="t" filled="f" o:preferrelative="t" stroked="f" coordsize="21600,21600">
                  <v:path/>
                  <v:fill on="f" focussize="0,0"/>
                  <v:stroke on="f"/>
                  <v:imagedata r:id="rId15" o:title=""/>
                  <o:lock v:ext="edit" aspectratio="t"/>
                  <w10:wrap type="none"/>
                  <w10:anchorlock/>
                </v:shape>
                <o:OLEObject Type="Embed" ProgID="Visio.Drawing.11" ShapeID="_x0000_i1026" DrawAspect="Content" ObjectID="_1468075726" r:id="rId14">
                  <o:LockedField>false</o:LockedField>
                </o:OLEObject>
              </w:object>
            </w:r>
          </w:p>
          <w:p>
            <w:pPr>
              <w:pStyle w:val="18"/>
              <w:spacing w:line="360" w:lineRule="auto"/>
              <w:ind w:firstLine="0" w:firstLineChars="0"/>
              <w:jc w:val="center"/>
              <w:rPr>
                <w:rFonts w:eastAsiaTheme="minorEastAsia"/>
                <w:b w:val="0"/>
                <w:bCs w:val="0"/>
                <w:color w:val="000000" w:themeColor="text1"/>
                <w:kern w:val="0"/>
                <w:szCs w:val="21"/>
                <w14:textFill>
                  <w14:solidFill>
                    <w14:schemeClr w14:val="tx1"/>
                  </w14:solidFill>
                </w14:textFill>
              </w:rPr>
            </w:pPr>
            <w:r>
              <w:rPr>
                <w:rFonts w:eastAsiaTheme="minorEastAsia"/>
                <w:b w:val="0"/>
                <w:bCs w:val="0"/>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2791460</wp:posOffset>
                      </wp:positionH>
                      <wp:positionV relativeFrom="paragraph">
                        <wp:posOffset>4415790</wp:posOffset>
                      </wp:positionV>
                      <wp:extent cx="635" cy="259715"/>
                      <wp:effectExtent l="37465" t="0" r="38100" b="14605"/>
                      <wp:wrapNone/>
                      <wp:docPr id="21" name="直线 341"/>
                      <wp:cNvGraphicFramePr/>
                      <a:graphic xmlns:a="http://schemas.openxmlformats.org/drawingml/2006/main">
                        <a:graphicData uri="http://schemas.microsoft.com/office/word/2010/wordprocessingShape">
                          <wps:wsp>
                            <wps:cNvCnPr/>
                            <wps:spPr>
                              <a:xfrm>
                                <a:off x="0" y="0"/>
                                <a:ext cx="635" cy="259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1" o:spid="_x0000_s1026" o:spt="20" style="position:absolute;left:0pt;margin-left:219.8pt;margin-top:347.7pt;height:20.45pt;width:0.05pt;z-index:251659264;mso-width-relative:page;mso-height-relative:page;" filled="f" stroked="t" coordsize="21600,21600" o:gfxdata="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12cttwAAAALAQAADwAAAAAAAAABACAAAAAiAAAAZHJzL2Rvd25yZXYueG1sUEsB&#10;AhQAFAAAAAgAh07iQBh0CXvxAQAA4wMAAA4AAAAAAAAAAQAgAAAAKwEAAGRycy9lMm9Eb2MueG1s&#10;UEsFBgAAAAAGAAYAWQEAAI4FAAAAAA==&#10;">
                      <v:fill on="f" focussize="0,0"/>
                      <v:stroke color="#000000" joinstyle="round" endarrow="block"/>
                      <v:imagedata o:title=""/>
                      <o:lock v:ext="edit" aspectratio="f"/>
                    </v:line>
                  </w:pict>
                </mc:Fallback>
              </mc:AlternateContent>
            </w:r>
            <w:r>
              <w:rPr>
                <w:rFonts w:hAnsiTheme="minorEastAsia" w:eastAsiaTheme="minorEastAsia"/>
                <w:b w:val="0"/>
                <w:bCs w:val="0"/>
                <w:color w:val="000000" w:themeColor="text1"/>
                <w:kern w:val="0"/>
                <w:szCs w:val="21"/>
                <w14:textFill>
                  <w14:solidFill>
                    <w14:schemeClr w14:val="tx1"/>
                  </w14:solidFill>
                </w14:textFill>
              </w:rPr>
              <w:t>图</w:t>
            </w:r>
            <w:r>
              <w:rPr>
                <w:rFonts w:hint="eastAsia" w:eastAsiaTheme="minorEastAsia"/>
                <w:b w:val="0"/>
                <w:bCs w:val="0"/>
                <w:color w:val="000000" w:themeColor="text1"/>
                <w:kern w:val="0"/>
                <w:szCs w:val="21"/>
                <w14:textFill>
                  <w14:solidFill>
                    <w14:schemeClr w14:val="tx1"/>
                  </w14:solidFill>
                </w14:textFill>
              </w:rPr>
              <w:t>3</w:t>
            </w:r>
            <w:r>
              <w:rPr>
                <w:rFonts w:eastAsiaTheme="minorEastAsia"/>
                <w:b w:val="0"/>
                <w:bCs w:val="0"/>
                <w:color w:val="000000" w:themeColor="text1"/>
                <w:kern w:val="0"/>
                <w:szCs w:val="21"/>
                <w14:textFill>
                  <w14:solidFill>
                    <w14:schemeClr w14:val="tx1"/>
                  </w14:solidFill>
                </w14:textFill>
              </w:rPr>
              <w:t xml:space="preserve"> </w:t>
            </w:r>
            <w:r>
              <w:rPr>
                <w:rFonts w:hAnsiTheme="minorEastAsia" w:eastAsiaTheme="minorEastAsia"/>
                <w:b w:val="0"/>
                <w:bCs w:val="0"/>
                <w:color w:val="000000" w:themeColor="text1"/>
                <w:kern w:val="0"/>
                <w:szCs w:val="21"/>
                <w14:textFill>
                  <w14:solidFill>
                    <w14:schemeClr w14:val="tx1"/>
                  </w14:solidFill>
                </w14:textFill>
              </w:rPr>
              <w:t>开采及石材破碎工艺流程及产污环节</w:t>
            </w:r>
          </w:p>
          <w:p>
            <w:pPr>
              <w:adjustRightInd w:val="0"/>
              <w:snapToGrid w:val="0"/>
              <w:spacing w:line="360" w:lineRule="auto"/>
              <w:jc w:val="left"/>
              <w:rPr>
                <w:rFonts w:eastAsiaTheme="minorEastAsia"/>
                <w:b/>
                <w:color w:val="000000" w:themeColor="text1"/>
                <w:kern w:val="0"/>
                <w:sz w:val="24"/>
                <w:szCs w:val="20"/>
                <w14:textFill>
                  <w14:solidFill>
                    <w14:schemeClr w14:val="tx1"/>
                  </w14:solidFill>
                </w14:textFill>
              </w:rPr>
            </w:pPr>
            <w:r>
              <w:rPr>
                <w:rFonts w:hAnsiTheme="minorEastAsia" w:eastAsiaTheme="minorEastAsia"/>
                <w:b/>
                <w:color w:val="000000" w:themeColor="text1"/>
                <w:kern w:val="0"/>
                <w:sz w:val="24"/>
                <w:szCs w:val="20"/>
                <w14:textFill>
                  <w14:solidFill>
                    <w14:schemeClr w14:val="tx1"/>
                  </w14:solidFill>
                </w14:textFill>
              </w:rPr>
              <w:t>二、工艺流程简介：</w:t>
            </w:r>
          </w:p>
          <w:p>
            <w:pPr>
              <w:adjustRightInd w:val="0"/>
              <w:snapToGrid w:val="0"/>
              <w:spacing w:line="360" w:lineRule="auto"/>
              <w:ind w:firstLine="482" w:firstLineChars="200"/>
              <w:jc w:val="left"/>
              <w:rPr>
                <w:rFonts w:eastAsiaTheme="minorEastAsia"/>
                <w:b/>
                <w:color w:val="000000" w:themeColor="text1"/>
                <w:kern w:val="0"/>
                <w:sz w:val="24"/>
                <w:szCs w:val="20"/>
                <w14:textFill>
                  <w14:solidFill>
                    <w14:schemeClr w14:val="tx1"/>
                  </w14:solidFill>
                </w14:textFill>
              </w:rPr>
            </w:pPr>
            <w:r>
              <w:rPr>
                <w:rFonts w:hAnsiTheme="minorEastAsia" w:eastAsiaTheme="minorEastAsia"/>
                <w:b/>
                <w:color w:val="000000" w:themeColor="text1"/>
                <w:kern w:val="0"/>
                <w:sz w:val="24"/>
                <w:szCs w:val="20"/>
                <w14:textFill>
                  <w14:solidFill>
                    <w14:schemeClr w14:val="tx1"/>
                  </w14:solidFill>
                </w14:textFill>
              </w:rPr>
              <w:t>（</w:t>
            </w:r>
            <w:r>
              <w:rPr>
                <w:rFonts w:eastAsiaTheme="minorEastAsia"/>
                <w:b/>
                <w:color w:val="000000" w:themeColor="text1"/>
                <w:kern w:val="0"/>
                <w:sz w:val="24"/>
                <w:szCs w:val="20"/>
                <w14:textFill>
                  <w14:solidFill>
                    <w14:schemeClr w14:val="tx1"/>
                  </w14:solidFill>
                </w14:textFill>
              </w:rPr>
              <w:t>1</w:t>
            </w:r>
            <w:r>
              <w:rPr>
                <w:rFonts w:hAnsiTheme="minorEastAsia" w:eastAsiaTheme="minorEastAsia"/>
                <w:b/>
                <w:color w:val="000000" w:themeColor="text1"/>
                <w:kern w:val="0"/>
                <w:sz w:val="24"/>
                <w:szCs w:val="20"/>
                <w14:textFill>
                  <w14:solidFill>
                    <w14:schemeClr w14:val="tx1"/>
                  </w14:solidFill>
                </w14:textFill>
              </w:rPr>
              <w:t>）开采方式</w:t>
            </w:r>
          </w:p>
          <w:p>
            <w:pPr>
              <w:adjustRightInd w:val="0"/>
              <w:snapToGrid w:val="0"/>
              <w:spacing w:line="360" w:lineRule="auto"/>
              <w:ind w:firstLine="480" w:firstLineChars="200"/>
              <w:jc w:val="left"/>
              <w:rPr>
                <w:rFonts w:hAnsiTheme="minorEastAsia" w:eastAsiaTheme="minorEastAsia"/>
                <w:b/>
                <w:color w:val="000000" w:themeColor="text1"/>
                <w:kern w:val="0"/>
                <w:sz w:val="24"/>
                <w:szCs w:val="20"/>
                <w14:textFill>
                  <w14:solidFill>
                    <w14:schemeClr w14:val="tx1"/>
                  </w14:solidFill>
                </w14:textFill>
              </w:rPr>
            </w:pPr>
            <w:r>
              <w:rPr>
                <w:rFonts w:hAnsiTheme="minorEastAsia" w:eastAsiaTheme="minorEastAsia"/>
                <w:color w:val="000000" w:themeColor="text1"/>
                <w:kern w:val="0"/>
                <w:sz w:val="24"/>
                <w:szCs w:val="20"/>
                <w14:textFill>
                  <w14:solidFill>
                    <w14:schemeClr w14:val="tx1"/>
                  </w14:solidFill>
                </w14:textFill>
              </w:rPr>
              <w:t>本项目开采方式采取水平台阶式开采法，根据地形和岩石特征，为减少因岩石层的层间滑动而发生的滑坡事故，采矿推进方向应沿矿层的走向方向推进。</w:t>
            </w:r>
          </w:p>
          <w:p>
            <w:pPr>
              <w:adjustRightInd w:val="0"/>
              <w:snapToGrid w:val="0"/>
              <w:spacing w:line="360" w:lineRule="auto"/>
              <w:ind w:firstLine="482" w:firstLineChars="200"/>
              <w:jc w:val="left"/>
              <w:rPr>
                <w:rFonts w:eastAsiaTheme="minorEastAsia"/>
                <w:b/>
                <w:color w:val="000000" w:themeColor="text1"/>
                <w:kern w:val="0"/>
                <w:sz w:val="24"/>
                <w:szCs w:val="20"/>
                <w14:textFill>
                  <w14:solidFill>
                    <w14:schemeClr w14:val="tx1"/>
                  </w14:solidFill>
                </w14:textFill>
              </w:rPr>
            </w:pPr>
            <w:r>
              <w:rPr>
                <w:rFonts w:hAnsiTheme="minorEastAsia" w:eastAsiaTheme="minorEastAsia"/>
                <w:b/>
                <w:color w:val="000000" w:themeColor="text1"/>
                <w:kern w:val="0"/>
                <w:sz w:val="24"/>
                <w:szCs w:val="20"/>
                <w14:textFill>
                  <w14:solidFill>
                    <w14:schemeClr w14:val="tx1"/>
                  </w14:solidFill>
                </w14:textFill>
              </w:rPr>
              <w:t>（</w:t>
            </w:r>
            <w:r>
              <w:rPr>
                <w:rFonts w:eastAsiaTheme="minorEastAsia"/>
                <w:b/>
                <w:color w:val="000000" w:themeColor="text1"/>
                <w:kern w:val="0"/>
                <w:sz w:val="24"/>
                <w:szCs w:val="20"/>
                <w14:textFill>
                  <w14:solidFill>
                    <w14:schemeClr w14:val="tx1"/>
                  </w14:solidFill>
                </w14:textFill>
              </w:rPr>
              <w:t>2</w:t>
            </w:r>
            <w:r>
              <w:rPr>
                <w:rFonts w:hAnsiTheme="minorEastAsia" w:eastAsiaTheme="minorEastAsia"/>
                <w:b/>
                <w:color w:val="000000" w:themeColor="text1"/>
                <w:kern w:val="0"/>
                <w:sz w:val="24"/>
                <w:szCs w:val="20"/>
                <w14:textFill>
                  <w14:solidFill>
                    <w14:schemeClr w14:val="tx1"/>
                  </w14:solidFill>
                </w14:textFill>
              </w:rPr>
              <w:t>）开拓运输方案</w:t>
            </w:r>
          </w:p>
          <w:p>
            <w:pPr>
              <w:adjustRightInd w:val="0"/>
              <w:snapToGrid w:val="0"/>
              <w:spacing w:line="360" w:lineRule="auto"/>
              <w:ind w:firstLine="480" w:firstLineChars="200"/>
              <w:jc w:val="left"/>
              <w:rPr>
                <w:rFonts w:hAnsiTheme="minorEastAsia" w:eastAsiaTheme="minorEastAsia"/>
                <w:color w:val="000000" w:themeColor="text1"/>
                <w:kern w:val="0"/>
                <w:sz w:val="24"/>
                <w:szCs w:val="20"/>
                <w14:textFill>
                  <w14:solidFill>
                    <w14:schemeClr w14:val="tx1"/>
                  </w14:solidFill>
                </w14:textFill>
              </w:rPr>
            </w:pPr>
            <w:r>
              <w:rPr>
                <w:rFonts w:hAnsiTheme="minorEastAsia" w:eastAsiaTheme="minorEastAsia"/>
                <w:color w:val="000000" w:themeColor="text1"/>
                <w:kern w:val="0"/>
                <w:sz w:val="24"/>
                <w:szCs w:val="20"/>
                <w14:textFill>
                  <w14:solidFill>
                    <w14:schemeClr w14:val="tx1"/>
                  </w14:solidFill>
                </w14:textFill>
              </w:rPr>
              <w:t>根据现场调查，矿区地形条件、现有运输条件布置及开采高度等情况，本项目采用公路开拓汽车运输方式，方便运输。</w:t>
            </w:r>
          </w:p>
          <w:p>
            <w:pPr>
              <w:numPr>
                <w:ilvl w:val="0"/>
                <w:numId w:val="0"/>
              </w:numPr>
              <w:ind w:left="200" w:leftChars="0"/>
              <w:rPr>
                <w:rFonts w:hint="default"/>
                <w:lang w:val="en-US" w:eastAsia="zh-CN"/>
              </w:rPr>
            </w:pPr>
          </w:p>
          <w:p>
            <w:pPr>
              <w:adjustRightInd w:val="0"/>
              <w:snapToGrid w:val="0"/>
              <w:spacing w:line="360" w:lineRule="auto"/>
              <w:ind w:firstLine="482" w:firstLineChars="200"/>
              <w:jc w:val="left"/>
              <w:rPr>
                <w:rFonts w:eastAsiaTheme="minorEastAsia"/>
                <w:b/>
                <w:color w:val="000000" w:themeColor="text1"/>
                <w:kern w:val="0"/>
                <w:sz w:val="24"/>
                <w:szCs w:val="20"/>
                <w14:textFill>
                  <w14:solidFill>
                    <w14:schemeClr w14:val="tx1"/>
                  </w14:solidFill>
                </w14:textFill>
              </w:rPr>
            </w:pPr>
            <w:r>
              <w:rPr>
                <w:rFonts w:hAnsiTheme="minorEastAsia" w:eastAsiaTheme="minorEastAsia"/>
                <w:b/>
                <w:color w:val="000000" w:themeColor="text1"/>
                <w:kern w:val="0"/>
                <w:sz w:val="24"/>
                <w:szCs w:val="20"/>
                <w14:textFill>
                  <w14:solidFill>
                    <w14:schemeClr w14:val="tx1"/>
                  </w14:solidFill>
                </w14:textFill>
              </w:rPr>
              <w:t>（</w:t>
            </w:r>
            <w:r>
              <w:rPr>
                <w:rFonts w:eastAsiaTheme="minorEastAsia"/>
                <w:b/>
                <w:color w:val="000000" w:themeColor="text1"/>
                <w:kern w:val="0"/>
                <w:sz w:val="24"/>
                <w:szCs w:val="20"/>
                <w14:textFill>
                  <w14:solidFill>
                    <w14:schemeClr w14:val="tx1"/>
                  </w14:solidFill>
                </w14:textFill>
              </w:rPr>
              <w:t>3</w:t>
            </w:r>
            <w:r>
              <w:rPr>
                <w:rFonts w:hAnsiTheme="minorEastAsia" w:eastAsiaTheme="minorEastAsia"/>
                <w:b/>
                <w:color w:val="000000" w:themeColor="text1"/>
                <w:kern w:val="0"/>
                <w:sz w:val="24"/>
                <w:szCs w:val="20"/>
                <w14:textFill>
                  <w14:solidFill>
                    <w14:schemeClr w14:val="tx1"/>
                  </w14:solidFill>
                </w14:textFill>
              </w:rPr>
              <w:t>）穿孔与爆破破碎</w:t>
            </w:r>
          </w:p>
          <w:p>
            <w:pPr>
              <w:adjustRightInd w:val="0"/>
              <w:snapToGrid w:val="0"/>
              <w:spacing w:line="360" w:lineRule="auto"/>
              <w:ind w:firstLine="480" w:firstLineChars="200"/>
              <w:jc w:val="left"/>
              <w:rPr>
                <w:rFonts w:eastAsiaTheme="minorEastAsia"/>
                <w:bCs/>
                <w:color w:val="auto"/>
                <w:kern w:val="0"/>
                <w:sz w:val="24"/>
                <w:szCs w:val="20"/>
              </w:rPr>
            </w:pPr>
            <w:r>
              <w:rPr>
                <w:rFonts w:hAnsiTheme="minorEastAsia" w:eastAsiaTheme="minorEastAsia"/>
                <w:bCs/>
                <w:color w:val="000000" w:themeColor="text1"/>
                <w:kern w:val="0"/>
                <w:sz w:val="24"/>
                <w:szCs w:val="20"/>
                <w14:textFill>
                  <w14:solidFill>
                    <w14:schemeClr w14:val="tx1"/>
                  </w14:solidFill>
                </w14:textFill>
              </w:rPr>
              <w:t>由于山体内石材被表土、强风化岩所覆盖，在采石前须将其剥离，为采石工序做好准备。如表土及强风化岩较薄，采剥可同时进行。考虑本采场的岩石性质，本项目采用穿孔一装药一爆破的方法对岩体进行松动爆破，然后用挖掘</w:t>
            </w:r>
            <w:r>
              <w:rPr>
                <w:rFonts w:hAnsiTheme="minorEastAsia" w:eastAsiaTheme="minorEastAsia"/>
                <w:bCs/>
                <w:color w:val="auto"/>
                <w:kern w:val="0"/>
                <w:sz w:val="24"/>
                <w:szCs w:val="20"/>
              </w:rPr>
              <w:t>机铲装。采剥工作的结构要素为：</w:t>
            </w:r>
          </w:p>
          <w:p>
            <w:pPr>
              <w:adjustRightInd w:val="0"/>
              <w:snapToGrid w:val="0"/>
              <w:spacing w:line="360" w:lineRule="auto"/>
              <w:ind w:firstLine="480" w:firstLineChars="200"/>
              <w:jc w:val="left"/>
              <w:rPr>
                <w:rFonts w:eastAsiaTheme="minorEastAsia"/>
                <w:bCs/>
                <w:color w:val="auto"/>
                <w:kern w:val="0"/>
                <w:sz w:val="24"/>
                <w:szCs w:val="20"/>
              </w:rPr>
            </w:pPr>
            <w:r>
              <w:rPr>
                <w:rFonts w:hAnsiTheme="minorEastAsia" w:eastAsiaTheme="minorEastAsia"/>
                <w:bCs/>
                <w:color w:val="auto"/>
                <w:kern w:val="0"/>
                <w:sz w:val="24"/>
                <w:szCs w:val="20"/>
              </w:rPr>
              <w:t>工作台阶高度：</w:t>
            </w:r>
            <w:r>
              <w:rPr>
                <w:rFonts w:eastAsiaTheme="minorEastAsia"/>
                <w:bCs/>
                <w:color w:val="auto"/>
                <w:kern w:val="0"/>
                <w:sz w:val="24"/>
                <w:szCs w:val="20"/>
              </w:rPr>
              <w:t>15m</w:t>
            </w:r>
            <w:r>
              <w:rPr>
                <w:rFonts w:hAnsiTheme="minorEastAsia" w:eastAsiaTheme="minorEastAsia"/>
                <w:bCs/>
                <w:color w:val="auto"/>
                <w:kern w:val="0"/>
                <w:sz w:val="24"/>
                <w:szCs w:val="20"/>
              </w:rPr>
              <w:t>；</w:t>
            </w:r>
          </w:p>
          <w:p>
            <w:pPr>
              <w:adjustRightInd w:val="0"/>
              <w:snapToGrid w:val="0"/>
              <w:spacing w:line="360" w:lineRule="auto"/>
              <w:ind w:firstLine="480" w:firstLineChars="200"/>
              <w:jc w:val="left"/>
              <w:rPr>
                <w:rFonts w:eastAsiaTheme="minorEastAsia"/>
                <w:bCs/>
                <w:color w:val="auto"/>
                <w:kern w:val="0"/>
                <w:sz w:val="24"/>
                <w:szCs w:val="20"/>
              </w:rPr>
            </w:pPr>
            <w:r>
              <w:rPr>
                <w:rFonts w:hAnsiTheme="minorEastAsia" w:eastAsiaTheme="minorEastAsia"/>
                <w:bCs/>
                <w:color w:val="auto"/>
                <w:kern w:val="0"/>
                <w:sz w:val="24"/>
                <w:szCs w:val="20"/>
              </w:rPr>
              <w:t>工作台阶坡面角：</w:t>
            </w:r>
            <w:r>
              <w:rPr>
                <w:rFonts w:hint="eastAsia" w:eastAsiaTheme="minorEastAsia"/>
                <w:bCs/>
                <w:color w:val="auto"/>
                <w:kern w:val="0"/>
                <w:sz w:val="24"/>
                <w:szCs w:val="20"/>
                <w:lang w:val="en-US" w:eastAsia="zh-CN"/>
              </w:rPr>
              <w:t>65</w:t>
            </w:r>
            <w:r>
              <w:rPr>
                <w:rFonts w:eastAsiaTheme="minorEastAsia"/>
                <w:bCs/>
                <w:color w:val="auto"/>
                <w:kern w:val="0"/>
                <w:sz w:val="24"/>
                <w:szCs w:val="20"/>
              </w:rPr>
              <w:t>°</w:t>
            </w:r>
            <w:r>
              <w:rPr>
                <w:rFonts w:hAnsiTheme="minorEastAsia" w:eastAsiaTheme="minorEastAsia"/>
                <w:bCs/>
                <w:color w:val="auto"/>
                <w:kern w:val="0"/>
                <w:sz w:val="24"/>
                <w:szCs w:val="20"/>
              </w:rPr>
              <w:t>；</w:t>
            </w:r>
          </w:p>
          <w:p>
            <w:pPr>
              <w:adjustRightInd w:val="0"/>
              <w:snapToGrid w:val="0"/>
              <w:spacing w:line="360" w:lineRule="auto"/>
              <w:ind w:firstLine="480" w:firstLineChars="200"/>
              <w:jc w:val="left"/>
              <w:rPr>
                <w:rFonts w:hAnsiTheme="minorEastAsia" w:eastAsiaTheme="minorEastAsia"/>
                <w:bCs/>
                <w:color w:val="auto"/>
                <w:kern w:val="0"/>
                <w:sz w:val="24"/>
                <w:szCs w:val="20"/>
              </w:rPr>
            </w:pPr>
            <w:r>
              <w:rPr>
                <w:rFonts w:hAnsiTheme="minorEastAsia" w:eastAsiaTheme="minorEastAsia"/>
                <w:bCs/>
                <w:color w:val="auto"/>
                <w:kern w:val="0"/>
                <w:sz w:val="24"/>
                <w:szCs w:val="20"/>
              </w:rPr>
              <w:t>最小工作平台宽度：</w:t>
            </w:r>
            <w:r>
              <w:rPr>
                <w:rFonts w:hint="eastAsia" w:eastAsiaTheme="minorEastAsia"/>
                <w:bCs/>
                <w:color w:val="auto"/>
                <w:kern w:val="0"/>
                <w:sz w:val="24"/>
                <w:szCs w:val="20"/>
                <w:lang w:val="en-US" w:eastAsia="zh-CN"/>
              </w:rPr>
              <w:t>4</w:t>
            </w:r>
            <w:r>
              <w:rPr>
                <w:rFonts w:eastAsiaTheme="minorEastAsia"/>
                <w:bCs/>
                <w:color w:val="auto"/>
                <w:kern w:val="0"/>
                <w:sz w:val="24"/>
                <w:szCs w:val="20"/>
              </w:rPr>
              <w:t>0m</w:t>
            </w:r>
            <w:r>
              <w:rPr>
                <w:rFonts w:hAnsiTheme="minorEastAsia" w:eastAsiaTheme="minorEastAsia"/>
                <w:bCs/>
                <w:color w:val="auto"/>
                <w:kern w:val="0"/>
                <w:sz w:val="24"/>
                <w:szCs w:val="20"/>
              </w:rPr>
              <w:t>。</w:t>
            </w:r>
          </w:p>
          <w:p>
            <w:pPr>
              <w:adjustRightInd w:val="0"/>
              <w:snapToGrid w:val="0"/>
              <w:spacing w:line="360" w:lineRule="auto"/>
              <w:ind w:firstLine="480" w:firstLineChars="200"/>
              <w:jc w:val="left"/>
              <w:rPr>
                <w:rFonts w:hint="eastAsia" w:hAnsiTheme="minorEastAsia" w:eastAsiaTheme="minorEastAsia"/>
                <w:bCs/>
                <w:color w:val="auto"/>
                <w:kern w:val="0"/>
                <w:sz w:val="24"/>
                <w:szCs w:val="20"/>
                <w:lang w:val="en-US" w:eastAsia="zh-CN"/>
              </w:rPr>
            </w:pPr>
            <w:r>
              <w:rPr>
                <w:rFonts w:hint="eastAsia" w:hAnsiTheme="minorEastAsia" w:eastAsiaTheme="minorEastAsia"/>
                <w:bCs/>
                <w:color w:val="auto"/>
                <w:kern w:val="0"/>
                <w:sz w:val="24"/>
                <w:szCs w:val="20"/>
                <w:lang w:val="en-US" w:eastAsia="zh-CN"/>
              </w:rPr>
              <w:t>开采安全平台数量：3个</w:t>
            </w:r>
          </w:p>
          <w:p>
            <w:pPr>
              <w:adjustRightInd w:val="0"/>
              <w:snapToGrid w:val="0"/>
              <w:spacing w:line="360" w:lineRule="auto"/>
              <w:ind w:firstLine="480" w:firstLineChars="200"/>
              <w:jc w:val="left"/>
              <w:rPr>
                <w:rFonts w:hint="default" w:hAnsiTheme="minorEastAsia" w:eastAsiaTheme="minorEastAsia"/>
                <w:bCs/>
                <w:color w:val="auto"/>
                <w:kern w:val="0"/>
                <w:sz w:val="24"/>
                <w:szCs w:val="20"/>
                <w:lang w:val="en-US" w:eastAsia="zh-CN"/>
              </w:rPr>
            </w:pPr>
            <w:r>
              <w:rPr>
                <w:rFonts w:hint="eastAsia" w:hAnsiTheme="minorEastAsia" w:eastAsiaTheme="minorEastAsia"/>
                <w:bCs/>
                <w:color w:val="auto"/>
                <w:kern w:val="0"/>
                <w:sz w:val="24"/>
                <w:szCs w:val="20"/>
                <w:lang w:val="en-US" w:eastAsia="zh-CN"/>
              </w:rPr>
              <w:t>平均剥采比：0.0293m</w:t>
            </w:r>
            <w:r>
              <w:rPr>
                <w:rFonts w:hint="eastAsia" w:hAnsiTheme="minorEastAsia" w:eastAsiaTheme="minorEastAsia"/>
                <w:bCs/>
                <w:color w:val="auto"/>
                <w:kern w:val="0"/>
                <w:sz w:val="24"/>
                <w:szCs w:val="20"/>
                <w:vertAlign w:val="superscript"/>
                <w:lang w:val="en-US" w:eastAsia="zh-CN"/>
              </w:rPr>
              <w:t>3</w:t>
            </w:r>
            <w:r>
              <w:rPr>
                <w:rFonts w:hint="eastAsia" w:hAnsiTheme="minorEastAsia" w:eastAsiaTheme="minorEastAsia"/>
                <w:bCs/>
                <w:color w:val="auto"/>
                <w:kern w:val="0"/>
                <w:sz w:val="24"/>
                <w:szCs w:val="20"/>
                <w:lang w:val="en-US" w:eastAsia="zh-CN"/>
              </w:rPr>
              <w:t>/m</w:t>
            </w:r>
            <w:r>
              <w:rPr>
                <w:rFonts w:hint="eastAsia" w:hAnsiTheme="minorEastAsia" w:eastAsiaTheme="minorEastAsia"/>
                <w:bCs/>
                <w:color w:val="auto"/>
                <w:kern w:val="0"/>
                <w:sz w:val="24"/>
                <w:szCs w:val="20"/>
                <w:vertAlign w:val="superscript"/>
                <w:lang w:val="en-US" w:eastAsia="zh-CN"/>
              </w:rPr>
              <w:t>3</w:t>
            </w:r>
          </w:p>
          <w:p>
            <w:pPr>
              <w:adjustRightInd w:val="0"/>
              <w:snapToGrid w:val="0"/>
              <w:spacing w:line="360" w:lineRule="auto"/>
              <w:ind w:firstLine="480" w:firstLineChars="200"/>
              <w:jc w:val="left"/>
              <w:rPr>
                <w:rFonts w:hint="default" w:hAnsiTheme="minorEastAsia" w:eastAsiaTheme="minorEastAsia"/>
                <w:bCs/>
                <w:color w:val="auto"/>
                <w:kern w:val="0"/>
                <w:sz w:val="24"/>
                <w:szCs w:val="20"/>
                <w:lang w:val="en-US" w:eastAsia="zh-CN"/>
              </w:rPr>
            </w:pPr>
            <w:r>
              <w:rPr>
                <w:rFonts w:hint="eastAsia" w:hAnsiTheme="minorEastAsia" w:eastAsiaTheme="minorEastAsia"/>
                <w:bCs/>
                <w:color w:val="auto"/>
                <w:kern w:val="0"/>
                <w:sz w:val="24"/>
                <w:szCs w:val="20"/>
                <w:lang w:val="en-US" w:eastAsia="zh-CN"/>
              </w:rPr>
              <w:t>清扫平台：帮供清扫设备清除落石，每隔两个平台设置一个清扫平台，宽度为8m，安全平台宽5m。</w:t>
            </w:r>
          </w:p>
          <w:p>
            <w:pPr>
              <w:adjustRightInd w:val="0"/>
              <w:snapToGrid w:val="0"/>
              <w:spacing w:line="360" w:lineRule="auto"/>
              <w:ind w:firstLine="480" w:firstLineChars="200"/>
              <w:jc w:val="left"/>
              <w:rPr>
                <w:rFonts w:eastAsiaTheme="minorEastAsia"/>
                <w:bCs/>
                <w:color w:val="000000" w:themeColor="text1"/>
                <w:kern w:val="0"/>
                <w:sz w:val="24"/>
                <w:szCs w:val="20"/>
                <w14:textFill>
                  <w14:solidFill>
                    <w14:schemeClr w14:val="tx1"/>
                  </w14:solidFill>
                </w14:textFill>
              </w:rPr>
            </w:pPr>
            <w:r>
              <w:rPr>
                <w:rFonts w:hAnsiTheme="minorEastAsia" w:eastAsiaTheme="minorEastAsia"/>
                <w:bCs/>
                <w:color w:val="000000" w:themeColor="text1"/>
                <w:kern w:val="0"/>
                <w:sz w:val="24"/>
                <w:szCs w:val="20"/>
                <w14:textFill>
                  <w14:solidFill>
                    <w14:schemeClr w14:val="tx1"/>
                  </w14:solidFill>
                </w14:textFill>
              </w:rPr>
              <w:t>剥离：表土及强风化层的剥离，可用挖掘机直接挖装，或推土机配合装载机进行集堆铲装。</w:t>
            </w:r>
          </w:p>
          <w:p>
            <w:pPr>
              <w:adjustRightInd w:val="0"/>
              <w:snapToGrid w:val="0"/>
              <w:spacing w:line="360" w:lineRule="auto"/>
              <w:ind w:firstLine="480" w:firstLineChars="200"/>
              <w:jc w:val="left"/>
              <w:rPr>
                <w:rFonts w:eastAsiaTheme="minorEastAsia"/>
                <w:bCs/>
                <w:color w:val="000000" w:themeColor="text1"/>
                <w:kern w:val="0"/>
                <w:sz w:val="24"/>
                <w:szCs w:val="20"/>
                <w:highlight w:val="yellow"/>
                <w14:textFill>
                  <w14:solidFill>
                    <w14:schemeClr w14:val="tx1"/>
                  </w14:solidFill>
                </w14:textFill>
              </w:rPr>
            </w:pPr>
            <w:r>
              <w:rPr>
                <w:rFonts w:hAnsiTheme="minorEastAsia" w:eastAsiaTheme="minorEastAsia"/>
                <w:bCs/>
                <w:color w:val="000000" w:themeColor="text1"/>
                <w:kern w:val="0"/>
                <w:sz w:val="24"/>
                <w:szCs w:val="20"/>
                <w14:textFill>
                  <w14:solidFill>
                    <w14:schemeClr w14:val="tx1"/>
                  </w14:solidFill>
                </w14:textFill>
              </w:rPr>
              <w:t>穿孔：首先进行表面清理，露出岩石体表面。根据现场条件，采用气动空压机作为主要钻孔设备，分层作业。爆破：深孔爆破是直径大于</w:t>
            </w:r>
            <w:r>
              <w:rPr>
                <w:rFonts w:eastAsiaTheme="minorEastAsia"/>
                <w:bCs/>
                <w:color w:val="000000" w:themeColor="text1"/>
                <w:kern w:val="0"/>
                <w:sz w:val="24"/>
                <w:szCs w:val="20"/>
                <w14:textFill>
                  <w14:solidFill>
                    <w14:schemeClr w14:val="tx1"/>
                  </w14:solidFill>
                </w14:textFill>
              </w:rPr>
              <w:t>75mm</w:t>
            </w:r>
            <w:r>
              <w:rPr>
                <w:rFonts w:hAnsiTheme="minorEastAsia" w:eastAsiaTheme="minorEastAsia"/>
                <w:bCs/>
                <w:color w:val="000000" w:themeColor="text1"/>
                <w:kern w:val="0"/>
                <w:sz w:val="24"/>
                <w:szCs w:val="20"/>
                <w14:textFill>
                  <w14:solidFill>
                    <w14:schemeClr w14:val="tx1"/>
                  </w14:solidFill>
                </w14:textFill>
              </w:rPr>
              <w:t>、深孔大于</w:t>
            </w:r>
            <w:r>
              <w:rPr>
                <w:rFonts w:eastAsiaTheme="minorEastAsia"/>
                <w:bCs/>
                <w:color w:val="000000" w:themeColor="text1"/>
                <w:kern w:val="0"/>
                <w:sz w:val="24"/>
                <w:szCs w:val="20"/>
                <w14:textFill>
                  <w14:solidFill>
                    <w14:schemeClr w14:val="tx1"/>
                  </w14:solidFill>
                </w14:textFill>
              </w:rPr>
              <w:t>5m</w:t>
            </w:r>
            <w:r>
              <w:rPr>
                <w:rFonts w:hAnsiTheme="minorEastAsia" w:eastAsiaTheme="minorEastAsia"/>
                <w:bCs/>
                <w:color w:val="000000" w:themeColor="text1"/>
                <w:kern w:val="0"/>
                <w:sz w:val="24"/>
                <w:szCs w:val="20"/>
                <w14:textFill>
                  <w14:solidFill>
                    <w14:schemeClr w14:val="tx1"/>
                  </w14:solidFill>
                </w14:textFill>
              </w:rPr>
              <w:t>的炮孔爆破技术，爆破由</w:t>
            </w:r>
            <w:r>
              <w:rPr>
                <w:rFonts w:hint="eastAsia" w:hAnsiTheme="minorEastAsia" w:eastAsiaTheme="minorEastAsia"/>
                <w:bCs/>
                <w:color w:val="000000" w:themeColor="text1"/>
                <w:kern w:val="0"/>
                <w:sz w:val="24"/>
                <w:szCs w:val="20"/>
                <w14:textFill>
                  <w14:solidFill>
                    <w14:schemeClr w14:val="tx1"/>
                  </w14:solidFill>
                </w14:textFill>
              </w:rPr>
              <w:t>安康</w:t>
            </w:r>
            <w:r>
              <w:rPr>
                <w:rFonts w:hAnsiTheme="minorEastAsia" w:eastAsiaTheme="minorEastAsia"/>
                <w:bCs/>
                <w:color w:val="000000" w:themeColor="text1"/>
                <w:kern w:val="0"/>
                <w:sz w:val="24"/>
                <w:szCs w:val="20"/>
                <w14:textFill>
                  <w14:solidFill>
                    <w14:schemeClr w14:val="tx1"/>
                  </w14:solidFill>
                </w14:textFill>
              </w:rPr>
              <w:t>恒泰爆破服务有限公司派专业人员进行。</w:t>
            </w:r>
          </w:p>
          <w:p>
            <w:pPr>
              <w:adjustRightInd w:val="0"/>
              <w:snapToGrid w:val="0"/>
              <w:spacing w:line="360" w:lineRule="auto"/>
              <w:ind w:firstLine="480" w:firstLineChars="200"/>
              <w:jc w:val="left"/>
            </w:pPr>
            <w:r>
              <w:rPr>
                <w:rFonts w:hAnsiTheme="minorEastAsia" w:eastAsiaTheme="minorEastAsia"/>
                <w:bCs/>
                <w:color w:val="000000" w:themeColor="text1"/>
                <w:kern w:val="0"/>
                <w:sz w:val="24"/>
                <w:szCs w:val="20"/>
                <w14:textFill>
                  <w14:solidFill>
                    <w14:schemeClr w14:val="tx1"/>
                  </w14:solidFill>
                </w14:textFill>
              </w:rPr>
              <w:t>本矿山开采采用微差爆破工艺，设计一次爆破单段</w:t>
            </w:r>
            <w:r>
              <w:rPr>
                <w:rFonts w:hint="eastAsia" w:eastAsiaTheme="minorEastAsia"/>
                <w:bCs/>
                <w:color w:val="000000" w:themeColor="text1"/>
                <w:kern w:val="0"/>
                <w:sz w:val="24"/>
                <w:szCs w:val="20"/>
                <w:lang w:val="en-US" w:eastAsia="zh-CN"/>
                <w14:textFill>
                  <w14:solidFill>
                    <w14:schemeClr w14:val="tx1"/>
                  </w14:solidFill>
                </w14:textFill>
              </w:rPr>
              <w:t>8</w:t>
            </w:r>
            <w:r>
              <w:rPr>
                <w:rFonts w:hAnsiTheme="minorEastAsia" w:eastAsiaTheme="minorEastAsia"/>
                <w:bCs/>
                <w:color w:val="000000" w:themeColor="text1"/>
                <w:kern w:val="0"/>
                <w:sz w:val="24"/>
                <w:szCs w:val="20"/>
                <w14:textFill>
                  <w14:solidFill>
                    <w14:schemeClr w14:val="tx1"/>
                  </w14:solidFill>
                </w14:textFill>
              </w:rPr>
              <w:t>个炮孔，爆破实行周期制，每年爆破次数</w:t>
            </w:r>
            <w:r>
              <w:rPr>
                <w:rFonts w:hint="eastAsia" w:eastAsiaTheme="minorEastAsia"/>
                <w:bCs/>
                <w:color w:val="000000" w:themeColor="text1"/>
                <w:kern w:val="0"/>
                <w:sz w:val="24"/>
                <w:szCs w:val="20"/>
                <w14:textFill>
                  <w14:solidFill>
                    <w14:schemeClr w14:val="tx1"/>
                  </w14:solidFill>
                </w14:textFill>
              </w:rPr>
              <w:t>150</w:t>
            </w:r>
            <w:r>
              <w:rPr>
                <w:rFonts w:hAnsiTheme="minorEastAsia" w:eastAsiaTheme="minorEastAsia"/>
                <w:bCs/>
                <w:color w:val="000000" w:themeColor="text1"/>
                <w:kern w:val="0"/>
                <w:sz w:val="24"/>
                <w:szCs w:val="20"/>
                <w14:textFill>
                  <w14:solidFill>
                    <w14:schemeClr w14:val="tx1"/>
                  </w14:solidFill>
                </w14:textFill>
              </w:rPr>
              <w:t>次</w:t>
            </w:r>
            <w:r>
              <w:rPr>
                <w:rFonts w:hint="eastAsia" w:hAnsiTheme="minorEastAsia" w:eastAsiaTheme="minorEastAsia"/>
                <w:bCs/>
                <w:color w:val="000000" w:themeColor="text1"/>
                <w:kern w:val="0"/>
                <w:sz w:val="24"/>
                <w:szCs w:val="20"/>
                <w:lang w:eastAsia="zh-CN"/>
                <w14:textFill>
                  <w14:solidFill>
                    <w14:schemeClr w14:val="tx1"/>
                  </w14:solidFill>
                </w14:textFill>
              </w:rPr>
              <w:t>，</w:t>
            </w:r>
            <w:r>
              <w:rPr>
                <w:rFonts w:hAnsiTheme="minorEastAsia" w:eastAsiaTheme="minorEastAsia"/>
                <w:bCs/>
                <w:color w:val="000000" w:themeColor="text1"/>
                <w:kern w:val="0"/>
                <w:sz w:val="24"/>
                <w:szCs w:val="20"/>
                <w14:textFill>
                  <w14:solidFill>
                    <w14:schemeClr w14:val="tx1"/>
                  </w14:solidFill>
                </w14:textFill>
              </w:rPr>
              <w:t>每次爆破装药量约</w:t>
            </w:r>
            <w:r>
              <w:rPr>
                <w:rFonts w:eastAsiaTheme="minorEastAsia"/>
                <w:bCs/>
                <w:color w:val="000000" w:themeColor="text1"/>
                <w:kern w:val="0"/>
                <w:sz w:val="24"/>
                <w:szCs w:val="20"/>
                <w14:textFill>
                  <w14:solidFill>
                    <w14:schemeClr w14:val="tx1"/>
                  </w14:solidFill>
                </w14:textFill>
              </w:rPr>
              <w:t>200kg</w:t>
            </w:r>
            <w:r>
              <w:rPr>
                <w:rFonts w:hAnsiTheme="minorEastAsia" w:eastAsiaTheme="minorEastAsia"/>
                <w:bCs/>
                <w:color w:val="000000" w:themeColor="text1"/>
                <w:kern w:val="0"/>
                <w:sz w:val="24"/>
                <w:szCs w:val="20"/>
                <w14:textFill>
                  <w14:solidFill>
                    <w14:schemeClr w14:val="tx1"/>
                  </w14:solidFill>
                </w14:textFill>
              </w:rPr>
              <w:t>，则爆破装药量为</w:t>
            </w:r>
            <w:r>
              <w:rPr>
                <w:rFonts w:hint="eastAsia" w:eastAsiaTheme="minorEastAsia"/>
                <w:bCs/>
                <w:color w:val="000000" w:themeColor="text1"/>
                <w:kern w:val="0"/>
                <w:sz w:val="24"/>
                <w:szCs w:val="20"/>
                <w14:textFill>
                  <w14:solidFill>
                    <w14:schemeClr w14:val="tx1"/>
                  </w14:solidFill>
                </w14:textFill>
              </w:rPr>
              <w:t>30</w:t>
            </w:r>
            <w:r>
              <w:rPr>
                <w:rFonts w:eastAsiaTheme="minorEastAsia"/>
                <w:bCs/>
                <w:color w:val="000000" w:themeColor="text1"/>
                <w:kern w:val="0"/>
                <w:sz w:val="24"/>
                <w:szCs w:val="20"/>
                <w14:textFill>
                  <w14:solidFill>
                    <w14:schemeClr w14:val="tx1"/>
                  </w14:solidFill>
                </w14:textFill>
              </w:rPr>
              <w:t>t/a</w:t>
            </w:r>
            <w:r>
              <w:rPr>
                <w:rFonts w:hAnsiTheme="minorEastAsia" w:eastAsiaTheme="minorEastAsia"/>
                <w:bCs/>
                <w:color w:val="000000" w:themeColor="text1"/>
                <w:kern w:val="0"/>
                <w:sz w:val="24"/>
                <w:szCs w:val="20"/>
                <w14:textFill>
                  <w14:solidFill>
                    <w14:schemeClr w14:val="tx1"/>
                  </w14:solidFill>
                </w14:textFill>
              </w:rPr>
              <w:t>。</w:t>
            </w:r>
          </w:p>
          <w:p>
            <w:pPr>
              <w:adjustRightInd w:val="0"/>
              <w:snapToGrid w:val="0"/>
              <w:spacing w:line="360" w:lineRule="auto"/>
              <w:ind w:firstLine="482" w:firstLineChars="200"/>
              <w:jc w:val="left"/>
              <w:rPr>
                <w:rFonts w:eastAsiaTheme="minorEastAsia"/>
                <w:b/>
                <w:color w:val="000000" w:themeColor="text1"/>
                <w:kern w:val="0"/>
                <w:sz w:val="24"/>
                <w:szCs w:val="20"/>
                <w14:textFill>
                  <w14:solidFill>
                    <w14:schemeClr w14:val="tx1"/>
                  </w14:solidFill>
                </w14:textFill>
              </w:rPr>
            </w:pPr>
            <w:r>
              <w:rPr>
                <w:rFonts w:hAnsiTheme="minorEastAsia" w:eastAsiaTheme="minorEastAsia"/>
                <w:b/>
                <w:color w:val="000000" w:themeColor="text1"/>
                <w:kern w:val="0"/>
                <w:sz w:val="24"/>
                <w:szCs w:val="20"/>
                <w14:textFill>
                  <w14:solidFill>
                    <w14:schemeClr w14:val="tx1"/>
                  </w14:solidFill>
                </w14:textFill>
              </w:rPr>
              <w:t>（</w:t>
            </w:r>
            <w:r>
              <w:rPr>
                <w:rFonts w:eastAsiaTheme="minorEastAsia"/>
                <w:b/>
                <w:color w:val="000000" w:themeColor="text1"/>
                <w:kern w:val="0"/>
                <w:sz w:val="24"/>
                <w:szCs w:val="20"/>
                <w14:textFill>
                  <w14:solidFill>
                    <w14:schemeClr w14:val="tx1"/>
                  </w14:solidFill>
                </w14:textFill>
              </w:rPr>
              <w:t>4</w:t>
            </w:r>
            <w:r>
              <w:rPr>
                <w:rFonts w:hAnsiTheme="minorEastAsia" w:eastAsiaTheme="minorEastAsia"/>
                <w:b/>
                <w:color w:val="000000" w:themeColor="text1"/>
                <w:kern w:val="0"/>
                <w:sz w:val="24"/>
                <w:szCs w:val="20"/>
                <w14:textFill>
                  <w14:solidFill>
                    <w14:schemeClr w14:val="tx1"/>
                  </w14:solidFill>
                </w14:textFill>
              </w:rPr>
              <w:t>）采装</w:t>
            </w:r>
          </w:p>
          <w:p>
            <w:pPr>
              <w:adjustRightInd w:val="0"/>
              <w:snapToGrid w:val="0"/>
              <w:spacing w:line="360" w:lineRule="auto"/>
              <w:ind w:firstLine="480" w:firstLineChars="200"/>
              <w:jc w:val="left"/>
              <w:rPr>
                <w:rFonts w:eastAsiaTheme="minorEastAsia"/>
                <w:bCs/>
                <w:color w:val="000000" w:themeColor="text1"/>
                <w:kern w:val="0"/>
                <w:sz w:val="24"/>
                <w:szCs w:val="20"/>
                <w14:textFill>
                  <w14:solidFill>
                    <w14:schemeClr w14:val="tx1"/>
                  </w14:solidFill>
                </w14:textFill>
              </w:rPr>
            </w:pPr>
            <w:r>
              <w:rPr>
                <w:rFonts w:hAnsiTheme="minorEastAsia" w:eastAsiaTheme="minorEastAsia"/>
                <w:bCs/>
                <w:color w:val="000000" w:themeColor="text1"/>
                <w:kern w:val="0"/>
                <w:sz w:val="24"/>
                <w:szCs w:val="20"/>
                <w14:textFill>
                  <w14:solidFill>
                    <w14:schemeClr w14:val="tx1"/>
                  </w14:solidFill>
                </w14:textFill>
              </w:rPr>
              <w:t>机械铲装：矿石爆破后，用挖掘机机铲装至碎石场进行破碎加工。</w:t>
            </w:r>
          </w:p>
          <w:p>
            <w:pPr>
              <w:adjustRightInd w:val="0"/>
              <w:snapToGrid w:val="0"/>
              <w:spacing w:line="360" w:lineRule="auto"/>
              <w:ind w:firstLine="482" w:firstLineChars="200"/>
              <w:jc w:val="left"/>
              <w:rPr>
                <w:rFonts w:eastAsiaTheme="minorEastAsia"/>
                <w:b/>
                <w:color w:val="000000" w:themeColor="text1"/>
                <w:kern w:val="0"/>
                <w:sz w:val="24"/>
                <w:szCs w:val="20"/>
                <w14:textFill>
                  <w14:solidFill>
                    <w14:schemeClr w14:val="tx1"/>
                  </w14:solidFill>
                </w14:textFill>
              </w:rPr>
            </w:pPr>
            <w:r>
              <w:rPr>
                <w:rFonts w:hAnsiTheme="minorEastAsia" w:eastAsiaTheme="minorEastAsia"/>
                <w:b/>
                <w:color w:val="000000" w:themeColor="text1"/>
                <w:kern w:val="0"/>
                <w:sz w:val="24"/>
                <w:szCs w:val="20"/>
                <w14:textFill>
                  <w14:solidFill>
                    <w14:schemeClr w14:val="tx1"/>
                  </w14:solidFill>
                </w14:textFill>
              </w:rPr>
              <w:t>（</w:t>
            </w:r>
            <w:r>
              <w:rPr>
                <w:rFonts w:eastAsiaTheme="minorEastAsia"/>
                <w:b/>
                <w:color w:val="000000" w:themeColor="text1"/>
                <w:kern w:val="0"/>
                <w:sz w:val="24"/>
                <w:szCs w:val="20"/>
                <w14:textFill>
                  <w14:solidFill>
                    <w14:schemeClr w14:val="tx1"/>
                  </w14:solidFill>
                </w14:textFill>
              </w:rPr>
              <w:t>5</w:t>
            </w:r>
            <w:r>
              <w:rPr>
                <w:rFonts w:hAnsiTheme="minorEastAsia" w:eastAsiaTheme="minorEastAsia"/>
                <w:b/>
                <w:color w:val="000000" w:themeColor="text1"/>
                <w:kern w:val="0"/>
                <w:sz w:val="24"/>
                <w:szCs w:val="20"/>
                <w14:textFill>
                  <w14:solidFill>
                    <w14:schemeClr w14:val="tx1"/>
                  </w14:solidFill>
                </w14:textFill>
              </w:rPr>
              <w:t>）矿石加工工艺</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①喂料：矿石由自卸汽车直接卸入半封闭式料仓，进入料仓下方封闭式喂料机。经喂料机振动，部分弃土分离出，经装载机铲装入自卸式运输车运至排土场。</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②</w:t>
            </w:r>
            <w:r>
              <w:rPr>
                <w:rFonts w:hint="eastAsia" w:hAnsiTheme="minorEastAsia" w:eastAsiaTheme="minorEastAsia"/>
                <w:color w:val="000000" w:themeColor="text1"/>
                <w:sz w:val="24"/>
                <w14:textFill>
                  <w14:solidFill>
                    <w14:schemeClr w14:val="tx1"/>
                  </w14:solidFill>
                </w14:textFill>
              </w:rPr>
              <w:t>鄂坡</w:t>
            </w:r>
            <w:r>
              <w:rPr>
                <w:rFonts w:hAnsiTheme="minorEastAsia" w:eastAsiaTheme="minorEastAsia"/>
                <w:color w:val="000000" w:themeColor="text1"/>
                <w:sz w:val="24"/>
                <w14:textFill>
                  <w14:solidFill>
                    <w14:schemeClr w14:val="tx1"/>
                  </w14:solidFill>
                </w14:textFill>
              </w:rPr>
              <w:t>：矿石进入颚式破碎机，进行一级破碎，将大块物料破碎成中等块度物料。</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③</w:t>
            </w:r>
            <w:r>
              <w:rPr>
                <w:rFonts w:hint="eastAsia" w:hAnsiTheme="minorEastAsia" w:eastAsiaTheme="minorEastAsia"/>
                <w:color w:val="000000" w:themeColor="text1"/>
                <w:sz w:val="24"/>
                <w14:textFill>
                  <w14:solidFill>
                    <w14:schemeClr w14:val="tx1"/>
                  </w14:solidFill>
                </w14:textFill>
              </w:rPr>
              <w:t>二级</w:t>
            </w:r>
            <w:r>
              <w:rPr>
                <w:rFonts w:hAnsiTheme="minorEastAsia" w:eastAsiaTheme="minorEastAsia"/>
                <w:color w:val="000000" w:themeColor="text1"/>
                <w:sz w:val="24"/>
                <w14:textFill>
                  <w14:solidFill>
                    <w14:schemeClr w14:val="tx1"/>
                  </w14:solidFill>
                </w14:textFill>
              </w:rPr>
              <w:t>破</w:t>
            </w:r>
            <w:r>
              <w:rPr>
                <w:rFonts w:hint="eastAsia" w:hAnsiTheme="minorEastAsia" w:eastAsiaTheme="minorEastAsia"/>
                <w:color w:val="000000" w:themeColor="text1"/>
                <w:sz w:val="24"/>
                <w14:textFill>
                  <w14:solidFill>
                    <w14:schemeClr w14:val="tx1"/>
                  </w14:solidFill>
                </w14:textFill>
              </w:rPr>
              <w:t>碎</w:t>
            </w:r>
            <w:r>
              <w:rPr>
                <w:rFonts w:hAnsiTheme="minorEastAsia" w:eastAsiaTheme="minorEastAsia"/>
                <w:color w:val="000000" w:themeColor="text1"/>
                <w:sz w:val="24"/>
                <w14:textFill>
                  <w14:solidFill>
                    <w14:schemeClr w14:val="tx1"/>
                  </w14:solidFill>
                </w14:textFill>
              </w:rPr>
              <w:t>：一级破碎的物料通过密闭皮带机输送到反击式破碎机进行二级破碎，破碎后的物料通过输送带送至筛分系统筛分出不同规格的石料。产生</w:t>
            </w:r>
            <w:r>
              <w:rPr>
                <w:rFonts w:eastAsiaTheme="minorEastAsia"/>
                <w:color w:val="000000" w:themeColor="text1"/>
                <w:sz w:val="24"/>
                <w14:textFill>
                  <w14:solidFill>
                    <w14:schemeClr w14:val="tx1"/>
                  </w14:solidFill>
                </w14:textFill>
              </w:rPr>
              <w:t>2.6—6.3</w:t>
            </w:r>
            <w:r>
              <w:rPr>
                <w:rFonts w:hAnsiTheme="minorEastAsia" w:eastAsiaTheme="minorEastAsia"/>
                <w:color w:val="000000" w:themeColor="text1"/>
                <w:sz w:val="24"/>
                <w14:textFill>
                  <w14:solidFill>
                    <w14:schemeClr w14:val="tx1"/>
                  </w14:solidFill>
                </w14:textFill>
              </w:rPr>
              <w:t>石料，皮带输送至</w:t>
            </w:r>
            <w:r>
              <w:rPr>
                <w:rFonts w:eastAsiaTheme="minorEastAsia"/>
                <w:color w:val="000000" w:themeColor="text1"/>
                <w:sz w:val="24"/>
                <w14:textFill>
                  <w14:solidFill>
                    <w14:schemeClr w14:val="tx1"/>
                  </w14:solidFill>
                </w14:textFill>
              </w:rPr>
              <w:t>1#</w:t>
            </w:r>
            <w:r>
              <w:rPr>
                <w:rFonts w:hAnsiTheme="minorEastAsia" w:eastAsiaTheme="minorEastAsia"/>
                <w:color w:val="000000" w:themeColor="text1"/>
                <w:sz w:val="24"/>
                <w14:textFill>
                  <w14:solidFill>
                    <w14:schemeClr w14:val="tx1"/>
                  </w14:solidFill>
                </w14:textFill>
              </w:rPr>
              <w:t>料仓。设备进料和出料裸露部位设有集气装置。</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④筛分：破碎后的物料经封闭式传输带进入封闭式制砂机，加入水，振动筛进行筛分，将产品建筑石料矿通过封闭式传输带进入成品仓。</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⑤制砂：其余砂料进入洗砂机和脱水筛，废水回流沉淀池沉淀回用，不外排。产生机制砂成品通过封闭式传输带进入成品仓。</w:t>
            </w:r>
          </w:p>
          <w:p>
            <w:pPr>
              <w:adjustRightInd w:val="0"/>
              <w:snapToGrid w:val="0"/>
              <w:spacing w:line="360" w:lineRule="auto"/>
              <w:ind w:firstLine="482" w:firstLineChars="200"/>
              <w:jc w:val="left"/>
              <w:rPr>
                <w:rFonts w:eastAsiaTheme="minorEastAsia"/>
                <w:b/>
                <w:color w:val="000000" w:themeColor="text1"/>
                <w:kern w:val="0"/>
                <w:sz w:val="24"/>
                <w:szCs w:val="20"/>
                <w14:textFill>
                  <w14:solidFill>
                    <w14:schemeClr w14:val="tx1"/>
                  </w14:solidFill>
                </w14:textFill>
              </w:rPr>
            </w:pPr>
            <w:r>
              <w:rPr>
                <w:rFonts w:hAnsiTheme="minorEastAsia" w:eastAsiaTheme="minorEastAsia"/>
                <w:b/>
                <w:color w:val="000000" w:themeColor="text1"/>
                <w:kern w:val="0"/>
                <w:sz w:val="24"/>
                <w:szCs w:val="20"/>
                <w14:textFill>
                  <w14:solidFill>
                    <w14:schemeClr w14:val="tx1"/>
                  </w14:solidFill>
                </w14:textFill>
              </w:rPr>
              <w:t>（</w:t>
            </w:r>
            <w:r>
              <w:rPr>
                <w:rFonts w:eastAsiaTheme="minorEastAsia"/>
                <w:b/>
                <w:color w:val="000000" w:themeColor="text1"/>
                <w:kern w:val="0"/>
                <w:sz w:val="24"/>
                <w:szCs w:val="20"/>
                <w14:textFill>
                  <w14:solidFill>
                    <w14:schemeClr w14:val="tx1"/>
                  </w14:solidFill>
                </w14:textFill>
              </w:rPr>
              <w:t>6</w:t>
            </w:r>
            <w:r>
              <w:rPr>
                <w:rFonts w:hAnsiTheme="minorEastAsia" w:eastAsiaTheme="minorEastAsia"/>
                <w:b/>
                <w:color w:val="000000" w:themeColor="text1"/>
                <w:kern w:val="0"/>
                <w:sz w:val="24"/>
                <w:szCs w:val="20"/>
                <w14:textFill>
                  <w14:solidFill>
                    <w14:schemeClr w14:val="tx1"/>
                  </w14:solidFill>
                </w14:textFill>
              </w:rPr>
              <w:t>）成品堆存和销售</w:t>
            </w:r>
          </w:p>
          <w:p>
            <w:pPr>
              <w:adjustRightInd w:val="0"/>
              <w:snapToGrid w:val="0"/>
              <w:spacing w:line="360" w:lineRule="auto"/>
              <w:ind w:firstLine="480" w:firstLineChars="200"/>
              <w:jc w:val="left"/>
              <w:rPr>
                <w:rFonts w:hAnsiTheme="minorEastAsia" w:eastAsiaTheme="minorEastAsia"/>
                <w:color w:val="000000" w:themeColor="text1"/>
                <w:kern w:val="0"/>
                <w:sz w:val="24"/>
                <w:szCs w:val="20"/>
                <w14:textFill>
                  <w14:solidFill>
                    <w14:schemeClr w14:val="tx1"/>
                  </w14:solidFill>
                </w14:textFill>
              </w:rPr>
            </w:pPr>
            <w:r>
              <w:rPr>
                <w:rFonts w:hAnsiTheme="minorEastAsia" w:eastAsiaTheme="minorEastAsia"/>
                <w:color w:val="000000" w:themeColor="text1"/>
                <w:kern w:val="0"/>
                <w:sz w:val="24"/>
                <w:szCs w:val="20"/>
                <w14:textFill>
                  <w14:solidFill>
                    <w14:schemeClr w14:val="tx1"/>
                  </w14:solidFill>
                </w14:textFill>
              </w:rPr>
              <w:t>成品制造完成后用</w:t>
            </w:r>
            <w:r>
              <w:rPr>
                <w:rFonts w:hint="eastAsia" w:hAnsiTheme="minorEastAsia" w:eastAsiaTheme="minorEastAsia"/>
                <w:color w:val="000000" w:themeColor="text1"/>
                <w:kern w:val="0"/>
                <w:sz w:val="24"/>
                <w:szCs w:val="20"/>
                <w:lang w:val="en-US" w:eastAsia="zh-CN"/>
                <w14:textFill>
                  <w14:solidFill>
                    <w14:schemeClr w14:val="tx1"/>
                  </w14:solidFill>
                </w14:textFill>
              </w:rPr>
              <w:t>防尘网</w:t>
            </w:r>
            <w:r>
              <w:rPr>
                <w:rFonts w:hAnsiTheme="minorEastAsia" w:eastAsiaTheme="minorEastAsia"/>
                <w:color w:val="000000" w:themeColor="text1"/>
                <w:kern w:val="0"/>
                <w:sz w:val="24"/>
                <w:szCs w:val="20"/>
                <w14:textFill>
                  <w14:solidFill>
                    <w14:schemeClr w14:val="tx1"/>
                  </w14:solidFill>
                </w14:textFill>
              </w:rPr>
              <w:t>遮盖堆存于封闭成品仓内，采用汽车公路运输方式外运销售。</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eastAsia" w:hAnsiTheme="minorEastAsia" w:eastAsiaTheme="minorEastAsia"/>
                <w:color w:val="auto"/>
                <w:sz w:val="24"/>
                <w:lang w:val="en-US" w:eastAsia="zh-CN"/>
              </w:rPr>
              <w:t>三、安康市汉滨区梅子铺石门子辉绿岩矿矿产资源开发利用方案审查意见相</w:t>
            </w:r>
            <w:r>
              <w:rPr>
                <w:rFonts w:hint="default" w:ascii="Times New Roman" w:hAnsi="Times New Roman" w:cs="Times New Roman" w:eastAsiaTheme="minorEastAsia"/>
                <w:color w:val="auto"/>
                <w:sz w:val="24"/>
                <w:lang w:val="en-US" w:eastAsia="zh-CN"/>
              </w:rPr>
              <w:t>关内</w:t>
            </w:r>
            <w:r>
              <w:rPr>
                <w:rFonts w:hint="default" w:ascii="Times New Roman" w:hAnsi="Times New Roman" w:cs="Times New Roman" w:eastAsiaTheme="minorEastAsia"/>
                <w:color w:val="auto"/>
                <w:sz w:val="24"/>
                <w:szCs w:val="24"/>
                <w:lang w:val="en-US" w:eastAsia="zh-CN"/>
              </w:rPr>
              <w:t>容：</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①开采面积</w:t>
            </w:r>
          </w:p>
          <w:p>
            <w:pPr>
              <w:pStyle w:val="17"/>
              <w:spacing w:after="0"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安康市汉滨区梅子铺石门子辉绿岩矿矿区范围由四个拐点圈定，面积为0.4745km</w:t>
            </w:r>
            <w:r>
              <w:rPr>
                <w:rFonts w:hint="default" w:ascii="Times New Roman" w:hAnsi="Times New Roman" w:cs="Times New Roman" w:eastAsiaTheme="minorEastAsia"/>
                <w:color w:val="auto"/>
                <w:sz w:val="24"/>
                <w:vertAlign w:val="superscript"/>
                <w:lang w:val="en-US" w:eastAsia="zh-CN"/>
              </w:rPr>
              <w:t>2</w:t>
            </w:r>
            <w:r>
              <w:rPr>
                <w:rFonts w:hint="default" w:ascii="Times New Roman" w:hAnsi="Times New Roman" w:cs="Times New Roman" w:eastAsiaTheme="minorEastAsia"/>
                <w:color w:val="auto"/>
                <w:sz w:val="24"/>
                <w:lang w:val="en-US" w:eastAsia="zh-CN"/>
              </w:rPr>
              <w:t>，开采标高600-400米。</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②开采储量确定</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根据《陕西省安康市汉滨区梅子铺石门子辉绿岩矿资源储量核实报告》矿产资源储量备案证明（安国土资储备[2018]24号），</w:t>
            </w:r>
            <w:r>
              <w:rPr>
                <w:rFonts w:hint="eastAsia" w:ascii="Times New Roman" w:hAnsi="Times New Roman" w:cs="Times New Roman" w:eastAsiaTheme="minorEastAsia"/>
                <w:color w:val="auto"/>
                <w:sz w:val="24"/>
                <w:szCs w:val="24"/>
                <w:lang w:val="en-US" w:eastAsia="zh-CN"/>
              </w:rPr>
              <w:t>截止2017年</w:t>
            </w:r>
            <w:r>
              <w:rPr>
                <w:rFonts w:hint="default" w:ascii="Times New Roman" w:hAnsi="Times New Roman" w:cs="Times New Roman" w:eastAsiaTheme="minorEastAsia"/>
                <w:color w:val="auto"/>
                <w:sz w:val="24"/>
                <w:szCs w:val="24"/>
                <w:lang w:val="en-US" w:eastAsia="zh-CN"/>
              </w:rPr>
              <w:t>12月31日，矿区内辉绿岩矿保有的推断的内蕴经济资源量（333）矿石量1421.77万吨，基本农田压占资源量709.61万吨，设计损失量98.70万吨，资源可信系数取1.0，设计利用</w:t>
            </w:r>
            <w:r>
              <w:rPr>
                <w:rFonts w:hint="eastAsia" w:ascii="Times New Roman" w:hAnsi="Times New Roman" w:cs="Times New Roman" w:eastAsiaTheme="minorEastAsia"/>
                <w:color w:val="auto"/>
                <w:sz w:val="24"/>
                <w:szCs w:val="24"/>
                <w:lang w:val="en-US" w:eastAsia="zh-CN"/>
              </w:rPr>
              <w:t>资源</w:t>
            </w:r>
            <w:r>
              <w:rPr>
                <w:rFonts w:hint="default" w:ascii="Times New Roman" w:hAnsi="Times New Roman" w:cs="Times New Roman" w:eastAsiaTheme="minorEastAsia"/>
                <w:color w:val="auto"/>
                <w:sz w:val="24"/>
                <w:szCs w:val="24"/>
                <w:lang w:val="en-US" w:eastAsia="zh-CN"/>
              </w:rPr>
              <w:t>量613.46万吨，回采率97%，可采资源量为：595.06万吨。</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③开拓运输、排水系统</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根据地形地貌、矿体赋存状态，推荐采用露天开采方式，采用公路开拓汽车运输，分为K1-1和K1-2两个采区开采。矿山采用自流排水，矿区周边设置截排水沟。</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color w:val="auto"/>
                <w:sz w:val="24"/>
                <w:szCs w:val="24"/>
                <w:lang w:val="en-US" w:eastAsia="zh-CN"/>
              </w:rPr>
              <w:t>④</w:t>
            </w:r>
            <w:r>
              <w:rPr>
                <w:rFonts w:hint="default" w:ascii="Times New Roman" w:hAnsi="Times New Roman" w:cs="Times New Roman" w:eastAsiaTheme="minorEastAsia"/>
                <w:color w:val="auto"/>
                <w:sz w:val="24"/>
                <w:szCs w:val="24"/>
                <w:lang w:val="en-US" w:eastAsia="zh-CN"/>
              </w:rPr>
              <w:t>采矿方法</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矿山采用自上而下台阶式开采，台阶高度为15m，台阶坡面角为65°，安全平台宽5m，清扫平台宽8m，矿山最终边坡角：56.64°（K1-1开采区）、51.12°（K1-2采区）。</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color w:val="auto"/>
                <w:sz w:val="24"/>
                <w:szCs w:val="24"/>
                <w:lang w:val="en-US" w:eastAsia="zh-CN"/>
              </w:rPr>
              <w:t>⑤</w:t>
            </w:r>
            <w:r>
              <w:rPr>
                <w:rFonts w:hint="default" w:ascii="Times New Roman" w:hAnsi="Times New Roman" w:cs="Times New Roman" w:eastAsiaTheme="minorEastAsia"/>
                <w:color w:val="auto"/>
                <w:sz w:val="24"/>
                <w:szCs w:val="24"/>
                <w:lang w:val="en-US" w:eastAsia="zh-CN"/>
              </w:rPr>
              <w:t>开采安全技术条件</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赋存条件：区内辉绿岩矿体呈带状分布，厚度稳定；</w:t>
            </w:r>
          </w:p>
          <w:p>
            <w:pPr>
              <w:pStyle w:val="17"/>
              <w:spacing w:after="0" w:line="360" w:lineRule="auto"/>
              <w:ind w:firstLine="480" w:firstLineChars="200"/>
              <w:rPr>
                <w:rFonts w:hint="eastAsia" w:cs="Calibri"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矿体围岩：矿床与围岩稳定性良好，岩石</w:t>
            </w:r>
            <w:r>
              <w:rPr>
                <w:rFonts w:hint="eastAsia" w:cs="Calibri" w:eastAsiaTheme="minorEastAsia"/>
                <w:color w:val="auto"/>
                <w:sz w:val="24"/>
                <w:szCs w:val="24"/>
                <w:lang w:val="en-US" w:eastAsia="zh-CN"/>
              </w:rPr>
              <w:t>坚硬完整，无软弱夹层产出，矿床工程地质条件简单；</w:t>
            </w:r>
          </w:p>
          <w:p>
            <w:pPr>
              <w:pStyle w:val="17"/>
              <w:spacing w:after="0" w:line="360" w:lineRule="auto"/>
              <w:ind w:firstLine="480" w:firstLineChars="200"/>
              <w:rPr>
                <w:rFonts w:hint="default" w:ascii="Times New Roman" w:hAnsi="Times New Roman" w:cs="Times New Roman" w:eastAsiaTheme="minorEastAsia"/>
                <w:color w:val="auto"/>
                <w:sz w:val="24"/>
                <w:szCs w:val="24"/>
                <w:lang w:val="en-US" w:eastAsia="zh-CN"/>
              </w:rPr>
            </w:pPr>
            <w:r>
              <w:rPr>
                <w:rFonts w:hint="eastAsia" w:cs="Calibri" w:eastAsiaTheme="minorEastAsia"/>
                <w:color w:val="auto"/>
                <w:sz w:val="24"/>
                <w:szCs w:val="24"/>
                <w:lang w:val="en-US" w:eastAsia="zh-CN"/>
              </w:rPr>
              <w:t>水文地质条件：矿区地貌利于排水，开采矿体位于当地最低</w:t>
            </w:r>
            <w:r>
              <w:rPr>
                <w:rFonts w:hint="default" w:ascii="Times New Roman" w:hAnsi="Times New Roman" w:cs="Times New Roman" w:eastAsiaTheme="minorEastAsia"/>
                <w:color w:val="auto"/>
                <w:sz w:val="24"/>
                <w:szCs w:val="24"/>
                <w:lang w:val="en-US" w:eastAsia="zh-CN"/>
              </w:rPr>
              <w:t>排泄面400m以上，矿区水文属裂隙含水层直接充水为主的简单类型。</w:t>
            </w:r>
          </w:p>
          <w:p>
            <w:pPr>
              <w:pStyle w:val="47"/>
              <w:adjustRightInd w:val="0"/>
              <w:snapToGrid w:val="0"/>
              <w:ind w:firstLine="482" w:firstLineChars="0"/>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建设期</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1</w:t>
            </w:r>
            <w:r>
              <w:rPr>
                <w:rFonts w:ascii="Times New Roman" w:hAnsiTheme="minorEastAsia" w:eastAsiaTheme="minorEastAsia"/>
                <w:color w:val="000000" w:themeColor="text1"/>
                <w:sz w:val="24"/>
                <w:szCs w:val="24"/>
                <w14:textFill>
                  <w14:solidFill>
                    <w14:schemeClr w14:val="tx1"/>
                  </w14:solidFill>
                </w14:textFill>
              </w:rPr>
              <w:t>、废气</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项目施工期大气污染源主要有施工机械及车辆运输中产生的扬尘；施工机械及车辆废气。</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t>1</w:t>
            </w:r>
            <w:r>
              <w:rPr>
                <w:rFonts w:ascii="Times New Roman" w:hAnsiTheme="minorEastAsia" w:eastAsiaTheme="minorEastAsia"/>
                <w:color w:val="000000" w:themeColor="text1"/>
                <w:sz w:val="24"/>
                <w:szCs w:val="24"/>
                <w14:textFill>
                  <w14:solidFill>
                    <w14:schemeClr w14:val="tx1"/>
                  </w14:solidFill>
                </w14:textFill>
              </w:rPr>
              <w:t>）扬尘</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项目施工期主要为矿山道路施工，矿山道路采用泥结碎石质路面。施工扬尘是施工活动的一个重要污染源，也是道路建设活动中人们十分关注的问题。该工程建设期产生扬尘主要来自：矿山道路平整、路基填筑等施工及土方堆放扬尘。</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施工期运输车辆运行将产生道路扬尘，一般条件下影响范围在路边两侧</w:t>
            </w:r>
            <w:r>
              <w:rPr>
                <w:rFonts w:ascii="Times New Roman" w:hAnsi="Times New Roman" w:eastAsiaTheme="minorEastAsia"/>
                <w:color w:val="000000" w:themeColor="text1"/>
                <w:sz w:val="24"/>
                <w:szCs w:val="24"/>
                <w14:textFill>
                  <w14:solidFill>
                    <w14:schemeClr w14:val="tx1"/>
                  </w14:solidFill>
                </w14:textFill>
              </w:rPr>
              <w:t>30m</w:t>
            </w:r>
            <w:r>
              <w:rPr>
                <w:rFonts w:ascii="Times New Roman" w:hAnsiTheme="minorEastAsia" w:eastAsiaTheme="minorEastAsia"/>
                <w:color w:val="000000" w:themeColor="text1"/>
                <w:sz w:val="24"/>
                <w:szCs w:val="24"/>
                <w14:textFill>
                  <w14:solidFill>
                    <w14:schemeClr w14:val="tx1"/>
                  </w14:solidFill>
                </w14:textFill>
              </w:rPr>
              <w:t>以内，最大扬尘浓度出现在道路两边，随着离开路边的距离增加浓度逐渐递减而趋于背景值。因此，车辆扬尘对运输线路周围小范围环境空气造成一定程度的污染，但工程完工后其污染也随之消失。</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t>2</w:t>
            </w:r>
            <w:r>
              <w:rPr>
                <w:rFonts w:ascii="Times New Roman" w:hAnsiTheme="minorEastAsia" w:eastAsiaTheme="minorEastAsia"/>
                <w:color w:val="000000" w:themeColor="text1"/>
                <w:sz w:val="24"/>
                <w:szCs w:val="24"/>
                <w14:textFill>
                  <w14:solidFill>
                    <w14:schemeClr w14:val="tx1"/>
                  </w14:solidFill>
                </w14:textFill>
              </w:rPr>
              <w:t>）施工机械及车辆废气</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项目施工期施工机械及车辆产生的尾气会对大气环境产生一定影响，施工机械及各种运输车辆尾气中主要污染物为</w:t>
            </w:r>
            <w:r>
              <w:rPr>
                <w:rFonts w:ascii="Times New Roman" w:hAnsi="Times New Roman" w:eastAsiaTheme="minorEastAsia"/>
                <w:color w:val="000000" w:themeColor="text1"/>
                <w:sz w:val="24"/>
                <w:szCs w:val="24"/>
                <w14:textFill>
                  <w14:solidFill>
                    <w14:schemeClr w14:val="tx1"/>
                  </w14:solidFill>
                </w14:textFill>
              </w:rPr>
              <w:t>NO</w:t>
            </w:r>
            <w:r>
              <w:rPr>
                <w:rFonts w:ascii="Times New Roman" w:hAnsi="Times New Roman" w:eastAsiaTheme="minorEastAsia"/>
                <w:color w:val="000000" w:themeColor="text1"/>
                <w:sz w:val="24"/>
                <w:szCs w:val="24"/>
                <w:vertAlign w:val="subscript"/>
                <w14:textFill>
                  <w14:solidFill>
                    <w14:schemeClr w14:val="tx1"/>
                  </w14:solidFill>
                </w14:textFill>
              </w:rPr>
              <w:t>x</w:t>
            </w:r>
            <w:r>
              <w:rPr>
                <w:rFonts w:ascii="Times New Roman" w:hAnsiTheme="minorEastAsia"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t>CO</w:t>
            </w:r>
            <w:r>
              <w:rPr>
                <w:rFonts w:ascii="Times New Roman" w:hAnsiTheme="minorEastAsia" w:eastAsiaTheme="minorEastAsia"/>
                <w:color w:val="000000" w:themeColor="text1"/>
                <w:sz w:val="24"/>
                <w:szCs w:val="24"/>
                <w14:textFill>
                  <w14:solidFill>
                    <w14:schemeClr w14:val="tx1"/>
                  </w14:solidFill>
                </w14:textFill>
              </w:rPr>
              <w:t>及</w:t>
            </w:r>
            <w:r>
              <w:rPr>
                <w:rFonts w:ascii="Times New Roman" w:hAnsi="Times New Roman" w:eastAsiaTheme="minorEastAsia"/>
                <w:color w:val="000000" w:themeColor="text1"/>
                <w:sz w:val="24"/>
                <w:szCs w:val="24"/>
                <w14:textFill>
                  <w14:solidFill>
                    <w14:schemeClr w14:val="tx1"/>
                  </w14:solidFill>
                </w14:textFill>
              </w:rPr>
              <w:t>HC</w:t>
            </w:r>
            <w:r>
              <w:rPr>
                <w:rFonts w:ascii="Times New Roman" w:hAnsiTheme="minorEastAsia" w:eastAsiaTheme="minorEastAsia"/>
                <w:color w:val="000000" w:themeColor="text1"/>
                <w:sz w:val="24"/>
                <w:szCs w:val="24"/>
                <w14:textFill>
                  <w14:solidFill>
                    <w14:schemeClr w14:val="tx1"/>
                  </w14:solidFill>
                </w14:textFill>
              </w:rPr>
              <w:t>等。</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2</w:t>
            </w:r>
            <w:r>
              <w:rPr>
                <w:rFonts w:ascii="Times New Roman" w:hAnsiTheme="minorEastAsia" w:eastAsiaTheme="minorEastAsia"/>
                <w:color w:val="000000" w:themeColor="text1"/>
                <w:sz w:val="24"/>
                <w:szCs w:val="24"/>
                <w14:textFill>
                  <w14:solidFill>
                    <w14:schemeClr w14:val="tx1"/>
                  </w14:solidFill>
                </w14:textFill>
              </w:rPr>
              <w:t>、废水</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本项目施工期不设立施工人员生活设施，施工人员食宿均依托于周边村镇，矿区设旱厕，定期清掏用于</w:t>
            </w:r>
            <w:r>
              <w:rPr>
                <w:rFonts w:hint="eastAsia" w:ascii="Times New Roman" w:hAnsiTheme="minorEastAsia" w:eastAsiaTheme="minorEastAsia"/>
                <w:color w:val="000000" w:themeColor="text1"/>
                <w:sz w:val="24"/>
                <w:szCs w:val="24"/>
                <w:lang w:eastAsia="zh-CN"/>
                <w14:textFill>
                  <w14:solidFill>
                    <w14:schemeClr w14:val="tx1"/>
                  </w14:solidFill>
                </w14:textFill>
              </w:rPr>
              <w:t>农田</w:t>
            </w:r>
            <w:r>
              <w:rPr>
                <w:rFonts w:ascii="Times New Roman" w:hAnsiTheme="minorEastAsia" w:eastAsiaTheme="minorEastAsia"/>
                <w:color w:val="000000" w:themeColor="text1"/>
                <w:sz w:val="24"/>
                <w:szCs w:val="24"/>
                <w14:textFill>
                  <w14:solidFill>
                    <w14:schemeClr w14:val="tx1"/>
                  </w14:solidFill>
                </w14:textFill>
              </w:rPr>
              <w:t>施肥，因此，施工期无生活废水排放。施工废水主要为机械设备、运输车辆冲洗水，主要污染物为</w:t>
            </w:r>
            <w:r>
              <w:rPr>
                <w:rFonts w:ascii="Times New Roman" w:hAnsi="Times New Roman" w:eastAsiaTheme="minorEastAsia"/>
                <w:color w:val="000000" w:themeColor="text1"/>
                <w:sz w:val="24"/>
                <w:szCs w:val="24"/>
                <w14:textFill>
                  <w14:solidFill>
                    <w14:schemeClr w14:val="tx1"/>
                  </w14:solidFill>
                </w14:textFill>
              </w:rPr>
              <w:t>SS</w:t>
            </w:r>
            <w:r>
              <w:rPr>
                <w:rFonts w:ascii="Times New Roman" w:hAnsiTheme="minorEastAsia" w:eastAsiaTheme="minorEastAsia"/>
                <w:color w:val="000000" w:themeColor="text1"/>
                <w:sz w:val="24"/>
                <w:szCs w:val="24"/>
                <w14:textFill>
                  <w14:solidFill>
                    <w14:schemeClr w14:val="tx1"/>
                  </w14:solidFill>
                </w14:textFill>
              </w:rPr>
              <w:t>、石油类等，设临时沉砂池将废水沉淀后用于道路洒水抑尘或泼洒施工作业面，无外排。</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3</w:t>
            </w:r>
            <w:r>
              <w:rPr>
                <w:rFonts w:ascii="Times New Roman" w:hAnsiTheme="minorEastAsia" w:eastAsiaTheme="minorEastAsia"/>
                <w:color w:val="000000" w:themeColor="text1"/>
                <w:sz w:val="24"/>
                <w:szCs w:val="24"/>
                <w14:textFill>
                  <w14:solidFill>
                    <w14:schemeClr w14:val="tx1"/>
                  </w14:solidFill>
                </w14:textFill>
              </w:rPr>
              <w:t>、噪声</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项目施工期噪声主要包括施工机械设备噪声、运输车辆噪声。</w:t>
            </w:r>
          </w:p>
          <w:p>
            <w:pPr>
              <w:pStyle w:val="17"/>
              <w:spacing w:after="0"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t>1</w:t>
            </w:r>
            <w:r>
              <w:rPr>
                <w:rFonts w:ascii="Times New Roman" w:hAnsiTheme="minorEastAsia" w:eastAsiaTheme="minorEastAsia"/>
                <w:color w:val="000000" w:themeColor="text1"/>
                <w:sz w:val="24"/>
                <w:szCs w:val="24"/>
                <w14:textFill>
                  <w14:solidFill>
                    <w14:schemeClr w14:val="tx1"/>
                  </w14:solidFill>
                </w14:textFill>
              </w:rPr>
              <w:t>）施工机械设备噪声</w:t>
            </w:r>
          </w:p>
          <w:p>
            <w:pPr>
              <w:pStyle w:val="17"/>
              <w:spacing w:after="0" w:line="360" w:lineRule="auto"/>
              <w:ind w:firstLine="480" w:firstLineChars="200"/>
              <w:rPr>
                <w:rFonts w:hint="default" w:ascii="Times New Roman" w:hAnsi="Times New Roman" w:cs="Times New Roman" w:eastAsiaTheme="minorEastAsia"/>
                <w:color w:val="000000" w:themeColor="text1"/>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项目地面工程施</w:t>
            </w:r>
            <w:r>
              <w:rPr>
                <w:rFonts w:hint="default" w:ascii="Times New Roman" w:hAnsi="Times New Roman" w:cs="Times New Roman" w:eastAsiaTheme="minorEastAsia"/>
                <w:color w:val="000000" w:themeColor="text1"/>
                <w:sz w:val="24"/>
                <w:szCs w:val="24"/>
                <w14:textFill>
                  <w14:solidFill>
                    <w14:schemeClr w14:val="tx1"/>
                  </w14:solidFill>
                </w14:textFill>
              </w:rPr>
              <w:t>工期噪声源主要为挖掘机、装载机、平地机、压路机等设备噪声，产生的等效噪声级约为84～90dB(A)，其污染源强见下表。</w:t>
            </w:r>
          </w:p>
          <w:p>
            <w:pPr>
              <w:pStyle w:val="33"/>
              <w:rPr>
                <w:rFonts w:hint="default" w:ascii="Times New Roman" w:hAnsi="Times New Roman" w:cs="Times New Roman" w:eastAsiaTheme="minorEastAsia"/>
                <w:b/>
                <w:bCs w:val="0"/>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表1</w:t>
            </w:r>
            <w:r>
              <w:rPr>
                <w:rFonts w:hint="eastAsia" w:ascii="Times New Roman" w:cs="Times New Roman" w:eastAsiaTheme="minorEastAsia"/>
                <w:b/>
                <w:color w:val="000000" w:themeColor="text1"/>
                <w:lang w:val="en-US" w:eastAsia="zh-CN"/>
                <w14:textFill>
                  <w14:solidFill>
                    <w14:schemeClr w14:val="tx1"/>
                  </w14:solidFill>
                </w14:textFill>
              </w:rPr>
              <w:t>1</w:t>
            </w:r>
            <w:r>
              <w:rPr>
                <w:rFonts w:hint="default" w:ascii="Times New Roman" w:hAnsi="Times New Roman" w:cs="Times New Roman" w:eastAsiaTheme="minorEastAsia"/>
                <w:b/>
                <w:color w:val="000000" w:themeColor="text1"/>
                <w14:textFill>
                  <w14:solidFill>
                    <w14:schemeClr w14:val="tx1"/>
                  </w14:solidFill>
                </w14:textFill>
              </w:rPr>
              <w:t xml:space="preserve"> 项目地面工程施工期机械噪声值dB(A)</w:t>
            </w:r>
          </w:p>
          <w:tbl>
            <w:tblPr>
              <w:tblStyle w:val="19"/>
              <w:tblW w:w="66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2522"/>
              <w:gridCol w:w="1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2" w:hRule="atLeast"/>
                <w:jc w:val="center"/>
              </w:trPr>
              <w:tc>
                <w:tcPr>
                  <w:tcW w:w="2206"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机械类型</w:t>
                  </w:r>
                </w:p>
              </w:tc>
              <w:tc>
                <w:tcPr>
                  <w:tcW w:w="2522" w:type="dxa"/>
                  <w:tcBorders>
                    <w:top w:val="single" w:color="auto" w:sz="12" w:space="0"/>
                    <w:left w:val="single" w:color="auto" w:sz="6" w:space="0"/>
                    <w:bottom w:val="single" w:color="auto" w:sz="6" w:space="0"/>
                    <w:right w:val="single" w:color="auto" w:sz="6" w:space="0"/>
                  </w:tcBorders>
                  <w:shd w:val="clear" w:color="auto" w:fill="auto"/>
                  <w:vAlign w:val="center"/>
                </w:tcPr>
                <w:p>
                  <w:pPr>
                    <w:jc w:val="center"/>
                    <w:rPr>
                      <w:rFonts w:hint="eastAsia" w:ascii="Times New Roman" w:hAnsi="Times New Roman" w:cs="Times New Roman" w:eastAsiaTheme="minorEastAsia"/>
                      <w:b/>
                      <w:color w:val="000000" w:themeColor="text1"/>
                      <w:szCs w:val="21"/>
                      <w:lang w:eastAsia="zh-CN"/>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测点距施工机械距离</w:t>
                  </w:r>
                  <w:r>
                    <w:rPr>
                      <w:rFonts w:hint="eastAsia" w:cs="Times New Roman" w:eastAsiaTheme="minorEastAsia"/>
                      <w:b/>
                      <w:color w:val="000000" w:themeColor="text1"/>
                      <w:szCs w:val="21"/>
                      <w:lang w:eastAsia="zh-CN"/>
                      <w14:textFill>
                        <w14:solidFill>
                          <w14:schemeClr w14:val="tx1"/>
                        </w14:solidFill>
                      </w14:textFill>
                    </w:rPr>
                    <w:t>（</w:t>
                  </w:r>
                  <w:r>
                    <w:rPr>
                      <w:rFonts w:hint="eastAsia" w:cs="Times New Roman" w:eastAsiaTheme="minorEastAsia"/>
                      <w:b/>
                      <w:color w:val="000000" w:themeColor="text1"/>
                      <w:szCs w:val="21"/>
                      <w:lang w:val="en-US" w:eastAsia="zh-CN"/>
                      <w14:textFill>
                        <w14:solidFill>
                          <w14:schemeClr w14:val="tx1"/>
                        </w14:solidFill>
                      </w14:textFill>
                    </w:rPr>
                    <w:t>m</w:t>
                  </w:r>
                  <w:r>
                    <w:rPr>
                      <w:rFonts w:hint="eastAsia" w:cs="Times New Roman" w:eastAsiaTheme="minorEastAsia"/>
                      <w:b/>
                      <w:color w:val="000000" w:themeColor="text1"/>
                      <w:szCs w:val="21"/>
                      <w:lang w:eastAsia="zh-CN"/>
                      <w14:textFill>
                        <w14:solidFill>
                          <w14:schemeClr w14:val="tx1"/>
                        </w14:solidFill>
                      </w14:textFill>
                    </w:rPr>
                    <w:t>）</w:t>
                  </w:r>
                </w:p>
              </w:tc>
              <w:tc>
                <w:tcPr>
                  <w:tcW w:w="1890" w:type="dxa"/>
                  <w:tcBorders>
                    <w:top w:val="single" w:color="auto" w:sz="12" w:space="0"/>
                    <w:left w:val="single" w:color="auto" w:sz="6" w:space="0"/>
                    <w:bottom w:val="single" w:color="auto" w:sz="6" w:space="0"/>
                    <w:right w:val="single" w:color="auto" w:sz="12" w:space="0"/>
                  </w:tcBorders>
                  <w:shd w:val="clear" w:color="auto" w:fill="auto"/>
                  <w:vAlign w:val="center"/>
                </w:tcPr>
                <w:p>
                  <w:pPr>
                    <w:jc w:val="center"/>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最大声级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2206"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挖掘机</w:t>
                  </w:r>
                </w:p>
              </w:tc>
              <w:tc>
                <w:tcPr>
                  <w:tcW w:w="2522"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w:t>
                  </w:r>
                </w:p>
              </w:tc>
              <w:tc>
                <w:tcPr>
                  <w:tcW w:w="1890" w:type="dxa"/>
                  <w:tcBorders>
                    <w:top w:val="single" w:color="auto" w:sz="6" w:space="0"/>
                    <w:left w:val="single" w:color="auto" w:sz="6" w:space="0"/>
                    <w:bottom w:val="single" w:color="auto" w:sz="6" w:space="0"/>
                    <w:right w:val="single" w:color="auto" w:sz="12"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2206"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装载机</w:t>
                  </w:r>
                </w:p>
              </w:tc>
              <w:tc>
                <w:tcPr>
                  <w:tcW w:w="2522"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w:t>
                  </w:r>
                </w:p>
              </w:tc>
              <w:tc>
                <w:tcPr>
                  <w:tcW w:w="1890" w:type="dxa"/>
                  <w:tcBorders>
                    <w:top w:val="single" w:color="auto" w:sz="6" w:space="0"/>
                    <w:left w:val="single" w:color="auto" w:sz="6" w:space="0"/>
                    <w:bottom w:val="single" w:color="auto" w:sz="6" w:space="0"/>
                    <w:right w:val="single" w:color="auto" w:sz="12"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2206"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平地机</w:t>
                  </w:r>
                </w:p>
              </w:tc>
              <w:tc>
                <w:tcPr>
                  <w:tcW w:w="2522"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w:t>
                  </w:r>
                </w:p>
              </w:tc>
              <w:tc>
                <w:tcPr>
                  <w:tcW w:w="1890" w:type="dxa"/>
                  <w:tcBorders>
                    <w:top w:val="single" w:color="auto" w:sz="6" w:space="0"/>
                    <w:left w:val="single" w:color="auto" w:sz="6" w:space="0"/>
                    <w:bottom w:val="single" w:color="auto" w:sz="6" w:space="0"/>
                    <w:right w:val="single" w:color="auto" w:sz="12" w:space="0"/>
                  </w:tcBorders>
                  <w:vAlign w:val="center"/>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206" w:type="dxa"/>
                  <w:tcBorders>
                    <w:top w:val="single" w:color="auto" w:sz="6" w:space="0"/>
                    <w:left w:val="single" w:color="auto" w:sz="12" w:space="0"/>
                    <w:bottom w:val="single" w:color="auto" w:sz="12" w:space="0"/>
                    <w:right w:val="single" w:color="auto" w:sz="6" w:space="0"/>
                  </w:tcBorders>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压路机</w:t>
                  </w:r>
                </w:p>
              </w:tc>
              <w:tc>
                <w:tcPr>
                  <w:tcW w:w="2522"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p>
              </w:tc>
              <w:tc>
                <w:tcPr>
                  <w:tcW w:w="1890" w:type="dxa"/>
                  <w:tcBorders>
                    <w:top w:val="single" w:color="auto" w:sz="6" w:space="0"/>
                    <w:left w:val="single" w:color="auto" w:sz="6" w:space="0"/>
                    <w:bottom w:val="single" w:color="auto" w:sz="12" w:space="0"/>
                    <w:right w:val="single" w:color="auto" w:sz="12"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86</w:t>
                  </w:r>
                </w:p>
              </w:tc>
            </w:tr>
          </w:tbl>
          <w:p>
            <w:pPr>
              <w:widowControl/>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2</w:t>
            </w:r>
            <w:r>
              <w:rPr>
                <w:rFonts w:hAnsiTheme="minorEastAsia" w:eastAsiaTheme="minorEastAsia"/>
                <w:color w:val="000000" w:themeColor="text1"/>
                <w:sz w:val="24"/>
                <w:szCs w:val="24"/>
                <w14:textFill>
                  <w14:solidFill>
                    <w14:schemeClr w14:val="tx1"/>
                  </w14:solidFill>
                </w14:textFill>
              </w:rPr>
              <w:t>）运输车辆噪声</w:t>
            </w:r>
          </w:p>
          <w:p>
            <w:pPr>
              <w:widowControl/>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施工过程运输车辆会产生交通噪声，噪声源强约</w:t>
            </w:r>
            <w:r>
              <w:rPr>
                <w:rFonts w:eastAsiaTheme="minorEastAsia"/>
                <w:color w:val="000000" w:themeColor="text1"/>
                <w:sz w:val="24"/>
                <w:szCs w:val="24"/>
                <w14:textFill>
                  <w14:solidFill>
                    <w14:schemeClr w14:val="tx1"/>
                  </w14:solidFill>
                </w14:textFill>
              </w:rPr>
              <w:t>75</w:t>
            </w: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85dB(A)</w:t>
            </w:r>
            <w:r>
              <w:rPr>
                <w:rFonts w:hAnsiTheme="minorEastAsia" w:eastAsiaTheme="minorEastAsia"/>
                <w:color w:val="000000" w:themeColor="text1"/>
                <w:sz w:val="24"/>
                <w:szCs w:val="24"/>
                <w14:textFill>
                  <w14:solidFill>
                    <w14:schemeClr w14:val="tx1"/>
                  </w14:solidFill>
                </w14:textFill>
              </w:rPr>
              <w:t>。</w:t>
            </w:r>
          </w:p>
          <w:p>
            <w:pPr>
              <w:widowControl/>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4</w:t>
            </w:r>
            <w:r>
              <w:rPr>
                <w:rFonts w:hAnsiTheme="minorEastAsia" w:eastAsiaTheme="minorEastAsia"/>
                <w:color w:val="000000" w:themeColor="text1"/>
                <w:sz w:val="24"/>
                <w:szCs w:val="24"/>
                <w14:textFill>
                  <w14:solidFill>
                    <w14:schemeClr w14:val="tx1"/>
                  </w14:solidFill>
                </w14:textFill>
              </w:rPr>
              <w:t>、固废</w:t>
            </w:r>
          </w:p>
          <w:p>
            <w:pPr>
              <w:widowControl/>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项目施工期产生固体废弃物主要有：弃土、施工人员生活垃圾、生产设备垃圾。</w:t>
            </w:r>
          </w:p>
          <w:p>
            <w:pPr>
              <w:widowControl/>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1</w:t>
            </w:r>
            <w:r>
              <w:rPr>
                <w:rFonts w:hAnsiTheme="minorEastAsia" w:eastAsiaTheme="minorEastAsia"/>
                <w:color w:val="000000" w:themeColor="text1"/>
                <w:sz w:val="24"/>
                <w:szCs w:val="24"/>
                <w14:textFill>
                  <w14:solidFill>
                    <w14:schemeClr w14:val="tx1"/>
                  </w14:solidFill>
                </w14:textFill>
              </w:rPr>
              <w:t>）弃土</w:t>
            </w:r>
          </w:p>
          <w:p>
            <w:pPr>
              <w:widowControl/>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矿山道路建设期地面平整、土方挖填将会产生少量的弃土，将弃土堆放于排土场作为后期绿化用土。</w:t>
            </w:r>
          </w:p>
          <w:p>
            <w:pPr>
              <w:widowControl/>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2</w:t>
            </w:r>
            <w:r>
              <w:rPr>
                <w:rFonts w:hAnsiTheme="minorEastAsia" w:eastAsiaTheme="minorEastAsia"/>
                <w:color w:val="000000" w:themeColor="text1"/>
                <w:sz w:val="24"/>
                <w:szCs w:val="24"/>
                <w14:textFill>
                  <w14:solidFill>
                    <w14:schemeClr w14:val="tx1"/>
                  </w14:solidFill>
                </w14:textFill>
              </w:rPr>
              <w:t>）生活垃圾</w:t>
            </w:r>
          </w:p>
          <w:p>
            <w:pPr>
              <w:pStyle w:val="47"/>
              <w:ind w:firstLine="480"/>
              <w:rPr>
                <w:rFonts w:ascii="Times New Roman" w:hAnsi="Times New Roman" w:cs="Times New Roman" w:eastAsiaTheme="minorEastAsia"/>
                <w:b/>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生活垃圾来源于施工人员生活过程中遗弃的废弃物，以有机物为主。施工人员的生活垃圾按平均每人</w:t>
            </w:r>
            <w:r>
              <w:rPr>
                <w:rFonts w:ascii="Times New Roman" w:hAnsi="Times New Roman" w:cs="Times New Roman" w:eastAsiaTheme="minorEastAsia"/>
                <w:color w:val="000000" w:themeColor="text1"/>
                <w14:textFill>
                  <w14:solidFill>
                    <w14:schemeClr w14:val="tx1"/>
                  </w14:solidFill>
                </w14:textFill>
              </w:rPr>
              <w:t>0.5kg/d</w:t>
            </w:r>
            <w:r>
              <w:rPr>
                <w:rFonts w:ascii="Times New Roman" w:cs="Times New Roman" w:hAnsiTheme="minorEastAsia" w:eastAsiaTheme="minorEastAsia"/>
                <w:color w:val="000000" w:themeColor="text1"/>
                <w14:textFill>
                  <w14:solidFill>
                    <w14:schemeClr w14:val="tx1"/>
                  </w14:solidFill>
                </w14:textFill>
              </w:rPr>
              <w:t>计算，施工期最大施工人数按</w:t>
            </w:r>
            <w:r>
              <w:rPr>
                <w:rFonts w:ascii="Times New Roman" w:hAnsi="Times New Roman" w:cs="Times New Roman" w:eastAsiaTheme="minorEastAsia"/>
                <w:color w:val="000000" w:themeColor="text1"/>
                <w14:textFill>
                  <w14:solidFill>
                    <w14:schemeClr w14:val="tx1"/>
                  </w14:solidFill>
                </w14:textFill>
              </w:rPr>
              <w:t>15</w:t>
            </w:r>
            <w:r>
              <w:rPr>
                <w:rFonts w:ascii="Times New Roman" w:cs="Times New Roman" w:hAnsiTheme="minorEastAsia" w:eastAsiaTheme="minorEastAsia"/>
                <w:color w:val="000000" w:themeColor="text1"/>
                <w14:textFill>
                  <w14:solidFill>
                    <w14:schemeClr w14:val="tx1"/>
                  </w14:solidFill>
                </w14:textFill>
              </w:rPr>
              <w:t>人</w:t>
            </w:r>
            <w:r>
              <w:rPr>
                <w:rFonts w:ascii="Times New Roman" w:hAnsi="Times New Roman" w:cs="Times New Roman" w:eastAsiaTheme="minorEastAsia"/>
                <w:color w:val="000000" w:themeColor="text1"/>
                <w14:textFill>
                  <w14:solidFill>
                    <w14:schemeClr w14:val="tx1"/>
                  </w14:solidFill>
                </w14:textFill>
              </w:rPr>
              <w:t>/d</w:t>
            </w:r>
            <w:r>
              <w:rPr>
                <w:rFonts w:ascii="Times New Roman" w:cs="Times New Roman" w:hAnsiTheme="minorEastAsia" w:eastAsiaTheme="minorEastAsia"/>
                <w:color w:val="000000" w:themeColor="text1"/>
                <w14:textFill>
                  <w14:solidFill>
                    <w14:schemeClr w14:val="tx1"/>
                  </w14:solidFill>
                </w14:textFill>
              </w:rPr>
              <w:t>，施工期</w:t>
            </w:r>
            <w:r>
              <w:rPr>
                <w:rFonts w:hint="eastAsia" w:ascii="Times New Roman" w:hAnsi="Times New Roman" w:cs="Times New Roman" w:eastAsiaTheme="minorEastAsia"/>
                <w:color w:val="000000" w:themeColor="text1"/>
                <w:lang w:val="en-US" w:eastAsia="zh-CN"/>
                <w14:textFill>
                  <w14:solidFill>
                    <w14:schemeClr w14:val="tx1"/>
                  </w14:solidFill>
                </w14:textFill>
              </w:rPr>
              <w:t>6</w:t>
            </w:r>
            <w:r>
              <w:rPr>
                <w:rFonts w:ascii="Times New Roman" w:cs="Times New Roman" w:hAnsiTheme="minorEastAsia" w:eastAsiaTheme="minorEastAsia"/>
                <w:color w:val="000000" w:themeColor="text1"/>
                <w14:textFill>
                  <w14:solidFill>
                    <w14:schemeClr w14:val="tx1"/>
                  </w14:solidFill>
                </w14:textFill>
              </w:rPr>
              <w:t>个月，则生活垃圾产生量为</w:t>
            </w:r>
            <w:r>
              <w:rPr>
                <w:rFonts w:ascii="Times New Roman" w:hAnsi="Times New Roman" w:cs="Times New Roman" w:eastAsiaTheme="minorEastAsia"/>
                <w:color w:val="000000" w:themeColor="text1"/>
                <w14:textFill>
                  <w14:solidFill>
                    <w14:schemeClr w14:val="tx1"/>
                  </w14:solidFill>
                </w14:textFill>
              </w:rPr>
              <w:t>7.5kg/d</w:t>
            </w:r>
            <w:r>
              <w:rPr>
                <w:rFonts w:ascii="Times New Roman" w:cs="Times New Roman" w:hAnsiTheme="minorEastAsia" w:eastAsiaTheme="minorEastAsia"/>
                <w:color w:val="000000" w:themeColor="text1"/>
                <w14:textFill>
                  <w14:solidFill>
                    <w14:schemeClr w14:val="tx1"/>
                  </w14:solidFill>
                </w14:textFill>
              </w:rPr>
              <w:t>，共</w:t>
            </w:r>
            <w:r>
              <w:rPr>
                <w:rFonts w:hint="eastAsia" w:ascii="Times New Roman" w:hAnsi="Times New Roman" w:cs="Times New Roman" w:eastAsiaTheme="minorEastAsia"/>
                <w:color w:val="000000" w:themeColor="text1"/>
                <w:lang w:val="en-US" w:eastAsia="zh-CN"/>
                <w14:textFill>
                  <w14:solidFill>
                    <w14:schemeClr w14:val="tx1"/>
                  </w14:solidFill>
                </w14:textFill>
              </w:rPr>
              <w:t>1.4</w:t>
            </w:r>
            <w:r>
              <w:rPr>
                <w:rFonts w:ascii="Times New Roman" w:hAnsi="Times New Roman" w:cs="Times New Roman" w:eastAsiaTheme="minorEastAsia"/>
                <w:color w:val="000000" w:themeColor="text1"/>
                <w14:textFill>
                  <w14:solidFill>
                    <w14:schemeClr w14:val="tx1"/>
                  </w14:solidFill>
                </w14:textFill>
              </w:rPr>
              <w:t>t</w:t>
            </w:r>
            <w:r>
              <w:rPr>
                <w:rFonts w:ascii="Times New Roman" w:cs="Times New Roman" w:hAnsiTheme="minorEastAsia" w:eastAsiaTheme="minorEastAsia"/>
                <w:color w:val="000000" w:themeColor="text1"/>
                <w14:textFill>
                  <w14:solidFill>
                    <w14:schemeClr w14:val="tx1"/>
                  </w14:solidFill>
                </w14:textFill>
              </w:rPr>
              <w:t>。生活垃圾统一集中堆放后交由当地环卫部门处理。</w:t>
            </w:r>
          </w:p>
          <w:p>
            <w:pPr>
              <w:pStyle w:val="47"/>
              <w:adjustRightInd w:val="0"/>
              <w:snapToGrid w:val="0"/>
              <w:ind w:firstLine="482" w:firstLineChars="0"/>
              <w:rPr>
                <w:rFonts w:ascii="Times New Roman" w:hAnsi="Times New Roman" w:cs="Times New Roman" w:eastAsiaTheme="minorEastAsia"/>
                <w:b/>
                <w:color w:val="000000" w:themeColor="text1"/>
                <w14:textFill>
                  <w14:solidFill>
                    <w14:schemeClr w14:val="tx1"/>
                  </w14:solidFill>
                </w14:textFill>
              </w:rPr>
            </w:pPr>
            <w:r>
              <w:rPr>
                <w:rFonts w:ascii="Times New Roman" w:hAnsi="Times New Roman" w:cs="Times New Roman" w:eastAsiaTheme="minorEastAsia"/>
                <w:b/>
                <w:color w:val="000000" w:themeColor="text1"/>
                <w14:textFill>
                  <w14:solidFill>
                    <w14:schemeClr w14:val="tx1"/>
                  </w14:solidFill>
                </w14:textFill>
              </w:rPr>
              <w:t>2</w:t>
            </w:r>
            <w:r>
              <w:rPr>
                <w:rFonts w:ascii="Times New Roman" w:cs="Times New Roman" w:hAnsiTheme="minorEastAsia" w:eastAsiaTheme="minorEastAsia"/>
                <w:b/>
                <w:color w:val="000000" w:themeColor="text1"/>
                <w14:textFill>
                  <w14:solidFill>
                    <w14:schemeClr w14:val="tx1"/>
                  </w14:solidFill>
                </w14:textFill>
              </w:rPr>
              <w:t>、运营期</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根据本项目工艺特征，运营期加工各工序关注的主要污染物为采矿及生产加工过程粉尘、生产废水、废水沉淀后形成的石渣、除尘设备收集的粉尘、项目工作人员产生的生活垃圾以及各工序中设备产生的噪声等。</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1</w:t>
            </w:r>
            <w:r>
              <w:rPr>
                <w:rFonts w:ascii="Times New Roman" w:cs="Times New Roman" w:hAnsiTheme="minorEastAsia" w:eastAsiaTheme="minorEastAsia"/>
                <w:color w:val="000000" w:themeColor="text1"/>
                <w14:textFill>
                  <w14:solidFill>
                    <w14:schemeClr w14:val="tx1"/>
                  </w14:solidFill>
                </w14:textFill>
              </w:rPr>
              <w:t>）废水</w:t>
            </w:r>
          </w:p>
          <w:p>
            <w:pPr>
              <w:adjustRightInd w:val="0"/>
              <w:snapToGrid w:val="0"/>
              <w:spacing w:line="360" w:lineRule="auto"/>
              <w:ind w:firstLine="482"/>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①车辆清洗及厂区洒水降尘</w:t>
            </w:r>
          </w:p>
          <w:p>
            <w:pPr>
              <w:adjustRightInd w:val="0"/>
              <w:snapToGrid w:val="0"/>
              <w:spacing w:line="360" w:lineRule="auto"/>
              <w:ind w:firstLine="480" w:firstLineChars="200"/>
              <w:rPr>
                <w:rFonts w:hAnsiTheme="minorEastAsia" w:eastAsiaTheme="minorEastAsia"/>
                <w:color w:val="000000" w:themeColor="text1"/>
                <w:sz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本项目营运期运输车辆需定期进行清洗共需用水量为</w:t>
            </w:r>
            <w:r>
              <w:rPr>
                <w:rFonts w:hint="eastAsia" w:eastAsiaTheme="minorEastAsia"/>
                <w:color w:val="000000" w:themeColor="text1"/>
                <w:sz w:val="24"/>
                <w:szCs w:val="24"/>
                <w:lang w:val="en-US" w:eastAsia="zh-CN"/>
                <w14:textFill>
                  <w14:solidFill>
                    <w14:schemeClr w14:val="tx1"/>
                  </w14:solidFill>
                </w14:textFill>
              </w:rPr>
              <w:t>2.75</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/d</w:t>
            </w:r>
            <w:r>
              <w:rPr>
                <w:rFonts w:hAnsiTheme="minorEastAsia" w:eastAsiaTheme="minorEastAsia"/>
                <w:color w:val="000000" w:themeColor="text1"/>
                <w:sz w:val="24"/>
                <w:szCs w:val="24"/>
                <w14:textFill>
                  <w14:solidFill>
                    <w14:schemeClr w14:val="tx1"/>
                  </w14:solidFill>
                </w14:textFill>
              </w:rPr>
              <w:t>，</w:t>
            </w:r>
            <w:r>
              <w:rPr>
                <w:rFonts w:hAnsiTheme="minorEastAsia" w:eastAsiaTheme="minorEastAsia"/>
                <w:color w:val="000000" w:themeColor="text1"/>
                <w:sz w:val="24"/>
                <w14:textFill>
                  <w14:solidFill>
                    <w14:schemeClr w14:val="tx1"/>
                  </w14:solidFill>
                </w14:textFill>
              </w:rPr>
              <w:t>损耗用水量</w:t>
            </w:r>
            <w:r>
              <w:rPr>
                <w:rFonts w:hAnsiTheme="minorEastAsia" w:eastAsiaTheme="minorEastAsia"/>
                <w:color w:val="auto"/>
                <w:sz w:val="24"/>
              </w:rPr>
              <w:t>为</w:t>
            </w:r>
            <w:r>
              <w:rPr>
                <w:rFonts w:hint="eastAsia" w:eastAsiaTheme="minorEastAsia"/>
                <w:color w:val="auto"/>
                <w:sz w:val="24"/>
                <w:lang w:val="en-US" w:eastAsia="zh-CN"/>
              </w:rPr>
              <w:t>1.925</w:t>
            </w:r>
            <w:r>
              <w:rPr>
                <w:rFonts w:eastAsiaTheme="minorEastAsia"/>
                <w:color w:val="auto"/>
                <w:sz w:val="24"/>
              </w:rPr>
              <w:t>m</w:t>
            </w:r>
            <w:r>
              <w:rPr>
                <w:rFonts w:eastAsiaTheme="minorEastAsia"/>
                <w:color w:val="auto"/>
                <w:sz w:val="24"/>
                <w:vertAlign w:val="superscript"/>
              </w:rPr>
              <w:t>3</w:t>
            </w:r>
            <w:r>
              <w:rPr>
                <w:rFonts w:eastAsiaTheme="minorEastAsia"/>
                <w:color w:val="auto"/>
                <w:sz w:val="24"/>
              </w:rPr>
              <w:t>/d</w:t>
            </w:r>
            <w:r>
              <w:rPr>
                <w:rFonts w:hAnsiTheme="minorEastAsia" w:eastAsiaTheme="minorEastAsia"/>
                <w:color w:val="auto"/>
                <w:sz w:val="24"/>
              </w:rPr>
              <w:t>，沉</w:t>
            </w:r>
            <w:r>
              <w:rPr>
                <w:rFonts w:hAnsiTheme="minorEastAsia" w:eastAsiaTheme="minorEastAsia"/>
                <w:color w:val="000000" w:themeColor="text1"/>
                <w:sz w:val="24"/>
                <w14:textFill>
                  <w14:solidFill>
                    <w14:schemeClr w14:val="tx1"/>
                  </w14:solidFill>
                </w14:textFill>
              </w:rPr>
              <w:t>淀后循环使用不外排。</w:t>
            </w:r>
          </w:p>
          <w:p>
            <w:pPr>
              <w:adjustRightInd w:val="0"/>
              <w:snapToGrid w:val="0"/>
              <w:spacing w:line="360" w:lineRule="auto"/>
              <w:ind w:firstLine="482"/>
              <w:rPr>
                <w:rFonts w:hint="eastAsia" w:hAnsiTheme="minorEastAsia" w:eastAsiaTheme="minorEastAsia"/>
                <w:color w:val="000000" w:themeColor="text1"/>
                <w:sz w:val="24"/>
                <w:szCs w:val="24"/>
                <w:lang w:val="en-US" w:eastAsia="zh-CN"/>
                <w14:textFill>
                  <w14:solidFill>
                    <w14:schemeClr w14:val="tx1"/>
                  </w14:solidFill>
                </w14:textFill>
              </w:rPr>
            </w:pPr>
            <w:r>
              <w:rPr>
                <w:rFonts w:hint="default" w:hAnsiTheme="minorEastAsia" w:eastAsiaTheme="minorEastAsia"/>
                <w:color w:val="000000" w:themeColor="text1"/>
                <w:sz w:val="24"/>
                <w:szCs w:val="24"/>
                <w14:textFill>
                  <w14:solidFill>
                    <w14:schemeClr w14:val="tx1"/>
                  </w14:solidFill>
                </w14:textFill>
              </w:rPr>
              <w:t>②</w:t>
            </w:r>
            <w:r>
              <w:rPr>
                <w:rFonts w:hint="eastAsia" w:hAnsiTheme="minorEastAsia" w:eastAsiaTheme="minorEastAsia"/>
                <w:color w:val="000000" w:themeColor="text1"/>
                <w:sz w:val="24"/>
                <w:szCs w:val="24"/>
                <w:lang w:val="en-US" w:eastAsia="zh-CN"/>
                <w14:textFill>
                  <w14:solidFill>
                    <w14:schemeClr w14:val="tx1"/>
                  </w14:solidFill>
                </w14:textFill>
              </w:rPr>
              <w:t>洗砂用水</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经分析，洗砂用水量</w:t>
            </w:r>
            <w:r>
              <w:rPr>
                <w:rFonts w:hint="eastAsia" w:hAnsiTheme="minorEastAsia" w:eastAsiaTheme="minorEastAsia"/>
                <w:color w:val="000000" w:themeColor="text1"/>
                <w:sz w:val="24"/>
                <w:szCs w:val="24"/>
                <w:lang w:val="en-US" w:eastAsia="zh-CN"/>
                <w14:textFill>
                  <w14:solidFill>
                    <w14:schemeClr w14:val="tx1"/>
                  </w14:solidFill>
                </w14:textFill>
              </w:rPr>
              <w:t>为</w:t>
            </w:r>
            <w:r>
              <w:rPr>
                <w:rFonts w:hint="eastAsia" w:eastAsiaTheme="minorEastAsia"/>
                <w:color w:val="000000" w:themeColor="text1"/>
                <w:sz w:val="24"/>
                <w:szCs w:val="24"/>
                <w:lang w:val="en-US" w:eastAsia="zh-CN"/>
                <w14:textFill>
                  <w14:solidFill>
                    <w14:schemeClr w14:val="tx1"/>
                  </w14:solidFill>
                </w14:textFill>
              </w:rPr>
              <w:t>28</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/d</w:t>
            </w:r>
            <w:r>
              <w:rPr>
                <w:rFonts w:hint="eastAsia" w:eastAsiaTheme="minorEastAsia"/>
                <w:color w:val="000000" w:themeColor="text1"/>
                <w:sz w:val="24"/>
                <w:szCs w:val="24"/>
                <w:lang w:eastAsia="zh-CN"/>
                <w14:textFill>
                  <w14:solidFill>
                    <w14:schemeClr w14:val="tx1"/>
                  </w14:solidFill>
                </w14:textFill>
              </w:rPr>
              <w:t>（</w:t>
            </w:r>
            <w:r>
              <w:rPr>
                <w:rFonts w:hint="eastAsia" w:eastAsiaTheme="minorEastAsia"/>
                <w:color w:val="000000" w:themeColor="text1"/>
                <w:sz w:val="24"/>
                <w:szCs w:val="24"/>
                <w:lang w:val="en-US" w:eastAsia="zh-CN"/>
                <w14:textFill>
                  <w14:solidFill>
                    <w14:schemeClr w14:val="tx1"/>
                  </w14:solidFill>
                </w14:textFill>
              </w:rPr>
              <w:t>84</w:t>
            </w:r>
            <w:r>
              <w:rPr>
                <w:rFonts w:eastAsiaTheme="minorEastAsia"/>
                <w:color w:val="000000" w:themeColor="text1"/>
                <w:sz w:val="24"/>
                <w:szCs w:val="24"/>
                <w14:textFill>
                  <w14:solidFill>
                    <w14:schemeClr w14:val="tx1"/>
                  </w14:solidFill>
                </w14:textFill>
              </w:rPr>
              <w:t>00m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/a</w:t>
            </w:r>
            <w:r>
              <w:rPr>
                <w:rFonts w:hint="eastAsia" w:eastAsiaTheme="minorEastAsia"/>
                <w:color w:val="000000" w:themeColor="text1"/>
                <w:sz w:val="24"/>
                <w:szCs w:val="24"/>
                <w:lang w:eastAsia="zh-CN"/>
                <w14:textFill>
                  <w14:solidFill>
                    <w14:schemeClr w14:val="tx1"/>
                  </w14:solidFill>
                </w14:textFill>
              </w:rPr>
              <w:t>）</w:t>
            </w:r>
            <w:r>
              <w:rPr>
                <w:rFonts w:hAnsiTheme="minorEastAsia" w:eastAsiaTheme="minorEastAsia"/>
                <w:color w:val="000000" w:themeColor="text1"/>
                <w:sz w:val="24"/>
                <w:szCs w:val="24"/>
                <w14:textFill>
                  <w14:solidFill>
                    <w14:schemeClr w14:val="tx1"/>
                  </w14:solidFill>
                </w14:textFill>
              </w:rPr>
              <w:t>。损耗用水量为</w:t>
            </w:r>
            <w:r>
              <w:rPr>
                <w:rFonts w:hint="eastAsia" w:eastAsiaTheme="minorEastAsia"/>
                <w:color w:val="000000" w:themeColor="text1"/>
                <w:sz w:val="24"/>
                <w:szCs w:val="24"/>
                <w:lang w:val="en-US" w:eastAsia="zh-CN"/>
                <w14:textFill>
                  <w14:solidFill>
                    <w14:schemeClr w14:val="tx1"/>
                  </w14:solidFill>
                </w14:textFill>
              </w:rPr>
              <w:t>4.2</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/d</w:t>
            </w:r>
            <w:r>
              <w:rPr>
                <w:rFonts w:hAnsiTheme="minorEastAsia" w:eastAsiaTheme="minorEastAsia"/>
                <w:color w:val="000000" w:themeColor="text1"/>
                <w:sz w:val="24"/>
                <w:szCs w:val="24"/>
                <w14:textFill>
                  <w14:solidFill>
                    <w14:schemeClr w14:val="tx1"/>
                  </w14:solidFill>
                </w14:textFill>
              </w:rPr>
              <w:t>，</w:t>
            </w:r>
            <w:r>
              <w:rPr>
                <w:rFonts w:hAnsiTheme="minorEastAsia" w:eastAsiaTheme="minorEastAsia"/>
                <w:color w:val="000000" w:themeColor="text1"/>
                <w:sz w:val="24"/>
                <w:szCs w:val="28"/>
                <w14:textFill>
                  <w14:solidFill>
                    <w14:schemeClr w14:val="tx1"/>
                  </w14:solidFill>
                </w14:textFill>
              </w:rPr>
              <w:t>本次环评要求项目新建规模为</w:t>
            </w:r>
            <w:r>
              <w:rPr>
                <w:rFonts w:hint="eastAsia" w:eastAsiaTheme="minorEastAsia"/>
                <w:color w:val="000000" w:themeColor="text1"/>
                <w:sz w:val="24"/>
                <w:szCs w:val="28"/>
                <w:lang w:val="en-US" w:eastAsia="zh-CN"/>
                <w14:textFill>
                  <w14:solidFill>
                    <w14:schemeClr w14:val="tx1"/>
                  </w14:solidFill>
                </w14:textFill>
              </w:rPr>
              <w:t>5</w:t>
            </w:r>
            <w:r>
              <w:rPr>
                <w:rFonts w:hint="eastAsia" w:hAnsiTheme="minorEastAsia" w:eastAsiaTheme="minorEastAsia"/>
                <w:color w:val="000000" w:themeColor="text1"/>
                <w:sz w:val="24"/>
                <w:szCs w:val="28"/>
                <w14:textFill>
                  <w14:solidFill>
                    <w14:schemeClr w14:val="tx1"/>
                  </w14:solidFill>
                </w14:textFill>
              </w:rPr>
              <w:t>00</w:t>
            </w:r>
            <w:r>
              <w:rPr>
                <w:rFonts w:eastAsiaTheme="minorEastAsia"/>
                <w:color w:val="000000" w:themeColor="text1"/>
                <w:sz w:val="24"/>
                <w:szCs w:val="28"/>
                <w14:textFill>
                  <w14:solidFill>
                    <w14:schemeClr w14:val="tx1"/>
                  </w14:solidFill>
                </w14:textFill>
              </w:rPr>
              <w:t>m</w:t>
            </w:r>
            <w:r>
              <w:rPr>
                <w:rFonts w:eastAsiaTheme="minorEastAsia"/>
                <w:color w:val="000000" w:themeColor="text1"/>
                <w:sz w:val="24"/>
                <w:szCs w:val="28"/>
                <w:vertAlign w:val="superscript"/>
                <w14:textFill>
                  <w14:solidFill>
                    <w14:schemeClr w14:val="tx1"/>
                  </w14:solidFill>
                </w14:textFill>
              </w:rPr>
              <w:t>3</w:t>
            </w:r>
            <w:r>
              <w:rPr>
                <w:rFonts w:hint="eastAsia" w:eastAsiaTheme="minorEastAsia"/>
                <w:color w:val="000000" w:themeColor="text1"/>
                <w:sz w:val="24"/>
                <w:szCs w:val="28"/>
                <w14:textFill>
                  <w14:solidFill>
                    <w14:schemeClr w14:val="tx1"/>
                  </w14:solidFill>
                </w14:textFill>
              </w:rPr>
              <w:t>三级沉淀池</w:t>
            </w:r>
            <w:r>
              <w:rPr>
                <w:rFonts w:hAnsiTheme="minorEastAsia" w:eastAsiaTheme="minorEastAsia"/>
                <w:color w:val="000000" w:themeColor="text1"/>
                <w:sz w:val="24"/>
                <w:szCs w:val="28"/>
                <w14:textFill>
                  <w14:solidFill>
                    <w14:schemeClr w14:val="tx1"/>
                  </w14:solidFill>
                </w14:textFill>
              </w:rPr>
              <w:t>，可以满足采石场循环用水；冲洗车辆用水、洗砂废水、矿区道路抑尘洒水均全部消耗，不外排。</w:t>
            </w:r>
          </w:p>
          <w:p>
            <w:pPr>
              <w:pStyle w:val="10"/>
              <w:adjustRightInd w:val="0"/>
              <w:snapToGrid w:val="0"/>
              <w:spacing w:line="360" w:lineRule="auto"/>
              <w:ind w:firstLine="482"/>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③职工生活水</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本项目职工共计</w:t>
            </w:r>
            <w:r>
              <w:rPr>
                <w:rFonts w:eastAsiaTheme="minorEastAsia"/>
                <w:color w:val="000000" w:themeColor="text1"/>
                <w:sz w:val="24"/>
                <w:szCs w:val="24"/>
                <w14:textFill>
                  <w14:solidFill>
                    <w14:schemeClr w14:val="tx1"/>
                  </w14:solidFill>
                </w14:textFill>
              </w:rPr>
              <w:t>15</w:t>
            </w:r>
            <w:r>
              <w:rPr>
                <w:rFonts w:hAnsiTheme="minorEastAsia" w:eastAsiaTheme="minorEastAsia"/>
                <w:color w:val="000000" w:themeColor="text1"/>
                <w:sz w:val="24"/>
                <w:szCs w:val="24"/>
                <w14:textFill>
                  <w14:solidFill>
                    <w14:schemeClr w14:val="tx1"/>
                  </w14:solidFill>
                </w14:textFill>
              </w:rPr>
              <w:t>人，生活用水员工生活污水量</w:t>
            </w:r>
            <w:r>
              <w:rPr>
                <w:rFonts w:hAnsiTheme="minorEastAsia" w:eastAsiaTheme="minorEastAsia"/>
                <w:color w:val="auto"/>
                <w:sz w:val="24"/>
                <w:szCs w:val="24"/>
              </w:rPr>
              <w:t>为</w:t>
            </w:r>
            <w:r>
              <w:rPr>
                <w:rFonts w:eastAsiaTheme="minorEastAsia"/>
                <w:color w:val="auto"/>
                <w:sz w:val="24"/>
                <w:szCs w:val="24"/>
              </w:rPr>
              <w:t>0.</w:t>
            </w:r>
            <w:r>
              <w:rPr>
                <w:rFonts w:hint="eastAsia" w:eastAsiaTheme="minorEastAsia"/>
                <w:color w:val="auto"/>
                <w:sz w:val="24"/>
                <w:szCs w:val="24"/>
                <w:lang w:val="en-US" w:eastAsia="zh-CN"/>
              </w:rPr>
              <w:t>96</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/d</w:t>
            </w:r>
            <w:r>
              <w:rPr>
                <w:rFonts w:hAnsiTheme="minorEastAsia" w:eastAsiaTheme="minorEastAsia"/>
                <w:color w:val="auto"/>
                <w:sz w:val="24"/>
                <w:szCs w:val="24"/>
              </w:rPr>
              <w:t>（</w:t>
            </w:r>
            <w:r>
              <w:rPr>
                <w:rFonts w:hint="eastAsia" w:eastAsiaTheme="minorEastAsia"/>
                <w:color w:val="auto"/>
                <w:sz w:val="24"/>
                <w:szCs w:val="24"/>
                <w:lang w:val="en-US" w:eastAsia="zh-CN"/>
              </w:rPr>
              <w:t>288</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/a</w:t>
            </w:r>
            <w:r>
              <w:rPr>
                <w:rFonts w:hAnsiTheme="minorEastAsia" w:eastAsiaTheme="minorEastAsia"/>
                <w:color w:val="auto"/>
                <w:sz w:val="24"/>
                <w:szCs w:val="24"/>
              </w:rPr>
              <w:t>），</w:t>
            </w:r>
            <w:r>
              <w:rPr>
                <w:rFonts w:hAnsiTheme="minorEastAsia" w:eastAsiaTheme="minorEastAsia"/>
                <w:color w:val="000000" w:themeColor="text1"/>
                <w:sz w:val="24"/>
                <w:szCs w:val="24"/>
                <w14:textFill>
                  <w14:solidFill>
                    <w14:schemeClr w14:val="tx1"/>
                  </w14:solidFill>
                </w14:textFill>
              </w:rPr>
              <w:t>生活污水经化粪池收集，定期清掏不外排。</w:t>
            </w:r>
          </w:p>
          <w:p>
            <w:pPr>
              <w:pStyle w:val="47"/>
              <w:adjustRightInd w:val="0"/>
              <w:snapToGrid w:val="0"/>
              <w:ind w:firstLine="48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2</w:t>
            </w:r>
            <w:r>
              <w:rPr>
                <w:rFonts w:ascii="Times New Roman" w:cs="Times New Roman" w:hAnsiTheme="minorEastAsia" w:eastAsiaTheme="minorEastAsia"/>
                <w:color w:val="000000" w:themeColor="text1"/>
                <w14:textFill>
                  <w14:solidFill>
                    <w14:schemeClr w14:val="tx1"/>
                  </w14:solidFill>
                </w14:textFill>
              </w:rPr>
              <w:t>）废气</w:t>
            </w:r>
          </w:p>
          <w:p>
            <w:pPr>
              <w:pStyle w:val="47"/>
              <w:adjustRightInd w:val="0"/>
              <w:snapToGrid w:val="0"/>
              <w:ind w:firstLine="48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①钻孔粉尘</w:t>
            </w:r>
          </w:p>
          <w:p>
            <w:pPr>
              <w:pStyle w:val="47"/>
              <w:adjustRightInd w:val="0"/>
              <w:snapToGrid w:val="0"/>
              <w:ind w:firstLine="48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本项目采用中水平台阶式开采，故在凿岩穿孔的过程中产生粉尘较少。</w:t>
            </w:r>
          </w:p>
          <w:p>
            <w:pPr>
              <w:pStyle w:val="47"/>
              <w:adjustRightInd w:val="0"/>
              <w:snapToGrid w:val="0"/>
              <w:ind w:firstLine="48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②爆破过程</w:t>
            </w:r>
          </w:p>
          <w:p>
            <w:pPr>
              <w:pStyle w:val="47"/>
              <w:adjustRightInd w:val="0"/>
              <w:snapToGrid w:val="0"/>
              <w:ind w:firstLine="480"/>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a.</w:t>
            </w:r>
            <w:r>
              <w:rPr>
                <w:rFonts w:ascii="Times New Roman" w:cs="Times New Roman" w:hAnsiTheme="minorEastAsia" w:eastAsiaTheme="minorEastAsia"/>
                <w:color w:val="000000" w:themeColor="text1"/>
                <w14:textFill>
                  <w14:solidFill>
                    <w14:schemeClr w14:val="tx1"/>
                  </w14:solidFill>
                </w14:textFill>
              </w:rPr>
              <w:t>爆破粉尘</w:t>
            </w:r>
          </w:p>
          <w:p>
            <w:pPr>
              <w:pStyle w:val="47"/>
              <w:adjustRightInd w:val="0"/>
              <w:snapToGrid w:val="0"/>
              <w:ind w:firstLine="48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本项目采用中深孔微差爆破，粉尘产尘量较少。类比同类采石场，矿山爆破产尘量约</w:t>
            </w:r>
            <w:r>
              <w:rPr>
                <w:rFonts w:ascii="Times New Roman" w:hAnsi="Times New Roman" w:cs="Times New Roman" w:eastAsiaTheme="minorEastAsia"/>
                <w:color w:val="000000" w:themeColor="text1"/>
                <w14:textFill>
                  <w14:solidFill>
                    <w14:schemeClr w14:val="tx1"/>
                  </w14:solidFill>
                </w14:textFill>
              </w:rPr>
              <w:t>23.5g/m</w:t>
            </w:r>
            <w:r>
              <w:rPr>
                <w:rFonts w:ascii="Times New Roman" w:hAnsi="Times New Roman" w:cs="Times New Roman" w:eastAsiaTheme="minorEastAsia"/>
                <w:color w:val="000000" w:themeColor="text1"/>
                <w:vertAlign w:val="superscript"/>
                <w14:textFill>
                  <w14:solidFill>
                    <w14:schemeClr w14:val="tx1"/>
                  </w14:solidFill>
                </w14:textFill>
              </w:rPr>
              <w:t>3</w:t>
            </w:r>
            <w:r>
              <w:rPr>
                <w:rFonts w:ascii="Times New Roman" w:cs="Times New Roman" w:hAnsiTheme="minorEastAsia" w:eastAsiaTheme="minorEastAsia"/>
                <w:color w:val="000000" w:themeColor="text1"/>
                <w14:textFill>
                  <w14:solidFill>
                    <w14:schemeClr w14:val="tx1"/>
                  </w14:solidFill>
                </w14:textFill>
              </w:rPr>
              <w:t>，本项目石灰岩开采量约</w:t>
            </w:r>
            <w:r>
              <w:rPr>
                <w:rFonts w:hint="eastAsia" w:ascii="Times New Roman" w:hAnsi="Times New Roman" w:cs="Times New Roman" w:eastAsiaTheme="minorEastAsia"/>
                <w:color w:val="000000" w:themeColor="text1"/>
                <w:kern w:val="0"/>
                <w:szCs w:val="20"/>
                <w14:textFill>
                  <w14:solidFill>
                    <w14:schemeClr w14:val="tx1"/>
                  </w14:solidFill>
                </w14:textFill>
              </w:rPr>
              <w:t>30</w:t>
            </w:r>
            <w:r>
              <w:rPr>
                <w:rFonts w:ascii="Times New Roman" w:cs="Times New Roman" w:hAnsiTheme="minorEastAsia" w:eastAsiaTheme="minorEastAsia"/>
                <w:color w:val="000000" w:themeColor="text1"/>
                <w:kern w:val="0"/>
                <w:szCs w:val="20"/>
                <w14:textFill>
                  <w14:solidFill>
                    <w14:schemeClr w14:val="tx1"/>
                  </w14:solidFill>
                </w14:textFill>
              </w:rPr>
              <w:t>万</w:t>
            </w:r>
            <w:r>
              <w:rPr>
                <w:rFonts w:ascii="Times New Roman" w:hAnsi="Times New Roman" w:cs="Times New Roman" w:eastAsiaTheme="minorEastAsia"/>
                <w:color w:val="000000" w:themeColor="text1"/>
                <w:kern w:val="0"/>
                <w:szCs w:val="20"/>
                <w14:textFill>
                  <w14:solidFill>
                    <w14:schemeClr w14:val="tx1"/>
                  </w14:solidFill>
                </w14:textFill>
              </w:rPr>
              <w:t>m</w:t>
            </w:r>
            <w:r>
              <w:rPr>
                <w:rFonts w:ascii="Times New Roman" w:hAnsi="Times New Roman" w:cs="Times New Roman" w:eastAsiaTheme="minorEastAsia"/>
                <w:color w:val="000000" w:themeColor="text1"/>
                <w:kern w:val="0"/>
                <w:szCs w:val="20"/>
                <w:vertAlign w:val="superscript"/>
                <w14:textFill>
                  <w14:solidFill>
                    <w14:schemeClr w14:val="tx1"/>
                  </w14:solidFill>
                </w14:textFill>
              </w:rPr>
              <w:t>3</w:t>
            </w:r>
            <w:r>
              <w:rPr>
                <w:rFonts w:ascii="Times New Roman" w:hAnsi="Times New Roman" w:cs="Times New Roman" w:eastAsiaTheme="minorEastAsia"/>
                <w:color w:val="000000" w:themeColor="text1"/>
                <w14:textFill>
                  <w14:solidFill>
                    <w14:schemeClr w14:val="tx1"/>
                  </w14:solidFill>
                </w14:textFill>
              </w:rPr>
              <w:t>/a</w:t>
            </w:r>
            <w:r>
              <w:rPr>
                <w:rFonts w:ascii="Times New Roman" w:cs="Times New Roman" w:hAnsiTheme="minorEastAsia" w:eastAsiaTheme="minorEastAsia"/>
                <w:color w:val="000000" w:themeColor="text1"/>
                <w14:textFill>
                  <w14:solidFill>
                    <w14:schemeClr w14:val="tx1"/>
                  </w14:solidFill>
                </w14:textFill>
              </w:rPr>
              <w:t>（约</w:t>
            </w:r>
            <w:r>
              <w:rPr>
                <w:rFonts w:hint="eastAsia" w:ascii="Times New Roman" w:cs="Times New Roman" w:hAnsiTheme="minorEastAsia" w:eastAsiaTheme="minorEastAsia"/>
                <w:color w:val="000000" w:themeColor="text1"/>
                <w:lang w:val="en-US" w:eastAsia="zh-CN"/>
                <w14:textFill>
                  <w14:solidFill>
                    <w14:schemeClr w14:val="tx1"/>
                  </w14:solidFill>
                </w14:textFill>
              </w:rPr>
              <w:t>50</w:t>
            </w:r>
            <w:r>
              <w:rPr>
                <w:rFonts w:ascii="Times New Roman" w:cs="Times New Roman" w:hAnsiTheme="minorEastAsia" w:eastAsiaTheme="minorEastAsia"/>
                <w:color w:val="000000" w:themeColor="text1"/>
                <w14:textFill>
                  <w14:solidFill>
                    <w14:schemeClr w14:val="tx1"/>
                  </w14:solidFill>
                </w14:textFill>
              </w:rPr>
              <w:t>万</w:t>
            </w:r>
            <w:r>
              <w:rPr>
                <w:rFonts w:ascii="Times New Roman" w:hAnsi="Times New Roman" w:cs="Times New Roman" w:eastAsiaTheme="minorEastAsia"/>
                <w:color w:val="000000" w:themeColor="text1"/>
                <w14:textFill>
                  <w14:solidFill>
                    <w14:schemeClr w14:val="tx1"/>
                  </w14:solidFill>
                </w14:textFill>
              </w:rPr>
              <w:t>t/a</w:t>
            </w:r>
            <w:r>
              <w:rPr>
                <w:rFonts w:ascii="Times New Roman" w:cs="Times New Roman" w:hAnsiTheme="minorEastAsia" w:eastAsiaTheme="minorEastAsia"/>
                <w:color w:val="000000" w:themeColor="text1"/>
                <w14:textFill>
                  <w14:solidFill>
                    <w14:schemeClr w14:val="tx1"/>
                  </w14:solidFill>
                </w14:textFill>
              </w:rPr>
              <w:t>），爆破产生粉尘</w:t>
            </w:r>
            <w:r>
              <w:rPr>
                <w:rFonts w:hint="eastAsia" w:ascii="Times New Roman" w:hAnsi="Times New Roman" w:cs="Times New Roman" w:eastAsiaTheme="minorEastAsia"/>
                <w:color w:val="000000" w:themeColor="text1"/>
                <w14:textFill>
                  <w14:solidFill>
                    <w14:schemeClr w14:val="tx1"/>
                  </w14:solidFill>
                </w14:textFill>
              </w:rPr>
              <w:t>7.05</w:t>
            </w:r>
            <w:r>
              <w:rPr>
                <w:rFonts w:ascii="Times New Roman" w:hAnsi="Times New Roman" w:cs="Times New Roman" w:eastAsiaTheme="minorEastAsia"/>
                <w:color w:val="000000" w:themeColor="text1"/>
                <w14:textFill>
                  <w14:solidFill>
                    <w14:schemeClr w14:val="tx1"/>
                  </w14:solidFill>
                </w14:textFill>
              </w:rPr>
              <w:t>t/a</w:t>
            </w:r>
            <w:r>
              <w:rPr>
                <w:rFonts w:ascii="Times New Roman" w:cs="Times New Roman" w:hAnsiTheme="minorEastAsia" w:eastAsiaTheme="minorEastAsia"/>
                <w:color w:val="000000" w:themeColor="text1"/>
                <w14:textFill>
                  <w14:solidFill>
                    <w14:schemeClr w14:val="tx1"/>
                  </w14:solidFill>
                </w14:textFill>
              </w:rPr>
              <w:t>。项目年爆破</w:t>
            </w:r>
            <w:r>
              <w:rPr>
                <w:rFonts w:hint="eastAsia" w:ascii="Times New Roman" w:hAnsi="Times New Roman" w:cs="Times New Roman" w:eastAsiaTheme="minorEastAsia"/>
                <w:color w:val="000000" w:themeColor="text1"/>
                <w14:textFill>
                  <w14:solidFill>
                    <w14:schemeClr w14:val="tx1"/>
                  </w14:solidFill>
                </w14:textFill>
              </w:rPr>
              <w:t>150</w:t>
            </w:r>
            <w:r>
              <w:rPr>
                <w:rFonts w:ascii="Times New Roman" w:cs="Times New Roman" w:hAnsiTheme="minorEastAsia" w:eastAsiaTheme="minorEastAsia"/>
                <w:color w:val="000000" w:themeColor="text1"/>
                <w14:textFill>
                  <w14:solidFill>
                    <w14:schemeClr w14:val="tx1"/>
                  </w14:solidFill>
                </w14:textFill>
              </w:rPr>
              <w:t>次，则一次爆破粉尘产生量为</w:t>
            </w:r>
            <w:r>
              <w:rPr>
                <w:rFonts w:hint="eastAsia" w:ascii="Times New Roman" w:hAnsi="Times New Roman" w:cs="Times New Roman" w:eastAsiaTheme="minorEastAsia"/>
                <w:color w:val="000000" w:themeColor="text1"/>
                <w14:textFill>
                  <w14:solidFill>
                    <w14:schemeClr w14:val="tx1"/>
                  </w14:solidFill>
                </w14:textFill>
              </w:rPr>
              <w:t>47</w:t>
            </w:r>
            <w:r>
              <w:rPr>
                <w:rFonts w:ascii="Times New Roman" w:hAnsi="Times New Roman" w:cs="Times New Roman" w:eastAsiaTheme="minorEastAsia"/>
                <w:color w:val="000000" w:themeColor="text1"/>
                <w14:textFill>
                  <w14:solidFill>
                    <w14:schemeClr w14:val="tx1"/>
                  </w14:solidFill>
                </w14:textFill>
              </w:rPr>
              <w:t>kg/</w:t>
            </w:r>
            <w:r>
              <w:rPr>
                <w:rFonts w:ascii="Times New Roman" w:cs="Times New Roman" w:hAnsiTheme="minorEastAsia" w:eastAsiaTheme="minorEastAsia"/>
                <w:color w:val="000000" w:themeColor="text1"/>
                <w14:textFill>
                  <w14:solidFill>
                    <w14:schemeClr w14:val="tx1"/>
                  </w14:solidFill>
                </w14:textFill>
              </w:rPr>
              <w:t>次。爆破后粒径大的粉尘在近距离内短时间沉降，粒径</w:t>
            </w:r>
            <w:r>
              <w:rPr>
                <w:rFonts w:ascii="Times New Roman" w:hAnsi="Times New Roman" w:cs="Times New Roman" w:eastAsiaTheme="minorEastAsia"/>
                <w:color w:val="000000" w:themeColor="text1"/>
                <w14:textFill>
                  <w14:solidFill>
                    <w14:schemeClr w14:val="tx1"/>
                  </w14:solidFill>
                </w14:textFill>
              </w:rPr>
              <w:t>&lt;10</w:t>
            </w:r>
            <w:r>
              <w:rPr>
                <w:rFonts w:ascii="Times New Roman" w:hAnsi="Times New Roman" w:cs="Times New Roman" w:eastAsiaTheme="minorEastAsia"/>
                <w:color w:val="000000" w:themeColor="text1"/>
                <w14:textFill>
                  <w14:solidFill>
                    <w14:schemeClr w14:val="tx1"/>
                  </w14:solidFill>
                </w14:textFill>
              </w:rPr>
              <w:sym w:font="Symbol" w:char="F06D"/>
            </w:r>
            <w:r>
              <w:rPr>
                <w:rFonts w:ascii="Times New Roman" w:hAnsi="Times New Roman" w:cs="Times New Roman" w:eastAsiaTheme="minorEastAsia"/>
                <w:color w:val="000000" w:themeColor="text1"/>
                <w14:textFill>
                  <w14:solidFill>
                    <w14:schemeClr w14:val="tx1"/>
                  </w14:solidFill>
                </w14:textFill>
              </w:rPr>
              <w:t>m</w:t>
            </w:r>
            <w:r>
              <w:rPr>
                <w:rFonts w:ascii="Times New Roman" w:cs="Times New Roman" w:hAnsiTheme="minorEastAsia" w:eastAsiaTheme="minorEastAsia"/>
                <w:color w:val="000000" w:themeColor="text1"/>
                <w14:textFill>
                  <w14:solidFill>
                    <w14:schemeClr w14:val="tx1"/>
                  </w14:solidFill>
                </w14:textFill>
              </w:rPr>
              <w:t>的飘尘不易沉降，但仅占产尘量的</w:t>
            </w:r>
            <w:r>
              <w:rPr>
                <w:rFonts w:ascii="Times New Roman" w:hAnsi="Times New Roman" w:cs="Times New Roman" w:eastAsiaTheme="minorEastAsia"/>
                <w:color w:val="000000" w:themeColor="text1"/>
                <w14:textFill>
                  <w14:solidFill>
                    <w14:schemeClr w14:val="tx1"/>
                  </w14:solidFill>
                </w14:textFill>
              </w:rPr>
              <w:t>1%</w:t>
            </w:r>
            <w:r>
              <w:rPr>
                <w:rFonts w:ascii="Times New Roman" w:cs="Times New Roman" w:hAnsiTheme="minorEastAsia" w:eastAsiaTheme="minorEastAsia"/>
                <w:color w:val="000000" w:themeColor="text1"/>
                <w14:textFill>
                  <w14:solidFill>
                    <w14:schemeClr w14:val="tx1"/>
                  </w14:solidFill>
                </w14:textFill>
              </w:rPr>
              <w:t>以下，飘尘产生量约</w:t>
            </w:r>
            <w:r>
              <w:rPr>
                <w:rFonts w:hint="eastAsia" w:ascii="Times New Roman" w:cs="Times New Roman" w:hAnsiTheme="minorEastAsia" w:eastAsiaTheme="minorEastAsia"/>
                <w:color w:val="000000" w:themeColor="text1"/>
                <w14:textFill>
                  <w14:solidFill>
                    <w14:schemeClr w14:val="tx1"/>
                  </w14:solidFill>
                </w14:textFill>
              </w:rPr>
              <w:t>0.47kg/次(</w:t>
            </w:r>
            <w:r>
              <w:rPr>
                <w:rFonts w:hint="eastAsia" w:ascii="Times New Roman" w:hAnsi="Times New Roman" w:cs="Times New Roman" w:eastAsiaTheme="minorEastAsia"/>
                <w:color w:val="000000" w:themeColor="text1"/>
                <w14:textFill>
                  <w14:solidFill>
                    <w14:schemeClr w14:val="tx1"/>
                  </w14:solidFill>
                </w14:textFill>
              </w:rPr>
              <w:t>70.5</w:t>
            </w:r>
            <w:r>
              <w:rPr>
                <w:rFonts w:ascii="Times New Roman" w:hAnsi="Times New Roman" w:cs="Times New Roman" w:eastAsiaTheme="minorEastAsia"/>
                <w:color w:val="000000" w:themeColor="text1"/>
                <w14:textFill>
                  <w14:solidFill>
                    <w14:schemeClr w14:val="tx1"/>
                  </w14:solidFill>
                </w14:textFill>
              </w:rPr>
              <w:t>kg/a</w:t>
            </w:r>
            <w:r>
              <w:rPr>
                <w:rFonts w:hint="eastAsia" w:ascii="Times New Roman" w:hAnsi="Times New Roman" w:cs="Times New Roman" w:eastAsiaTheme="minorEastAsia"/>
                <w:color w:val="000000" w:themeColor="text1"/>
                <w14:textFill>
                  <w14:solidFill>
                    <w14:schemeClr w14:val="tx1"/>
                  </w14:solidFill>
                </w14:textFill>
              </w:rPr>
              <w:t>)</w:t>
            </w:r>
            <w:r>
              <w:rPr>
                <w:rFonts w:ascii="Times New Roman" w:cs="Times New Roman" w:hAnsiTheme="minorEastAsia" w:eastAsiaTheme="minorEastAsia"/>
                <w:color w:val="000000" w:themeColor="text1"/>
                <w14:textFill>
                  <w14:solidFill>
                    <w14:schemeClr w14:val="tx1"/>
                  </w14:solidFill>
                </w14:textFill>
              </w:rPr>
              <w:t>。根据以往爆破现场情况，由于爆破粉尘粒径较大，扩散范围有限，下风向影响距离一般在</w:t>
            </w:r>
            <w:r>
              <w:rPr>
                <w:rFonts w:ascii="Times New Roman" w:hAnsi="Times New Roman" w:cs="Times New Roman" w:eastAsiaTheme="minorEastAsia"/>
                <w:color w:val="000000" w:themeColor="text1"/>
                <w14:textFill>
                  <w14:solidFill>
                    <w14:schemeClr w14:val="tx1"/>
                  </w14:solidFill>
                </w14:textFill>
              </w:rPr>
              <w:t>500m</w:t>
            </w:r>
            <w:r>
              <w:rPr>
                <w:rFonts w:ascii="Times New Roman" w:cs="Times New Roman" w:hAnsiTheme="minorEastAsia" w:eastAsiaTheme="minorEastAsia"/>
                <w:color w:val="000000" w:themeColor="text1"/>
                <w14:textFill>
                  <w14:solidFill>
                    <w14:schemeClr w14:val="tx1"/>
                  </w14:solidFill>
                </w14:textFill>
              </w:rPr>
              <w:t>以内，且随距离的增加粉尘浓度迅速下降。</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b.</w:t>
            </w:r>
            <w:r>
              <w:rPr>
                <w:rFonts w:ascii="Times New Roman" w:cs="Times New Roman" w:hAnsiTheme="minorEastAsia" w:eastAsiaTheme="minorEastAsia"/>
                <w:color w:val="000000" w:themeColor="text1"/>
                <w14:textFill>
                  <w14:solidFill>
                    <w14:schemeClr w14:val="tx1"/>
                  </w14:solidFill>
                </w14:textFill>
              </w:rPr>
              <w:t>爆破废气</w:t>
            </w:r>
          </w:p>
          <w:p>
            <w:pPr>
              <w:adjustRightInd w:val="0"/>
              <w:snapToGrid w:val="0"/>
              <w:spacing w:line="360" w:lineRule="auto"/>
              <w:ind w:firstLine="480" w:firstLineChars="200"/>
              <w:rPr>
                <w:rFonts w:eastAsiaTheme="minorEastAsia"/>
                <w:color w:val="000000" w:themeColor="text1"/>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本项目矿山爆破采用粉状乳化炸药。粉状乳化炸药是一种不含</w:t>
            </w:r>
            <w:r>
              <w:rPr>
                <w:rFonts w:eastAsiaTheme="minorEastAsia"/>
                <w:color w:val="000000" w:themeColor="text1"/>
                <w:sz w:val="24"/>
                <w:szCs w:val="24"/>
                <w14:textFill>
                  <w14:solidFill>
                    <w14:schemeClr w14:val="tx1"/>
                  </w14:solidFill>
                </w14:textFill>
              </w:rPr>
              <w:t>TNT</w:t>
            </w:r>
            <w:r>
              <w:rPr>
                <w:rFonts w:hAnsiTheme="minorEastAsia" w:eastAsiaTheme="minorEastAsia"/>
                <w:color w:val="000000" w:themeColor="text1"/>
                <w:sz w:val="24"/>
                <w:szCs w:val="24"/>
                <w14:textFill>
                  <w14:solidFill>
                    <w14:schemeClr w14:val="tx1"/>
                  </w14:solidFill>
                </w14:textFill>
              </w:rPr>
              <w:t>等任何一种猛炸药或有毒物质组成的绿色环保型工业炸药。粉状乳化炸药放炮后产生的炮烟小，不呛人，能见度高，产生的有毒有害气体较少。爆破时产生的气体主要有</w:t>
            </w:r>
            <w:r>
              <w:rPr>
                <w:rFonts w:eastAsiaTheme="minorEastAsia"/>
                <w:color w:val="000000" w:themeColor="text1"/>
                <w:sz w:val="24"/>
                <w:szCs w:val="24"/>
                <w14:textFill>
                  <w14:solidFill>
                    <w14:schemeClr w14:val="tx1"/>
                  </w14:solidFill>
                </w14:textFill>
              </w:rPr>
              <w:t>NO</w:t>
            </w:r>
            <w:r>
              <w:rPr>
                <w:rFonts w:eastAsiaTheme="minorEastAsia"/>
                <w:color w:val="000000" w:themeColor="text1"/>
                <w:sz w:val="24"/>
                <w:szCs w:val="24"/>
                <w:vertAlign w:val="subscript"/>
                <w14:textFill>
                  <w14:solidFill>
                    <w14:schemeClr w14:val="tx1"/>
                  </w14:solidFill>
                </w14:textFill>
              </w:rPr>
              <w:t>x</w:t>
            </w:r>
            <w:r>
              <w:rPr>
                <w:rFonts w:hAnsiTheme="minorEastAsia" w:eastAsiaTheme="minorEastAsia"/>
                <w:color w:val="000000" w:themeColor="text1"/>
                <w:sz w:val="24"/>
                <w:szCs w:val="24"/>
                <w14:textFill>
                  <w14:solidFill>
                    <w14:schemeClr w14:val="tx1"/>
                  </w14:solidFill>
                </w14:textFill>
              </w:rPr>
              <w:t>和</w:t>
            </w:r>
            <w:r>
              <w:rPr>
                <w:rFonts w:eastAsiaTheme="minorEastAsia"/>
                <w:color w:val="000000" w:themeColor="text1"/>
                <w:sz w:val="24"/>
                <w:szCs w:val="24"/>
                <w14:textFill>
                  <w14:solidFill>
                    <w14:schemeClr w14:val="tx1"/>
                  </w14:solidFill>
                </w14:textFill>
              </w:rPr>
              <w:t>CO</w:t>
            </w:r>
            <w:r>
              <w:rPr>
                <w:rFonts w:hAnsiTheme="minorEastAsia" w:eastAsiaTheme="minorEastAsia"/>
                <w:color w:val="000000" w:themeColor="text1"/>
                <w:sz w:val="24"/>
                <w:szCs w:val="24"/>
                <w14:textFill>
                  <w14:solidFill>
                    <w14:schemeClr w14:val="tx1"/>
                  </w14:solidFill>
                </w14:textFill>
              </w:rPr>
              <w:t>。根据同类项目进粉状乳化炸药爆破测试数据，</w:t>
            </w:r>
            <w:r>
              <w:rPr>
                <w:rFonts w:hAnsiTheme="minorEastAsia" w:eastAsiaTheme="minorEastAsia"/>
                <w:color w:val="000000" w:themeColor="text1"/>
                <w:sz w:val="24"/>
                <w14:textFill>
                  <w14:solidFill>
                    <w14:schemeClr w14:val="tx1"/>
                  </w14:solidFill>
                </w14:textFill>
              </w:rPr>
              <w:t>爆炸时产生的主要有害气体为</w:t>
            </w:r>
            <w:r>
              <w:rPr>
                <w:rFonts w:eastAsiaTheme="minorEastAsia"/>
                <w:color w:val="000000" w:themeColor="text1"/>
                <w:sz w:val="24"/>
                <w14:textFill>
                  <w14:solidFill>
                    <w14:schemeClr w14:val="tx1"/>
                  </w14:solidFill>
                </w14:textFill>
              </w:rPr>
              <w:t>CO</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NO</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NO</w:t>
            </w:r>
            <w:r>
              <w:rPr>
                <w:rFonts w:eastAsiaTheme="minorEastAsia"/>
                <w:color w:val="000000" w:themeColor="text1"/>
                <w:sz w:val="24"/>
                <w:vertAlign w:val="subscript"/>
                <w14:textFill>
                  <w14:solidFill>
                    <w14:schemeClr w14:val="tx1"/>
                  </w14:solidFill>
                </w14:textFill>
              </w:rPr>
              <w:t>2</w:t>
            </w:r>
            <w:r>
              <w:rPr>
                <w:rFonts w:hAnsiTheme="minorEastAsia" w:eastAsiaTheme="minorEastAsia"/>
                <w:color w:val="000000" w:themeColor="text1"/>
                <w:sz w:val="24"/>
                <w14:textFill>
                  <w14:solidFill>
                    <w14:schemeClr w14:val="tx1"/>
                  </w14:solidFill>
                </w14:textFill>
              </w:rPr>
              <w:t>。经类比分析炸药爆炸产生的</w:t>
            </w:r>
            <w:r>
              <w:rPr>
                <w:rFonts w:eastAsiaTheme="minorEastAsia"/>
                <w:color w:val="000000" w:themeColor="text1"/>
                <w:sz w:val="24"/>
                <w14:textFill>
                  <w14:solidFill>
                    <w14:schemeClr w14:val="tx1"/>
                  </w14:solidFill>
                </w14:textFill>
              </w:rPr>
              <w:t>CO</w:t>
            </w:r>
            <w:r>
              <w:rPr>
                <w:rFonts w:hAnsiTheme="minorEastAsia" w:eastAsiaTheme="minorEastAsia"/>
                <w:color w:val="000000" w:themeColor="text1"/>
                <w:sz w:val="24"/>
                <w14:textFill>
                  <w14:solidFill>
                    <w14:schemeClr w14:val="tx1"/>
                  </w14:solidFill>
                </w14:textFill>
              </w:rPr>
              <w:t>量为</w:t>
            </w:r>
            <w:r>
              <w:rPr>
                <w:rFonts w:eastAsiaTheme="minorEastAsia"/>
                <w:color w:val="000000" w:themeColor="text1"/>
                <w:sz w:val="24"/>
                <w14:textFill>
                  <w14:solidFill>
                    <w14:schemeClr w14:val="tx1"/>
                  </w14:solidFill>
                </w14:textFill>
              </w:rPr>
              <w:t>5.3g/kg</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NO</w:t>
            </w:r>
            <w:r>
              <w:rPr>
                <w:rFonts w:eastAsiaTheme="minorEastAsia"/>
                <w:color w:val="000000" w:themeColor="text1"/>
                <w:sz w:val="24"/>
                <w:vertAlign w:val="subscript"/>
                <w14:textFill>
                  <w14:solidFill>
                    <w14:schemeClr w14:val="tx1"/>
                  </w14:solidFill>
                </w14:textFill>
              </w:rPr>
              <w:t>x</w:t>
            </w:r>
            <w:r>
              <w:rPr>
                <w:rFonts w:hAnsiTheme="minorEastAsia" w:eastAsiaTheme="minorEastAsia"/>
                <w:color w:val="000000" w:themeColor="text1"/>
                <w:sz w:val="24"/>
                <w14:textFill>
                  <w14:solidFill>
                    <w14:schemeClr w14:val="tx1"/>
                  </w14:solidFill>
                </w14:textFill>
              </w:rPr>
              <w:t>为</w:t>
            </w:r>
            <w:r>
              <w:rPr>
                <w:rFonts w:eastAsiaTheme="minorEastAsia"/>
                <w:color w:val="000000" w:themeColor="text1"/>
                <w:sz w:val="24"/>
                <w14:textFill>
                  <w14:solidFill>
                    <w14:schemeClr w14:val="tx1"/>
                  </w14:solidFill>
                </w14:textFill>
              </w:rPr>
              <w:t>l4.6g/kg</w:t>
            </w:r>
            <w:r>
              <w:rPr>
                <w:rFonts w:hAnsiTheme="minorEastAsia" w:eastAsiaTheme="minorEastAsia"/>
                <w:color w:val="000000" w:themeColor="text1"/>
                <w:sz w:val="24"/>
                <w14:textFill>
                  <w14:solidFill>
                    <w14:schemeClr w14:val="tx1"/>
                  </w14:solidFill>
                </w14:textFill>
              </w:rPr>
              <w:t>。按照项目的炸药用量为</w:t>
            </w:r>
            <w:r>
              <w:rPr>
                <w:rFonts w:hint="eastAsia" w:eastAsiaTheme="minorEastAsia"/>
                <w:color w:val="000000" w:themeColor="text1"/>
                <w:sz w:val="24"/>
                <w14:textFill>
                  <w14:solidFill>
                    <w14:schemeClr w14:val="tx1"/>
                  </w14:solidFill>
                </w14:textFill>
              </w:rPr>
              <w:t>30</w:t>
            </w:r>
            <w:r>
              <w:rPr>
                <w:rFonts w:eastAsiaTheme="minorEastAsia"/>
                <w:color w:val="000000" w:themeColor="text1"/>
                <w:sz w:val="24"/>
                <w14:textFill>
                  <w14:solidFill>
                    <w14:schemeClr w14:val="tx1"/>
                  </w14:solidFill>
                </w14:textFill>
              </w:rPr>
              <w:t>t/a</w:t>
            </w:r>
            <w:r>
              <w:rPr>
                <w:rFonts w:hAnsiTheme="minorEastAsia" w:eastAsiaTheme="minorEastAsia"/>
                <w:color w:val="000000" w:themeColor="text1"/>
                <w:sz w:val="24"/>
                <w14:textFill>
                  <w14:solidFill>
                    <w14:schemeClr w14:val="tx1"/>
                  </w14:solidFill>
                </w14:textFill>
              </w:rPr>
              <w:t>，污染物</w:t>
            </w:r>
            <w:r>
              <w:rPr>
                <w:rFonts w:eastAsiaTheme="minorEastAsia"/>
                <w:color w:val="000000" w:themeColor="text1"/>
                <w:sz w:val="24"/>
                <w14:textFill>
                  <w14:solidFill>
                    <w14:schemeClr w14:val="tx1"/>
                  </w14:solidFill>
                </w14:textFill>
              </w:rPr>
              <w:t>CO</w:t>
            </w:r>
            <w:r>
              <w:rPr>
                <w:rFonts w:hAnsiTheme="minorEastAsia" w:eastAsiaTheme="minorEastAsia"/>
                <w:color w:val="000000" w:themeColor="text1"/>
                <w:sz w:val="24"/>
                <w14:textFill>
                  <w14:solidFill>
                    <w14:schemeClr w14:val="tx1"/>
                  </w14:solidFill>
                </w14:textFill>
              </w:rPr>
              <w:t>量为</w:t>
            </w:r>
            <w:r>
              <w:rPr>
                <w:rFonts w:eastAsiaTheme="minorEastAsia"/>
                <w:color w:val="000000" w:themeColor="text1"/>
                <w:sz w:val="24"/>
                <w14:textFill>
                  <w14:solidFill>
                    <w14:schemeClr w14:val="tx1"/>
                  </w14:solidFill>
                </w14:textFill>
              </w:rPr>
              <w:t>0.</w:t>
            </w:r>
            <w:r>
              <w:rPr>
                <w:rFonts w:hint="eastAsia" w:eastAsiaTheme="minorEastAsia"/>
                <w:color w:val="000000" w:themeColor="text1"/>
                <w:sz w:val="24"/>
                <w14:textFill>
                  <w14:solidFill>
                    <w14:schemeClr w14:val="tx1"/>
                  </w14:solidFill>
                </w14:textFill>
              </w:rPr>
              <w:t>159</w:t>
            </w:r>
            <w:r>
              <w:rPr>
                <w:rFonts w:eastAsiaTheme="minorEastAsia"/>
                <w:color w:val="000000" w:themeColor="text1"/>
                <w:sz w:val="24"/>
                <w14:textFill>
                  <w14:solidFill>
                    <w14:schemeClr w14:val="tx1"/>
                  </w14:solidFill>
                </w14:textFill>
              </w:rPr>
              <w:t>t/a</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NO</w:t>
            </w:r>
            <w:r>
              <w:rPr>
                <w:rFonts w:eastAsiaTheme="minorEastAsia"/>
                <w:color w:val="000000" w:themeColor="text1"/>
                <w:sz w:val="24"/>
                <w:vertAlign w:val="subscript"/>
                <w14:textFill>
                  <w14:solidFill>
                    <w14:schemeClr w14:val="tx1"/>
                  </w14:solidFill>
                </w14:textFill>
              </w:rPr>
              <w:t>x</w:t>
            </w:r>
            <w:r>
              <w:rPr>
                <w:rFonts w:hAnsiTheme="minorEastAsia" w:eastAsiaTheme="minorEastAsia"/>
                <w:color w:val="000000" w:themeColor="text1"/>
                <w:sz w:val="24"/>
                <w14:textFill>
                  <w14:solidFill>
                    <w14:schemeClr w14:val="tx1"/>
                  </w14:solidFill>
                </w14:textFill>
              </w:rPr>
              <w:t>产生量</w:t>
            </w:r>
            <w:r>
              <w:rPr>
                <w:rFonts w:eastAsiaTheme="minorEastAsia"/>
                <w:color w:val="000000" w:themeColor="text1"/>
                <w:sz w:val="24"/>
                <w14:textFill>
                  <w14:solidFill>
                    <w14:schemeClr w14:val="tx1"/>
                  </w14:solidFill>
                </w14:textFill>
              </w:rPr>
              <w:t>0.</w:t>
            </w:r>
            <w:r>
              <w:rPr>
                <w:rFonts w:hint="eastAsia" w:eastAsiaTheme="minorEastAsia"/>
                <w:color w:val="000000" w:themeColor="text1"/>
                <w:sz w:val="24"/>
                <w14:textFill>
                  <w14:solidFill>
                    <w14:schemeClr w14:val="tx1"/>
                  </w14:solidFill>
                </w14:textFill>
              </w:rPr>
              <w:t>438</w:t>
            </w:r>
            <w:r>
              <w:rPr>
                <w:rFonts w:eastAsiaTheme="minorEastAsia"/>
                <w:color w:val="000000" w:themeColor="text1"/>
                <w:sz w:val="24"/>
                <w14:textFill>
                  <w14:solidFill>
                    <w14:schemeClr w14:val="tx1"/>
                  </w14:solidFill>
                </w14:textFill>
              </w:rPr>
              <w:t>t/a</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8"/>
                <w14:textFill>
                  <w14:solidFill>
                    <w14:schemeClr w14:val="tx1"/>
                  </w14:solidFill>
                </w14:textFill>
              </w:rPr>
              <w:t>③</w:t>
            </w:r>
            <w:r>
              <w:rPr>
                <w:rFonts w:hAnsiTheme="minorEastAsia" w:eastAsiaTheme="minorEastAsia"/>
                <w:color w:val="000000" w:themeColor="text1"/>
                <w:sz w:val="24"/>
                <w:szCs w:val="24"/>
                <w14:textFill>
                  <w14:solidFill>
                    <w14:schemeClr w14:val="tx1"/>
                  </w14:solidFill>
                </w14:textFill>
              </w:rPr>
              <w:t>石料加工区（破碎、筛选、喂料）产生的粉尘</w:t>
            </w:r>
          </w:p>
          <w:p>
            <w:pPr>
              <w:pStyle w:val="6"/>
              <w:adjustRightInd w:val="0"/>
              <w:snapToGrid w:val="0"/>
              <w:spacing w:line="360" w:lineRule="auto"/>
              <w:ind w:firstLine="48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本项目由喂料口进入颚式破碎机进行一次破碎，然后进入料仓，在由料仓下方喂料口进入圆锥破碎机进行二次破碎，再经筛分后传送带下料进入制砂机，此过程会产生一定量的粉尘。</w:t>
            </w:r>
          </w:p>
          <w:p>
            <w:pPr>
              <w:pStyle w:val="42"/>
              <w:spacing w:before="1" w:line="364" w:lineRule="auto"/>
              <w:ind w:left="111" w:right="113" w:firstLine="48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根据生态环境部2021年6月发布的《排放源统计调查产排污核算方法和系数手册》（公告2021年第24号）中303砖瓦、石材等建筑材料制造行业系数手册，“3039其他建筑材料制造行业”产污系数，砂石骨料破碎筛分颗粒物产生系数为1.89kg/t-产品。</w:t>
            </w:r>
          </w:p>
          <w:p>
            <w:pPr>
              <w:pStyle w:val="42"/>
              <w:spacing w:before="1" w:line="364" w:lineRule="auto"/>
              <w:ind w:left="111" w:right="113" w:firstLine="480"/>
              <w:jc w:val="both"/>
              <w:rPr>
                <w:rFonts w:hint="eastAsia" w:ascii="Times New Roman" w:hAnsi="Times New Roman" w:eastAsia="宋体" w:cs="Times New Roman"/>
                <w:color w:val="auto"/>
                <w:spacing w:val="-1"/>
                <w:kern w:val="0"/>
                <w:sz w:val="24"/>
                <w:szCs w:val="22"/>
                <w:lang w:val="en-US" w:eastAsia="zh-CN" w:bidi="zh-CN"/>
              </w:rPr>
            </w:pPr>
            <w:r>
              <w:rPr>
                <w:rFonts w:hint="eastAsia" w:ascii="Times New Roman" w:hAnsi="Times New Roman" w:eastAsia="宋体" w:cs="Times New Roman"/>
                <w:color w:val="auto"/>
                <w:spacing w:val="-1"/>
                <w:kern w:val="0"/>
                <w:sz w:val="24"/>
                <w:szCs w:val="22"/>
                <w:lang w:val="en-US" w:eastAsia="zh-CN" w:bidi="zh-CN"/>
              </w:rPr>
              <w:t>本项目年产生砂石子</w:t>
            </w:r>
            <w:r>
              <w:rPr>
                <w:rFonts w:hint="eastAsia" w:ascii="Times New Roman" w:hAnsi="Times New Roman" w:cs="Times New Roman"/>
                <w:color w:val="000000" w:themeColor="text1"/>
                <w:spacing w:val="-1"/>
                <w:kern w:val="0"/>
                <w:sz w:val="24"/>
                <w:szCs w:val="22"/>
                <w:lang w:val="en-US" w:eastAsia="zh-CN" w:bidi="zh-CN"/>
                <w14:textFill>
                  <w14:solidFill>
                    <w14:schemeClr w14:val="tx1"/>
                  </w14:solidFill>
                </w14:textFill>
              </w:rPr>
              <w:t>44</w:t>
            </w: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万</w:t>
            </w:r>
            <w:r>
              <w:rPr>
                <w:rFonts w:hint="eastAsia" w:ascii="Times New Roman" w:hAnsi="Times New Roman" w:cs="Times New Roman"/>
                <w:color w:val="000000" w:themeColor="text1"/>
                <w:spacing w:val="-1"/>
                <w:kern w:val="0"/>
                <w:sz w:val="24"/>
                <w:szCs w:val="22"/>
                <w:lang w:val="en-US" w:eastAsia="zh-CN" w:bidi="zh-CN"/>
                <w14:textFill>
                  <w14:solidFill>
                    <w14:schemeClr w14:val="tx1"/>
                  </w14:solidFill>
                </w14:textFill>
              </w:rPr>
              <w:t>吨</w:t>
            </w:r>
            <w:r>
              <w:rPr>
                <w:rFonts w:hint="eastAsia" w:ascii="Times New Roman" w:hAnsi="Times New Roman" w:cs="Times New Roman"/>
                <w:color w:val="auto"/>
                <w:spacing w:val="-1"/>
                <w:kern w:val="0"/>
                <w:sz w:val="24"/>
                <w:szCs w:val="22"/>
                <w:lang w:val="en-US" w:eastAsia="zh-CN" w:bidi="zh-CN"/>
              </w:rPr>
              <w:t>（石粒粒径0.6~6.3cm）</w:t>
            </w:r>
            <w:r>
              <w:rPr>
                <w:rFonts w:hint="eastAsia" w:ascii="Times New Roman" w:hAnsi="Times New Roman" w:eastAsia="宋体" w:cs="Times New Roman"/>
                <w:color w:val="auto"/>
                <w:spacing w:val="-1"/>
                <w:kern w:val="0"/>
                <w:sz w:val="24"/>
                <w:szCs w:val="22"/>
                <w:lang w:val="en-US" w:eastAsia="zh-CN" w:bidi="zh-CN"/>
              </w:rPr>
              <w:t>，则石料加工过程中粉尘产生量为</w:t>
            </w:r>
            <w:r>
              <w:rPr>
                <w:rFonts w:hint="eastAsia" w:ascii="Times New Roman" w:hAnsi="Times New Roman" w:cs="Times New Roman"/>
                <w:color w:val="auto"/>
                <w:spacing w:val="-1"/>
                <w:kern w:val="0"/>
                <w:sz w:val="24"/>
                <w:szCs w:val="22"/>
                <w:lang w:val="en-US" w:eastAsia="zh-CN" w:bidi="zh-CN"/>
              </w:rPr>
              <w:t>831.6</w:t>
            </w:r>
            <w:r>
              <w:rPr>
                <w:rFonts w:hint="eastAsia" w:ascii="Times New Roman" w:hAnsi="Times New Roman" w:eastAsia="宋体" w:cs="Times New Roman"/>
                <w:color w:val="auto"/>
                <w:spacing w:val="-1"/>
                <w:kern w:val="0"/>
                <w:sz w:val="24"/>
                <w:szCs w:val="22"/>
                <w:lang w:val="en-US" w:eastAsia="zh-CN" w:bidi="zh-CN"/>
              </w:rPr>
              <w:t>t/a（</w:t>
            </w:r>
            <w:r>
              <w:rPr>
                <w:rFonts w:hint="eastAsia" w:ascii="Times New Roman" w:hAnsi="Times New Roman" w:cs="Times New Roman"/>
                <w:color w:val="auto"/>
                <w:spacing w:val="-1"/>
                <w:kern w:val="0"/>
                <w:sz w:val="24"/>
                <w:szCs w:val="22"/>
                <w:lang w:val="en-US" w:eastAsia="zh-CN" w:bidi="zh-CN"/>
              </w:rPr>
              <w:t>115.5</w:t>
            </w:r>
            <w:r>
              <w:rPr>
                <w:rFonts w:hint="eastAsia" w:ascii="Times New Roman" w:hAnsi="Times New Roman" w:eastAsia="宋体" w:cs="Times New Roman"/>
                <w:color w:val="auto"/>
                <w:spacing w:val="-1"/>
                <w:kern w:val="0"/>
                <w:sz w:val="24"/>
                <w:szCs w:val="22"/>
                <w:lang w:val="en-US" w:eastAsia="zh-CN" w:bidi="zh-CN"/>
              </w:rPr>
              <w:t>kg/h）。</w:t>
            </w:r>
          </w:p>
          <w:p>
            <w:pPr>
              <w:pStyle w:val="47"/>
              <w:adjustRightInd w:val="0"/>
              <w:snapToGrid w:val="0"/>
              <w:ind w:firstLine="480"/>
              <w:rPr>
                <w:rFonts w:ascii="Times New Roman" w:hAnsi="Times New Roman" w:cs="Times New Roman" w:eastAsiaTheme="minorEastAsia"/>
                <w:color w:val="000000" w:themeColor="text1"/>
                <w14:textFill>
                  <w14:solidFill>
                    <w14:schemeClr w14:val="tx1"/>
                  </w14:solidFill>
                </w14:textFill>
              </w:rPr>
            </w:pPr>
            <w:r>
              <w:rPr>
                <w:rFonts w:hint="eastAsia" w:ascii="Times New Roman" w:cs="Times New Roman" w:hAnsiTheme="minorEastAsia" w:eastAsiaTheme="minorEastAsia"/>
                <w:color w:val="000000" w:themeColor="text1"/>
                <w14:textFill>
                  <w14:solidFill>
                    <w14:schemeClr w14:val="tx1"/>
                  </w14:solidFill>
                </w14:textFill>
              </w:rPr>
              <w:t>④</w:t>
            </w:r>
            <w:r>
              <w:rPr>
                <w:rFonts w:ascii="Times New Roman" w:cs="Times New Roman" w:hAnsiTheme="minorEastAsia" w:eastAsiaTheme="minorEastAsia"/>
                <w:color w:val="000000" w:themeColor="text1"/>
                <w14:textFill>
                  <w14:solidFill>
                    <w14:schemeClr w14:val="tx1"/>
                  </w14:solidFill>
                </w14:textFill>
              </w:rPr>
              <w:t>装卸过程粉尘</w:t>
            </w:r>
          </w:p>
          <w:p>
            <w:pPr>
              <w:pStyle w:val="42"/>
              <w:spacing w:before="1" w:line="364" w:lineRule="auto"/>
              <w:ind w:left="111" w:right="113" w:firstLine="480"/>
              <w:jc w:val="both"/>
              <w:rPr>
                <w:rFonts w:hint="default" w:ascii="Times New Roman" w:hAnsi="Times New Roman" w:eastAsia="宋体" w:cs="Times New Roman"/>
                <w:spacing w:val="-1"/>
                <w:kern w:val="0"/>
                <w:sz w:val="24"/>
                <w:szCs w:val="22"/>
                <w:vertAlign w:val="superscript"/>
                <w:lang w:val="en-US" w:eastAsia="zh-CN" w:bidi="zh-CN"/>
              </w:rPr>
            </w:pPr>
            <w:r>
              <w:rPr>
                <w:rFonts w:hint="default" w:ascii="Times New Roman" w:hAnsi="Times New Roman" w:eastAsia="宋体" w:cs="Times New Roman"/>
                <w:spacing w:val="-1"/>
                <w:kern w:val="0"/>
                <w:sz w:val="24"/>
                <w:szCs w:val="22"/>
                <w:lang w:val="en-US" w:eastAsia="zh-CN" w:bidi="zh-CN"/>
              </w:rPr>
              <w:t>P=ZC</w:t>
            </w:r>
            <w:r>
              <w:rPr>
                <w:rFonts w:hint="default" w:ascii="Times New Roman" w:hAnsi="Times New Roman" w:eastAsia="宋体" w:cs="Times New Roman"/>
                <w:spacing w:val="-1"/>
                <w:kern w:val="0"/>
                <w:sz w:val="24"/>
                <w:szCs w:val="22"/>
                <w:vertAlign w:val="subscript"/>
                <w:lang w:val="en-US" w:eastAsia="zh-CN" w:bidi="zh-CN"/>
              </w:rPr>
              <w:t>y</w:t>
            </w:r>
            <w:r>
              <w:rPr>
                <w:rFonts w:hint="default" w:ascii="Times New Roman" w:hAnsi="Times New Roman" w:eastAsia="宋体" w:cs="Times New Roman"/>
                <w:spacing w:val="-1"/>
                <w:kern w:val="0"/>
                <w:sz w:val="24"/>
                <w:szCs w:val="22"/>
                <w:lang w:val="en-US" w:eastAsia="zh-CN" w:bidi="zh-CN"/>
              </w:rPr>
              <w:t>+FC</w:t>
            </w:r>
            <w:r>
              <w:rPr>
                <w:rFonts w:hint="default" w:ascii="Times New Roman" w:hAnsi="Times New Roman" w:eastAsia="宋体" w:cs="Times New Roman"/>
                <w:spacing w:val="-1"/>
                <w:kern w:val="0"/>
                <w:sz w:val="24"/>
                <w:szCs w:val="22"/>
                <w:vertAlign w:val="subscript"/>
                <w:lang w:val="en-US" w:eastAsia="zh-CN" w:bidi="zh-CN"/>
              </w:rPr>
              <w:t>y</w:t>
            </w:r>
            <w:r>
              <w:rPr>
                <w:rFonts w:hint="default" w:ascii="Times New Roman" w:hAnsi="Times New Roman" w:eastAsia="宋体" w:cs="Times New Roman"/>
                <w:spacing w:val="-1"/>
                <w:kern w:val="0"/>
                <w:sz w:val="24"/>
                <w:szCs w:val="22"/>
                <w:lang w:val="en-US" w:eastAsia="zh-CN" w:bidi="zh-CN"/>
              </w:rPr>
              <w:t>={N</w:t>
            </w:r>
            <w:r>
              <w:rPr>
                <w:rFonts w:hint="default" w:ascii="Times New Roman" w:hAnsi="Times New Roman" w:eastAsia="宋体" w:cs="Times New Roman"/>
                <w:spacing w:val="-1"/>
                <w:kern w:val="0"/>
                <w:sz w:val="24"/>
                <w:szCs w:val="22"/>
                <w:vertAlign w:val="subscript"/>
                <w:lang w:val="en-US" w:eastAsia="zh-CN" w:bidi="zh-CN"/>
              </w:rPr>
              <w:t>c</w:t>
            </w:r>
            <w:r>
              <w:rPr>
                <w:rFonts w:hint="default" w:ascii="Times New Roman" w:hAnsi="Times New Roman" w:eastAsia="宋体" w:cs="Times New Roman"/>
                <w:spacing w:val="-1"/>
                <w:kern w:val="0"/>
                <w:sz w:val="24"/>
                <w:szCs w:val="22"/>
                <w:lang w:val="en-US" w:eastAsia="zh-CN" w:bidi="zh-CN"/>
              </w:rPr>
              <w:t>×D×（a/b）+2×E</w:t>
            </w:r>
            <w:r>
              <w:rPr>
                <w:rFonts w:hint="default" w:ascii="Times New Roman" w:hAnsi="Times New Roman" w:eastAsia="宋体" w:cs="Times New Roman"/>
                <w:spacing w:val="-1"/>
                <w:kern w:val="0"/>
                <w:sz w:val="24"/>
                <w:szCs w:val="22"/>
                <w:vertAlign w:val="subscript"/>
                <w:lang w:val="en-US" w:eastAsia="zh-CN" w:bidi="zh-CN"/>
              </w:rPr>
              <w:t>f</w:t>
            </w:r>
            <w:r>
              <w:rPr>
                <w:rFonts w:hint="default" w:ascii="Times New Roman" w:hAnsi="Times New Roman" w:eastAsia="宋体" w:cs="Times New Roman"/>
                <w:spacing w:val="-1"/>
                <w:kern w:val="0"/>
                <w:sz w:val="24"/>
                <w:szCs w:val="22"/>
                <w:lang w:val="en-US" w:eastAsia="zh-CN" w:bidi="zh-CN"/>
              </w:rPr>
              <w:t>×S}×10</w:t>
            </w:r>
            <w:r>
              <w:rPr>
                <w:rFonts w:hint="default" w:ascii="Times New Roman" w:hAnsi="Times New Roman" w:eastAsia="宋体" w:cs="Times New Roman"/>
                <w:spacing w:val="-1"/>
                <w:kern w:val="0"/>
                <w:sz w:val="24"/>
                <w:szCs w:val="22"/>
                <w:vertAlign w:val="superscript"/>
                <w:lang w:val="en-US" w:eastAsia="zh-CN" w:bidi="zh-CN"/>
              </w:rPr>
              <w:t>-3</w:t>
            </w:r>
          </w:p>
          <w:p>
            <w:pPr>
              <w:pStyle w:val="42"/>
              <w:spacing w:before="1" w:line="364" w:lineRule="auto"/>
              <w:ind w:left="111" w:right="113" w:firstLine="48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上述公式中：</w:t>
            </w:r>
          </w:p>
          <w:p>
            <w:pPr>
              <w:pStyle w:val="42"/>
              <w:spacing w:before="1" w:line="364" w:lineRule="auto"/>
              <w:ind w:left="351" w:leftChars="167" w:right="113" w:firstLine="304" w:firstLineChars="128"/>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P 指颗粒物产生量（单位：吨）；ZCy指装卸扬尘产生量（单位：吨）；FCy指风蚀扬尘产生量（单位：吨）；Nc指年物料运载车次（单位：车）；</w:t>
            </w:r>
          </w:p>
          <w:p>
            <w:pPr>
              <w:pStyle w:val="42"/>
              <w:spacing w:before="1" w:line="364" w:lineRule="auto"/>
              <w:ind w:left="351" w:leftChars="167" w:right="113" w:firstLine="304" w:firstLineChars="128"/>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D 指单车平均运载量（单位：吨/车）；(a/b）指装卸扬尘概化系数（单位：千克/吨）；Ef指堆场风蚀扬尘概化系数，（单位：千克/平方米）</w:t>
            </w:r>
          </w:p>
          <w:p>
            <w:pPr>
              <w:pStyle w:val="42"/>
              <w:spacing w:before="1" w:line="364" w:lineRule="auto"/>
              <w:ind w:left="351" w:leftChars="167" w:right="113" w:firstLine="304" w:firstLineChars="128"/>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S指堆场占地面积（单位：平方米）。</w:t>
            </w:r>
          </w:p>
          <w:p>
            <w:pPr>
              <w:pStyle w:val="42"/>
              <w:spacing w:before="1" w:line="364" w:lineRule="auto"/>
              <w:ind w:left="351" w:leftChars="167" w:right="113" w:firstLine="304" w:firstLineChars="128"/>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本项目车辆运载</w:t>
            </w:r>
            <w:r>
              <w:rPr>
                <w:rFonts w:hint="eastAsia" w:ascii="Times New Roman" w:hAnsi="Times New Roman" w:cs="Times New Roman"/>
                <w:spacing w:val="-1"/>
                <w:kern w:val="0"/>
                <w:sz w:val="24"/>
                <w:szCs w:val="22"/>
                <w:lang w:val="en-US" w:eastAsia="zh-CN" w:bidi="zh-CN"/>
              </w:rPr>
              <w:t>25000</w:t>
            </w:r>
            <w:r>
              <w:rPr>
                <w:rFonts w:hint="eastAsia" w:ascii="Times New Roman" w:hAnsi="Times New Roman" w:eastAsia="宋体" w:cs="Times New Roman"/>
                <w:spacing w:val="-1"/>
                <w:kern w:val="0"/>
                <w:sz w:val="24"/>
                <w:szCs w:val="22"/>
                <w:lang w:val="en-US" w:eastAsia="zh-CN" w:bidi="zh-CN"/>
              </w:rPr>
              <w:t>车次/a；空车重10.0t，车辆运载量约20t/车；原料堆场占地面积约</w:t>
            </w:r>
            <w:r>
              <w:rPr>
                <w:rFonts w:hint="eastAsia" w:ascii="Times New Roman" w:hAnsi="Times New Roman" w:cs="Times New Roman"/>
                <w:spacing w:val="-1"/>
                <w:kern w:val="0"/>
                <w:sz w:val="24"/>
                <w:szCs w:val="22"/>
                <w:lang w:val="en-US" w:eastAsia="zh-CN" w:bidi="zh-CN"/>
              </w:rPr>
              <w:t>2</w:t>
            </w:r>
            <w:r>
              <w:rPr>
                <w:rFonts w:hint="eastAsia" w:ascii="Times New Roman" w:hAnsi="Times New Roman" w:eastAsia="宋体" w:cs="Times New Roman"/>
                <w:spacing w:val="-1"/>
                <w:kern w:val="0"/>
                <w:sz w:val="24"/>
                <w:szCs w:val="22"/>
                <w:lang w:val="en-US" w:eastAsia="zh-CN" w:bidi="zh-CN"/>
              </w:rPr>
              <w:t>00m</w:t>
            </w:r>
            <w:r>
              <w:rPr>
                <w:rFonts w:hint="eastAsia" w:ascii="Times New Roman" w:hAnsi="Times New Roman" w:eastAsia="宋体" w:cs="Times New Roman"/>
                <w:spacing w:val="-1"/>
                <w:kern w:val="0"/>
                <w:sz w:val="24"/>
                <w:szCs w:val="22"/>
                <w:vertAlign w:val="superscript"/>
                <w:lang w:val="en-US" w:eastAsia="zh-CN" w:bidi="zh-CN"/>
              </w:rPr>
              <w:t>2</w:t>
            </w:r>
            <w:r>
              <w:rPr>
                <w:rFonts w:hint="eastAsia" w:ascii="Times New Roman" w:hAnsi="Times New Roman" w:eastAsia="宋体" w:cs="Times New Roman"/>
                <w:spacing w:val="-1"/>
                <w:kern w:val="0"/>
                <w:sz w:val="24"/>
                <w:szCs w:val="22"/>
                <w:lang w:val="en-US" w:eastAsia="zh-CN" w:bidi="zh-CN"/>
              </w:rPr>
              <w:t>，则在装卸、投料过程中颗粒物产生量为</w:t>
            </w:r>
            <w:r>
              <w:rPr>
                <w:rFonts w:hint="eastAsia" w:ascii="Times New Roman" w:hAnsi="Times New Roman" w:cs="Times New Roman"/>
                <w:spacing w:val="-1"/>
                <w:kern w:val="0"/>
                <w:sz w:val="24"/>
                <w:szCs w:val="22"/>
                <w:lang w:val="en-US" w:eastAsia="zh-CN" w:bidi="zh-CN"/>
              </w:rPr>
              <w:t>62.5</w:t>
            </w:r>
            <w:r>
              <w:rPr>
                <w:rFonts w:hint="eastAsia" w:ascii="Times New Roman" w:hAnsi="Times New Roman" w:eastAsia="宋体" w:cs="Times New Roman"/>
                <w:spacing w:val="-1"/>
                <w:kern w:val="0"/>
                <w:sz w:val="24"/>
                <w:szCs w:val="22"/>
                <w:lang w:val="en-US" w:eastAsia="zh-CN" w:bidi="zh-CN"/>
              </w:rPr>
              <w:t>t/a。</w:t>
            </w:r>
          </w:p>
          <w:p>
            <w:pPr>
              <w:pStyle w:val="42"/>
              <w:spacing w:before="1" w:line="364" w:lineRule="auto"/>
              <w:ind w:left="351" w:leftChars="167" w:right="113" w:firstLine="306" w:firstLineChars="128"/>
              <w:jc w:val="both"/>
              <w:rPr>
                <w:rFonts w:hint="default" w:ascii="Times New Roman" w:hAnsi="Times New Roman" w:eastAsia="宋体" w:cs="Times New Roman"/>
                <w:b/>
                <w:bCs/>
                <w:spacing w:val="-1"/>
                <w:kern w:val="0"/>
                <w:sz w:val="24"/>
                <w:szCs w:val="22"/>
                <w:lang w:val="en-US" w:eastAsia="zh-CN" w:bidi="zh-CN"/>
              </w:rPr>
            </w:pPr>
            <w:r>
              <w:rPr>
                <w:rFonts w:hint="default" w:ascii="Times New Roman" w:hAnsi="Times New Roman" w:eastAsia="宋体" w:cs="Times New Roman"/>
                <w:b/>
                <w:bCs/>
                <w:spacing w:val="-1"/>
                <w:kern w:val="0"/>
                <w:sz w:val="24"/>
                <w:szCs w:val="22"/>
                <w:lang w:val="en-US" w:eastAsia="zh-CN" w:bidi="zh-CN"/>
              </w:rPr>
              <w:t>颗粒物排放量</w:t>
            </w:r>
          </w:p>
          <w:p>
            <w:pPr>
              <w:pStyle w:val="42"/>
              <w:spacing w:before="1" w:line="364" w:lineRule="auto"/>
              <w:ind w:left="351" w:leftChars="167" w:right="113" w:firstLine="304" w:firstLineChars="128"/>
              <w:jc w:val="both"/>
              <w:rPr>
                <w:rFonts w:hint="default" w:ascii="Times New Roman" w:hAnsi="Times New Roman" w:eastAsia="宋体" w:cs="Times New Roman"/>
                <w:spacing w:val="-1"/>
                <w:kern w:val="0"/>
                <w:sz w:val="24"/>
                <w:szCs w:val="22"/>
                <w:lang w:val="en-US" w:eastAsia="zh-CN" w:bidi="zh-CN"/>
              </w:rPr>
            </w:pPr>
            <w:r>
              <w:rPr>
                <w:rFonts w:hint="default" w:ascii="Times New Roman" w:hAnsi="Times New Roman" w:eastAsia="宋体" w:cs="Times New Roman"/>
                <w:spacing w:val="-1"/>
                <w:kern w:val="0"/>
                <w:sz w:val="24"/>
                <w:szCs w:val="22"/>
                <w:lang w:val="en-US" w:eastAsia="zh-CN" w:bidi="zh-CN"/>
              </w:rPr>
              <w:t>Uc=P×（1-C</w:t>
            </w:r>
            <w:r>
              <w:rPr>
                <w:rFonts w:hint="default" w:ascii="Times New Roman" w:hAnsi="Times New Roman" w:eastAsia="宋体" w:cs="Times New Roman"/>
                <w:spacing w:val="-1"/>
                <w:kern w:val="0"/>
                <w:sz w:val="24"/>
                <w:szCs w:val="22"/>
                <w:vertAlign w:val="subscript"/>
                <w:lang w:val="en-US" w:eastAsia="zh-CN" w:bidi="zh-CN"/>
              </w:rPr>
              <w:t>m</w:t>
            </w:r>
            <w:r>
              <w:rPr>
                <w:rFonts w:hint="default" w:ascii="Times New Roman" w:hAnsi="Times New Roman" w:eastAsia="宋体" w:cs="Times New Roman"/>
                <w:spacing w:val="-1"/>
                <w:kern w:val="0"/>
                <w:sz w:val="24"/>
                <w:szCs w:val="22"/>
                <w:lang w:val="en-US" w:eastAsia="zh-CN" w:bidi="zh-CN"/>
              </w:rPr>
              <w:t>）×（1-T</w:t>
            </w:r>
            <w:r>
              <w:rPr>
                <w:rFonts w:hint="default" w:ascii="Times New Roman" w:hAnsi="Times New Roman" w:eastAsia="宋体" w:cs="Times New Roman"/>
                <w:spacing w:val="-1"/>
                <w:kern w:val="0"/>
                <w:sz w:val="24"/>
                <w:szCs w:val="22"/>
                <w:vertAlign w:val="subscript"/>
                <w:lang w:val="en-US" w:eastAsia="zh-CN" w:bidi="zh-CN"/>
              </w:rPr>
              <w:t>m</w:t>
            </w:r>
            <w:r>
              <w:rPr>
                <w:rFonts w:hint="default" w:ascii="Times New Roman" w:hAnsi="Times New Roman" w:eastAsia="宋体" w:cs="Times New Roman"/>
                <w:spacing w:val="-1"/>
                <w:kern w:val="0"/>
                <w:sz w:val="24"/>
                <w:szCs w:val="22"/>
                <w:lang w:val="en-US" w:eastAsia="zh-CN" w:bidi="zh-CN"/>
              </w:rPr>
              <w:t>）</w:t>
            </w:r>
          </w:p>
          <w:p>
            <w:pPr>
              <w:pStyle w:val="42"/>
              <w:spacing w:before="1" w:line="364" w:lineRule="auto"/>
              <w:ind w:left="351" w:leftChars="167" w:right="113" w:firstLine="304" w:firstLineChars="128"/>
              <w:jc w:val="both"/>
              <w:rPr>
                <w:rFonts w:hint="default" w:ascii="Times New Roman" w:hAnsi="Times New Roman" w:eastAsia="宋体" w:cs="Times New Roman"/>
                <w:spacing w:val="-1"/>
                <w:kern w:val="0"/>
                <w:sz w:val="24"/>
                <w:szCs w:val="22"/>
                <w:lang w:val="en-US" w:eastAsia="zh-CN" w:bidi="zh-CN"/>
              </w:rPr>
            </w:pPr>
            <w:r>
              <w:rPr>
                <w:rFonts w:hint="default" w:ascii="Times New Roman" w:hAnsi="Times New Roman" w:eastAsia="宋体" w:cs="Times New Roman"/>
                <w:spacing w:val="-1"/>
                <w:kern w:val="0"/>
                <w:sz w:val="24"/>
                <w:szCs w:val="22"/>
                <w:lang w:val="en-US" w:eastAsia="zh-CN" w:bidi="zh-CN"/>
              </w:rPr>
              <w:t>式中：P指颗粒物产生量，t；Uc指颗粒物排放量，t；Cm指颗粒物控制措施控制效率，%；Tm指堆场类型控制效率，%；</w:t>
            </w:r>
          </w:p>
          <w:p>
            <w:pPr>
              <w:pStyle w:val="42"/>
              <w:spacing w:before="1" w:line="364" w:lineRule="auto"/>
              <w:ind w:left="111" w:right="113" w:firstLine="480"/>
              <w:jc w:val="both"/>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eastAsia="宋体" w:cs="Times New Roman"/>
                <w:spacing w:val="-1"/>
                <w:kern w:val="0"/>
                <w:sz w:val="24"/>
                <w:szCs w:val="22"/>
                <w:lang w:val="en-US" w:eastAsia="zh-CN" w:bidi="zh-CN"/>
              </w:rPr>
              <w:t>企业在卸料、投料时采用水雾喷淋抑制扬尘，</w:t>
            </w:r>
            <w:r>
              <w:rPr>
                <w:rFonts w:hint="eastAsia" w:ascii="Times New Roman" w:hAnsi="Times New Roman" w:cs="Times New Roman"/>
                <w:spacing w:val="-1"/>
                <w:kern w:val="0"/>
                <w:sz w:val="24"/>
                <w:szCs w:val="22"/>
                <w:lang w:val="en-US" w:eastAsia="zh-CN" w:bidi="zh-CN"/>
              </w:rPr>
              <w:t>控制效率为74%，</w:t>
            </w:r>
            <w:r>
              <w:rPr>
                <w:rFonts w:hint="eastAsia" w:ascii="Times New Roman" w:hAnsi="Times New Roman" w:eastAsia="宋体" w:cs="Times New Roman"/>
                <w:spacing w:val="-1"/>
                <w:kern w:val="0"/>
                <w:sz w:val="24"/>
                <w:szCs w:val="22"/>
                <w:lang w:val="en-US" w:eastAsia="zh-CN" w:bidi="zh-CN"/>
              </w:rPr>
              <w:t>并对原料进行抑尘网</w:t>
            </w:r>
            <w:r>
              <w:rPr>
                <w:rFonts w:hint="eastAsia" w:ascii="Times New Roman" w:hAnsi="Times New Roman" w:cs="Times New Roman"/>
                <w:spacing w:val="-1"/>
                <w:kern w:val="0"/>
                <w:sz w:val="24"/>
                <w:szCs w:val="22"/>
                <w:lang w:val="en-US" w:eastAsia="zh-CN" w:bidi="zh-CN"/>
              </w:rPr>
              <w:t>苫</w:t>
            </w:r>
            <w:r>
              <w:rPr>
                <w:rFonts w:hint="eastAsia" w:ascii="Times New Roman" w:hAnsi="Times New Roman" w:eastAsia="宋体" w:cs="Times New Roman"/>
                <w:spacing w:val="-1"/>
                <w:kern w:val="0"/>
                <w:sz w:val="24"/>
                <w:szCs w:val="22"/>
                <w:lang w:val="en-US" w:eastAsia="zh-CN" w:bidi="zh-CN"/>
              </w:rPr>
              <w:t>盖，</w:t>
            </w:r>
            <w:r>
              <w:rPr>
                <w:rFonts w:hint="eastAsia" w:ascii="Times New Roman" w:hAnsi="Times New Roman" w:cs="Times New Roman"/>
                <w:spacing w:val="-1"/>
                <w:kern w:val="0"/>
                <w:sz w:val="24"/>
                <w:szCs w:val="22"/>
                <w:lang w:val="en-US" w:eastAsia="zh-CN" w:bidi="zh-CN"/>
              </w:rPr>
              <w:t>控制效率为60%，</w:t>
            </w:r>
            <w:r>
              <w:rPr>
                <w:rFonts w:hint="eastAsia" w:ascii="Times New Roman" w:hAnsi="Times New Roman" w:eastAsia="宋体" w:cs="Times New Roman"/>
                <w:spacing w:val="-1"/>
                <w:kern w:val="0"/>
                <w:sz w:val="24"/>
                <w:szCs w:val="22"/>
                <w:lang w:val="en-US" w:eastAsia="zh-CN" w:bidi="zh-CN"/>
              </w:rPr>
              <w:t>则颗粒物排放量为</w:t>
            </w:r>
            <w:r>
              <w:rPr>
                <w:rFonts w:hint="eastAsia" w:ascii="Times New Roman" w:hAnsi="Times New Roman" w:cs="Times New Roman"/>
                <w:spacing w:val="-1"/>
                <w:kern w:val="0"/>
                <w:sz w:val="24"/>
                <w:szCs w:val="22"/>
                <w:lang w:val="en-US" w:eastAsia="zh-CN" w:bidi="zh-CN"/>
              </w:rPr>
              <w:t>6.5</w:t>
            </w:r>
            <w:r>
              <w:rPr>
                <w:rFonts w:hint="eastAsia" w:ascii="Times New Roman" w:hAnsi="Times New Roman" w:eastAsia="宋体" w:cs="Times New Roman"/>
                <w:spacing w:val="-1"/>
                <w:kern w:val="0"/>
                <w:sz w:val="24"/>
                <w:szCs w:val="22"/>
                <w:lang w:val="en-US" w:eastAsia="zh-CN" w:bidi="zh-CN"/>
              </w:rPr>
              <w:t>t/a。</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⑤成品堆棚、料仓产生的粉尘</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本项目成品堆棚、料仓后期采用全封闭式建设，且场内地面要求全部硬化，装卸时采用洒水抑尘，因此，成品堆棚、料仓基本不产生粉尘。</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⑥石料皮带输送过程中产生的粉尘</w:t>
            </w:r>
          </w:p>
          <w:p>
            <w:pPr>
              <w:adjustRightInd w:val="0"/>
              <w:snapToGrid w:val="0"/>
              <w:spacing w:line="360" w:lineRule="auto"/>
              <w:ind w:firstLine="480" w:firstLineChars="200"/>
              <w:rPr>
                <w:rFonts w:eastAsiaTheme="minorEastAsia"/>
                <w:color w:val="000000" w:themeColor="text1"/>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原料进入给料口后均采用输送带输送，输送带在输送过程匀速稳定，一般情况下不易起尘，输送过程中粉尘主要产生于大风天气及胶带机端头搭接部位，本次对输送皮带进行全封闭处理，环评要求对胶带机端头搭接部位采取喷水降尘控制措施，可以有效的控制粉尘污染。</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⑦</w:t>
            </w:r>
            <w:r>
              <w:rPr>
                <w:rFonts w:ascii="Times New Roman" w:cs="Times New Roman" w:hAnsiTheme="minorEastAsia" w:eastAsiaTheme="minorEastAsia"/>
                <w:color w:val="000000" w:themeColor="text1"/>
                <w14:textFill>
                  <w14:solidFill>
                    <w14:schemeClr w14:val="tx1"/>
                  </w14:solidFill>
                </w14:textFill>
              </w:rPr>
              <w:t>矿区道路</w:t>
            </w:r>
            <w:r>
              <w:rPr>
                <w:rFonts w:hint="eastAsia" w:ascii="Times New Roman" w:cs="Times New Roman" w:hAnsiTheme="minorEastAsia" w:eastAsiaTheme="minorEastAsia"/>
                <w:color w:val="000000" w:themeColor="text1"/>
                <w:lang w:val="en-US" w:eastAsia="zh-CN"/>
                <w14:textFill>
                  <w14:solidFill>
                    <w14:schemeClr w14:val="tx1"/>
                  </w14:solidFill>
                </w14:textFill>
              </w:rPr>
              <w:t>车辆运输</w:t>
            </w:r>
            <w:r>
              <w:rPr>
                <w:rFonts w:ascii="Times New Roman" w:cs="Times New Roman" w:hAnsiTheme="minorEastAsia" w:eastAsiaTheme="minorEastAsia"/>
                <w:color w:val="000000" w:themeColor="text1"/>
                <w14:textFill>
                  <w14:solidFill>
                    <w14:schemeClr w14:val="tx1"/>
                  </w14:solidFill>
                </w14:textFill>
              </w:rPr>
              <w:t>扬尘</w:t>
            </w:r>
          </w:p>
          <w:p>
            <w:pPr>
              <w:adjustRightInd w:val="0"/>
              <w:snapToGrid w:val="0"/>
              <w:spacing w:line="360" w:lineRule="auto"/>
              <w:ind w:firstLine="480" w:firstLineChars="200"/>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pPr>
            <w:r>
              <w:rPr>
                <w:rFonts w:hAnsiTheme="minorEastAsia" w:eastAsiaTheme="minorEastAsia"/>
                <w:color w:val="000000" w:themeColor="text1"/>
                <w:sz w:val="24"/>
                <w14:textFill>
                  <w14:solidFill>
                    <w14:schemeClr w14:val="tx1"/>
                  </w14:solidFill>
                </w14:textFill>
              </w:rPr>
              <w:t>自卸汽车在矿山与碎石生产线之间转运石料过程中由于碾压卷带会产生一定量的扬尘。</w:t>
            </w: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在道路完全干燥的情况下，可按下列公式计算：</w:t>
            </w:r>
          </w:p>
          <w:p>
            <w:pPr>
              <w:pStyle w:val="42"/>
              <w:spacing w:before="1" w:line="364" w:lineRule="auto"/>
              <w:ind w:left="111" w:right="113" w:firstLine="480"/>
              <w:jc w:val="cente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drawing>
                <wp:inline distT="0" distB="0" distL="114300" distR="114300">
                  <wp:extent cx="2466340" cy="873125"/>
                  <wp:effectExtent l="0" t="0" r="2540" b="10795"/>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16"/>
                          <a:stretch>
                            <a:fillRect/>
                          </a:stretch>
                        </pic:blipFill>
                        <pic:spPr>
                          <a:xfrm>
                            <a:off x="0" y="0"/>
                            <a:ext cx="2466340" cy="873125"/>
                          </a:xfrm>
                          <a:prstGeom prst="rect">
                            <a:avLst/>
                          </a:prstGeom>
                          <a:noFill/>
                          <a:ln>
                            <a:noFill/>
                          </a:ln>
                        </pic:spPr>
                      </pic:pic>
                    </a:graphicData>
                  </a:graphic>
                </wp:inline>
              </w:drawing>
            </w:r>
          </w:p>
          <w:p>
            <w:pPr>
              <w:pStyle w:val="42"/>
              <w:spacing w:before="1" w:line="364" w:lineRule="auto"/>
              <w:ind w:left="111" w:right="113" w:firstLine="480"/>
              <w:jc w:val="both"/>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 xml:space="preserve">式中 ：                        </w:t>
            </w:r>
          </w:p>
          <w:p>
            <w:pPr>
              <w:pStyle w:val="42"/>
              <w:spacing w:before="1" w:line="364" w:lineRule="auto"/>
              <w:ind w:left="111" w:right="113" w:firstLine="480"/>
              <w:jc w:val="both"/>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 xml:space="preserve">Qy：汽车行驶时的扬尘，kg/km·辆； V：汽车速度，km/h，取10km/h； </w:t>
            </w:r>
          </w:p>
          <w:p>
            <w:pPr>
              <w:pStyle w:val="42"/>
              <w:spacing w:before="1" w:line="364" w:lineRule="auto"/>
              <w:ind w:left="111" w:right="113" w:firstLine="480"/>
              <w:jc w:val="both"/>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P：道路表面粉尘量，kg/m</w:t>
            </w:r>
            <w:r>
              <w:rPr>
                <w:rFonts w:hint="eastAsia" w:ascii="Times New Roman" w:hAnsi="Times New Roman" w:eastAsia="宋体" w:cs="Times New Roman"/>
                <w:color w:val="000000" w:themeColor="text1"/>
                <w:spacing w:val="-1"/>
                <w:kern w:val="0"/>
                <w:sz w:val="24"/>
                <w:szCs w:val="22"/>
                <w:vertAlign w:val="superscript"/>
                <w:lang w:val="en-US" w:eastAsia="zh-CN" w:bidi="zh-CN"/>
                <w14:textFill>
                  <w14:solidFill>
                    <w14:schemeClr w14:val="tx1"/>
                  </w14:solidFill>
                </w14:textFill>
              </w:rPr>
              <w:t>2</w:t>
            </w: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，取0.2kg/m</w:t>
            </w:r>
            <w:r>
              <w:rPr>
                <w:rFonts w:hint="eastAsia" w:ascii="Times New Roman" w:hAnsi="Times New Roman" w:eastAsia="宋体" w:cs="Times New Roman"/>
                <w:color w:val="000000" w:themeColor="text1"/>
                <w:spacing w:val="-1"/>
                <w:kern w:val="0"/>
                <w:sz w:val="24"/>
                <w:szCs w:val="22"/>
                <w:vertAlign w:val="superscript"/>
                <w:lang w:val="en-US" w:eastAsia="zh-CN" w:bidi="zh-CN"/>
                <w14:textFill>
                  <w14:solidFill>
                    <w14:schemeClr w14:val="tx1"/>
                  </w14:solidFill>
                </w14:textFill>
              </w:rPr>
              <w:t>2</w:t>
            </w:r>
          </w:p>
          <w:p>
            <w:pPr>
              <w:pStyle w:val="42"/>
              <w:spacing w:before="1" w:line="364" w:lineRule="auto"/>
              <w:ind w:left="111" w:right="113" w:firstLine="480"/>
              <w:jc w:val="both"/>
              <w:rPr>
                <w:rFonts w:hint="eastAsia" w:ascii="Times New Roman" w:hAnsi="Times New Roman" w:eastAsia="宋体" w:cs="Times New Roman"/>
                <w:color w:val="000000" w:themeColor="text1"/>
                <w:spacing w:val="-1"/>
                <w:kern w:val="0"/>
                <w:sz w:val="24"/>
                <w:szCs w:val="24"/>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M：</w:t>
            </w:r>
            <w:r>
              <w:rPr>
                <w:rFonts w:hint="eastAsia" w:ascii="Times New Roman" w:hAnsi="Times New Roman" w:eastAsia="宋体" w:cs="Times New Roman"/>
                <w:color w:val="000000" w:themeColor="text1"/>
                <w:spacing w:val="-1"/>
                <w:kern w:val="0"/>
                <w:sz w:val="24"/>
                <w:szCs w:val="24"/>
                <w:lang w:val="en-US" w:eastAsia="zh-CN" w:bidi="zh-CN"/>
                <w14:textFill>
                  <w14:solidFill>
                    <w14:schemeClr w14:val="tx1"/>
                  </w14:solidFill>
                </w14:textFill>
              </w:rPr>
              <w:t xml:space="preserve">车辆载重，t/辆，空车重10.0t，车辆载重约20t/辆； </w:t>
            </w:r>
          </w:p>
          <w:p>
            <w:pPr>
              <w:pStyle w:val="42"/>
              <w:spacing w:before="1" w:line="364" w:lineRule="auto"/>
              <w:ind w:left="111" w:right="113" w:firstLine="480"/>
              <w:jc w:val="both"/>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1"/>
                <w:kern w:val="0"/>
                <w:sz w:val="24"/>
                <w:szCs w:val="24"/>
                <w:lang w:val="en-US" w:eastAsia="zh-CN" w:bidi="zh-CN"/>
                <w14:textFill>
                  <w14:solidFill>
                    <w14:schemeClr w14:val="tx1"/>
                  </w14:solidFill>
                </w14:textFill>
              </w:rPr>
              <w:t>L：</w:t>
            </w:r>
            <w:r>
              <w:rPr>
                <w:color w:val="000000" w:themeColor="text1"/>
                <w:sz w:val="24"/>
                <w:szCs w:val="24"/>
                <w14:textFill>
                  <w14:solidFill>
                    <w14:schemeClr w14:val="tx1"/>
                  </w14:solidFill>
                </w14:textFill>
              </w:rPr>
              <w:t>运输距离，</w:t>
            </w:r>
            <w:r>
              <w:rPr>
                <w:rFonts w:hint="eastAsia" w:ascii="Times New Roman" w:hAnsi="Times New Roman" w:eastAsia="宋体" w:cs="Times New Roman"/>
                <w:color w:val="000000" w:themeColor="text1"/>
                <w:spacing w:val="-1"/>
                <w:kern w:val="0"/>
                <w:sz w:val="24"/>
                <w:szCs w:val="24"/>
                <w:lang w:val="en-US" w:eastAsia="zh-CN" w:bidi="zh-CN"/>
                <w14:textFill>
                  <w14:solidFill>
                    <w14:schemeClr w14:val="tx1"/>
                  </w14:solidFill>
                </w14:textFill>
              </w:rPr>
              <w:t>km，取</w:t>
            </w: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0.15km；  Q：运输量，t/a。</w:t>
            </w:r>
          </w:p>
          <w:p>
            <w:pPr>
              <w:pStyle w:val="42"/>
              <w:spacing w:before="1" w:line="364" w:lineRule="auto"/>
              <w:ind w:left="111" w:right="113" w:firstLine="480"/>
              <w:jc w:val="both"/>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本项目汽车行驶时的扬尘为0.318kg/km·辆，原料成品总运输量为</w:t>
            </w:r>
            <w:r>
              <w:rPr>
                <w:rFonts w:hint="eastAsia" w:ascii="Times New Roman" w:hAnsi="Times New Roman" w:cs="Times New Roman"/>
                <w:color w:val="000000" w:themeColor="text1"/>
                <w:spacing w:val="-1"/>
                <w:kern w:val="0"/>
                <w:sz w:val="24"/>
                <w:szCs w:val="22"/>
                <w:lang w:val="en-US" w:eastAsia="zh-CN" w:bidi="zh-CN"/>
                <w14:textFill>
                  <w14:solidFill>
                    <w14:schemeClr w14:val="tx1"/>
                  </w14:solidFill>
                </w14:textFill>
              </w:rPr>
              <w:t>50</w:t>
            </w: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万吨/a，厂区往返道路为150m，经计算，车辆运输扬尘为</w:t>
            </w:r>
            <w:r>
              <w:rPr>
                <w:rFonts w:hint="eastAsia" w:ascii="Times New Roman" w:hAnsi="Times New Roman" w:cs="Times New Roman"/>
                <w:color w:val="000000" w:themeColor="text1"/>
                <w:spacing w:val="-1"/>
                <w:kern w:val="0"/>
                <w:sz w:val="24"/>
                <w:szCs w:val="22"/>
                <w:lang w:val="en-US" w:eastAsia="zh-CN" w:bidi="zh-CN"/>
                <w14:textFill>
                  <w14:solidFill>
                    <w14:schemeClr w14:val="tx1"/>
                  </w14:solidFill>
                </w14:textFill>
              </w:rPr>
              <w:t>2.39</w:t>
            </w:r>
            <w:r>
              <w:rPr>
                <w:rFonts w:hint="eastAsia" w:ascii="Times New Roman" w:hAnsi="Times New Roman" w:eastAsia="宋体" w:cs="Times New Roman"/>
                <w:color w:val="000000" w:themeColor="text1"/>
                <w:spacing w:val="-1"/>
                <w:kern w:val="0"/>
                <w:sz w:val="24"/>
                <w:szCs w:val="22"/>
                <w:lang w:val="en-US" w:eastAsia="zh-CN" w:bidi="zh-CN"/>
                <w14:textFill>
                  <w14:solidFill>
                    <w14:schemeClr w14:val="tx1"/>
                  </w14:solidFill>
                </w14:textFill>
              </w:rPr>
              <w:t>t/a。</w:t>
            </w:r>
          </w:p>
          <w:p>
            <w:pPr>
              <w:pStyle w:val="42"/>
              <w:spacing w:before="1" w:line="364" w:lineRule="auto"/>
              <w:ind w:left="111" w:right="113" w:firstLine="48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综上所述，项目区运输扬尘</w:t>
            </w:r>
            <w:r>
              <w:rPr>
                <w:rFonts w:hint="eastAsia" w:ascii="Times New Roman" w:hAnsi="Times New Roman" w:cs="Times New Roman"/>
                <w:spacing w:val="-1"/>
                <w:kern w:val="0"/>
                <w:sz w:val="24"/>
                <w:szCs w:val="22"/>
                <w:lang w:val="en-US" w:eastAsia="zh-CN" w:bidi="zh-CN"/>
              </w:rPr>
              <w:t>2.39</w:t>
            </w:r>
            <w:r>
              <w:rPr>
                <w:rFonts w:hint="eastAsia" w:ascii="Times New Roman" w:hAnsi="Times New Roman" w:eastAsia="宋体" w:cs="Times New Roman"/>
                <w:spacing w:val="-1"/>
                <w:kern w:val="0"/>
                <w:sz w:val="24"/>
                <w:szCs w:val="22"/>
                <w:lang w:val="en-US" w:eastAsia="zh-CN" w:bidi="zh-CN"/>
              </w:rPr>
              <w:t>t/a，环评要求厂区地面硬化，定时洒水，车辆动力起尘经过控制车速、道路洒水，粉尘去除率为80%，厂区汽车行驶扬尘排放量为</w:t>
            </w:r>
            <w:r>
              <w:rPr>
                <w:rFonts w:hint="eastAsia" w:ascii="Times New Roman" w:hAnsi="Times New Roman" w:cs="Times New Roman"/>
                <w:spacing w:val="-1"/>
                <w:kern w:val="0"/>
                <w:sz w:val="24"/>
                <w:szCs w:val="22"/>
                <w:lang w:val="en-US" w:eastAsia="zh-CN" w:bidi="zh-CN"/>
              </w:rPr>
              <w:t>0.478</w:t>
            </w:r>
            <w:r>
              <w:rPr>
                <w:rFonts w:hint="eastAsia" w:ascii="Times New Roman" w:hAnsi="Times New Roman" w:eastAsia="宋体" w:cs="Times New Roman"/>
                <w:spacing w:val="-1"/>
                <w:kern w:val="0"/>
                <w:sz w:val="24"/>
                <w:szCs w:val="22"/>
                <w:lang w:val="en-US" w:eastAsia="zh-CN" w:bidi="zh-CN"/>
              </w:rPr>
              <w:t>t/a、排放速率为0.0</w:t>
            </w:r>
            <w:r>
              <w:rPr>
                <w:rFonts w:hint="eastAsia" w:ascii="Times New Roman" w:hAnsi="Times New Roman" w:cs="Times New Roman"/>
                <w:spacing w:val="-1"/>
                <w:kern w:val="0"/>
                <w:sz w:val="24"/>
                <w:szCs w:val="22"/>
                <w:lang w:val="en-US" w:eastAsia="zh-CN" w:bidi="zh-CN"/>
              </w:rPr>
              <w:t>66</w:t>
            </w:r>
            <w:r>
              <w:rPr>
                <w:rFonts w:hint="eastAsia" w:ascii="Times New Roman" w:hAnsi="Times New Roman" w:eastAsia="宋体" w:cs="Times New Roman"/>
                <w:spacing w:val="-1"/>
                <w:kern w:val="0"/>
                <w:sz w:val="24"/>
                <w:szCs w:val="22"/>
                <w:lang w:val="en-US" w:eastAsia="zh-CN" w:bidi="zh-CN"/>
              </w:rPr>
              <w:t>kg/h。</w:t>
            </w:r>
          </w:p>
          <w:p>
            <w:pPr>
              <w:pStyle w:val="42"/>
              <w:spacing w:before="1" w:line="364" w:lineRule="auto"/>
              <w:ind w:left="111" w:right="113" w:firstLine="48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为了减少物料运输产生的粉尘，建设单位要采取以下措施：</w:t>
            </w:r>
          </w:p>
          <w:p>
            <w:pPr>
              <w:pStyle w:val="42"/>
              <w:spacing w:before="1" w:line="364" w:lineRule="auto"/>
              <w:ind w:left="590" w:leftChars="281" w:right="113" w:firstLine="64" w:firstLineChars="27"/>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a、对厂区及进厂道路进行硬化，减少运输车辆扬尘对外环境的影响。 b、运输车辆必须加盖篷布，不得超载，限速行驶，尽量减少运输过程中物料抛洒泄露及粉尘飞扬。</w:t>
            </w:r>
          </w:p>
          <w:p>
            <w:pPr>
              <w:pStyle w:val="42"/>
              <w:spacing w:before="1" w:line="364" w:lineRule="auto"/>
              <w:ind w:left="111" w:right="113" w:firstLine="48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c、配备专人对厂区及入场道路定期清扫，防止积尘，加强道路洒水降尘，以降低扬尘污染。</w:t>
            </w:r>
          </w:p>
          <w:p>
            <w:pPr>
              <w:pStyle w:val="42"/>
              <w:spacing w:before="1" w:line="364" w:lineRule="auto"/>
              <w:ind w:left="111" w:right="113" w:firstLine="480"/>
              <w:jc w:val="both"/>
            </w:pPr>
            <w:r>
              <w:rPr>
                <w:rFonts w:hint="eastAsia" w:ascii="Times New Roman" w:hAnsi="Times New Roman" w:eastAsia="宋体" w:cs="Times New Roman"/>
                <w:spacing w:val="-1"/>
                <w:kern w:val="0"/>
                <w:sz w:val="24"/>
                <w:szCs w:val="22"/>
                <w:lang w:val="en-US" w:eastAsia="zh-CN" w:bidi="zh-CN"/>
              </w:rPr>
              <w:t>d、为了减轻扬尘对运输路线的污染，原料和产品运输车辆进出厂时必须进行车辆清洗，保持车身和轮胎清洁；在通过村庄时应减速慢行，减少运输扬尘，最大限度的减轻对运输道路沿线居民的影响。</w:t>
            </w:r>
          </w:p>
          <w:p>
            <w:pPr>
              <w:adjustRightInd w:val="0"/>
              <w:snapToGrid w:val="0"/>
              <w:spacing w:line="360" w:lineRule="auto"/>
              <w:ind w:firstLine="480" w:firstLineChars="200"/>
              <w:rPr>
                <w:rFonts w:eastAsiaTheme="minorEastAsia"/>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⑧</w:t>
            </w:r>
            <w:r>
              <w:rPr>
                <w:rFonts w:hAnsiTheme="minorEastAsia" w:eastAsiaTheme="minorEastAsia"/>
                <w:color w:val="000000" w:themeColor="text1"/>
                <w:sz w:val="24"/>
                <w14:textFill>
                  <w14:solidFill>
                    <w14:schemeClr w14:val="tx1"/>
                  </w14:solidFill>
                </w14:textFill>
              </w:rPr>
              <w:t>产品外售运输产生粉尘</w:t>
            </w:r>
            <w:r>
              <w:rPr>
                <w:rFonts w:hint="eastAsia" w:hAnsiTheme="minorEastAsia" w:eastAsiaTheme="minorEastAsia"/>
                <w:color w:val="000000" w:themeColor="text1"/>
                <w:sz w:val="24"/>
                <w:lang w:eastAsia="zh-CN"/>
                <w14:textFill>
                  <w14:solidFill>
                    <w14:schemeClr w14:val="tx1"/>
                  </w14:solidFill>
                </w14:textFill>
              </w:rPr>
              <w:t>：</w:t>
            </w:r>
            <w:r>
              <w:rPr>
                <w:rFonts w:hAnsiTheme="minorEastAsia" w:eastAsiaTheme="minorEastAsia"/>
                <w:color w:val="000000" w:themeColor="text1"/>
                <w:sz w:val="24"/>
                <w14:textFill>
                  <w14:solidFill>
                    <w14:schemeClr w14:val="tx1"/>
                  </w14:solidFill>
                </w14:textFill>
              </w:rPr>
              <w:t>本项目产品外售运输道路现状为简易砂石路，路面现状坑洼不平。本项目产品在外售运输过程中会因车轮与道路的辗压产生扬尘，车箱内物料遇大风天气时会产生扬尘。</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⑨</w:t>
            </w:r>
            <w:r>
              <w:rPr>
                <w:rFonts w:ascii="Times New Roman" w:cs="Times New Roman" w:hAnsiTheme="minorEastAsia" w:eastAsiaTheme="minorEastAsia"/>
                <w:color w:val="000000" w:themeColor="text1"/>
                <w14:textFill>
                  <w14:solidFill>
                    <w14:schemeClr w14:val="tx1"/>
                  </w14:solidFill>
                </w14:textFill>
              </w:rPr>
              <w:t>排土场扬尘</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排土场对空气环境的影响主要为扬尘，起尘条件主要取决于粒度、表面含湿量和风速的大小，废土在堆放过程中遇到大风天气易产生风蚀扬尘。</w:t>
            </w:r>
          </w:p>
          <w:p>
            <w:pPr>
              <w:adjustRightInd w:val="0"/>
              <w:snapToGrid w:val="0"/>
              <w:spacing w:line="360" w:lineRule="auto"/>
              <w:ind w:firstLine="480" w:firstLineChars="200"/>
              <w:rPr>
                <w:rFonts w:hAnsiTheme="minorEastAsia"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本矿山废土主要为矿体上部覆盖层和风化层剥离产生碎石及砂土等弃渣，有关研究表明，废土堆表面能使颗粒起尘的最低启动风速为</w:t>
            </w:r>
            <w:r>
              <w:rPr>
                <w:rFonts w:eastAsiaTheme="minorEastAsia"/>
                <w:color w:val="000000" w:themeColor="text1"/>
                <w:sz w:val="24"/>
                <w:szCs w:val="24"/>
                <w14:textFill>
                  <w14:solidFill>
                    <w14:schemeClr w14:val="tx1"/>
                  </w14:solidFill>
                </w14:textFill>
              </w:rPr>
              <w:t>4.8m/s</w:t>
            </w:r>
            <w:r>
              <w:rPr>
                <w:rFonts w:hAnsiTheme="minorEastAsia" w:eastAsiaTheme="minorEastAsia"/>
                <w:color w:val="000000" w:themeColor="text1"/>
                <w:sz w:val="24"/>
                <w:szCs w:val="24"/>
                <w14:textFill>
                  <w14:solidFill>
                    <w14:schemeClr w14:val="tx1"/>
                  </w14:solidFill>
                </w14:textFill>
              </w:rPr>
              <w:t>，只有当环境风速大于此风速时才会产生扬尘。据当地气象站多年常规气象资料表明，本区多年平均风速为</w:t>
            </w:r>
            <w:r>
              <w:rPr>
                <w:rFonts w:eastAsiaTheme="minorEastAsia"/>
                <w:color w:val="000000" w:themeColor="text1"/>
                <w:sz w:val="24"/>
                <w:szCs w:val="24"/>
                <w14:textFill>
                  <w14:solidFill>
                    <w14:schemeClr w14:val="tx1"/>
                  </w14:solidFill>
                </w14:textFill>
              </w:rPr>
              <w:t>1.7m/s</w:t>
            </w:r>
            <w:r>
              <w:rPr>
                <w:rFonts w:hAnsiTheme="minorEastAsia" w:eastAsiaTheme="minorEastAsia"/>
                <w:color w:val="000000" w:themeColor="text1"/>
                <w:sz w:val="24"/>
                <w:szCs w:val="24"/>
                <w14:textFill>
                  <w14:solidFill>
                    <w14:schemeClr w14:val="tx1"/>
                  </w14:solidFill>
                </w14:textFill>
              </w:rPr>
              <w:t>，一年中出现大于</w:t>
            </w:r>
            <w:r>
              <w:rPr>
                <w:rFonts w:eastAsiaTheme="minorEastAsia"/>
                <w:color w:val="000000" w:themeColor="text1"/>
                <w:sz w:val="24"/>
                <w:szCs w:val="24"/>
                <w14:textFill>
                  <w14:solidFill>
                    <w14:schemeClr w14:val="tx1"/>
                  </w14:solidFill>
                </w14:textFill>
              </w:rPr>
              <w:t>4.8m/s</w:t>
            </w:r>
            <w:r>
              <w:rPr>
                <w:rFonts w:hAnsiTheme="minorEastAsia" w:eastAsiaTheme="minorEastAsia"/>
                <w:color w:val="000000" w:themeColor="text1"/>
                <w:sz w:val="24"/>
                <w:szCs w:val="24"/>
                <w14:textFill>
                  <w14:solidFill>
                    <w14:schemeClr w14:val="tx1"/>
                  </w14:solidFill>
                </w14:textFill>
              </w:rPr>
              <w:t>的风速频率少，由此可说明排土场能够发生扬尘的时间是很少的，在绝大部分时间内，排土场不会对环境空气产生扬尘污染，但在较大风速条件下是可以起尘的，影响范围一般在下风向</w:t>
            </w:r>
            <w:r>
              <w:rPr>
                <w:rFonts w:eastAsiaTheme="minorEastAsia"/>
                <w:color w:val="000000" w:themeColor="text1"/>
                <w:sz w:val="24"/>
                <w:szCs w:val="24"/>
                <w14:textFill>
                  <w14:solidFill>
                    <w14:schemeClr w14:val="tx1"/>
                  </w14:solidFill>
                </w14:textFill>
              </w:rPr>
              <w:t>100~150m</w:t>
            </w:r>
            <w:r>
              <w:rPr>
                <w:rFonts w:hAnsiTheme="minorEastAsia" w:eastAsiaTheme="minorEastAsia"/>
                <w:color w:val="000000" w:themeColor="text1"/>
                <w:sz w:val="24"/>
                <w:szCs w:val="24"/>
                <w14:textFill>
                  <w14:solidFill>
                    <w14:schemeClr w14:val="tx1"/>
                  </w14:solidFill>
                </w14:textFill>
              </w:rPr>
              <w:t>以内。</w:t>
            </w:r>
          </w:p>
          <w:p>
            <w:pPr>
              <w:spacing w:line="360" w:lineRule="auto"/>
              <w:ind w:firstLine="48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⑩</w:t>
            </w:r>
            <w:r>
              <w:rPr>
                <w:rFonts w:hint="eastAsia"/>
                <w:color w:val="000000" w:themeColor="text1"/>
                <w:sz w:val="24"/>
                <w14:textFill>
                  <w14:solidFill>
                    <w14:schemeClr w14:val="tx1"/>
                  </w14:solidFill>
                </w14:textFill>
              </w:rPr>
              <w:t>食堂油烟废气、食堂燃烧废气</w:t>
            </w:r>
          </w:p>
          <w:p>
            <w:pPr>
              <w:autoSpaceDE w:val="0"/>
              <w:autoSpaceDN w:val="0"/>
              <w:adjustRightInd w:val="0"/>
              <w:spacing w:line="360" w:lineRule="auto"/>
              <w:ind w:firstLine="480" w:firstLineChars="200"/>
              <w:jc w:val="left"/>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根据企业提供的资料，食堂燃料使用天然气，食堂共设基准灶头</w:t>
            </w:r>
            <w:r>
              <w:rPr>
                <w:rFonts w:hint="eastAsia"/>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个，属于</w:t>
            </w:r>
            <w:r>
              <w:rPr>
                <w:rFonts w:hint="eastAsia" w:hAnsi="宋体"/>
                <w:color w:val="000000" w:themeColor="text1"/>
                <w:sz w:val="24"/>
                <w:lang w:val="en-US" w:eastAsia="zh-CN"/>
                <w14:textFill>
                  <w14:solidFill>
                    <w14:schemeClr w14:val="tx1"/>
                  </w14:solidFill>
                </w14:textFill>
              </w:rPr>
              <w:t>小</w:t>
            </w:r>
            <w:r>
              <w:rPr>
                <w:rFonts w:hint="eastAsia" w:hAnsi="宋体"/>
                <w:color w:val="000000" w:themeColor="text1"/>
                <w:sz w:val="24"/>
                <w14:textFill>
                  <w14:solidFill>
                    <w14:schemeClr w14:val="tx1"/>
                  </w14:solidFill>
                </w14:textFill>
              </w:rPr>
              <w:t>型食堂。职工用餐总人数为</w:t>
            </w:r>
            <w:r>
              <w:rPr>
                <w:rFonts w:hint="eastAsia"/>
                <w:color w:val="000000" w:themeColor="text1"/>
                <w:sz w:val="24"/>
                <w14:textFill>
                  <w14:solidFill>
                    <w14:schemeClr w14:val="tx1"/>
                  </w14:solidFill>
                </w14:textFill>
              </w:rPr>
              <w:t>15</w:t>
            </w:r>
            <w:r>
              <w:rPr>
                <w:rFonts w:hint="eastAsia" w:hAnsi="宋体"/>
                <w:color w:val="000000" w:themeColor="text1"/>
                <w:sz w:val="24"/>
                <w14:textFill>
                  <w14:solidFill>
                    <w14:schemeClr w14:val="tx1"/>
                  </w14:solidFill>
                </w14:textFill>
              </w:rPr>
              <w:t>人，消耗动植物油量以</w:t>
            </w:r>
            <w:r>
              <w:rPr>
                <w:color w:val="000000" w:themeColor="text1"/>
                <w:sz w:val="24"/>
                <w14:textFill>
                  <w14:solidFill>
                    <w14:schemeClr w14:val="tx1"/>
                  </w14:solidFill>
                </w14:textFill>
              </w:rPr>
              <w:t>0.03kg/d•</w:t>
            </w:r>
            <w:r>
              <w:rPr>
                <w:rFonts w:hint="eastAsia" w:hAnsi="宋体"/>
                <w:color w:val="000000" w:themeColor="text1"/>
                <w:sz w:val="24"/>
                <w14:textFill>
                  <w14:solidFill>
                    <w14:schemeClr w14:val="tx1"/>
                  </w14:solidFill>
                </w14:textFill>
              </w:rPr>
              <w:t>人计，消耗动植物油量为</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135</w:t>
            </w:r>
            <w:r>
              <w:rPr>
                <w:color w:val="000000" w:themeColor="text1"/>
                <w:sz w:val="24"/>
                <w14:textFill>
                  <w14:solidFill>
                    <w14:schemeClr w14:val="tx1"/>
                  </w14:solidFill>
                </w14:textFill>
              </w:rPr>
              <w:t>t/a</w:t>
            </w:r>
            <w:r>
              <w:rPr>
                <w:rFonts w:hint="eastAsia" w:hAnsi="宋体"/>
                <w:color w:val="000000" w:themeColor="text1"/>
                <w:sz w:val="24"/>
                <w14:textFill>
                  <w14:solidFill>
                    <w14:schemeClr w14:val="tx1"/>
                  </w14:solidFill>
                </w14:textFill>
              </w:rPr>
              <w:t>。动植物油的挥发量以</w:t>
            </w:r>
            <w:r>
              <w:rPr>
                <w:color w:val="000000" w:themeColor="text1"/>
                <w:sz w:val="24"/>
                <w14:textFill>
                  <w14:solidFill>
                    <w14:schemeClr w14:val="tx1"/>
                  </w14:solidFill>
                </w14:textFill>
              </w:rPr>
              <w:t>2.83%</w:t>
            </w:r>
            <w:r>
              <w:rPr>
                <w:rFonts w:hint="eastAsia" w:hAnsi="宋体"/>
                <w:color w:val="000000" w:themeColor="text1"/>
                <w:sz w:val="24"/>
                <w14:textFill>
                  <w14:solidFill>
                    <w14:schemeClr w14:val="tx1"/>
                  </w14:solidFill>
                </w14:textFill>
              </w:rPr>
              <w:t>计，则项目油烟产生量为</w:t>
            </w:r>
            <w:r>
              <w:rPr>
                <w:color w:val="000000" w:themeColor="text1"/>
                <w:sz w:val="24"/>
                <w14:textFill>
                  <w14:solidFill>
                    <w14:schemeClr w14:val="tx1"/>
                  </w14:solidFill>
                </w14:textFill>
              </w:rPr>
              <w:t>0.00</w:t>
            </w:r>
            <w:r>
              <w:rPr>
                <w:rFonts w:hint="eastAsia"/>
                <w:color w:val="000000" w:themeColor="text1"/>
                <w:sz w:val="24"/>
                <w14:textFill>
                  <w14:solidFill>
                    <w14:schemeClr w14:val="tx1"/>
                  </w14:solidFill>
                </w14:textFill>
              </w:rPr>
              <w:t>38</w:t>
            </w:r>
            <w:r>
              <w:rPr>
                <w:color w:val="000000" w:themeColor="text1"/>
                <w:sz w:val="24"/>
                <w14:textFill>
                  <w14:solidFill>
                    <w14:schemeClr w14:val="tx1"/>
                  </w14:solidFill>
                </w14:textFill>
              </w:rPr>
              <w:t>t/a</w:t>
            </w:r>
            <w:r>
              <w:rPr>
                <w:rFonts w:hint="eastAsia" w:hAnsi="宋体"/>
                <w:color w:val="000000" w:themeColor="text1"/>
                <w:sz w:val="24"/>
                <w14:textFill>
                  <w14:solidFill>
                    <w14:schemeClr w14:val="tx1"/>
                  </w14:solidFill>
                </w14:textFill>
              </w:rPr>
              <w:t>，食堂每日工作</w:t>
            </w:r>
            <w:r>
              <w:rPr>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个小时，则油烟产生浓度为</w:t>
            </w:r>
            <w:r>
              <w:rPr>
                <w:rFonts w:hint="eastAsia"/>
                <w:color w:val="000000" w:themeColor="text1"/>
                <w:sz w:val="24"/>
                <w14:textFill>
                  <w14:solidFill>
                    <w14:schemeClr w14:val="tx1"/>
                  </w14:solidFill>
                </w14:textFill>
              </w:rPr>
              <w:t>1.06</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hAnsi="宋体"/>
                <w:color w:val="000000" w:themeColor="text1"/>
                <w:sz w:val="24"/>
                <w14:textFill>
                  <w14:solidFill>
                    <w14:schemeClr w14:val="tx1"/>
                  </w14:solidFill>
                </w14:textFill>
              </w:rPr>
              <w:t>。基准排风量为</w:t>
            </w:r>
            <w:r>
              <w:rPr>
                <w:color w:val="000000" w:themeColor="text1"/>
                <w:sz w:val="24"/>
                <w14:textFill>
                  <w14:solidFill>
                    <w14:schemeClr w14:val="tx1"/>
                  </w14:solidFill>
                </w14:textFill>
              </w:rPr>
              <w:t>3000m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hAnsi="宋体"/>
                <w:color w:val="000000" w:themeColor="text1"/>
                <w:sz w:val="24"/>
                <w14:textFill>
                  <w14:solidFill>
                    <w14:schemeClr w14:val="tx1"/>
                  </w14:solidFill>
                </w14:textFill>
              </w:rPr>
              <w:t>，油烟净化器最低处理效率为</w:t>
            </w:r>
            <w:r>
              <w:rPr>
                <w:color w:val="000000" w:themeColor="text1"/>
                <w:sz w:val="24"/>
                <w14:textFill>
                  <w14:solidFill>
                    <w14:schemeClr w14:val="tx1"/>
                  </w14:solidFill>
                </w14:textFill>
              </w:rPr>
              <w:t>65%</w:t>
            </w:r>
            <w:r>
              <w:rPr>
                <w:rFonts w:hint="eastAsia" w:hAnsi="宋体"/>
                <w:color w:val="000000" w:themeColor="text1"/>
                <w:sz w:val="24"/>
                <w14:textFill>
                  <w14:solidFill>
                    <w14:schemeClr w14:val="tx1"/>
                  </w14:solidFill>
                </w14:textFill>
              </w:rPr>
              <w:t>，则油烟排放浓度为</w:t>
            </w:r>
            <w:r>
              <w:rPr>
                <w:rFonts w:hint="eastAsia"/>
                <w:color w:val="000000" w:themeColor="text1"/>
                <w:sz w:val="24"/>
                <w14:textFill>
                  <w14:solidFill>
                    <w14:schemeClr w14:val="tx1"/>
                  </w14:solidFill>
                </w14:textFill>
              </w:rPr>
              <w:t>0.37</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hAnsi="宋体"/>
                <w:color w:val="000000" w:themeColor="text1"/>
                <w:sz w:val="24"/>
                <w14:textFill>
                  <w14:solidFill>
                    <w14:schemeClr w14:val="tx1"/>
                  </w14:solidFill>
                </w14:textFill>
              </w:rPr>
              <w:t>。</w:t>
            </w:r>
          </w:p>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w:t>
            </w:r>
            <w:r>
              <w:rPr>
                <w:rFonts w:hint="eastAsia"/>
                <w:b/>
                <w:bCs/>
                <w:color w:val="000000" w:themeColor="text1"/>
                <w:szCs w:val="21"/>
                <w:lang w:val="en-US" w:eastAsia="zh-CN"/>
                <w14:textFill>
                  <w14:solidFill>
                    <w14:schemeClr w14:val="tx1"/>
                  </w14:solidFill>
                </w14:textFill>
              </w:rPr>
              <w:t>12</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项目食堂油烟产排情况一览表</w:t>
            </w:r>
          </w:p>
          <w:tbl>
            <w:tblPr>
              <w:tblStyle w:val="19"/>
              <w:tblW w:w="80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566"/>
              <w:gridCol w:w="826"/>
              <w:gridCol w:w="795"/>
              <w:gridCol w:w="830"/>
              <w:gridCol w:w="683"/>
              <w:gridCol w:w="834"/>
              <w:gridCol w:w="784"/>
              <w:gridCol w:w="873"/>
              <w:gridCol w:w="8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08" w:type="pct"/>
                  <w:vMerge w:val="restart"/>
                  <w:tcBorders>
                    <w:top w:val="single" w:color="auto" w:sz="12" w:space="0"/>
                    <w:left w:val="single" w:color="auto" w:sz="12"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污染源</w:t>
                  </w:r>
                </w:p>
              </w:tc>
              <w:tc>
                <w:tcPr>
                  <w:tcW w:w="352" w:type="pct"/>
                  <w:vMerge w:val="restart"/>
                  <w:tcBorders>
                    <w:top w:val="single" w:color="auto" w:sz="12"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w:t>
                  </w:r>
                </w:p>
              </w:tc>
              <w:tc>
                <w:tcPr>
                  <w:tcW w:w="1526" w:type="pct"/>
                  <w:gridSpan w:val="3"/>
                  <w:tcBorders>
                    <w:top w:val="single" w:color="auto" w:sz="12"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产生情况</w:t>
                  </w:r>
                </w:p>
              </w:tc>
              <w:tc>
                <w:tcPr>
                  <w:tcW w:w="425" w:type="pct"/>
                  <w:vMerge w:val="restart"/>
                  <w:tcBorders>
                    <w:top w:val="single" w:color="auto" w:sz="12"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处理措施</w:t>
                  </w:r>
                </w:p>
              </w:tc>
              <w:tc>
                <w:tcPr>
                  <w:tcW w:w="1551" w:type="pct"/>
                  <w:gridSpan w:val="3"/>
                  <w:tcBorders>
                    <w:top w:val="single" w:color="auto" w:sz="12"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排放情况</w:t>
                  </w:r>
                </w:p>
              </w:tc>
              <w:tc>
                <w:tcPr>
                  <w:tcW w:w="536" w:type="pct"/>
                  <w:tcBorders>
                    <w:top w:val="single" w:color="auto" w:sz="12" w:space="0"/>
                    <w:left w:val="single" w:color="auto" w:sz="4" w:space="0"/>
                    <w:bottom w:val="single" w:color="auto" w:sz="4" w:space="0"/>
                    <w:right w:val="single" w:color="auto" w:sz="12" w:space="0"/>
                  </w:tcBorders>
                  <w:vAlign w:val="center"/>
                </w:tcPr>
                <w:p>
                  <w:pPr>
                    <w:widowControl/>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08" w:type="pct"/>
                  <w:vMerge w:val="continue"/>
                  <w:tcBorders>
                    <w:top w:val="single" w:color="auto" w:sz="12" w:space="0"/>
                    <w:left w:val="single" w:color="auto" w:sz="12"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352" w:type="pct"/>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51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浓度</w:t>
                  </w:r>
                  <w:r>
                    <w:rPr>
                      <w:b/>
                      <w:bCs/>
                      <w:color w:val="000000" w:themeColor="text1"/>
                      <w:szCs w:val="21"/>
                      <w14:textFill>
                        <w14:solidFill>
                          <w14:schemeClr w14:val="tx1"/>
                        </w14:solidFill>
                      </w14:textFill>
                    </w:rPr>
                    <w:t>mg/m</w:t>
                  </w:r>
                  <w:r>
                    <w:rPr>
                      <w:b/>
                      <w:bCs/>
                      <w:color w:val="000000" w:themeColor="text1"/>
                      <w:szCs w:val="21"/>
                      <w:vertAlign w:val="superscript"/>
                      <w14:textFill>
                        <w14:solidFill>
                          <w14:schemeClr w14:val="tx1"/>
                        </w14:solidFill>
                      </w14:textFill>
                    </w:rPr>
                    <w:t>3</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速率</w:t>
                  </w:r>
                  <w:r>
                    <w:rPr>
                      <w:b/>
                      <w:bCs/>
                      <w:color w:val="000000" w:themeColor="text1"/>
                      <w:szCs w:val="21"/>
                      <w14:textFill>
                        <w14:solidFill>
                          <w14:schemeClr w14:val="tx1"/>
                        </w14:solidFill>
                      </w14:textFill>
                    </w:rPr>
                    <w:t>kg/h</w:t>
                  </w:r>
                </w:p>
              </w:tc>
              <w:tc>
                <w:tcPr>
                  <w:tcW w:w="51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产生量</w:t>
                  </w:r>
                  <w:r>
                    <w:rPr>
                      <w:b/>
                      <w:bCs/>
                      <w:color w:val="000000" w:themeColor="text1"/>
                      <w:szCs w:val="21"/>
                      <w14:textFill>
                        <w14:solidFill>
                          <w14:schemeClr w14:val="tx1"/>
                        </w14:solidFill>
                      </w14:textFill>
                    </w:rPr>
                    <w:t>t/a</w:t>
                  </w:r>
                </w:p>
              </w:tc>
              <w:tc>
                <w:tcPr>
                  <w:tcW w:w="425" w:type="pct"/>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51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浓度</w:t>
                  </w:r>
                  <w:r>
                    <w:rPr>
                      <w:b/>
                      <w:bCs/>
                      <w:color w:val="000000" w:themeColor="text1"/>
                      <w:szCs w:val="21"/>
                      <w14:textFill>
                        <w14:solidFill>
                          <w14:schemeClr w14:val="tx1"/>
                        </w14:solidFill>
                      </w14:textFill>
                    </w:rPr>
                    <w:t>mg/m</w:t>
                  </w:r>
                  <w:r>
                    <w:rPr>
                      <w:b/>
                      <w:bCs/>
                      <w:color w:val="000000" w:themeColor="text1"/>
                      <w:szCs w:val="21"/>
                      <w:vertAlign w:val="superscript"/>
                      <w14:textFill>
                        <w14:solidFill>
                          <w14:schemeClr w14:val="tx1"/>
                        </w14:solidFill>
                      </w14:textFill>
                    </w:rPr>
                    <w:t>3</w:t>
                  </w:r>
                </w:p>
              </w:tc>
              <w:tc>
                <w:tcPr>
                  <w:tcW w:w="48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速率</w:t>
                  </w:r>
                  <w:r>
                    <w:rPr>
                      <w:b/>
                      <w:bCs/>
                      <w:color w:val="000000" w:themeColor="text1"/>
                      <w:szCs w:val="21"/>
                      <w14:textFill>
                        <w14:solidFill>
                          <w14:schemeClr w14:val="tx1"/>
                        </w14:solidFill>
                      </w14:textFill>
                    </w:rPr>
                    <w:t>kg/h</w:t>
                  </w:r>
                </w:p>
              </w:tc>
              <w:tc>
                <w:tcPr>
                  <w:tcW w:w="54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排放量</w:t>
                  </w:r>
                  <w:r>
                    <w:rPr>
                      <w:b/>
                      <w:bCs/>
                      <w:color w:val="000000" w:themeColor="text1"/>
                      <w:szCs w:val="21"/>
                      <w14:textFill>
                        <w14:solidFill>
                          <w14:schemeClr w14:val="tx1"/>
                        </w14:solidFill>
                      </w14:textFill>
                    </w:rPr>
                    <w:t>t/a</w:t>
                  </w:r>
                </w:p>
              </w:tc>
              <w:tc>
                <w:tcPr>
                  <w:tcW w:w="536" w:type="pct"/>
                  <w:vMerge w:val="restart"/>
                  <w:tcBorders>
                    <w:top w:val="single" w:color="auto" w:sz="4" w:space="0"/>
                    <w:left w:val="single" w:color="auto" w:sz="4" w:space="0"/>
                    <w:bottom w:val="single" w:color="auto" w:sz="4" w:space="0"/>
                    <w:right w:val="single" w:color="auto" w:sz="12" w:space="0"/>
                  </w:tcBorders>
                  <w:vAlign w:val="center"/>
                </w:tcPr>
                <w:p>
                  <w:pPr>
                    <w:widowControl/>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浓度</w:t>
                  </w:r>
                  <w:r>
                    <w:rPr>
                      <w:b/>
                      <w:color w:val="000000" w:themeColor="text1"/>
                      <w:szCs w:val="21"/>
                      <w14:textFill>
                        <w14:solidFill>
                          <w14:schemeClr w14:val="tx1"/>
                        </w14:solidFill>
                      </w14:textFill>
                    </w:rPr>
                    <w:t>mg/m</w:t>
                  </w:r>
                  <w:r>
                    <w:rPr>
                      <w:b/>
                      <w:color w:val="000000" w:themeColor="text1"/>
                      <w:szCs w:val="21"/>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8" w:type="pct"/>
                  <w:vMerge w:val="continue"/>
                  <w:tcBorders>
                    <w:top w:val="single" w:color="auto" w:sz="12" w:space="0"/>
                    <w:left w:val="single" w:color="auto" w:sz="12"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352" w:type="pct"/>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425" w:type="pct"/>
                  <w:vMerge w:val="continue"/>
                  <w:tcBorders>
                    <w:top w:val="single" w:color="auto" w:sz="12"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themeColor="text1"/>
                      <w:szCs w:val="21"/>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12" w:space="0"/>
                  </w:tcBorders>
                  <w:vAlign w:val="center"/>
                </w:tcPr>
                <w:p>
                  <w:pPr>
                    <w:widowControl/>
                    <w:jc w:val="left"/>
                    <w:rPr>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8" w:hRule="atLeast"/>
              </w:trPr>
              <w:tc>
                <w:tcPr>
                  <w:tcW w:w="608" w:type="pct"/>
                  <w:tcBorders>
                    <w:top w:val="single" w:color="auto" w:sz="4" w:space="0"/>
                    <w:left w:val="single" w:color="auto" w:sz="12" w:space="0"/>
                    <w:bottom w:val="single" w:color="auto" w:sz="12" w:space="0"/>
                    <w:right w:val="single" w:color="auto" w:sz="4" w:space="0"/>
                  </w:tcBorders>
                  <w:vAlign w:val="center"/>
                </w:tcPr>
                <w:p>
                  <w:pPr>
                    <w:widowControl/>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油烟净化器排气口</w:t>
                  </w:r>
                </w:p>
              </w:tc>
              <w:tc>
                <w:tcPr>
                  <w:tcW w:w="352" w:type="pct"/>
                  <w:tcBorders>
                    <w:top w:val="single" w:color="auto" w:sz="4" w:space="0"/>
                    <w:left w:val="single" w:color="auto" w:sz="4" w:space="0"/>
                    <w:bottom w:val="single" w:color="auto" w:sz="12" w:space="0"/>
                    <w:right w:val="single" w:color="auto" w:sz="4" w:space="0"/>
                  </w:tcBorders>
                  <w:vAlign w:val="center"/>
                </w:tcPr>
                <w:p>
                  <w:pPr>
                    <w:widowControl/>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油烟</w:t>
                  </w:r>
                </w:p>
              </w:tc>
              <w:tc>
                <w:tcPr>
                  <w:tcW w:w="514"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1.06 </w:t>
                  </w:r>
                </w:p>
              </w:tc>
              <w:tc>
                <w:tcPr>
                  <w:tcW w:w="495"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0.0032 </w:t>
                  </w:r>
                </w:p>
              </w:tc>
              <w:tc>
                <w:tcPr>
                  <w:tcW w:w="516"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0.0038 </w:t>
                  </w:r>
                </w:p>
              </w:tc>
              <w:tc>
                <w:tcPr>
                  <w:tcW w:w="425"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油烟净化器</w:t>
                  </w:r>
                </w:p>
              </w:tc>
              <w:tc>
                <w:tcPr>
                  <w:tcW w:w="519"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0.37 </w:t>
                  </w:r>
                </w:p>
              </w:tc>
              <w:tc>
                <w:tcPr>
                  <w:tcW w:w="488" w:type="pct"/>
                  <w:tcBorders>
                    <w:top w:val="single" w:color="auto" w:sz="4" w:space="0"/>
                    <w:left w:val="single" w:color="auto" w:sz="4" w:space="0"/>
                    <w:bottom w:val="single" w:color="auto" w:sz="12" w:space="0"/>
                    <w:right w:val="single" w:color="auto" w:sz="4" w:space="0"/>
                  </w:tcBorders>
                  <w:vAlign w:val="center"/>
                </w:tcPr>
                <w:p>
                  <w:pPr>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0.001 </w:t>
                  </w:r>
                </w:p>
              </w:tc>
              <w:tc>
                <w:tcPr>
                  <w:tcW w:w="543"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0.0013 </w:t>
                  </w:r>
                </w:p>
              </w:tc>
              <w:tc>
                <w:tcPr>
                  <w:tcW w:w="536" w:type="pct"/>
                  <w:tcBorders>
                    <w:top w:val="single" w:color="auto" w:sz="4" w:space="0"/>
                    <w:left w:val="single" w:color="auto" w:sz="4" w:space="0"/>
                    <w:bottom w:val="single" w:color="auto" w:sz="12" w:space="0"/>
                    <w:right w:val="single" w:color="auto" w:sz="12" w:space="0"/>
                  </w:tcBorders>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r>
          </w:tbl>
          <w:p>
            <w:pPr>
              <w:pStyle w:val="47"/>
              <w:adjustRightInd w:val="0"/>
              <w:snapToGrid w:val="0"/>
              <w:ind w:firstLine="482" w:firstLineChars="0"/>
              <w:rPr>
                <w:rFonts w:ascii="Times New Roman" w:hAnsi="Times New Roman" w:cs="Times New Roman" w:eastAsiaTheme="minorEastAsia"/>
                <w:b/>
                <w:color w:val="000000" w:themeColor="text1"/>
                <w14:textFill>
                  <w14:solidFill>
                    <w14:schemeClr w14:val="tx1"/>
                  </w14:solidFill>
                </w14:textFill>
              </w:rPr>
            </w:pPr>
            <w:r>
              <w:rPr>
                <w:rFonts w:ascii="Times New Roman" w:hAnsi="Times New Roman" w:cs="Times New Roman" w:eastAsiaTheme="minorEastAsia"/>
                <w:b/>
                <w:color w:val="000000" w:themeColor="text1"/>
                <w14:textFill>
                  <w14:solidFill>
                    <w14:schemeClr w14:val="tx1"/>
                  </w14:solidFill>
                </w14:textFill>
              </w:rPr>
              <w:t>3</w:t>
            </w:r>
            <w:r>
              <w:rPr>
                <w:rFonts w:ascii="Times New Roman" w:cs="Times New Roman" w:hAnsiTheme="minorEastAsia" w:eastAsiaTheme="minorEastAsia"/>
                <w:b/>
                <w:color w:val="000000" w:themeColor="text1"/>
                <w14:textFill>
                  <w14:solidFill>
                    <w14:schemeClr w14:val="tx1"/>
                  </w14:solidFill>
                </w14:textFill>
              </w:rPr>
              <w:t>、噪声</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运营期噪声主要为采石场、石料加工区、排土场各类设备噪声及运输车辆噪声。噪声源强统计如下：</w:t>
            </w:r>
          </w:p>
          <w:p>
            <w:pPr>
              <w:pStyle w:val="47"/>
              <w:adjustRightInd w:val="0"/>
              <w:snapToGrid w:val="0"/>
              <w:spacing w:line="240" w:lineRule="auto"/>
              <w:ind w:firstLine="0" w:firstLineChars="0"/>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cs="Times New Roman" w:hAnsiTheme="minorEastAsia" w:eastAsiaTheme="minorEastAsia"/>
                <w:b/>
                <w:color w:val="000000" w:themeColor="text1"/>
                <w:sz w:val="21"/>
                <w:szCs w:val="21"/>
                <w14:textFill>
                  <w14:solidFill>
                    <w14:schemeClr w14:val="tx1"/>
                  </w14:solidFill>
                </w14:textFill>
              </w:rPr>
              <w:t>表</w:t>
            </w:r>
            <w:r>
              <w:rPr>
                <w:rFonts w:hint="eastAsia" w:ascii="Times New Roman" w:hAnsi="Times New Roman" w:cs="Times New Roman" w:eastAsiaTheme="minorEastAsia"/>
                <w:b/>
                <w:color w:val="000000" w:themeColor="text1"/>
                <w:sz w:val="21"/>
                <w:szCs w:val="21"/>
                <w:lang w:val="en-US" w:eastAsia="zh-CN"/>
                <w14:textFill>
                  <w14:solidFill>
                    <w14:schemeClr w14:val="tx1"/>
                  </w14:solidFill>
                </w14:textFill>
              </w:rPr>
              <w:t>13</w:t>
            </w:r>
            <w:r>
              <w:rPr>
                <w:rFonts w:hint="eastAsia" w:ascii="Times New Roman" w:hAnsi="Times New Roman" w:cs="Times New Roman" w:eastAsiaTheme="minorEastAsia"/>
                <w:b/>
                <w:color w:val="000000" w:themeColor="text1"/>
                <w:sz w:val="21"/>
                <w:szCs w:val="21"/>
                <w14:textFill>
                  <w14:solidFill>
                    <w14:schemeClr w14:val="tx1"/>
                  </w14:solidFill>
                </w14:textFill>
              </w:rPr>
              <w:t xml:space="preserve"> </w:t>
            </w:r>
            <w:r>
              <w:rPr>
                <w:rFonts w:ascii="Times New Roman" w:cs="Times New Roman" w:hAnsiTheme="minorEastAsia" w:eastAsiaTheme="minorEastAsia"/>
                <w:b/>
                <w:color w:val="000000" w:themeColor="text1"/>
                <w:sz w:val="21"/>
                <w:szCs w:val="21"/>
                <w14:textFill>
                  <w14:solidFill>
                    <w14:schemeClr w14:val="tx1"/>
                  </w14:solidFill>
                </w14:textFill>
              </w:rPr>
              <w:t>运营期噪声源强单位：</w:t>
            </w:r>
            <w:r>
              <w:rPr>
                <w:rFonts w:ascii="Times New Roman" w:hAnsi="Times New Roman" w:cs="Times New Roman" w:eastAsiaTheme="minorEastAsia"/>
                <w:b/>
                <w:color w:val="000000" w:themeColor="text1"/>
                <w:sz w:val="21"/>
                <w:szCs w:val="21"/>
                <w14:textFill>
                  <w14:solidFill>
                    <w14:schemeClr w14:val="tx1"/>
                  </w14:solidFill>
                </w14:textFill>
              </w:rPr>
              <w:t>dB</w:t>
            </w:r>
            <w:r>
              <w:rPr>
                <w:rFonts w:ascii="Times New Roman" w:cs="Times New Roman" w:hAnsiTheme="minorEastAsia" w:eastAsiaTheme="minorEastAsia"/>
                <w:b/>
                <w:color w:val="000000" w:themeColor="text1"/>
                <w:sz w:val="21"/>
                <w:szCs w:val="21"/>
                <w14:textFill>
                  <w14:solidFill>
                    <w14:schemeClr w14:val="tx1"/>
                  </w14:solidFill>
                </w14:textFill>
              </w:rPr>
              <w:t>（</w:t>
            </w:r>
            <w:r>
              <w:rPr>
                <w:rFonts w:ascii="Times New Roman" w:hAnsi="Times New Roman" w:cs="Times New Roman" w:eastAsiaTheme="minorEastAsia"/>
                <w:b/>
                <w:color w:val="000000" w:themeColor="text1"/>
                <w:sz w:val="21"/>
                <w:szCs w:val="21"/>
                <w14:textFill>
                  <w14:solidFill>
                    <w14:schemeClr w14:val="tx1"/>
                  </w14:solidFill>
                </w14:textFill>
              </w:rPr>
              <w:t>A</w:t>
            </w:r>
            <w:r>
              <w:rPr>
                <w:rFonts w:ascii="Times New Roman" w:cs="Times New Roman" w:hAnsiTheme="minorEastAsia" w:eastAsiaTheme="minorEastAsia"/>
                <w:b/>
                <w:color w:val="000000" w:themeColor="text1"/>
                <w:sz w:val="21"/>
                <w:szCs w:val="21"/>
                <w14:textFill>
                  <w14:solidFill>
                    <w14:schemeClr w14:val="tx1"/>
                  </w14:solidFill>
                </w14:textFill>
              </w:rPr>
              <w:t>）</w:t>
            </w:r>
          </w:p>
          <w:tbl>
            <w:tblPr>
              <w:tblStyle w:val="19"/>
              <w:tblW w:w="795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63"/>
              <w:gridCol w:w="1282"/>
              <w:gridCol w:w="2242"/>
              <w:gridCol w:w="1545"/>
              <w:gridCol w:w="21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763"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序号</w:t>
                  </w:r>
                </w:p>
              </w:tc>
              <w:tc>
                <w:tcPr>
                  <w:tcW w:w="128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噪声区域</w:t>
                  </w:r>
                </w:p>
              </w:tc>
              <w:tc>
                <w:tcPr>
                  <w:tcW w:w="224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噪声源</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噪声源强</w:t>
                  </w:r>
                </w:p>
              </w:tc>
              <w:tc>
                <w:tcPr>
                  <w:tcW w:w="212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restart"/>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282" w:type="dxa"/>
                  <w:vMerge w:val="restart"/>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采石场</w:t>
                  </w:r>
                </w:p>
              </w:tc>
              <w:tc>
                <w:tcPr>
                  <w:tcW w:w="224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挖掘机</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w:t>
                  </w:r>
                </w:p>
              </w:tc>
              <w:tc>
                <w:tcPr>
                  <w:tcW w:w="2126" w:type="dxa"/>
                  <w:vMerge w:val="restart"/>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间断性、流动性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1282"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224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装载机</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w:t>
                  </w:r>
                </w:p>
              </w:tc>
              <w:tc>
                <w:tcPr>
                  <w:tcW w:w="2126"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1282"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224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爆破</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100</w:t>
                  </w:r>
                </w:p>
              </w:tc>
              <w:tc>
                <w:tcPr>
                  <w:tcW w:w="212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瞬时性、流动性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17" w:hRule="atLeast"/>
                <w:jc w:val="center"/>
              </w:trPr>
              <w:tc>
                <w:tcPr>
                  <w:tcW w:w="763" w:type="dxa"/>
                  <w:vMerge w:val="continue"/>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p>
              </w:tc>
              <w:tc>
                <w:tcPr>
                  <w:tcW w:w="1282" w:type="dxa"/>
                  <w:vMerge w:val="continue"/>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p>
              </w:tc>
              <w:tc>
                <w:tcPr>
                  <w:tcW w:w="2242" w:type="dxa"/>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14:textFill>
                        <w14:solidFill>
                          <w14:schemeClr w14:val="tx1"/>
                        </w14:solidFill>
                      </w14:textFill>
                    </w:rPr>
                    <w:t>钻机</w:t>
                  </w:r>
                </w:p>
              </w:tc>
              <w:tc>
                <w:tcPr>
                  <w:tcW w:w="1545" w:type="dxa"/>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w:t>
                  </w:r>
                </w:p>
              </w:tc>
              <w:tc>
                <w:tcPr>
                  <w:tcW w:w="2126" w:type="dxa"/>
                  <w:vAlign w:val="center"/>
                </w:tcPr>
                <w:p>
                  <w:pPr>
                    <w:jc w:val="center"/>
                    <w:rPr>
                      <w:color w:val="000000" w:themeColor="text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间断性、流动性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continue"/>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p>
              </w:tc>
              <w:tc>
                <w:tcPr>
                  <w:tcW w:w="1282" w:type="dxa"/>
                  <w:vMerge w:val="continue"/>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p>
              </w:tc>
              <w:tc>
                <w:tcPr>
                  <w:tcW w:w="2242" w:type="dxa"/>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14:textFill>
                        <w14:solidFill>
                          <w14:schemeClr w14:val="tx1"/>
                        </w14:solidFill>
                      </w14:textFill>
                    </w:rPr>
                    <w:t>空压机</w:t>
                  </w:r>
                </w:p>
              </w:tc>
              <w:tc>
                <w:tcPr>
                  <w:tcW w:w="1545" w:type="dxa"/>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w:t>
                  </w:r>
                </w:p>
              </w:tc>
              <w:tc>
                <w:tcPr>
                  <w:tcW w:w="2126" w:type="dxa"/>
                  <w:vAlign w:val="center"/>
                </w:tcPr>
                <w:p>
                  <w:pPr>
                    <w:jc w:val="center"/>
                    <w:rPr>
                      <w:color w:val="000000" w:themeColor="text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间断性、流动性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restart"/>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282" w:type="dxa"/>
                  <w:vMerge w:val="restart"/>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石料加工区</w:t>
                  </w:r>
                </w:p>
              </w:tc>
              <w:tc>
                <w:tcPr>
                  <w:tcW w:w="2242" w:type="dxa"/>
                  <w:vAlign w:val="center"/>
                </w:tcPr>
                <w:p>
                  <w:pPr>
                    <w:jc w:val="center"/>
                    <w:rPr>
                      <w:rFonts w:eastAsiaTheme="minorEastAsia"/>
                      <w:color w:val="000000" w:themeColor="text1"/>
                      <w14:textFill>
                        <w14:solidFill>
                          <w14:schemeClr w14:val="tx1"/>
                        </w14:solidFill>
                      </w14:textFill>
                    </w:rPr>
                  </w:pPr>
                  <w:r>
                    <w:rPr>
                      <w:rFonts w:hint="eastAsia" w:hAnsiTheme="minorEastAsia" w:eastAsiaTheme="minorEastAsia"/>
                      <w:color w:val="000000" w:themeColor="text1"/>
                      <w:lang w:eastAsia="zh-CN"/>
                      <w14:textFill>
                        <w14:solidFill>
                          <w14:schemeClr w14:val="tx1"/>
                        </w14:solidFill>
                      </w14:textFill>
                    </w:rPr>
                    <w:t>颚式破碎机</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w:t>
                  </w:r>
                </w:p>
              </w:tc>
              <w:tc>
                <w:tcPr>
                  <w:tcW w:w="2126" w:type="dxa"/>
                  <w:vMerge w:val="restart"/>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连续性、固定性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1282"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2242" w:type="dxa"/>
                  <w:vAlign w:val="center"/>
                </w:tcPr>
                <w:p>
                  <w:pPr>
                    <w:jc w:val="center"/>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单杠液压圆锥破</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90</w:t>
                  </w:r>
                </w:p>
              </w:tc>
              <w:tc>
                <w:tcPr>
                  <w:tcW w:w="2126"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1282"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2242" w:type="dxa"/>
                  <w:vAlign w:val="center"/>
                </w:tcPr>
                <w:p>
                  <w:pPr>
                    <w:jc w:val="center"/>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震动喂料机</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85-90</w:t>
                  </w:r>
                </w:p>
              </w:tc>
              <w:tc>
                <w:tcPr>
                  <w:tcW w:w="2126"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1282"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2242" w:type="dxa"/>
                  <w:vAlign w:val="center"/>
                </w:tcPr>
                <w:p>
                  <w:pPr>
                    <w:jc w:val="center"/>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震动喂料机</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w:t>
                  </w:r>
                </w:p>
              </w:tc>
              <w:tc>
                <w:tcPr>
                  <w:tcW w:w="2126" w:type="dxa"/>
                  <w:vMerge w:val="continue"/>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763"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1282"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2242" w:type="dxa"/>
                  <w:vAlign w:val="center"/>
                </w:tcPr>
                <w:p>
                  <w:pPr>
                    <w:jc w:val="center"/>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制砂机</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85</w:t>
                  </w:r>
                </w:p>
              </w:tc>
              <w:tc>
                <w:tcPr>
                  <w:tcW w:w="2126"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1282"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2242" w:type="dxa"/>
                  <w:vAlign w:val="center"/>
                </w:tcPr>
                <w:p>
                  <w:pPr>
                    <w:jc w:val="center"/>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振动筛</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85</w:t>
                  </w:r>
                </w:p>
              </w:tc>
              <w:tc>
                <w:tcPr>
                  <w:tcW w:w="2126"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763"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1282"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2242" w:type="dxa"/>
                  <w:vAlign w:val="center"/>
                </w:tcPr>
                <w:p>
                  <w:pPr>
                    <w:jc w:val="center"/>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洗砂机</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85</w:t>
                  </w:r>
                </w:p>
              </w:tc>
              <w:tc>
                <w:tcPr>
                  <w:tcW w:w="2126"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28" w:hRule="atLeast"/>
                <w:jc w:val="center"/>
              </w:trPr>
              <w:tc>
                <w:tcPr>
                  <w:tcW w:w="763"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1282"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2242" w:type="dxa"/>
                  <w:vAlign w:val="center"/>
                </w:tcPr>
                <w:p>
                  <w:pPr>
                    <w:jc w:val="center"/>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传送带</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80</w:t>
                  </w:r>
                </w:p>
              </w:tc>
              <w:tc>
                <w:tcPr>
                  <w:tcW w:w="2126" w:type="dxa"/>
                  <w:vMerge w:val="continue"/>
                  <w:vAlign w:val="center"/>
                </w:tcPr>
                <w:p>
                  <w:pPr>
                    <w:adjustRightInd w:val="0"/>
                    <w:snapToGrid w:val="0"/>
                    <w:jc w:val="center"/>
                    <w:rPr>
                      <w:rFonts w:eastAsiaTheme="minorEastAsia"/>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763"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128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道路</w:t>
                  </w:r>
                </w:p>
              </w:tc>
              <w:tc>
                <w:tcPr>
                  <w:tcW w:w="224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运输车辆</w:t>
                  </w:r>
                </w:p>
              </w:tc>
              <w:tc>
                <w:tcPr>
                  <w:tcW w:w="1545"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70-85</w:t>
                  </w:r>
                </w:p>
              </w:tc>
              <w:tc>
                <w:tcPr>
                  <w:tcW w:w="212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间断性、流动性</w:t>
                  </w:r>
                </w:p>
              </w:tc>
            </w:tr>
          </w:tbl>
          <w:p>
            <w:pPr>
              <w:pStyle w:val="47"/>
              <w:adjustRightInd w:val="0"/>
              <w:snapToGrid w:val="0"/>
              <w:ind w:left="0" w:leftChars="0" w:firstLine="482" w:firstLineChars="200"/>
              <w:rPr>
                <w:rFonts w:ascii="Times New Roman" w:hAnsi="Times New Roman" w:cs="Times New Roman" w:eastAsiaTheme="minorEastAsia"/>
                <w:b/>
                <w:color w:val="000000" w:themeColor="text1"/>
                <w14:textFill>
                  <w14:solidFill>
                    <w14:schemeClr w14:val="tx1"/>
                  </w14:solidFill>
                </w14:textFill>
              </w:rPr>
            </w:pPr>
            <w:r>
              <w:rPr>
                <w:rFonts w:ascii="Times New Roman" w:hAnsi="Times New Roman" w:cs="Times New Roman" w:eastAsiaTheme="minorEastAsia"/>
                <w:b/>
                <w:color w:val="000000" w:themeColor="text1"/>
                <w14:textFill>
                  <w14:solidFill>
                    <w14:schemeClr w14:val="tx1"/>
                  </w14:solidFill>
                </w14:textFill>
              </w:rPr>
              <w:t>4</w:t>
            </w:r>
            <w:r>
              <w:rPr>
                <w:rFonts w:ascii="Times New Roman" w:cs="Times New Roman" w:hAnsiTheme="minorEastAsia" w:eastAsiaTheme="minorEastAsia"/>
                <w:b/>
                <w:color w:val="000000" w:themeColor="text1"/>
                <w14:textFill>
                  <w14:solidFill>
                    <w14:schemeClr w14:val="tx1"/>
                  </w14:solidFill>
                </w14:textFill>
              </w:rPr>
              <w:t>、固体废物</w:t>
            </w:r>
          </w:p>
          <w:p>
            <w:pPr>
              <w:pStyle w:val="47"/>
              <w:adjustRightInd w:val="0"/>
              <w:snapToGrid w:val="0"/>
              <w:ind w:firstLine="482" w:firstLineChars="0"/>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本项目运营期固废主要有</w:t>
            </w:r>
            <w:r>
              <w:rPr>
                <w:rFonts w:hint="eastAsia" w:ascii="Times New Roman" w:cs="Times New Roman" w:hAnsiTheme="minorEastAsia" w:eastAsiaTheme="minorEastAsia"/>
                <w:color w:val="000000" w:themeColor="text1"/>
                <w:lang w:val="en-US" w:eastAsia="zh-CN"/>
                <w14:textFill>
                  <w14:solidFill>
                    <w14:schemeClr w14:val="tx1"/>
                  </w14:solidFill>
                </w14:textFill>
              </w:rPr>
              <w:t>一般固废：</w:t>
            </w:r>
            <w:r>
              <w:rPr>
                <w:rFonts w:ascii="Times New Roman" w:cs="Times New Roman" w:hAnsiTheme="minorEastAsia" w:eastAsiaTheme="minorEastAsia"/>
                <w:color w:val="000000" w:themeColor="text1"/>
                <w14:textFill>
                  <w14:solidFill>
                    <w14:schemeClr w14:val="tx1"/>
                  </w14:solidFill>
                </w14:textFill>
              </w:rPr>
              <w:t>矿山废土石、</w:t>
            </w:r>
            <w:r>
              <w:rPr>
                <w:rFonts w:hint="eastAsia" w:ascii="Times New Roman" w:cs="Times New Roman" w:hAnsiTheme="minorEastAsia" w:eastAsiaTheme="minorEastAsia"/>
                <w:color w:val="000000" w:themeColor="text1"/>
                <w:lang w:val="en-US" w:eastAsia="zh-CN"/>
                <w14:textFill>
                  <w14:solidFill>
                    <w14:schemeClr w14:val="tx1"/>
                  </w14:solidFill>
                </w14:textFill>
              </w:rPr>
              <w:t>沉淀池底泥、压滤机泥饼</w:t>
            </w:r>
            <w:r>
              <w:rPr>
                <w:rFonts w:ascii="Times New Roman" w:cs="Times New Roman" w:hAnsiTheme="minorEastAsia" w:eastAsiaTheme="minorEastAsia"/>
                <w:color w:val="000000" w:themeColor="text1"/>
                <w14:textFill>
                  <w14:solidFill>
                    <w14:schemeClr w14:val="tx1"/>
                  </w14:solidFill>
                </w14:textFill>
              </w:rPr>
              <w:t>生活垃圾</w:t>
            </w:r>
            <w:r>
              <w:rPr>
                <w:rFonts w:hint="eastAsia" w:ascii="Times New Roman" w:cs="Times New Roman" w:hAnsiTheme="minorEastAsia" w:eastAsiaTheme="minorEastAsia"/>
                <w:color w:val="000000" w:themeColor="text1"/>
                <w:lang w:eastAsia="zh-CN"/>
                <w14:textFill>
                  <w14:solidFill>
                    <w14:schemeClr w14:val="tx1"/>
                  </w14:solidFill>
                </w14:textFill>
              </w:rPr>
              <w:t>；</w:t>
            </w:r>
            <w:r>
              <w:rPr>
                <w:rFonts w:hint="eastAsia" w:ascii="Times New Roman" w:cs="Times New Roman" w:hAnsiTheme="minorEastAsia" w:eastAsiaTheme="minorEastAsia"/>
                <w:color w:val="000000" w:themeColor="text1"/>
                <w:lang w:val="en-US" w:eastAsia="zh-CN"/>
                <w14:textFill>
                  <w14:solidFill>
                    <w14:schemeClr w14:val="tx1"/>
                  </w14:solidFill>
                </w14:textFill>
              </w:rPr>
              <w:t>危险废物：</w:t>
            </w:r>
            <w:r>
              <w:rPr>
                <w:rFonts w:ascii="Times New Roman" w:cs="Times New Roman" w:hAnsiTheme="minorEastAsia" w:eastAsiaTheme="minorEastAsia"/>
                <w:color w:val="000000" w:themeColor="text1"/>
                <w14:textFill>
                  <w14:solidFill>
                    <w14:schemeClr w14:val="tx1"/>
                  </w14:solidFill>
                </w14:textFill>
              </w:rPr>
              <w:t>废机油</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1</w:t>
            </w:r>
            <w:r>
              <w:rPr>
                <w:rFonts w:ascii="Times New Roman" w:cs="Times New Roman" w:hAnsiTheme="minorEastAsia" w:eastAsiaTheme="minorEastAsia"/>
                <w:color w:val="000000" w:themeColor="text1"/>
                <w14:textFill>
                  <w14:solidFill>
                    <w14:schemeClr w14:val="tx1"/>
                  </w14:solidFill>
                </w14:textFill>
              </w:rPr>
              <w:t>）爆破剥离过程中产生的废弃土石</w:t>
            </w:r>
          </w:p>
          <w:p>
            <w:pPr>
              <w:pStyle w:val="47"/>
              <w:adjustRightInd w:val="0"/>
              <w:snapToGrid w:val="0"/>
              <w:ind w:firstLine="482" w:firstLineChars="0"/>
              <w:rPr>
                <w:rFonts w:ascii="Times New Roman" w:hAnsi="Times New Roman" w:cs="Times New Roman" w:eastAsiaTheme="minorEastAsia"/>
                <w:bCs/>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根据该矿体赋存条件，矿体绝大部分地表裸露，矿体无夹层，地表局部有表土层，在基建过程中全部剥离。</w:t>
            </w:r>
            <w:r>
              <w:rPr>
                <w:rFonts w:ascii="Times New Roman" w:cs="Times New Roman" w:hAnsiTheme="minorEastAsia" w:eastAsiaTheme="minorEastAsia"/>
                <w:bCs/>
                <w:color w:val="000000" w:themeColor="text1"/>
                <w14:textFill>
                  <w14:solidFill>
                    <w14:schemeClr w14:val="tx1"/>
                  </w14:solidFill>
                </w14:textFill>
              </w:rPr>
              <w:t>根据该矿山开发利用方案初步估计，本项目剥采比为</w:t>
            </w:r>
            <w:r>
              <w:rPr>
                <w:rFonts w:ascii="Times New Roman" w:hAnsi="Times New Roman" w:cs="Times New Roman" w:eastAsiaTheme="minorEastAsia"/>
                <w:bCs/>
                <w:color w:val="000000" w:themeColor="text1"/>
                <w14:textFill>
                  <w14:solidFill>
                    <w14:schemeClr w14:val="tx1"/>
                  </w14:solidFill>
                </w14:textFill>
              </w:rPr>
              <w:t>0</w:t>
            </w:r>
            <w:r>
              <w:rPr>
                <w:rFonts w:hint="eastAsia" w:ascii="Times New Roman" w:hAnsi="Times New Roman" w:cs="Times New Roman" w:eastAsiaTheme="minorEastAsia"/>
                <w:bCs/>
                <w:color w:val="000000" w:themeColor="text1"/>
                <w:lang w:val="en-US" w:eastAsia="zh-CN"/>
                <w14:textFill>
                  <w14:solidFill>
                    <w14:schemeClr w14:val="tx1"/>
                  </w14:solidFill>
                </w14:textFill>
              </w:rPr>
              <w:t>.0293</w:t>
            </w:r>
            <w:r>
              <w:rPr>
                <w:rFonts w:ascii="Times New Roman" w:cs="Times New Roman" w:hAnsiTheme="minorEastAsia" w:eastAsiaTheme="minorEastAsia"/>
                <w:bCs/>
                <w:color w:val="FF0000"/>
              </w:rPr>
              <w:t>，则本项目弃土量为</w:t>
            </w:r>
            <w:r>
              <w:rPr>
                <w:rFonts w:hint="eastAsia" w:ascii="Times New Roman" w:hAnsi="Times New Roman" w:cs="Times New Roman" w:eastAsiaTheme="minorEastAsia"/>
                <w:bCs/>
                <w:color w:val="FF0000"/>
                <w:lang w:val="en-US" w:eastAsia="zh-CN"/>
              </w:rPr>
              <w:t>14650</w:t>
            </w:r>
            <w:r>
              <w:rPr>
                <w:rFonts w:ascii="Times New Roman" w:hAnsi="Times New Roman" w:cs="Times New Roman" w:eastAsiaTheme="minorEastAsia"/>
                <w:bCs/>
                <w:color w:val="FF0000"/>
              </w:rPr>
              <w:t>t/a</w:t>
            </w:r>
            <w:r>
              <w:rPr>
                <w:rFonts w:ascii="Times New Roman" w:cs="Times New Roman" w:hAnsiTheme="minorEastAsia" w:eastAsiaTheme="minorEastAsia"/>
                <w:bCs/>
                <w:color w:val="000000" w:themeColor="text1"/>
                <w14:textFill>
                  <w14:solidFill>
                    <w14:schemeClr w14:val="tx1"/>
                  </w14:solidFill>
                </w14:textFill>
              </w:rPr>
              <w:t>。排土场下部经扇形展开，堆积边坡角</w:t>
            </w:r>
            <w:r>
              <w:rPr>
                <w:rFonts w:ascii="Times New Roman" w:hAnsi="Times New Roman" w:cs="Times New Roman" w:eastAsiaTheme="minorEastAsia"/>
                <w:bCs/>
                <w:color w:val="000000" w:themeColor="text1"/>
                <w14:textFill>
                  <w14:solidFill>
                    <w14:schemeClr w14:val="tx1"/>
                  </w14:solidFill>
                </w14:textFill>
              </w:rPr>
              <w:t>30°</w:t>
            </w:r>
            <w:r>
              <w:rPr>
                <w:rFonts w:ascii="Times New Roman" w:cs="Times New Roman" w:hAnsiTheme="minorEastAsia" w:eastAsiaTheme="minorEastAsia"/>
                <w:bCs/>
                <w:color w:val="000000" w:themeColor="text1"/>
                <w14:textFill>
                  <w14:solidFill>
                    <w14:schemeClr w14:val="tx1"/>
                  </w14:solidFill>
                </w14:textFill>
              </w:rPr>
              <w:t>，下部设置拦渣坝拦挡，上部通过截排水沟将排土场水进行引流。</w:t>
            </w:r>
          </w:p>
          <w:p>
            <w:pPr>
              <w:pStyle w:val="47"/>
              <w:adjustRightInd w:val="0"/>
              <w:snapToGrid w:val="0"/>
              <w:ind w:firstLine="482" w:firstLineChars="0"/>
              <w:rPr>
                <w:rFonts w:ascii="Times New Roman" w:cs="Times New Roman" w:hAnsiTheme="minorEastAsia" w:eastAsiaTheme="minorEastAsia"/>
                <w:bCs/>
                <w:color w:val="000000" w:themeColor="text1"/>
                <w14:textFill>
                  <w14:solidFill>
                    <w14:schemeClr w14:val="tx1"/>
                  </w14:solidFill>
                </w14:textFill>
              </w:rPr>
            </w:pPr>
            <w:r>
              <w:rPr>
                <w:rFonts w:ascii="Times New Roman" w:cs="Times New Roman" w:hAnsiTheme="minorEastAsia" w:eastAsiaTheme="minorEastAsia"/>
                <w:bCs/>
                <w:color w:val="000000" w:themeColor="text1"/>
                <w14:textFill>
                  <w14:solidFill>
                    <w14:schemeClr w14:val="tx1"/>
                  </w14:solidFill>
                </w14:textFill>
              </w:rPr>
              <w:t>考虑运营中边复垦、边开采的要求（即部分可回用于场地平整与</w:t>
            </w:r>
            <w:r>
              <w:rPr>
                <w:rFonts w:hint="eastAsia" w:ascii="Times New Roman" w:cs="Times New Roman" w:hAnsiTheme="minorEastAsia" w:eastAsiaTheme="minorEastAsia"/>
                <w:bCs/>
                <w:color w:val="000000" w:themeColor="text1"/>
                <w:lang w:eastAsia="zh-CN"/>
                <w14:textFill>
                  <w14:solidFill>
                    <w14:schemeClr w14:val="tx1"/>
                  </w14:solidFill>
                </w14:textFill>
              </w:rPr>
              <w:t>复土</w:t>
            </w:r>
            <w:r>
              <w:rPr>
                <w:rFonts w:ascii="Times New Roman" w:cs="Times New Roman" w:hAnsiTheme="minorEastAsia" w:eastAsiaTheme="minorEastAsia"/>
                <w:bCs/>
                <w:color w:val="000000" w:themeColor="text1"/>
                <w14:textFill>
                  <w14:solidFill>
                    <w14:schemeClr w14:val="tx1"/>
                  </w14:solidFill>
                </w14:textFill>
              </w:rPr>
              <w:t>等），经最终采取防治措施后，排土场的堆存量完全可满足矿山堆存弃土需要，考虑运营中边复垦、边开采的要求（即部分可回用于场地平整与复土等），估计可满足矿山的固体废物堆存及转存要求。</w:t>
            </w:r>
          </w:p>
          <w:p>
            <w:pPr>
              <w:pStyle w:val="47"/>
              <w:adjustRightInd w:val="0"/>
              <w:snapToGrid w:val="0"/>
              <w:ind w:firstLine="482" w:firstLineChars="0"/>
              <w:rPr>
                <w:rFonts w:hint="eastAsia" w:ascii="Times New Roman" w:cs="Times New Roman" w:hAnsiTheme="minorEastAsia" w:eastAsiaTheme="minorEastAsia"/>
                <w:bCs/>
                <w:color w:val="000000" w:themeColor="text1"/>
                <w:lang w:val="en-US" w:eastAsia="zh-CN"/>
                <w14:textFill>
                  <w14:solidFill>
                    <w14:schemeClr w14:val="tx1"/>
                  </w14:solidFill>
                </w14:textFill>
              </w:rPr>
            </w:pPr>
            <w:r>
              <w:rPr>
                <w:rFonts w:hint="eastAsia" w:ascii="Times New Roman" w:cs="Times New Roman" w:hAnsiTheme="minorEastAsia" w:eastAsiaTheme="minorEastAsia"/>
                <w:bCs/>
                <w:color w:val="000000" w:themeColor="text1"/>
                <w:lang w:val="en-US" w:eastAsia="zh-CN"/>
                <w14:textFill>
                  <w14:solidFill>
                    <w14:schemeClr w14:val="tx1"/>
                  </w14:solidFill>
                </w14:textFill>
              </w:rPr>
              <w:t>（2）沉淀池底泥</w:t>
            </w:r>
          </w:p>
          <w:p>
            <w:pPr>
              <w:pStyle w:val="47"/>
              <w:adjustRightInd w:val="0"/>
              <w:snapToGrid w:val="0"/>
              <w:ind w:firstLine="482" w:firstLineChars="0"/>
              <w:rPr>
                <w:rFonts w:hint="eastAsia" w:ascii="Times New Roman" w:cs="Times New Roman" w:hAnsiTheme="minorEastAsia" w:eastAsiaTheme="minorEastAsia"/>
                <w:bCs/>
                <w:color w:val="000000" w:themeColor="text1"/>
                <w:lang w:val="en-US" w:eastAsia="zh-CN"/>
                <w14:textFill>
                  <w14:solidFill>
                    <w14:schemeClr w14:val="tx1"/>
                  </w14:solidFill>
                </w14:textFill>
              </w:rPr>
            </w:pPr>
            <w:r>
              <w:rPr>
                <w:rFonts w:hint="eastAsia" w:ascii="Times New Roman" w:cs="Times New Roman" w:hAnsiTheme="minorEastAsia" w:eastAsiaTheme="minorEastAsia"/>
                <w:bCs/>
                <w:color w:val="000000" w:themeColor="text1"/>
                <w:lang w:val="en-US" w:eastAsia="zh-CN"/>
                <w14:textFill>
                  <w14:solidFill>
                    <w14:schemeClr w14:val="tx1"/>
                  </w14:solidFill>
                </w14:textFill>
              </w:rPr>
              <w:t>本项目洗砂废水中泥砂产生量约为砂石原料的1.5%，洗砂废水经三级沉淀池沉淀后会产生底泥，经计算，其产生量约为4500t/a(含水率99%)，定期清掏堆放至排土场。</w:t>
            </w:r>
          </w:p>
          <w:p>
            <w:pPr>
              <w:pStyle w:val="47"/>
              <w:adjustRightInd w:val="0"/>
              <w:snapToGrid w:val="0"/>
              <w:ind w:firstLine="482" w:firstLineChars="0"/>
              <w:rPr>
                <w:rFonts w:hint="default" w:ascii="Times New Roman" w:cs="Times New Roman" w:hAnsiTheme="minorEastAsia" w:eastAsiaTheme="minorEastAsia"/>
                <w:bCs/>
                <w:color w:val="000000" w:themeColor="text1"/>
                <w:lang w:val="en-US" w:eastAsia="zh-CN"/>
                <w14:textFill>
                  <w14:solidFill>
                    <w14:schemeClr w14:val="tx1"/>
                  </w14:solidFill>
                </w14:textFill>
              </w:rPr>
            </w:pPr>
            <w:r>
              <w:rPr>
                <w:rFonts w:hint="eastAsia" w:ascii="Times New Roman" w:cs="Times New Roman" w:hAnsiTheme="minorEastAsia" w:eastAsiaTheme="minorEastAsia"/>
                <w:bCs/>
                <w:color w:val="000000" w:themeColor="text1"/>
                <w:lang w:val="en-US" w:eastAsia="zh-CN"/>
                <w14:textFill>
                  <w14:solidFill>
                    <w14:schemeClr w14:val="tx1"/>
                  </w14:solidFill>
                </w14:textFill>
              </w:rPr>
              <w:t>（3）压滤机泥饼</w:t>
            </w:r>
          </w:p>
          <w:p>
            <w:pPr>
              <w:pStyle w:val="47"/>
              <w:adjustRightInd w:val="0"/>
              <w:snapToGrid w:val="0"/>
              <w:ind w:firstLine="482" w:firstLineChars="0"/>
              <w:rPr>
                <w:rFonts w:hint="eastAsia" w:ascii="Times New Roman" w:cs="Times New Roman" w:hAnsiTheme="minorEastAsia" w:eastAsiaTheme="minorEastAsia"/>
                <w:bCs/>
                <w:color w:val="000000" w:themeColor="text1"/>
                <w:lang w:val="en-US" w:eastAsia="zh-CN"/>
                <w14:textFill>
                  <w14:solidFill>
                    <w14:schemeClr w14:val="tx1"/>
                  </w14:solidFill>
                </w14:textFill>
              </w:rPr>
            </w:pPr>
            <w:r>
              <w:rPr>
                <w:rFonts w:hint="eastAsia" w:ascii="Times New Roman" w:cs="Times New Roman" w:hAnsiTheme="minorEastAsia" w:eastAsiaTheme="minorEastAsia"/>
                <w:bCs/>
                <w:color w:val="000000" w:themeColor="text1"/>
                <w:lang w:val="en-US" w:eastAsia="zh-CN"/>
                <w14:textFill>
                  <w14:solidFill>
                    <w14:schemeClr w14:val="tx1"/>
                  </w14:solidFill>
                </w14:textFill>
              </w:rPr>
              <w:t>本项目洗砂废水经压滤机压滤进入沉淀池，压滤会产生少量泥饼，定期清理堆放至排土场。</w:t>
            </w:r>
          </w:p>
          <w:p>
            <w:pPr>
              <w:pStyle w:val="47"/>
              <w:adjustRightInd w:val="0"/>
              <w:snapToGrid w:val="0"/>
              <w:ind w:firstLine="482" w:firstLineChars="0"/>
              <w:rPr>
                <w:rFonts w:hint="default" w:ascii="Times New Roman" w:hAnsi="Times New Roman" w:cs="Times New Roman" w:eastAsiaTheme="minorEastAsia"/>
                <w:bCs/>
                <w:color w:val="000000" w:themeColor="text1"/>
                <w:lang w:val="en-US" w:eastAsia="zh-CN"/>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hint="eastAsia" w:ascii="Times New Roman" w:hAnsi="Times New Roman" w:cs="Times New Roman" w:eastAsiaTheme="minorEastAsia"/>
                <w:color w:val="000000" w:themeColor="text1"/>
                <w:lang w:val="en-US" w:eastAsia="zh-CN"/>
                <w14:textFill>
                  <w14:solidFill>
                    <w14:schemeClr w14:val="tx1"/>
                  </w14:solidFill>
                </w14:textFill>
              </w:rPr>
              <w:t>4</w:t>
            </w:r>
            <w:r>
              <w:rPr>
                <w:rFonts w:ascii="Times New Roman" w:cs="Times New Roman" w:hAnsiTheme="minorEastAsia" w:eastAsiaTheme="minorEastAsia"/>
                <w:color w:val="000000" w:themeColor="text1"/>
                <w14:textFill>
                  <w14:solidFill>
                    <w14:schemeClr w14:val="tx1"/>
                  </w14:solidFill>
                </w14:textFill>
              </w:rPr>
              <w:t>）</w:t>
            </w:r>
            <w:r>
              <w:rPr>
                <w:rFonts w:hint="eastAsia" w:ascii="Times New Roman" w:cs="Times New Roman" w:hAnsiTheme="minorEastAsia" w:eastAsiaTheme="minorEastAsia"/>
                <w:bCs/>
                <w:color w:val="000000" w:themeColor="text1"/>
                <w:lang w:val="en-US" w:eastAsia="zh-CN"/>
                <w14:textFill>
                  <w14:solidFill>
                    <w14:schemeClr w14:val="tx1"/>
                  </w14:solidFill>
                </w14:textFill>
              </w:rPr>
              <w:t>废机油</w:t>
            </w:r>
          </w:p>
          <w:p>
            <w:pPr>
              <w:pStyle w:val="47"/>
              <w:adjustRightInd w:val="0"/>
              <w:snapToGrid w:val="0"/>
              <w:ind w:firstLine="482" w:firstLineChars="0"/>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项目设备维护保养过程产生少量废机油，根据建设单位提供资料，废机油产生量为0.0</w:t>
            </w:r>
            <w:r>
              <w:rPr>
                <w:rFonts w:hint="eastAsia" w:ascii="Times New Roman" w:hAnsi="Times New Roman" w:cs="Times New Roman"/>
                <w:spacing w:val="-1"/>
                <w:kern w:val="0"/>
                <w:sz w:val="24"/>
                <w:szCs w:val="22"/>
                <w:lang w:val="en-US" w:eastAsia="zh-CN" w:bidi="zh-CN"/>
              </w:rPr>
              <w:t>1</w:t>
            </w:r>
            <w:r>
              <w:rPr>
                <w:rFonts w:hint="eastAsia" w:ascii="Times New Roman" w:hAnsi="Times New Roman" w:eastAsia="宋体" w:cs="Times New Roman"/>
                <w:spacing w:val="-1"/>
                <w:kern w:val="0"/>
                <w:sz w:val="24"/>
                <w:szCs w:val="22"/>
                <w:lang w:val="en-US" w:eastAsia="zh-CN" w:bidi="zh-CN"/>
              </w:rPr>
              <w:t>t/a，废机油属于危险废物(类别为HW08 废矿物油，代码为900-249-08)，按照危险废物的储存、处置要求，采用专用容器收集，</w:t>
            </w:r>
            <w:r>
              <w:rPr>
                <w:rFonts w:hint="eastAsia" w:ascii="Times New Roman" w:hAnsi="Times New Roman" w:cs="Times New Roman"/>
                <w:spacing w:val="-1"/>
                <w:kern w:val="0"/>
                <w:sz w:val="24"/>
                <w:szCs w:val="22"/>
                <w:lang w:val="en-US" w:eastAsia="zh-CN" w:bidi="zh-CN"/>
              </w:rPr>
              <w:t>暂存于危废暂存间</w:t>
            </w:r>
            <w:r>
              <w:rPr>
                <w:rFonts w:hint="eastAsia" w:ascii="Times New Roman" w:cs="Times New Roman" w:hAnsiTheme="minorEastAsia" w:eastAsiaTheme="minorEastAsia"/>
                <w:bCs/>
                <w:color w:val="000000" w:themeColor="text1"/>
                <w:lang w:eastAsia="zh-CN"/>
                <w14:textFill>
                  <w14:solidFill>
                    <w14:schemeClr w14:val="tx1"/>
                  </w14:solidFill>
                </w14:textFill>
              </w:rPr>
              <w:t>，</w:t>
            </w:r>
            <w:r>
              <w:rPr>
                <w:rFonts w:hint="eastAsia" w:ascii="Times New Roman" w:hAnsi="Times New Roman" w:eastAsia="宋体" w:cs="Times New Roman"/>
                <w:spacing w:val="-1"/>
                <w:kern w:val="0"/>
                <w:sz w:val="24"/>
                <w:szCs w:val="22"/>
                <w:lang w:val="en-US" w:eastAsia="zh-CN" w:bidi="zh-CN"/>
              </w:rPr>
              <w:t>定期交有资质单位处置</w:t>
            </w:r>
            <w:r>
              <w:rPr>
                <w:rFonts w:hint="eastAsia" w:ascii="Times New Roman" w:hAnsi="Times New Roman" w:cs="Times New Roman"/>
                <w:spacing w:val="-1"/>
                <w:kern w:val="0"/>
                <w:sz w:val="24"/>
                <w:szCs w:val="22"/>
                <w:lang w:val="en-US" w:eastAsia="zh-CN" w:bidi="zh-CN"/>
              </w:rPr>
              <w:t>。</w:t>
            </w:r>
          </w:p>
          <w:p>
            <w:pPr>
              <w:pStyle w:val="47"/>
              <w:adjustRightInd w:val="0"/>
              <w:snapToGrid w:val="0"/>
              <w:ind w:firstLine="482" w:firstLineChars="0"/>
              <w:rPr>
                <w:rFonts w:ascii="Times New Roman" w:hAnsi="Times New Roman" w:cs="Times New Roman" w:eastAsiaTheme="minorEastAsia"/>
                <w:bCs/>
                <w:color w:val="000000" w:themeColor="text1"/>
                <w14:textFill>
                  <w14:solidFill>
                    <w14:schemeClr w14:val="tx1"/>
                  </w14:solidFill>
                </w14:textFill>
              </w:rPr>
            </w:pPr>
            <w:r>
              <w:rPr>
                <w:rFonts w:ascii="Times New Roman" w:cs="Times New Roman" w:hAnsiTheme="minorEastAsia" w:eastAsiaTheme="minorEastAsia"/>
                <w:bCs/>
                <w:color w:val="000000" w:themeColor="text1"/>
                <w14:textFill>
                  <w14:solidFill>
                    <w14:schemeClr w14:val="tx1"/>
                  </w14:solidFill>
                </w14:textFill>
              </w:rPr>
              <w:t>（</w:t>
            </w:r>
            <w:r>
              <w:rPr>
                <w:rFonts w:hint="eastAsia" w:ascii="Times New Roman" w:hAnsi="Times New Roman" w:cs="Times New Roman" w:eastAsiaTheme="minorEastAsia"/>
                <w:bCs/>
                <w:color w:val="000000" w:themeColor="text1"/>
                <w:lang w:val="en-US" w:eastAsia="zh-CN"/>
                <w14:textFill>
                  <w14:solidFill>
                    <w14:schemeClr w14:val="tx1"/>
                  </w14:solidFill>
                </w14:textFill>
              </w:rPr>
              <w:t>5</w:t>
            </w:r>
            <w:r>
              <w:rPr>
                <w:rFonts w:ascii="Times New Roman" w:cs="Times New Roman" w:hAnsiTheme="minorEastAsia" w:eastAsiaTheme="minorEastAsia"/>
                <w:bCs/>
                <w:color w:val="000000" w:themeColor="text1"/>
                <w14:textFill>
                  <w14:solidFill>
                    <w14:schemeClr w14:val="tx1"/>
                  </w14:solidFill>
                </w14:textFill>
              </w:rPr>
              <w:t>）生活垃圾</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本项目职工</w:t>
            </w:r>
            <w:r>
              <w:rPr>
                <w:rFonts w:ascii="Times New Roman" w:hAnsi="Times New Roman" w:cs="Times New Roman" w:eastAsiaTheme="minorEastAsia"/>
                <w:color w:val="000000" w:themeColor="text1"/>
                <w14:textFill>
                  <w14:solidFill>
                    <w14:schemeClr w14:val="tx1"/>
                  </w14:solidFill>
                </w14:textFill>
              </w:rPr>
              <w:t>15</w:t>
            </w:r>
            <w:r>
              <w:rPr>
                <w:rFonts w:ascii="Times New Roman" w:cs="Times New Roman" w:hAnsiTheme="minorEastAsia" w:eastAsiaTheme="minorEastAsia"/>
                <w:color w:val="000000" w:themeColor="text1"/>
                <w14:textFill>
                  <w14:solidFill>
                    <w14:schemeClr w14:val="tx1"/>
                  </w14:solidFill>
                </w14:textFill>
              </w:rPr>
              <w:t>人，产生垃圾按</w:t>
            </w:r>
            <w:r>
              <w:rPr>
                <w:rFonts w:hint="eastAsia" w:ascii="Times New Roman" w:hAnsi="Times New Roman" w:cs="Times New Roman" w:eastAsiaTheme="minorEastAsia"/>
                <w:color w:val="000000" w:themeColor="text1"/>
                <w:lang w:val="en-US" w:eastAsia="zh-CN"/>
                <w14:textFill>
                  <w14:solidFill>
                    <w14:schemeClr w14:val="tx1"/>
                  </w14:solidFill>
                </w14:textFill>
              </w:rPr>
              <w:t>1.0</w:t>
            </w:r>
            <w:r>
              <w:rPr>
                <w:rFonts w:ascii="Times New Roman" w:hAnsi="Times New Roman" w:cs="Times New Roman" w:eastAsiaTheme="minorEastAsia"/>
                <w:color w:val="000000" w:themeColor="text1"/>
                <w14:textFill>
                  <w14:solidFill>
                    <w14:schemeClr w14:val="tx1"/>
                  </w14:solidFill>
                </w14:textFill>
              </w:rPr>
              <w:t>kg/</w:t>
            </w:r>
            <w:r>
              <w:rPr>
                <w:rFonts w:ascii="Times New Roman" w:cs="Times New Roman" w:hAnsiTheme="minorEastAsia" w:eastAsiaTheme="minorEastAsia"/>
                <w:color w:val="000000" w:themeColor="text1"/>
                <w14:textFill>
                  <w14:solidFill>
                    <w14:schemeClr w14:val="tx1"/>
                  </w14:solidFill>
                </w14:textFill>
              </w:rPr>
              <w:t>人</w:t>
            </w:r>
            <w:r>
              <w:rPr>
                <w:rFonts w:ascii="Times New Roman" w:hAnsi="Times New Roman" w:cs="Times New Roman" w:eastAsiaTheme="minorEastAsia"/>
                <w:color w:val="000000" w:themeColor="text1"/>
                <w14:textFill>
                  <w14:solidFill>
                    <w14:schemeClr w14:val="tx1"/>
                  </w14:solidFill>
                </w14:textFill>
              </w:rPr>
              <w:t>·</w:t>
            </w:r>
            <w:r>
              <w:rPr>
                <w:rFonts w:ascii="Times New Roman" w:cs="Times New Roman" w:hAnsiTheme="minorEastAsia" w:eastAsiaTheme="minorEastAsia"/>
                <w:color w:val="000000" w:themeColor="text1"/>
                <w14:textFill>
                  <w14:solidFill>
                    <w14:schemeClr w14:val="tx1"/>
                  </w14:solidFill>
                </w14:textFill>
              </w:rPr>
              <w:t>日计，则每天产生垃圾量为</w:t>
            </w:r>
            <w:r>
              <w:rPr>
                <w:rFonts w:hint="eastAsia" w:ascii="Times New Roman" w:hAnsi="Times New Roman" w:cs="Times New Roman" w:eastAsiaTheme="minorEastAsia"/>
                <w:color w:val="000000" w:themeColor="text1"/>
                <w:lang w:val="en-US" w:eastAsia="zh-CN"/>
                <w14:textFill>
                  <w14:solidFill>
                    <w14:schemeClr w14:val="tx1"/>
                  </w14:solidFill>
                </w14:textFill>
              </w:rPr>
              <w:t>15</w:t>
            </w:r>
            <w:r>
              <w:rPr>
                <w:rFonts w:ascii="Times New Roman" w:hAnsi="Times New Roman" w:cs="Times New Roman" w:eastAsiaTheme="minorEastAsia"/>
                <w:color w:val="000000" w:themeColor="text1"/>
                <w14:textFill>
                  <w14:solidFill>
                    <w14:schemeClr w14:val="tx1"/>
                  </w14:solidFill>
                </w14:textFill>
              </w:rPr>
              <w:t>kg</w:t>
            </w:r>
            <w:r>
              <w:rPr>
                <w:rFonts w:ascii="Times New Roman" w:cs="Times New Roman" w:hAnsiTheme="minorEastAsia" w:eastAsiaTheme="minorEastAsia"/>
                <w:color w:val="000000" w:themeColor="text1"/>
                <w14:textFill>
                  <w14:solidFill>
                    <w14:schemeClr w14:val="tx1"/>
                  </w14:solidFill>
                </w14:textFill>
              </w:rPr>
              <w:t>。产生量为</w:t>
            </w:r>
            <w:r>
              <w:rPr>
                <w:rFonts w:hint="eastAsia" w:ascii="Times New Roman" w:hAnsi="Times New Roman" w:cs="Times New Roman" w:eastAsiaTheme="minorEastAsia"/>
                <w:color w:val="000000" w:themeColor="text1"/>
                <w:lang w:val="en-US" w:eastAsia="zh-CN"/>
                <w14:textFill>
                  <w14:solidFill>
                    <w14:schemeClr w14:val="tx1"/>
                  </w14:solidFill>
                </w14:textFill>
              </w:rPr>
              <w:t>4.5t</w:t>
            </w:r>
            <w:r>
              <w:rPr>
                <w:rFonts w:ascii="Times New Roman" w:hAnsi="Times New Roman" w:cs="Times New Roman" w:eastAsiaTheme="minorEastAsia"/>
                <w:color w:val="000000" w:themeColor="text1"/>
                <w14:textFill>
                  <w14:solidFill>
                    <w14:schemeClr w14:val="tx1"/>
                  </w14:solidFill>
                </w14:textFill>
              </w:rPr>
              <w:t>/a</w:t>
            </w:r>
            <w:r>
              <w:rPr>
                <w:rFonts w:ascii="Times New Roman" w:cs="Times New Roman" w:hAnsiTheme="minorEastAsia" w:eastAsiaTheme="minorEastAsia"/>
                <w:color w:val="000000" w:themeColor="text1"/>
                <w14:textFill>
                  <w14:solidFill>
                    <w14:schemeClr w14:val="tx1"/>
                  </w14:solidFill>
                </w14:textFill>
              </w:rPr>
              <w:t>。集中收集后交由环卫部门处理；</w:t>
            </w:r>
          </w:p>
          <w:p>
            <w:pPr>
              <w:spacing w:line="360" w:lineRule="auto"/>
              <w:ind w:firstLine="480" w:firstLineChars="200"/>
            </w:pPr>
            <w:r>
              <w:rPr>
                <w:rFonts w:hAnsiTheme="minorEastAsia" w:eastAsiaTheme="minorEastAsia"/>
                <w:color w:val="000000" w:themeColor="text1"/>
                <w:sz w:val="24"/>
                <w14:textFill>
                  <w14:solidFill>
                    <w14:schemeClr w14:val="tx1"/>
                  </w14:solidFill>
                </w14:textFill>
              </w:rPr>
              <w:t>综上分析，固体废物的产生及处置情况项目垃圾产生情况详见下表</w:t>
            </w:r>
            <w:r>
              <w:rPr>
                <w:rFonts w:hint="eastAsia" w:eastAsiaTheme="minorEastAsia"/>
                <w:color w:val="000000" w:themeColor="text1"/>
                <w:sz w:val="24"/>
                <w:lang w:val="en-US" w:eastAsia="zh-CN"/>
                <w14:textFill>
                  <w14:solidFill>
                    <w14:schemeClr w14:val="tx1"/>
                  </w14:solidFill>
                </w14:textFill>
              </w:rPr>
              <w:t>14</w:t>
            </w:r>
            <w:r>
              <w:rPr>
                <w:rFonts w:hAnsiTheme="minorEastAsia" w:eastAsiaTheme="minorEastAsia"/>
                <w:color w:val="000000" w:themeColor="text1"/>
                <w:sz w:val="24"/>
                <w14:textFill>
                  <w14:solidFill>
                    <w14:schemeClr w14:val="tx1"/>
                  </w14:solidFill>
                </w14:textFill>
              </w:rPr>
              <w:t>。</w:t>
            </w: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eastAsiaTheme="minorEastAsia"/>
                <w:b/>
                <w:color w:val="000000" w:themeColor="text1"/>
                <w:szCs w:val="21"/>
                <w:lang w:val="en-US" w:eastAsia="zh-CN"/>
                <w14:textFill>
                  <w14:solidFill>
                    <w14:schemeClr w14:val="tx1"/>
                  </w14:solidFill>
                </w14:textFill>
              </w:rPr>
              <w:t>14</w:t>
            </w:r>
            <w:r>
              <w:rPr>
                <w:rFonts w:hint="eastAsia" w:eastAsiaTheme="minorEastAsia"/>
                <w:b/>
                <w:color w:val="000000" w:themeColor="text1"/>
                <w:szCs w:val="21"/>
                <w14:textFill>
                  <w14:solidFill>
                    <w14:schemeClr w14:val="tx1"/>
                  </w14:solidFill>
                </w14:textFill>
              </w:rPr>
              <w:t xml:space="preserve"> </w:t>
            </w:r>
            <w:r>
              <w:rPr>
                <w:rFonts w:hAnsiTheme="minorEastAsia" w:eastAsiaTheme="minorEastAsia"/>
                <w:b/>
                <w:color w:val="000000" w:themeColor="text1"/>
                <w:szCs w:val="21"/>
                <w14:textFill>
                  <w14:solidFill>
                    <w14:schemeClr w14:val="tx1"/>
                  </w14:solidFill>
                </w14:textFill>
              </w:rPr>
              <w:t>项目运营期固体废物产生及处置情况一览表</w:t>
            </w:r>
          </w:p>
          <w:tbl>
            <w:tblPr>
              <w:tblStyle w:val="19"/>
              <w:tblW w:w="7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9"/>
              <w:gridCol w:w="1304"/>
              <w:gridCol w:w="732"/>
              <w:gridCol w:w="802"/>
              <w:gridCol w:w="1159"/>
              <w:gridCol w:w="1019"/>
              <w:gridCol w:w="1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209" w:type="dxa"/>
                  <w:tcBorders>
                    <w:top w:val="single" w:color="auto" w:sz="12" w:space="0"/>
                    <w:left w:val="single" w:color="auto" w:sz="12"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来源</w:t>
                  </w:r>
                </w:p>
              </w:tc>
              <w:tc>
                <w:tcPr>
                  <w:tcW w:w="1304"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污染物名称</w:t>
                  </w:r>
                </w:p>
              </w:tc>
              <w:tc>
                <w:tcPr>
                  <w:tcW w:w="732"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性质</w:t>
                  </w:r>
                </w:p>
              </w:tc>
              <w:tc>
                <w:tcPr>
                  <w:tcW w:w="802"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废物类别</w:t>
                  </w:r>
                </w:p>
              </w:tc>
              <w:tc>
                <w:tcPr>
                  <w:tcW w:w="1159"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废物代码</w:t>
                  </w:r>
                </w:p>
              </w:tc>
              <w:tc>
                <w:tcPr>
                  <w:tcW w:w="1019"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产生量</w:t>
                  </w:r>
                </w:p>
              </w:tc>
              <w:tc>
                <w:tcPr>
                  <w:tcW w:w="1711" w:type="dxa"/>
                  <w:tcBorders>
                    <w:top w:val="single" w:color="auto" w:sz="12" w:space="0"/>
                    <w:left w:val="single" w:color="auto" w:sz="6" w:space="0"/>
                    <w:bottom w:val="single" w:color="auto" w:sz="6" w:space="0"/>
                    <w:right w:val="single" w:color="auto" w:sz="12"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处理去向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209" w:type="dxa"/>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矿山爆破、剥离</w:t>
                  </w:r>
                </w:p>
              </w:tc>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废弃土石</w:t>
                  </w:r>
                </w:p>
              </w:tc>
              <w:tc>
                <w:tcPr>
                  <w:tcW w:w="732" w:type="dxa"/>
                  <w:tcBorders>
                    <w:top w:val="single" w:color="auto" w:sz="6" w:space="0"/>
                    <w:left w:val="single" w:color="auto" w:sz="6" w:space="0"/>
                    <w:bottom w:val="single" w:color="auto" w:sz="6" w:space="0"/>
                    <w:right w:val="single" w:color="auto" w:sz="6" w:space="0"/>
                  </w:tcBorders>
                  <w:vAlign w:val="center"/>
                </w:tcPr>
                <w:p>
                  <w:pPr>
                    <w:jc w:val="center"/>
                    <w:rPr>
                      <w:rFonts w:hAnsiTheme="minorEastAsia"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一般</w:t>
                  </w:r>
                </w:p>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固废</w:t>
                  </w:r>
                </w:p>
              </w:tc>
              <w:tc>
                <w:tcPr>
                  <w:tcW w:w="80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w:t>
                  </w:r>
                </w:p>
              </w:tc>
              <w:tc>
                <w:tcPr>
                  <w:tcW w:w="1159"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FF0000"/>
                      <w:kern w:val="0"/>
                      <w:szCs w:val="21"/>
                    </w:rPr>
                  </w:pPr>
                  <w:r>
                    <w:rPr>
                      <w:rFonts w:eastAsiaTheme="minorEastAsia"/>
                      <w:color w:val="auto"/>
                      <w:kern w:val="0"/>
                      <w:szCs w:val="21"/>
                    </w:rPr>
                    <w:t>/</w:t>
                  </w:r>
                </w:p>
              </w:tc>
              <w:tc>
                <w:tcPr>
                  <w:tcW w:w="101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FF0000"/>
                      <w:kern w:val="0"/>
                      <w:szCs w:val="21"/>
                    </w:rPr>
                  </w:pPr>
                  <w:r>
                    <w:rPr>
                      <w:rFonts w:hint="eastAsia" w:eastAsiaTheme="minorEastAsia"/>
                      <w:color w:val="FF0000"/>
                      <w:kern w:val="0"/>
                      <w:szCs w:val="21"/>
                      <w:lang w:val="en-US" w:eastAsia="zh-CN"/>
                    </w:rPr>
                    <w:t>14650</w:t>
                  </w:r>
                  <w:r>
                    <w:rPr>
                      <w:rFonts w:eastAsiaTheme="minorEastAsia"/>
                      <w:color w:val="FF0000"/>
                      <w:kern w:val="0"/>
                      <w:szCs w:val="21"/>
                    </w:rPr>
                    <w:t>t/a</w:t>
                  </w:r>
                </w:p>
              </w:tc>
              <w:tc>
                <w:tcPr>
                  <w:tcW w:w="1711" w:type="dxa"/>
                  <w:vMerge w:val="restart"/>
                  <w:tcBorders>
                    <w:top w:val="single" w:color="auto" w:sz="6" w:space="0"/>
                    <w:left w:val="single" w:color="auto" w:sz="6" w:space="0"/>
                    <w:right w:val="single" w:color="auto" w:sz="12" w:space="0"/>
                  </w:tcBorders>
                  <w:vAlign w:val="center"/>
                </w:tcPr>
                <w:p>
                  <w:pPr>
                    <w:jc w:val="left"/>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排土场堆放，后期用于矿区生态恢复使用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1209" w:type="dxa"/>
                  <w:tcBorders>
                    <w:top w:val="single" w:color="auto" w:sz="6" w:space="0"/>
                    <w:left w:val="single" w:color="auto" w:sz="12" w:space="0"/>
                    <w:bottom w:val="single" w:color="auto" w:sz="6" w:space="0"/>
                    <w:right w:val="single" w:color="auto" w:sz="6" w:space="0"/>
                  </w:tcBorders>
                  <w:vAlign w:val="center"/>
                </w:tcPr>
                <w:p>
                  <w:pPr>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沉淀池</w:t>
                  </w:r>
                </w:p>
              </w:tc>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Theme="minorEastAsia"/>
                      <w:color w:val="000000" w:themeColor="text1"/>
                      <w:kern w:val="0"/>
                      <w:szCs w:val="21"/>
                      <w:lang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底泥</w:t>
                  </w:r>
                </w:p>
              </w:tc>
              <w:tc>
                <w:tcPr>
                  <w:tcW w:w="732" w:type="dxa"/>
                  <w:tcBorders>
                    <w:top w:val="single" w:color="auto" w:sz="6" w:space="0"/>
                    <w:left w:val="single" w:color="auto" w:sz="6" w:space="0"/>
                    <w:bottom w:val="single" w:color="auto" w:sz="6" w:space="0"/>
                    <w:right w:val="single" w:color="auto" w:sz="6" w:space="0"/>
                  </w:tcBorders>
                  <w:vAlign w:val="center"/>
                </w:tcPr>
                <w:p>
                  <w:pPr>
                    <w:jc w:val="center"/>
                    <w:rPr>
                      <w:rFonts w:hAnsiTheme="minorEastAsia"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一般</w:t>
                  </w:r>
                </w:p>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固废</w:t>
                  </w:r>
                </w:p>
              </w:tc>
              <w:tc>
                <w:tcPr>
                  <w:tcW w:w="80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1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01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4500</w:t>
                  </w:r>
                  <w:r>
                    <w:rPr>
                      <w:rFonts w:eastAsiaTheme="minorEastAsia"/>
                      <w:color w:val="000000" w:themeColor="text1"/>
                      <w:kern w:val="0"/>
                      <w:szCs w:val="21"/>
                      <w14:textFill>
                        <w14:solidFill>
                          <w14:schemeClr w14:val="tx1"/>
                        </w14:solidFill>
                      </w14:textFill>
                    </w:rPr>
                    <w:t>t/a</w:t>
                  </w:r>
                </w:p>
              </w:tc>
              <w:tc>
                <w:tcPr>
                  <w:tcW w:w="1711" w:type="dxa"/>
                  <w:vMerge w:val="continue"/>
                  <w:tcBorders>
                    <w:left w:val="single" w:color="auto" w:sz="6" w:space="0"/>
                    <w:right w:val="single" w:color="auto" w:sz="12" w:space="0"/>
                  </w:tcBorders>
                  <w:vAlign w:val="center"/>
                </w:tcPr>
                <w:p>
                  <w:pPr>
                    <w:widowControl/>
                    <w:jc w:val="left"/>
                    <w:rPr>
                      <w:rFonts w:eastAsiaTheme="minorEastAsia"/>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1209" w:type="dxa"/>
                  <w:tcBorders>
                    <w:top w:val="single" w:color="auto" w:sz="6" w:space="0"/>
                    <w:left w:val="single" w:color="auto" w:sz="12" w:space="0"/>
                    <w:bottom w:val="single" w:color="auto" w:sz="6" w:space="0"/>
                    <w:right w:val="single" w:color="auto" w:sz="6" w:space="0"/>
                  </w:tcBorders>
                  <w:vAlign w:val="center"/>
                </w:tcPr>
                <w:p>
                  <w:pPr>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压滤机</w:t>
                  </w:r>
                </w:p>
              </w:tc>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hint="default"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压滤机泥饼</w:t>
                  </w:r>
                </w:p>
              </w:tc>
              <w:tc>
                <w:tcPr>
                  <w:tcW w:w="732" w:type="dxa"/>
                  <w:tcBorders>
                    <w:top w:val="single" w:color="auto" w:sz="6" w:space="0"/>
                    <w:left w:val="single" w:color="auto" w:sz="6" w:space="0"/>
                    <w:bottom w:val="single" w:color="auto" w:sz="6" w:space="0"/>
                    <w:right w:val="single" w:color="auto" w:sz="6" w:space="0"/>
                  </w:tcBorders>
                  <w:vAlign w:val="center"/>
                </w:tcPr>
                <w:p>
                  <w:pPr>
                    <w:jc w:val="center"/>
                    <w:rPr>
                      <w:rFonts w:hAnsiTheme="minorEastAsia"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一般</w:t>
                  </w:r>
                </w:p>
                <w:p>
                  <w:pPr>
                    <w:jc w:val="center"/>
                    <w:rPr>
                      <w:rFonts w:hAnsiTheme="minorEastAsia"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固废</w:t>
                  </w:r>
                </w:p>
              </w:tc>
              <w:tc>
                <w:tcPr>
                  <w:tcW w:w="80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1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01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少量</w:t>
                  </w:r>
                </w:p>
              </w:tc>
              <w:tc>
                <w:tcPr>
                  <w:tcW w:w="1711" w:type="dxa"/>
                  <w:vMerge w:val="continue"/>
                  <w:tcBorders>
                    <w:left w:val="single" w:color="auto" w:sz="6" w:space="0"/>
                    <w:bottom w:val="single" w:color="auto" w:sz="6" w:space="0"/>
                    <w:right w:val="single" w:color="auto" w:sz="12" w:space="0"/>
                  </w:tcBorders>
                  <w:vAlign w:val="center"/>
                </w:tcPr>
                <w:p>
                  <w:pPr>
                    <w:widowControl/>
                    <w:jc w:val="left"/>
                    <w:rPr>
                      <w:rFonts w:eastAsiaTheme="minorEastAsia"/>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1209" w:type="dxa"/>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员工生活</w:t>
                  </w:r>
                </w:p>
              </w:tc>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生活垃圾</w:t>
                  </w:r>
                </w:p>
              </w:tc>
              <w:tc>
                <w:tcPr>
                  <w:tcW w:w="732" w:type="dxa"/>
                  <w:tcBorders>
                    <w:top w:val="single" w:color="auto" w:sz="6" w:space="0"/>
                    <w:left w:val="single" w:color="auto" w:sz="6" w:space="0"/>
                    <w:bottom w:val="single" w:color="auto" w:sz="6" w:space="0"/>
                    <w:right w:val="single" w:color="auto" w:sz="6" w:space="0"/>
                  </w:tcBorders>
                  <w:vAlign w:val="center"/>
                </w:tcPr>
                <w:p>
                  <w:pPr>
                    <w:jc w:val="center"/>
                    <w:rPr>
                      <w:rFonts w:hint="eastAsia" w:hAnsiTheme="minorEastAsia" w:eastAsiaTheme="minorEastAsia"/>
                      <w:color w:val="000000" w:themeColor="text1"/>
                      <w:kern w:val="0"/>
                      <w:szCs w:val="21"/>
                      <w:lang w:val="en-US" w:eastAsia="zh-CN"/>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一般</w:t>
                  </w:r>
                </w:p>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固废</w:t>
                  </w:r>
                </w:p>
              </w:tc>
              <w:tc>
                <w:tcPr>
                  <w:tcW w:w="80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1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01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highlight w:val="yellow"/>
                      <w14:textFill>
                        <w14:solidFill>
                          <w14:schemeClr w14:val="tx1"/>
                        </w14:solidFill>
                      </w14:textFill>
                    </w:rPr>
                  </w:pPr>
                  <w:r>
                    <w:rPr>
                      <w:rFonts w:hint="eastAsia" w:eastAsiaTheme="minorEastAsia"/>
                      <w:color w:val="auto"/>
                      <w:kern w:val="0"/>
                      <w:szCs w:val="21"/>
                      <w:lang w:val="en-US" w:eastAsia="zh-CN"/>
                    </w:rPr>
                    <w:t>4.5</w:t>
                  </w:r>
                  <w:r>
                    <w:rPr>
                      <w:rFonts w:eastAsiaTheme="minorEastAsia"/>
                      <w:color w:val="auto"/>
                      <w:kern w:val="0"/>
                      <w:szCs w:val="21"/>
                    </w:rPr>
                    <w:t>t/a</w:t>
                  </w:r>
                </w:p>
              </w:tc>
              <w:tc>
                <w:tcPr>
                  <w:tcW w:w="1711" w:type="dxa"/>
                  <w:tcBorders>
                    <w:top w:val="single" w:color="auto" w:sz="6" w:space="0"/>
                    <w:left w:val="single" w:color="auto" w:sz="6" w:space="0"/>
                    <w:bottom w:val="single" w:color="auto" w:sz="6" w:space="0"/>
                    <w:right w:val="single" w:color="auto" w:sz="12"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由垃圾收集桶集中收集，定期清运至市垃圾收集点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1209" w:type="dxa"/>
                  <w:tcBorders>
                    <w:top w:val="single" w:color="auto" w:sz="6" w:space="0"/>
                    <w:left w:val="single" w:color="auto" w:sz="12"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设备维修</w:t>
                  </w:r>
                </w:p>
              </w:tc>
              <w:tc>
                <w:tcPr>
                  <w:tcW w:w="1304"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废机油</w:t>
                  </w:r>
                </w:p>
              </w:tc>
              <w:tc>
                <w:tcPr>
                  <w:tcW w:w="732" w:type="dxa"/>
                  <w:tcBorders>
                    <w:top w:val="single" w:color="auto" w:sz="6" w:space="0"/>
                    <w:left w:val="single" w:color="auto" w:sz="6" w:space="0"/>
                    <w:bottom w:val="single" w:color="auto" w:sz="12" w:space="0"/>
                    <w:right w:val="single" w:color="auto" w:sz="6" w:space="0"/>
                  </w:tcBorders>
                  <w:vAlign w:val="center"/>
                </w:tcPr>
                <w:p>
                  <w:pPr>
                    <w:jc w:val="center"/>
                    <w:rPr>
                      <w:rFonts w:hAnsiTheme="minorEastAsia"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危险</w:t>
                  </w:r>
                </w:p>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废物</w:t>
                  </w:r>
                </w:p>
              </w:tc>
              <w:tc>
                <w:tcPr>
                  <w:tcW w:w="802"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HW08</w:t>
                  </w:r>
                </w:p>
              </w:tc>
              <w:tc>
                <w:tcPr>
                  <w:tcW w:w="1159"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900-249-08</w:t>
                  </w:r>
                </w:p>
              </w:tc>
              <w:tc>
                <w:tcPr>
                  <w:tcW w:w="1019"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eastAsiaTheme="minorEastAsia"/>
                      <w:color w:val="auto"/>
                      <w:kern w:val="0"/>
                      <w:szCs w:val="21"/>
                    </w:rPr>
                    <w:t>0.01t/a</w:t>
                  </w:r>
                </w:p>
              </w:tc>
              <w:tc>
                <w:tcPr>
                  <w:tcW w:w="1711" w:type="dxa"/>
                  <w:tcBorders>
                    <w:top w:val="single" w:color="auto" w:sz="6" w:space="0"/>
                    <w:left w:val="single" w:color="auto" w:sz="6" w:space="0"/>
                    <w:bottom w:val="single" w:color="auto" w:sz="12" w:space="0"/>
                    <w:right w:val="single" w:color="auto" w:sz="12" w:space="0"/>
                  </w:tcBorders>
                  <w:vAlign w:val="center"/>
                </w:tcPr>
                <w:p>
                  <w:pPr>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采用专用容器收集，暂存危废暂存间，定期交有资质单位处置</w:t>
                  </w:r>
                </w:p>
              </w:tc>
            </w:tr>
          </w:tbl>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5</w:t>
            </w:r>
            <w:r>
              <w:rPr>
                <w:rFonts w:ascii="Times New Roman" w:cs="Times New Roman" w:hAnsiTheme="minorEastAsia" w:eastAsiaTheme="minorEastAsia"/>
                <w:color w:val="000000" w:themeColor="text1"/>
                <w14:textFill>
                  <w14:solidFill>
                    <w14:schemeClr w14:val="tx1"/>
                  </w14:solidFill>
                </w14:textFill>
              </w:rPr>
              <w:t>、生态影响因素</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1</w:t>
            </w:r>
            <w:r>
              <w:rPr>
                <w:rFonts w:ascii="Times New Roman" w:cs="Times New Roman" w:hAnsiTheme="minorEastAsia" w:eastAsiaTheme="minorEastAsia"/>
                <w:color w:val="000000" w:themeColor="text1"/>
                <w14:textFill>
                  <w14:solidFill>
                    <w14:schemeClr w14:val="tx1"/>
                  </w14:solidFill>
                </w14:textFill>
              </w:rPr>
              <w:t>）剥离植被</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随着矿山的开采，剥离植被的面积将不断增大，从而对矿区植被产生破坏，对局部生态环境将造成不利的影响。</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2</w:t>
            </w:r>
            <w:r>
              <w:rPr>
                <w:rFonts w:ascii="Times New Roman" w:cs="Times New Roman" w:hAnsiTheme="minorEastAsia" w:eastAsiaTheme="minorEastAsia"/>
                <w:color w:val="000000" w:themeColor="text1"/>
                <w14:textFill>
                  <w14:solidFill>
                    <w14:schemeClr w14:val="tx1"/>
                  </w14:solidFill>
                </w14:textFill>
              </w:rPr>
              <w:t>）压占土地</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矿山开采不但剥离地表植被，还将继续占用矿山开采区的土地，对当地的土地利用结构和类型产生影响。</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3</w:t>
            </w:r>
            <w:r>
              <w:rPr>
                <w:rFonts w:ascii="Times New Roman" w:cs="Times New Roman" w:hAnsiTheme="minorEastAsia" w:eastAsiaTheme="minorEastAsia"/>
                <w:color w:val="000000" w:themeColor="text1"/>
                <w14:textFill>
                  <w14:solidFill>
                    <w14:schemeClr w14:val="tx1"/>
                  </w14:solidFill>
                </w14:textFill>
              </w:rPr>
              <w:t>）水土流失</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采矿剥离岩土层的裸露及剥离物堆积扰动地表，破坏了地表植被，均构成水土流失源，加剧水土流失。</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4</w:t>
            </w:r>
            <w:r>
              <w:rPr>
                <w:rFonts w:ascii="Times New Roman" w:cs="Times New Roman" w:hAnsiTheme="minorEastAsia" w:eastAsiaTheme="minorEastAsia"/>
                <w:color w:val="000000" w:themeColor="text1"/>
                <w14:textFill>
                  <w14:solidFill>
                    <w14:schemeClr w14:val="tx1"/>
                  </w14:solidFill>
                </w14:textFill>
              </w:rPr>
              <w:t>）破坏景观及其他</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露天采矿改变原有自然地形地貌，形成新的人工裸露和堆积地貌，对局部地貌自然景观产生不利影响。通过采取生态恢复措施后对生态环境的影响是可以减缓的，对区域生态环境的整体性与稳定性影响不大。</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b/>
                <w:bCs/>
                <w:color w:val="000000" w:themeColor="text1"/>
                <w14:textFill>
                  <w14:solidFill>
                    <w14:schemeClr w14:val="tx1"/>
                  </w14:solidFill>
                </w14:textFill>
              </w:rPr>
              <w:t>闭矿期：</w:t>
            </w:r>
          </w:p>
          <w:p>
            <w:pPr>
              <w:pStyle w:val="47"/>
              <w:adjustRightInd w:val="0"/>
              <w:snapToGrid w:val="0"/>
              <w:ind w:firstLine="482" w:firstLineChars="0"/>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主要是矿山服务期满后采场边坡平整覆土、植被恢复等。</w:t>
            </w:r>
          </w:p>
          <w:p>
            <w:pPr>
              <w:jc w:val="left"/>
              <w:rPr>
                <w:b/>
                <w:color w:val="auto"/>
                <w:sz w:val="24"/>
              </w:rPr>
            </w:pPr>
            <w:r>
              <w:rPr>
                <w:rFonts w:hint="eastAsia"/>
                <w:b/>
                <w:color w:val="auto"/>
                <w:sz w:val="24"/>
                <w:lang w:val="en-US" w:eastAsia="zh-CN"/>
              </w:rPr>
              <w:t>扩建</w:t>
            </w:r>
            <w:r>
              <w:rPr>
                <w:rFonts w:hint="eastAsia"/>
                <w:b/>
                <w:color w:val="auto"/>
                <w:sz w:val="24"/>
              </w:rPr>
              <w:t>前后污染物排放</w:t>
            </w:r>
            <w:r>
              <w:rPr>
                <w:b/>
                <w:color w:val="auto"/>
                <w:sz w:val="24"/>
              </w:rPr>
              <w:t>“</w:t>
            </w:r>
            <w:r>
              <w:rPr>
                <w:rFonts w:hint="eastAsia"/>
                <w:b/>
                <w:color w:val="auto"/>
                <w:sz w:val="24"/>
              </w:rPr>
              <w:t>三本帐</w:t>
            </w:r>
            <w:r>
              <w:rPr>
                <w:b/>
                <w:color w:val="auto"/>
                <w:sz w:val="24"/>
              </w:rPr>
              <w:t>”</w:t>
            </w:r>
          </w:p>
          <w:p>
            <w:pPr>
              <w:spacing w:line="460" w:lineRule="exact"/>
              <w:ind w:firstLine="480" w:firstLineChars="200"/>
              <w:rPr>
                <w:rFonts w:hint="eastAsia"/>
                <w:snapToGrid w:val="0"/>
                <w:color w:val="auto"/>
                <w:sz w:val="24"/>
                <w:lang w:val="en-US" w:eastAsia="zh-CN"/>
              </w:rPr>
            </w:pPr>
            <w:r>
              <w:rPr>
                <w:rFonts w:hint="eastAsia"/>
                <w:snapToGrid w:val="0"/>
                <w:color w:val="auto"/>
                <w:sz w:val="24"/>
                <w:lang w:val="en-US" w:eastAsia="zh-CN"/>
              </w:rPr>
              <w:t>根据《安康市汉滨区梅子铺天宇采石场新建安康市汉滨区梅子铺天宇采石场石门子辉绿岩矿项目环境影响评估表》（2018年3月），项目扩建前污染物产生情况如下：</w:t>
            </w:r>
          </w:p>
          <w:p>
            <w:pPr>
              <w:numPr>
                <w:ilvl w:val="0"/>
                <w:numId w:val="3"/>
              </w:num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废气</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项目产生的大气污染物主要为采剥、钻孔、爆破、粉碎等作业过程中产生的粉尘、爆破废气、矿石装车粉尘、燃油机械及车辆尾气等。</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（1）采剥粉尘</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采剥过程采用挖掘机进行开挖表土或挖采矿石，挖掘机运作时扬尘产生量约为300mg/s</w:t>
            </w:r>
            <w:r>
              <w:rPr>
                <w:rFonts w:hint="eastAsia" w:ascii="宋体" w:hAnsi="宋体" w:eastAsia="宋体" w:cs="宋体"/>
                <w:snapToGrid w:val="0"/>
                <w:color w:val="000000" w:themeColor="text1"/>
                <w:sz w:val="24"/>
                <w:lang w:val="en-US" w:eastAsia="zh-CN"/>
                <w14:textFill>
                  <w14:solidFill>
                    <w14:schemeClr w14:val="tx1"/>
                  </w14:solidFill>
                </w14:textFill>
              </w:rPr>
              <w:t>·</w:t>
            </w:r>
            <w:r>
              <w:rPr>
                <w:rFonts w:hint="eastAsia"/>
                <w:snapToGrid w:val="0"/>
                <w:color w:val="000000" w:themeColor="text1"/>
                <w:sz w:val="24"/>
                <w:lang w:val="en-US" w:eastAsia="zh-CN"/>
                <w14:textFill>
                  <w14:solidFill>
                    <w14:schemeClr w14:val="tx1"/>
                  </w14:solidFill>
                </w14:textFill>
              </w:rPr>
              <w:t>台，矿区共设置1台挖掘机，采剥作业5h/d，年工作250天，因此挖掘产生的采剥粉尘为1.35t/a。</w:t>
            </w:r>
          </w:p>
          <w:p>
            <w:pPr>
              <w:pStyle w:val="2"/>
              <w:rPr>
                <w:rFonts w:hint="default"/>
                <w:lang w:val="en-US" w:eastAsia="zh-CN"/>
              </w:rPr>
            </w:pPr>
            <w:r>
              <w:rPr>
                <w:rFonts w:hint="eastAsia"/>
                <w:snapToGrid w:val="0"/>
                <w:color w:val="000000" w:themeColor="text1"/>
                <w:sz w:val="24"/>
                <w:lang w:val="en-US" w:eastAsia="zh-CN"/>
                <w14:textFill>
                  <w14:solidFill>
                    <w14:schemeClr w14:val="tx1"/>
                  </w14:solidFill>
                </w14:textFill>
              </w:rPr>
              <w:t>（2）钻孔粉尘</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在项目进行爆破前，需对岩石进行钻孔将产生一定量的粉尘，根据《逸散性工业粉尘控制技术》（中国环境科学出版社，1989）可知，钻孔时逸散粉尘排放因子为0.004kg/t石料，本项目开采量20万t/a，则凿岩钻孔产生粉尘量为0.8t/a。</w:t>
            </w:r>
          </w:p>
          <w:p>
            <w:pPr>
              <w:pStyle w:val="2"/>
              <w:numPr>
                <w:ilvl w:val="0"/>
                <w:numId w:val="1"/>
              </w:numPr>
              <w:ind w:left="0" w:leftChars="0"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爆破粉尘</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项目采用深孔爆破，根据项目资料，每吨炸药爆破产生的粉尘量为54.5kg，本项目每月爆破3次，年爆</w:t>
            </w:r>
            <w:r>
              <w:rPr>
                <w:rFonts w:hint="eastAsia"/>
                <w:snapToGrid w:val="0"/>
                <w:color w:val="auto"/>
                <w:sz w:val="24"/>
                <w:lang w:val="en-US" w:eastAsia="zh-CN"/>
              </w:rPr>
              <w:t>破36次，</w:t>
            </w:r>
            <w:r>
              <w:rPr>
                <w:rFonts w:hint="eastAsia"/>
                <w:snapToGrid w:val="0"/>
                <w:color w:val="000000" w:themeColor="text1"/>
                <w:sz w:val="24"/>
                <w:lang w:val="en-US" w:eastAsia="zh-CN"/>
                <w14:textFill>
                  <w14:solidFill>
                    <w14:schemeClr w14:val="tx1"/>
                  </w14:solidFill>
                </w14:textFill>
              </w:rPr>
              <w:t>一次爆破使用炸药量为400kg，年使用炸药14.4t/a，则爆破产生的粉尘为0.78t/a，爆破后，20%粒径大的粉尘在短时间内在爆破区沉降，故本项目爆破粉尘产生约为0.62t/a。</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（4）爆破废气</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炸药爆炸产生的主要气体为CO、NO</w:t>
            </w:r>
            <w:r>
              <w:rPr>
                <w:rFonts w:hint="eastAsia"/>
                <w:snapToGrid w:val="0"/>
                <w:color w:val="000000" w:themeColor="text1"/>
                <w:sz w:val="24"/>
                <w:vertAlign w:val="subscript"/>
                <w:lang w:val="en-US" w:eastAsia="zh-CN"/>
                <w14:textFill>
                  <w14:solidFill>
                    <w14:schemeClr w14:val="tx1"/>
                  </w14:solidFill>
                </w14:textFill>
              </w:rPr>
              <w:t>X</w:t>
            </w:r>
            <w:r>
              <w:rPr>
                <w:rFonts w:hint="eastAsia"/>
                <w:snapToGrid w:val="0"/>
                <w:color w:val="000000" w:themeColor="text1"/>
                <w:sz w:val="24"/>
                <w:lang w:val="en-US" w:eastAsia="zh-CN"/>
                <w14:textFill>
                  <w14:solidFill>
                    <w14:schemeClr w14:val="tx1"/>
                  </w14:solidFill>
                </w14:textFill>
              </w:rPr>
              <w:t>，根据相关资料，岩石炸药爆炸产生的CO量为5.3g/kg，NO</w:t>
            </w:r>
            <w:r>
              <w:rPr>
                <w:rFonts w:hint="eastAsia"/>
                <w:snapToGrid w:val="0"/>
                <w:color w:val="000000" w:themeColor="text1"/>
                <w:sz w:val="24"/>
                <w:vertAlign w:val="subscript"/>
                <w:lang w:val="en-US" w:eastAsia="zh-CN"/>
                <w14:textFill>
                  <w14:solidFill>
                    <w14:schemeClr w14:val="tx1"/>
                  </w14:solidFill>
                </w14:textFill>
              </w:rPr>
              <w:t>X</w:t>
            </w:r>
            <w:r>
              <w:rPr>
                <w:rFonts w:hint="eastAsia"/>
                <w:snapToGrid w:val="0"/>
                <w:color w:val="000000" w:themeColor="text1"/>
                <w:sz w:val="24"/>
                <w:lang w:val="en-US" w:eastAsia="zh-CN"/>
                <w14:textFill>
                  <w14:solidFill>
                    <w14:schemeClr w14:val="tx1"/>
                  </w14:solidFill>
                </w14:textFill>
              </w:rPr>
              <w:t>为14.6g/kg，因此项目爆破产生的大气污染物为：CO0.08t/a，NO</w:t>
            </w:r>
            <w:r>
              <w:rPr>
                <w:rFonts w:hint="eastAsia"/>
                <w:snapToGrid w:val="0"/>
                <w:color w:val="000000" w:themeColor="text1"/>
                <w:sz w:val="24"/>
                <w:vertAlign w:val="subscript"/>
                <w:lang w:val="en-US" w:eastAsia="zh-CN"/>
                <w14:textFill>
                  <w14:solidFill>
                    <w14:schemeClr w14:val="tx1"/>
                  </w14:solidFill>
                </w14:textFill>
              </w:rPr>
              <w:t>X</w:t>
            </w:r>
            <w:r>
              <w:rPr>
                <w:rFonts w:hint="eastAsia"/>
                <w:snapToGrid w:val="0"/>
                <w:color w:val="000000" w:themeColor="text1"/>
                <w:sz w:val="24"/>
                <w:lang w:val="en-US" w:eastAsia="zh-CN"/>
                <w14:textFill>
                  <w14:solidFill>
                    <w14:schemeClr w14:val="tx1"/>
                  </w14:solidFill>
                </w14:textFill>
              </w:rPr>
              <w:t>0.21t/a。</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（5）矿石装车粉尘</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装车机械落差的起尘量：由交通部水运研究所和武汉水运工程学院提出的装卸起尘量的经验公式计算得矿石装车机械落差起尘量为0.045kg/t，则该过程无组织粉尘总产生量</w:t>
            </w:r>
            <w:r>
              <w:rPr>
                <w:rFonts w:hint="eastAsia"/>
                <w:snapToGrid w:val="0"/>
                <w:color w:val="FF0000"/>
                <w:sz w:val="24"/>
                <w:lang w:val="en-US" w:eastAsia="zh-CN"/>
              </w:rPr>
              <w:t>为4.5t/a</w:t>
            </w:r>
            <w:r>
              <w:commentReference w:id="1"/>
            </w:r>
            <w:r>
              <w:rPr>
                <w:rFonts w:hint="eastAsia"/>
                <w:snapToGrid w:val="0"/>
                <w:color w:val="FF0000"/>
                <w:sz w:val="24"/>
                <w:lang w:val="en-US" w:eastAsia="zh-CN"/>
              </w:rPr>
              <w:t>，</w:t>
            </w:r>
            <w:r>
              <w:rPr>
                <w:rFonts w:hint="eastAsia"/>
                <w:snapToGrid w:val="0"/>
                <w:color w:val="000000" w:themeColor="text1"/>
                <w:sz w:val="24"/>
                <w:lang w:val="en-US" w:eastAsia="zh-CN"/>
                <w14:textFill>
                  <w14:solidFill>
                    <w14:schemeClr w14:val="tx1"/>
                  </w14:solidFill>
                </w14:textFill>
              </w:rPr>
              <w:t>采取洒水降尘措施可降尘60%，矿石粒径较大，约80%在矿区内自由沉降，则粉尘无组织排放量约为0.36t/a。</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自卸汽车卸料起尘量：由山西环保科研所、武汉水运工程学院提出的经验公式计算，每辆车年运输约3300车次，汽车卸料起尘量为0.041t/a。</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故项目装卸过程中产生的粉尘总量为0.4t/a，均为无组织排放。</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（6）破碎、筛分及输送粉尘</w:t>
            </w:r>
          </w:p>
          <w:p>
            <w:pPr>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根据相关资料，矿石破碎、筛分粉尘产污系数如下：</w:t>
            </w:r>
          </w:p>
          <w:tbl>
            <w:tblPr>
              <w:tblStyle w:val="20"/>
              <w:tblW w:w="8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600"/>
              <w:gridCol w:w="1600"/>
              <w:gridCol w:w="160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项目</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一次破碎</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二次破碎</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筛分</w:t>
                  </w:r>
                </w:p>
              </w:tc>
              <w:tc>
                <w:tcPr>
                  <w:tcW w:w="1601"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restart"/>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粉尘产污系数（kg/t）</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0.25</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0.75</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0.75</w:t>
                  </w:r>
                </w:p>
              </w:tc>
              <w:tc>
                <w:tcPr>
                  <w:tcW w:w="1601"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逸散性工业粉尘控制技术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0" w:type="dxa"/>
                  <w:vMerge w:val="continue"/>
                  <w:vAlign w:val="center"/>
                </w:tcPr>
                <w:p>
                  <w:pPr>
                    <w:jc w:val="center"/>
                    <w:rPr>
                      <w:rFonts w:hint="eastAsia"/>
                      <w:color w:val="000000" w:themeColor="text1"/>
                      <w:szCs w:val="21"/>
                      <w:lang w:val="en-US" w:eastAsia="zh-CN"/>
                      <w14:textFill>
                        <w14:solidFill>
                          <w14:schemeClr w14:val="tx1"/>
                        </w14:solidFill>
                      </w14:textFill>
                    </w:rPr>
                  </w:pP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0.001</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0.004</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0.005</w:t>
                  </w:r>
                </w:p>
              </w:tc>
              <w:tc>
                <w:tcPr>
                  <w:tcW w:w="1601"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工业污染核算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vAlign w:val="center"/>
                </w:tcPr>
                <w:p>
                  <w:pPr>
                    <w:jc w:val="center"/>
                    <w:rPr>
                      <w:rFonts w:hint="eastAsia"/>
                      <w:color w:val="000000" w:themeColor="text1"/>
                      <w:szCs w:val="21"/>
                      <w:lang w:val="en-US" w:eastAsia="zh-CN"/>
                      <w14:textFill>
                        <w14:solidFill>
                          <w14:schemeClr w14:val="tx1"/>
                        </w14:solidFill>
                      </w14:textFill>
                    </w:rPr>
                  </w:pPr>
                </w:p>
              </w:tc>
              <w:tc>
                <w:tcPr>
                  <w:tcW w:w="3200" w:type="dxa"/>
                  <w:gridSpan w:val="2"/>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0.004</w:t>
                  </w:r>
                </w:p>
              </w:tc>
              <w:tc>
                <w:tcPr>
                  <w:tcW w:w="160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0.002</w:t>
                  </w:r>
                </w:p>
              </w:tc>
              <w:tc>
                <w:tcPr>
                  <w:tcW w:w="1601"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露天铝土矿山粉尘治理措施</w:t>
                  </w:r>
                </w:p>
              </w:tc>
            </w:tr>
          </w:tbl>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本项目取上述排污系数均值，一破粉尘产污系数为0.085kg/t，二破产污系数为0.253kg/t，筛分产污系数为0.252kg/t。则项目破碎筛分工段粉尘产生量为118t/a。项目采用皮带输送，到达堆料场，该过程产生的粉尘量按矿石的0.0004%估算，约为0.8t/a。</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（7）燃油机械尾气</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矿山挖掘机、装载机、载重汽车等燃油机械设备运行时会产生少量的尾气，尾气中主要污染物为CO、NOX等，均为无组织排放。</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（8）运输道路扬尘</w:t>
            </w:r>
          </w:p>
          <w:p>
            <w:pPr>
              <w:spacing w:line="460" w:lineRule="exact"/>
              <w:ind w:firstLine="480" w:firstLineChars="200"/>
              <w:rPr>
                <w:rFonts w:hint="eastAsia"/>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项目矿区内采矿作业场地路面为泥结碎石路面，使用4辆载重15t自卸汽车，3辆用于运矿，1辆用于运输废土石。项目剥采量为20.9万t/a（矿石量20万t/a，岩土剥离量5860t/a）。矿料运输距离200m，每台车往返次数约18趟/d，弃土运输距离约240m，每台车往返次数3趟/d。计算车辆运输起尘量为1.19t/a。定期洒水降尘削减60%，则排放量为0.48t/a。</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因此，本项目颗粒物产生量为4.45t/a。</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2、废水</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项目的废水主要为生产洗砂废水、车辆冲洗废水和生活污水。洗砂废水和车辆冲洗废水经沉淀池收集循环利用，不外排；生活废水经化粪池收集，定期清掏不外排；</w:t>
            </w:r>
          </w:p>
          <w:p>
            <w:pPr>
              <w:spacing w:line="460" w:lineRule="exact"/>
              <w:ind w:firstLine="480" w:firstLineChars="200"/>
              <w:rPr>
                <w:rFonts w:hint="default"/>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3、固体废物</w:t>
            </w:r>
          </w:p>
          <w:p>
            <w:pPr>
              <w:spacing w:line="460" w:lineRule="exact"/>
              <w:ind w:firstLine="480" w:firstLineChars="200"/>
              <w:rPr>
                <w:rFonts w:hint="eastAsia"/>
                <w:snapToGrid w:val="0"/>
                <w:color w:val="000000" w:themeColor="text1"/>
                <w:sz w:val="24"/>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固体废物为废土石、员工生活垃圾及废机油。根据建设单位提供资料，在开采过程中废土石产生量</w:t>
            </w:r>
            <w:r>
              <w:rPr>
                <w:rFonts w:hint="eastAsia"/>
                <w:snapToGrid w:val="0"/>
                <w:color w:val="FF0000"/>
                <w:sz w:val="24"/>
                <w:lang w:val="en-US" w:eastAsia="zh-CN"/>
              </w:rPr>
              <w:t>为5860t/a。</w:t>
            </w:r>
            <w:r>
              <w:rPr>
                <w:rFonts w:hint="eastAsia"/>
                <w:snapToGrid w:val="0"/>
                <w:color w:val="000000" w:themeColor="text1"/>
                <w:sz w:val="24"/>
                <w:lang w:val="en-US" w:eastAsia="zh-CN"/>
                <w14:textFill>
                  <w14:solidFill>
                    <w14:schemeClr w14:val="tx1"/>
                  </w14:solidFill>
                </w14:textFill>
              </w:rPr>
              <w:t>员工生活垃圾产生量为2t/a。项目机械的日常维护和修理过程中产生一定的废机油，由专用容器收集后暂存分为暂存间，交由资质单位处置。</w:t>
            </w:r>
          </w:p>
          <w:p>
            <w:pPr>
              <w:numPr>
                <w:ilvl w:val="0"/>
                <w:numId w:val="0"/>
              </w:numPr>
              <w:spacing w:line="460" w:lineRule="exact"/>
              <w:rPr>
                <w:rFonts w:hint="eastAsia"/>
              </w:rPr>
            </w:pPr>
            <w:r>
              <w:rPr>
                <w:rFonts w:hint="eastAsia"/>
                <w:snapToGrid w:val="0"/>
                <w:color w:val="000000" w:themeColor="text1"/>
                <w:sz w:val="24"/>
                <w14:textFill>
                  <w14:solidFill>
                    <w14:schemeClr w14:val="tx1"/>
                  </w14:solidFill>
                </w14:textFill>
              </w:rPr>
              <w:t>本项目</w:t>
            </w:r>
            <w:r>
              <w:rPr>
                <w:rFonts w:hint="eastAsia"/>
                <w:snapToGrid w:val="0"/>
                <w:color w:val="000000" w:themeColor="text1"/>
                <w:sz w:val="24"/>
                <w:lang w:val="en-US" w:eastAsia="zh-CN"/>
                <w14:textFill>
                  <w14:solidFill>
                    <w14:schemeClr w14:val="tx1"/>
                  </w14:solidFill>
                </w14:textFill>
              </w:rPr>
              <w:t>扩建</w:t>
            </w:r>
            <w:r>
              <w:rPr>
                <w:rFonts w:hint="eastAsia"/>
                <w:snapToGrid w:val="0"/>
                <w:color w:val="000000" w:themeColor="text1"/>
                <w:sz w:val="24"/>
                <w14:textFill>
                  <w14:solidFill>
                    <w14:schemeClr w14:val="tx1"/>
                  </w14:solidFill>
                </w14:textFill>
              </w:rPr>
              <w:t>前后主要污染物排放情况对比</w:t>
            </w:r>
            <w:r>
              <w:rPr>
                <w:rFonts w:hint="eastAsia"/>
                <w:color w:val="000000" w:themeColor="text1"/>
                <w:sz w:val="24"/>
                <w14:textFill>
                  <w14:solidFill>
                    <w14:schemeClr w14:val="tx1"/>
                  </w14:solidFill>
                </w14:textFill>
              </w:rPr>
              <w:t>见表</w:t>
            </w:r>
            <w:r>
              <w:rPr>
                <w:rFonts w:hint="eastAsia"/>
                <w:color w:val="000000" w:themeColor="text1"/>
                <w:sz w:val="24"/>
                <w:lang w:val="en-US" w:eastAsia="zh-CN"/>
                <w14:textFill>
                  <w14:solidFill>
                    <w14:schemeClr w14:val="tx1"/>
                  </w14:solidFill>
                </w14:textFill>
              </w:rPr>
              <w:t>15</w:t>
            </w:r>
            <w:r>
              <w:rPr>
                <w:rFonts w:hint="eastAsia"/>
                <w:color w:val="000000" w:themeColor="text1"/>
                <w:sz w:val="24"/>
                <w14:textFill>
                  <w14:solidFill>
                    <w14:schemeClr w14:val="tx1"/>
                  </w14:solidFill>
                </w14:textFill>
              </w:rPr>
              <w:t>。</w:t>
            </w:r>
          </w:p>
          <w:p>
            <w:pPr>
              <w:spacing w:line="460" w:lineRule="exact"/>
              <w:ind w:firstLine="422" w:firstLineChars="20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w:t>
            </w:r>
            <w:r>
              <w:rPr>
                <w:rFonts w:hint="eastAsia"/>
                <w:b/>
                <w:color w:val="000000" w:themeColor="text1"/>
                <w:szCs w:val="21"/>
                <w:lang w:val="en-US" w:eastAsia="zh-CN"/>
                <w14:textFill>
                  <w14:solidFill>
                    <w14:schemeClr w14:val="tx1"/>
                  </w14:solidFill>
                </w14:textFill>
              </w:rPr>
              <w:t>15</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项目改扩建前后主要污染物排放情况对比</w:t>
            </w:r>
          </w:p>
          <w:tbl>
            <w:tblPr>
              <w:tblStyle w:val="19"/>
              <w:tblW w:w="46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01"/>
              <w:gridCol w:w="1392"/>
              <w:gridCol w:w="1602"/>
              <w:gridCol w:w="211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18"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类别</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污染源名称</w:t>
                  </w:r>
                </w:p>
              </w:tc>
              <w:tc>
                <w:tcPr>
                  <w:tcW w:w="10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原有项目排放量</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扩建后项目总</w:t>
                  </w:r>
                  <w:r>
                    <w:rPr>
                      <w:rFonts w:hint="eastAsia"/>
                      <w:color w:val="000000" w:themeColor="text1"/>
                      <w:szCs w:val="21"/>
                      <w14:textFill>
                        <w14:solidFill>
                          <w14:schemeClr w14:val="tx1"/>
                        </w14:solidFill>
                      </w14:textFill>
                    </w:rPr>
                    <w:t>排放量</w:t>
                  </w: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18"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940" w:type="pct"/>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生产废水</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10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24" w:hRule="atLeast"/>
                <w:jc w:val="center"/>
              </w:trPr>
              <w:tc>
                <w:tcPr>
                  <w:tcW w:w="541" w:type="pct"/>
                  <w:vMerge w:val="restart"/>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0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4.45</w:t>
                  </w:r>
                  <w:r>
                    <w:rPr>
                      <w:color w:val="000000" w:themeColor="text1"/>
                      <w:sz w:val="22"/>
                      <w14:textFill>
                        <w14:solidFill>
                          <w14:schemeClr w14:val="tx1"/>
                        </w14:solidFill>
                      </w14:textFill>
                    </w:rPr>
                    <w:t>t/a</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9.138t/a</w:t>
                  </w: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+4.688</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24" w:hRule="atLeast"/>
                <w:jc w:val="center"/>
              </w:trPr>
              <w:tc>
                <w:tcPr>
                  <w:tcW w:w="541" w:type="pct"/>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NO</w:t>
                  </w:r>
                </w:p>
              </w:tc>
              <w:tc>
                <w:tcPr>
                  <w:tcW w:w="10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0.21</w:t>
                  </w:r>
                  <w:r>
                    <w:rPr>
                      <w:color w:val="000000" w:themeColor="text1"/>
                      <w:kern w:val="0"/>
                      <w:szCs w:val="21"/>
                      <w14:textFill>
                        <w14:solidFill>
                          <w14:schemeClr w14:val="tx1"/>
                        </w14:solidFill>
                      </w14:textFill>
                    </w:rPr>
                    <w:t>t/a</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0.438</w:t>
                  </w:r>
                  <w:r>
                    <w:rPr>
                      <w:color w:val="000000" w:themeColor="text1"/>
                      <w:kern w:val="0"/>
                      <w:szCs w:val="21"/>
                      <w14:textFill>
                        <w14:solidFill>
                          <w14:schemeClr w14:val="tx1"/>
                        </w14:solidFill>
                      </w14:textFill>
                    </w:rPr>
                    <w:t>t/a</w:t>
                  </w: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+0.228</w:t>
                  </w:r>
                  <w:r>
                    <w:rPr>
                      <w:rFonts w:hint="eastAsia"/>
                      <w:color w:val="000000" w:themeColor="text1"/>
                      <w:szCs w:val="21"/>
                      <w:lang w:val="en-US" w:eastAsia="zh-CN"/>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24" w:hRule="atLeast"/>
                <w:jc w:val="center"/>
              </w:trPr>
              <w:tc>
                <w:tcPr>
                  <w:tcW w:w="541" w:type="pct"/>
                  <w:vMerge w:val="continue"/>
                  <w:tcBorders>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w:t>
                  </w:r>
                </w:p>
              </w:tc>
              <w:tc>
                <w:tcPr>
                  <w:tcW w:w="10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0.08</w:t>
                  </w:r>
                  <w:r>
                    <w:rPr>
                      <w:color w:val="000000" w:themeColor="text1"/>
                      <w:kern w:val="0"/>
                      <w:szCs w:val="21"/>
                      <w14:textFill>
                        <w14:solidFill>
                          <w14:schemeClr w14:val="tx1"/>
                        </w14:solidFill>
                      </w14:textFill>
                    </w:rPr>
                    <w:t>t/a</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0.159</w:t>
                  </w:r>
                  <w:r>
                    <w:rPr>
                      <w:color w:val="000000" w:themeColor="text1"/>
                      <w:kern w:val="0"/>
                      <w:szCs w:val="21"/>
                      <w14:textFill>
                        <w14:solidFill>
                          <w14:schemeClr w14:val="tx1"/>
                        </w14:solidFill>
                      </w14:textFill>
                    </w:rPr>
                    <w:t>t/a</w:t>
                  </w: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+0.079</w:t>
                  </w:r>
                  <w:r>
                    <w:rPr>
                      <w:rFonts w:hint="eastAsia"/>
                      <w:color w:val="000000" w:themeColor="text1"/>
                      <w:szCs w:val="21"/>
                      <w:lang w:val="en-US" w:eastAsia="zh-CN"/>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541" w:type="pct"/>
                  <w:vMerge w:val="restart"/>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固废</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1082"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2t/a</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4.5t/a</w:t>
                  </w: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24" w:hRule="atLeast"/>
                <w:jc w:val="center"/>
              </w:trPr>
              <w:tc>
                <w:tcPr>
                  <w:tcW w:w="541" w:type="pct"/>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废弃土石</w:t>
                  </w:r>
                </w:p>
              </w:tc>
              <w:tc>
                <w:tcPr>
                  <w:tcW w:w="1082"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szCs w:val="21"/>
                      <w:lang w:val="en-US" w:eastAsia="zh-CN"/>
                    </w:rPr>
                  </w:pPr>
                  <w:r>
                    <w:rPr>
                      <w:rFonts w:hint="eastAsia"/>
                      <w:color w:val="FF0000"/>
                      <w:szCs w:val="21"/>
                      <w:lang w:val="en-US" w:eastAsia="zh-CN"/>
                    </w:rPr>
                    <w:t>5860t/a</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szCs w:val="21"/>
                      <w:lang w:val="en-US" w:eastAsia="zh-CN"/>
                    </w:rPr>
                  </w:pPr>
                  <w:r>
                    <w:rPr>
                      <w:rFonts w:hint="eastAsia"/>
                      <w:color w:val="FF0000"/>
                      <w:szCs w:val="21"/>
                      <w:lang w:val="en-US" w:eastAsia="zh-CN"/>
                    </w:rPr>
                    <w:t>14650t/a</w:t>
                  </w: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szCs w:val="21"/>
                      <w:lang w:val="en-US" w:eastAsia="zh-CN"/>
                    </w:rPr>
                  </w:pPr>
                  <w:r>
                    <w:rPr>
                      <w:rFonts w:hint="eastAsia"/>
                      <w:color w:val="FF0000"/>
                      <w:szCs w:val="21"/>
                      <w:lang w:val="en-US" w:eastAsia="zh-CN"/>
                    </w:rPr>
                    <w:t>+8790t/a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32" w:hRule="atLeast"/>
                <w:jc w:val="center"/>
              </w:trPr>
              <w:tc>
                <w:tcPr>
                  <w:tcW w:w="541" w:type="pct"/>
                  <w:vMerge w:val="continue"/>
                  <w:tcBorders>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废机油</w:t>
                  </w:r>
                </w:p>
              </w:tc>
              <w:tc>
                <w:tcPr>
                  <w:tcW w:w="10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bl>
          <w:p>
            <w:pPr>
              <w:pStyle w:val="18"/>
              <w:ind w:left="0" w:leftChars="0"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13" w:hRule="atLeast"/>
          <w:jc w:val="center"/>
        </w:trPr>
        <w:tc>
          <w:tcPr>
            <w:tcW w:w="823" w:type="dxa"/>
            <w:noWrap w:val="0"/>
            <w:vAlign w:val="center"/>
          </w:tcPr>
          <w:p>
            <w:pPr>
              <w:pStyle w:val="15"/>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217" w:type="dxa"/>
            <w:noWrap w:val="0"/>
            <w:vAlign w:val="top"/>
          </w:tcPr>
          <w:p>
            <w:pPr>
              <w:autoSpaceDE w:val="0"/>
              <w:autoSpaceDN w:val="0"/>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一、项目原有工程概况</w:t>
            </w:r>
          </w:p>
          <w:p>
            <w:pPr>
              <w:pStyle w:val="18"/>
              <w:spacing w:line="360" w:lineRule="auto"/>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本项目原建设</w:t>
            </w:r>
            <w:r>
              <w:rPr>
                <w:bCs/>
                <w:color w:val="000000" w:themeColor="text1"/>
                <w:sz w:val="24"/>
                <w:szCs w:val="24"/>
                <w14:textFill>
                  <w14:solidFill>
                    <w14:schemeClr w14:val="tx1"/>
                  </w14:solidFill>
                </w14:textFill>
              </w:rPr>
              <w:t>加工生产线1条，主要设备有破碎、振动筛、给料机、挖掘机、装载机等</w:t>
            </w:r>
            <w:r>
              <w:rPr>
                <w:rFonts w:hint="eastAsia"/>
                <w:bCs/>
                <w:color w:val="000000" w:themeColor="text1"/>
                <w:sz w:val="24"/>
                <w:szCs w:val="24"/>
                <w14:textFill>
                  <w14:solidFill>
                    <w14:schemeClr w14:val="tx1"/>
                  </w14:solidFill>
                </w14:textFill>
              </w:rPr>
              <w:t>，项目主要产品为石料石子，年开采量为20万t/a，产品主要用于公路路面铺设等。</w:t>
            </w:r>
            <w:r>
              <w:rPr>
                <w:rFonts w:hint="default" w:ascii="Times New Roman" w:hAnsi="Times New Roman" w:cs="Times New Roman" w:eastAsiaTheme="minorEastAsia"/>
                <w:kern w:val="2"/>
                <w:sz w:val="24"/>
                <w:szCs w:val="32"/>
                <w:lang w:val="en-US" w:eastAsia="zh-CN"/>
              </w:rPr>
              <w:t>根据现场踏勘，矿区目前处于停产状态。原有生产区设备和厂房拟全部拆除，则原有破碎设备运转产生的大气、噪声污染已不存在。则本环评不再分析现有项目情况</w:t>
            </w:r>
            <w:r>
              <w:rPr>
                <w:rFonts w:hint="eastAsia" w:cs="Times New Roman" w:eastAsiaTheme="minorEastAsia"/>
                <w:kern w:val="2"/>
                <w:sz w:val="24"/>
                <w:szCs w:val="32"/>
                <w:lang w:val="en-US" w:eastAsia="zh-CN"/>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二、项目原有污染物排放及治理措施分析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、废水：原有外排污水主要来自于</w:t>
            </w:r>
            <w:r>
              <w:rPr>
                <w:rFonts w:hint="eastAsia"/>
                <w:color w:val="000000" w:themeColor="text1"/>
                <w:sz w:val="24"/>
                <w:szCs w:val="24"/>
                <w14:textFill>
                  <w14:solidFill>
                    <w14:schemeClr w14:val="tx1"/>
                  </w14:solidFill>
                </w14:textFill>
              </w:rPr>
              <w:t>车辆清洗废水和生活污水，进入旱厕定期清掏不外排。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、废气：本项目废气主要是爆破、平台作业、破碎筛分和皮带运送过程产生的粉尘，无环保处理设施，无组织排放。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、噪声</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噪声主要石料加工区噪声源主要是给料机、破碎机、压滤机、筛分机、洗砂机等。采石场爆破噪声、排土场各类设备噪声及运输车辆噪声，采用隔声、减震、降噪等措施后可以达到排放标准。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、固体废物</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生活垃圾产生量为2</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，生活垃圾由</w:t>
            </w:r>
            <w:r>
              <w:rPr>
                <w:rFonts w:hint="eastAsia"/>
                <w:color w:val="000000" w:themeColor="text1"/>
                <w:sz w:val="24"/>
                <w:szCs w:val="24"/>
                <w14:textFill>
                  <w14:solidFill>
                    <w14:schemeClr w14:val="tx1"/>
                  </w14:solidFill>
                </w14:textFill>
              </w:rPr>
              <w:t>垃圾收集桶集中收集，定期清运至垃圾收集点</w:t>
            </w:r>
            <w:r>
              <w:rPr>
                <w:rFonts w:hint="eastAsia"/>
                <w:color w:val="000000" w:themeColor="text1"/>
                <w:sz w:val="24"/>
                <w14:textFill>
                  <w14:solidFill>
                    <w14:schemeClr w14:val="tx1"/>
                  </w14:solidFill>
                </w14:textFill>
              </w:rPr>
              <w:t>。本项目运营期固废主要包括爆破剥离过程中产生的废弃土石、石料加工区产生的废机油。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、项目原有污染物排放情况</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表1</w:t>
            </w:r>
            <w:r>
              <w:rPr>
                <w:rFonts w:hint="eastAsia"/>
                <w:b/>
                <w:color w:val="000000" w:themeColor="text1"/>
                <w:lang w:val="en-US" w:eastAsia="zh-CN"/>
                <w14:textFill>
                  <w14:solidFill>
                    <w14:schemeClr w14:val="tx1"/>
                  </w14:solidFill>
                </w14:textFill>
              </w:rPr>
              <w:t xml:space="preserve">6 </w:t>
            </w:r>
            <w:r>
              <w:rPr>
                <w:rFonts w:hint="eastAsia"/>
                <w:b/>
                <w:color w:val="000000" w:themeColor="text1"/>
                <w14:textFill>
                  <w14:solidFill>
                    <w14:schemeClr w14:val="tx1"/>
                  </w14:solidFill>
                </w14:textFill>
              </w:rPr>
              <w:t>项目原有污染物排放情况表</w:t>
            </w:r>
          </w:p>
          <w:tbl>
            <w:tblPr>
              <w:tblStyle w:val="19"/>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77"/>
              <w:gridCol w:w="1622"/>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内容类型</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排放源</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污染物名称</w:t>
                  </w:r>
                </w:p>
              </w:tc>
              <w:tc>
                <w:tcPr>
                  <w:tcW w:w="31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石料加工区</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31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auto"/>
                      <w:szCs w:val="21"/>
                      <w:lang w:val="en-US" w:eastAsia="zh-CN"/>
                    </w:rPr>
                    <w:t>4.45t</w:t>
                  </w:r>
                  <w:r>
                    <w:rPr>
                      <w:rFonts w:hint="eastAsia"/>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生产废水</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生活废水</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废水量</w:t>
                  </w:r>
                </w:p>
              </w:tc>
              <w:tc>
                <w:tcPr>
                  <w:tcW w:w="31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2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固废</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31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废弃土石</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废弃土石</w:t>
                  </w:r>
                </w:p>
              </w:tc>
              <w:tc>
                <w:tcPr>
                  <w:tcW w:w="31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586</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石料加工区</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废含油抹布</w:t>
                  </w:r>
                </w:p>
              </w:tc>
              <w:tc>
                <w:tcPr>
                  <w:tcW w:w="313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673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主要来自设备噪声、人群活动噪声及车辆噪声</w:t>
                  </w:r>
                </w:p>
              </w:tc>
            </w:tr>
          </w:tbl>
          <w:p>
            <w:pPr>
              <w:pStyle w:val="18"/>
              <w:spacing w:line="360" w:lineRule="auto"/>
              <w:ind w:firstLine="480"/>
              <w:rPr>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本环评要求</w:t>
            </w:r>
            <w:r>
              <w:rPr>
                <w:rFonts w:hint="eastAsia"/>
                <w:bCs/>
                <w:color w:val="000000" w:themeColor="text1"/>
                <w:sz w:val="24"/>
                <w:szCs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）项目目前采用旱厕，根据建设单位提供，后期建设水厕，同时设8</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化粪池</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座；</w:t>
            </w:r>
          </w:p>
          <w:p>
            <w:pPr>
              <w:pStyle w:val="18"/>
              <w:spacing w:line="360" w:lineRule="auto"/>
              <w:ind w:firstLine="480"/>
              <w:rPr>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矿区内部原有道路部分路段受雨天影响，路况较差，需要修缮，并进行砂石硬化；</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）厂区生产用水为雨水和河沟水，本次环评要求设置</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0m</w:t>
            </w:r>
            <w:r>
              <w:rPr>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沉淀池</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座，雨水和河沟水经沉淀池处理之后用于厂区洒水降尘和车辆清洗；</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）厂区原有生产固废置于临时堆场，为方便后期生态恢复，本次环评要求建设排土场；</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）厂区现有原料堆场设置防尘网，后期应对原料堆场进行全封闭处理；</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）厂区生产区破碎筛分安装袋式除尘器；</w:t>
            </w:r>
          </w:p>
          <w:p>
            <w:pPr>
              <w:autoSpaceDE w:val="0"/>
              <w:autoSpaceDN w:val="0"/>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7</w:t>
            </w:r>
            <w:r>
              <w:rPr>
                <w:rFonts w:hint="eastAsia"/>
                <w:color w:val="000000" w:themeColor="text1"/>
                <w:kern w:val="0"/>
                <w:sz w:val="24"/>
                <w14:textFill>
                  <w14:solidFill>
                    <w14:schemeClr w14:val="tx1"/>
                  </w14:solidFill>
                </w14:textFill>
              </w:rPr>
              <w:t>）</w:t>
            </w:r>
            <w:r>
              <w:rPr>
                <w:rFonts w:hint="eastAsia"/>
                <w:color w:val="000000" w:themeColor="text1"/>
                <w:sz w:val="24"/>
                <w:szCs w:val="24"/>
                <w14:textFill>
                  <w14:solidFill>
                    <w14:schemeClr w14:val="tx1"/>
                  </w14:solidFill>
                </w14:textFill>
              </w:rPr>
              <w:t>根据现场踏勘，矿区目前处于停产状态。原有破碎设备运转产生的大气、噪声污染已不存在；</w:t>
            </w:r>
            <w:r>
              <w:rPr>
                <w:rFonts w:hint="eastAsia"/>
                <w:color w:val="000000" w:themeColor="text1"/>
                <w:kern w:val="0"/>
                <w:sz w:val="24"/>
                <w14:textFill>
                  <w14:solidFill>
                    <w14:schemeClr w14:val="tx1"/>
                  </w14:solidFill>
                </w14:textFill>
              </w:rPr>
              <w:t>本项目要求建设单位按照环评要求的环保措施对原有生产线的废气、噪声产生环境影响进行处理。</w:t>
            </w:r>
          </w:p>
          <w:p>
            <w:pPr>
              <w:pStyle w:val="18"/>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（8）厂房进行封闭化建设，传送带全封闭。</w:t>
            </w:r>
          </w:p>
          <w:p>
            <w:pPr>
              <w:adjustRightInd w:val="0"/>
              <w:snapToGrid w:val="0"/>
              <w:rPr>
                <w:rFonts w:ascii="宋体" w:hAnsi="宋体"/>
                <w:bCs/>
                <w:szCs w:val="21"/>
              </w:rPr>
            </w:pPr>
          </w:p>
        </w:tc>
      </w:tr>
    </w:tbl>
    <w:p>
      <w:pPr>
        <w:pStyle w:val="15"/>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15"/>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5"/>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center"/>
          </w:tcPr>
          <w:p>
            <w:pPr>
              <w:adjustRightInd w:val="0"/>
              <w:snapToGrid w:val="0"/>
              <w:spacing w:line="360" w:lineRule="auto"/>
              <w:ind w:firstLine="482" w:firstLineChars="200"/>
              <w:jc w:val="left"/>
              <w:rPr>
                <w:b/>
                <w:bCs/>
                <w:color w:val="000000" w:themeColor="text1"/>
                <w:sz w:val="32"/>
                <w:szCs w:val="32"/>
                <w14:textFill>
                  <w14:solidFill>
                    <w14:schemeClr w14:val="tx1"/>
                  </w14:solidFill>
                </w14:textFill>
              </w:rPr>
            </w:pP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、环境空气质量现状</w:t>
            </w:r>
          </w:p>
          <w:p>
            <w:pPr>
              <w:adjustRightInd w:val="0"/>
              <w:snapToGrid w:val="0"/>
              <w:spacing w:line="360" w:lineRule="auto"/>
              <w:ind w:right="-6" w:firstLine="480" w:firstLineChars="200"/>
              <w:jc w:val="left"/>
              <w:rPr>
                <w:rFonts w:hAnsi="宋体"/>
                <w:color w:val="auto"/>
                <w:kern w:val="0"/>
                <w:sz w:val="24"/>
              </w:rPr>
            </w:pPr>
            <w:r>
              <w:rPr>
                <w:rFonts w:hint="eastAsia" w:hAnsi="宋体"/>
                <w:color w:val="auto"/>
                <w:kern w:val="0"/>
                <w:sz w:val="24"/>
              </w:rPr>
              <w:t>本项目位于安康市</w:t>
            </w:r>
            <w:r>
              <w:rPr>
                <w:rFonts w:hint="eastAsia" w:hAnsi="宋体"/>
                <w:color w:val="auto"/>
                <w:kern w:val="0"/>
                <w:sz w:val="24"/>
                <w:lang w:val="en-US" w:eastAsia="zh-CN"/>
              </w:rPr>
              <w:t>恒口示范区</w:t>
            </w:r>
            <w:r>
              <w:rPr>
                <w:rFonts w:hint="eastAsia" w:hAnsi="宋体"/>
                <w:color w:val="auto"/>
                <w:kern w:val="0"/>
                <w:sz w:val="24"/>
              </w:rPr>
              <w:t>范围内。为了解项目所在地环境空气质量现状，本次环评根据</w:t>
            </w:r>
            <w:r>
              <w:rPr>
                <w:rFonts w:hint="eastAsia" w:hAnsi="宋体"/>
                <w:color w:val="auto"/>
                <w:kern w:val="0"/>
                <w:sz w:val="24"/>
                <w:lang w:val="en-US" w:eastAsia="zh-CN"/>
              </w:rPr>
              <w:t>安康市生态环境局</w:t>
            </w:r>
            <w:r>
              <w:rPr>
                <w:rFonts w:hint="eastAsia" w:hAnsi="宋体"/>
                <w:color w:val="auto"/>
                <w:kern w:val="0"/>
                <w:sz w:val="24"/>
              </w:rPr>
              <w:t>公布的《</w:t>
            </w:r>
            <w:r>
              <w:rPr>
                <w:rFonts w:hint="eastAsia" w:hAnsi="宋体"/>
                <w:color w:val="auto"/>
                <w:kern w:val="0"/>
                <w:sz w:val="24"/>
                <w:lang w:val="en-US" w:eastAsia="zh-CN"/>
              </w:rPr>
              <w:t>环境空气质量</w:t>
            </w:r>
            <w:r>
              <w:rPr>
                <w:rFonts w:hint="eastAsia" w:hAnsi="宋体"/>
                <w:color w:val="auto"/>
                <w:kern w:val="0"/>
                <w:sz w:val="24"/>
              </w:rPr>
              <w:t>快报</w:t>
            </w:r>
            <w:r>
              <w:rPr>
                <w:rFonts w:hAnsi="宋体"/>
                <w:color w:val="auto"/>
                <w:kern w:val="0"/>
                <w:sz w:val="24"/>
              </w:rPr>
              <w:t>20</w:t>
            </w:r>
            <w:r>
              <w:rPr>
                <w:rFonts w:hint="eastAsia" w:hAnsi="宋体"/>
                <w:color w:val="auto"/>
                <w:kern w:val="0"/>
                <w:sz w:val="24"/>
                <w:lang w:val="en-US" w:eastAsia="zh-CN"/>
              </w:rPr>
              <w:t>21</w:t>
            </w:r>
            <w:r>
              <w:rPr>
                <w:rFonts w:hint="eastAsia" w:hAnsi="宋体"/>
                <w:color w:val="auto"/>
                <w:kern w:val="0"/>
                <w:sz w:val="24"/>
              </w:rPr>
              <w:t>年</w:t>
            </w:r>
            <w:r>
              <w:rPr>
                <w:rFonts w:hAnsi="宋体"/>
                <w:color w:val="auto"/>
                <w:kern w:val="0"/>
                <w:sz w:val="24"/>
              </w:rPr>
              <w:t>12</w:t>
            </w:r>
            <w:r>
              <w:rPr>
                <w:rFonts w:hint="eastAsia" w:hAnsi="宋体"/>
                <w:color w:val="auto"/>
                <w:kern w:val="0"/>
                <w:sz w:val="24"/>
              </w:rPr>
              <w:t>月及</w:t>
            </w:r>
            <w:r>
              <w:rPr>
                <w:rFonts w:hAnsi="宋体"/>
                <w:color w:val="auto"/>
                <w:kern w:val="0"/>
                <w:sz w:val="24"/>
              </w:rPr>
              <w:t>1~12</w:t>
            </w:r>
            <w:r>
              <w:rPr>
                <w:rFonts w:hint="eastAsia" w:hAnsi="宋体"/>
                <w:color w:val="auto"/>
                <w:kern w:val="0"/>
                <w:sz w:val="24"/>
              </w:rPr>
              <w:t>月全</w:t>
            </w:r>
            <w:r>
              <w:rPr>
                <w:rFonts w:hint="eastAsia" w:hAnsi="宋体"/>
                <w:color w:val="auto"/>
                <w:kern w:val="0"/>
                <w:sz w:val="24"/>
                <w:lang w:val="en-US" w:eastAsia="zh-CN"/>
              </w:rPr>
              <w:t>市</w:t>
            </w:r>
            <w:r>
              <w:rPr>
                <w:rFonts w:hint="eastAsia" w:hAnsi="宋体"/>
                <w:color w:val="auto"/>
                <w:kern w:val="0"/>
                <w:sz w:val="24"/>
              </w:rPr>
              <w:t>环境空气质量状况》（</w:t>
            </w:r>
            <w:r>
              <w:rPr>
                <w:rFonts w:hint="eastAsia" w:hAnsi="宋体"/>
                <w:color w:val="auto"/>
                <w:kern w:val="0"/>
                <w:sz w:val="24"/>
                <w:lang w:val="en-US" w:eastAsia="zh-CN"/>
              </w:rPr>
              <w:t>第十二期</w:t>
            </w:r>
            <w:r>
              <w:rPr>
                <w:rFonts w:hint="eastAsia" w:hAnsi="宋体"/>
                <w:color w:val="auto"/>
                <w:kern w:val="0"/>
                <w:sz w:val="24"/>
              </w:rPr>
              <w:t>）进行评价。根据环保快报附表</w:t>
            </w:r>
            <w:r>
              <w:rPr>
                <w:rFonts w:hint="eastAsia" w:hAnsi="宋体"/>
                <w:color w:val="auto"/>
                <w:kern w:val="0"/>
                <w:sz w:val="24"/>
                <w:lang w:val="en-US" w:eastAsia="zh-CN"/>
              </w:rPr>
              <w:t>2 2021年1-12月县（市、区）</w:t>
            </w:r>
            <w:r>
              <w:rPr>
                <w:rFonts w:hint="eastAsia" w:hAnsi="宋体"/>
                <w:color w:val="auto"/>
                <w:kern w:val="0"/>
                <w:sz w:val="24"/>
              </w:rPr>
              <w:t>空气质量状况统计，</w:t>
            </w:r>
            <w:r>
              <w:rPr>
                <w:rFonts w:hint="eastAsia" w:hAnsi="宋体"/>
                <w:color w:val="auto"/>
                <w:kern w:val="0"/>
                <w:sz w:val="24"/>
                <w:lang w:val="en-US" w:eastAsia="zh-CN"/>
              </w:rPr>
              <w:t>恒口示范区</w:t>
            </w:r>
            <w:r>
              <w:rPr>
                <w:rFonts w:hAnsi="宋体"/>
                <w:color w:val="auto"/>
                <w:kern w:val="0"/>
                <w:sz w:val="24"/>
              </w:rPr>
              <w:t>20</w:t>
            </w:r>
            <w:r>
              <w:rPr>
                <w:rFonts w:hint="eastAsia" w:hAnsi="宋体"/>
                <w:color w:val="auto"/>
                <w:kern w:val="0"/>
                <w:sz w:val="24"/>
                <w:lang w:val="en-US" w:eastAsia="zh-CN"/>
              </w:rPr>
              <w:t>21</w:t>
            </w:r>
            <w:r>
              <w:rPr>
                <w:rFonts w:hint="eastAsia" w:hAnsi="宋体"/>
                <w:color w:val="auto"/>
                <w:kern w:val="0"/>
                <w:sz w:val="24"/>
              </w:rPr>
              <w:t>年全年优良天数</w:t>
            </w:r>
            <w:r>
              <w:rPr>
                <w:rFonts w:hAnsi="宋体"/>
                <w:color w:val="auto"/>
                <w:kern w:val="0"/>
                <w:sz w:val="24"/>
              </w:rPr>
              <w:t>3</w:t>
            </w:r>
            <w:r>
              <w:rPr>
                <w:rFonts w:hint="eastAsia" w:hAnsi="宋体"/>
                <w:color w:val="auto"/>
                <w:kern w:val="0"/>
                <w:sz w:val="24"/>
                <w:lang w:val="en-US" w:eastAsia="zh-CN"/>
              </w:rPr>
              <w:t>28</w:t>
            </w:r>
            <w:r>
              <w:rPr>
                <w:rFonts w:hint="eastAsia" w:hAnsi="宋体"/>
                <w:color w:val="auto"/>
                <w:kern w:val="0"/>
                <w:sz w:val="24"/>
              </w:rPr>
              <w:t>天，空气质量综合指数</w:t>
            </w:r>
            <w:r>
              <w:rPr>
                <w:rFonts w:hint="eastAsia" w:hAnsi="宋体"/>
                <w:color w:val="auto"/>
                <w:kern w:val="0"/>
                <w:sz w:val="24"/>
                <w:lang w:val="en-US" w:eastAsia="zh-CN"/>
              </w:rPr>
              <w:t>3.06</w:t>
            </w:r>
            <w:r>
              <w:rPr>
                <w:rFonts w:hint="eastAsia" w:hAnsi="宋体"/>
                <w:color w:val="auto"/>
                <w:kern w:val="0"/>
                <w:sz w:val="24"/>
              </w:rPr>
              <w:t>。</w:t>
            </w:r>
          </w:p>
          <w:p>
            <w:pPr>
              <w:adjustRightInd w:val="0"/>
              <w:snapToGrid w:val="0"/>
              <w:spacing w:line="360" w:lineRule="auto"/>
              <w:ind w:right="-6" w:firstLine="480" w:firstLineChars="200"/>
              <w:jc w:val="left"/>
              <w:rPr>
                <w:rFonts w:hAnsi="宋体"/>
                <w:color w:val="auto"/>
                <w:kern w:val="0"/>
                <w:sz w:val="24"/>
              </w:rPr>
            </w:pPr>
            <w:r>
              <w:rPr>
                <w:rFonts w:hint="eastAsia" w:hAnsi="宋体"/>
                <w:color w:val="auto"/>
                <w:kern w:val="0"/>
                <w:sz w:val="24"/>
              </w:rPr>
              <w:t>本次评价采用《</w:t>
            </w:r>
            <w:r>
              <w:rPr>
                <w:rFonts w:hint="eastAsia" w:hAnsi="宋体"/>
                <w:color w:val="auto"/>
                <w:kern w:val="0"/>
                <w:sz w:val="24"/>
                <w:lang w:val="en-US" w:eastAsia="zh-CN"/>
              </w:rPr>
              <w:t>环境空气质量快报</w:t>
            </w:r>
            <w:r>
              <w:rPr>
                <w:rFonts w:hint="eastAsia" w:hAnsi="宋体"/>
                <w:color w:val="auto"/>
                <w:kern w:val="0"/>
                <w:sz w:val="24"/>
              </w:rPr>
              <w:t>》中</w:t>
            </w:r>
            <w:r>
              <w:rPr>
                <w:rFonts w:hAnsi="宋体"/>
                <w:color w:val="auto"/>
                <w:kern w:val="0"/>
                <w:sz w:val="24"/>
              </w:rPr>
              <w:t>20</w:t>
            </w:r>
            <w:r>
              <w:rPr>
                <w:rFonts w:hint="eastAsia" w:hAnsi="宋体"/>
                <w:color w:val="auto"/>
                <w:kern w:val="0"/>
                <w:sz w:val="24"/>
                <w:lang w:val="en-US" w:eastAsia="zh-CN"/>
              </w:rPr>
              <w:t>21</w:t>
            </w:r>
            <w:r>
              <w:rPr>
                <w:rFonts w:hint="eastAsia" w:hAnsi="宋体"/>
                <w:color w:val="auto"/>
                <w:kern w:val="0"/>
                <w:sz w:val="24"/>
              </w:rPr>
              <w:t>年</w:t>
            </w:r>
            <w:r>
              <w:rPr>
                <w:rFonts w:hint="eastAsia" w:hAnsi="宋体"/>
                <w:color w:val="auto"/>
                <w:kern w:val="0"/>
                <w:sz w:val="24"/>
                <w:lang w:val="en-US" w:eastAsia="zh-CN"/>
              </w:rPr>
              <w:t>恒口示范区</w:t>
            </w:r>
            <w:r>
              <w:rPr>
                <w:rFonts w:hint="eastAsia" w:hAnsi="宋体"/>
                <w:color w:val="auto"/>
                <w:kern w:val="0"/>
                <w:sz w:val="24"/>
              </w:rPr>
              <w:t>空气质量状况统计结果进行区域环境质量达标判定。统计结果见表1</w:t>
            </w:r>
            <w:r>
              <w:rPr>
                <w:rFonts w:hint="eastAsia" w:hAnsi="宋体"/>
                <w:color w:val="auto"/>
                <w:kern w:val="0"/>
                <w:sz w:val="24"/>
                <w:lang w:val="en-US" w:eastAsia="zh-CN"/>
              </w:rPr>
              <w:t>7</w:t>
            </w:r>
            <w:r>
              <w:rPr>
                <w:rFonts w:hint="eastAsia" w:hAnsi="宋体"/>
                <w:color w:val="auto"/>
                <w:kern w:val="0"/>
                <w:sz w:val="24"/>
              </w:rPr>
              <w:t>所示。</w:t>
            </w:r>
          </w:p>
          <w:p>
            <w:pPr>
              <w:adjustRightInd w:val="0"/>
              <w:snapToGrid w:val="0"/>
              <w:ind w:firstLine="422"/>
              <w:jc w:val="center"/>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表1</w:t>
            </w:r>
            <w:r>
              <w:rPr>
                <w:rFonts w:hint="eastAsia" w:hAnsi="宋体"/>
                <w:b/>
                <w:color w:val="000000" w:themeColor="text1"/>
                <w:kern w:val="0"/>
                <w:szCs w:val="21"/>
                <w:lang w:val="en-US" w:eastAsia="zh-CN"/>
                <w14:textFill>
                  <w14:solidFill>
                    <w14:schemeClr w14:val="tx1"/>
                  </w14:solidFill>
                </w14:textFill>
              </w:rPr>
              <w:t xml:space="preserve">7 </w:t>
            </w:r>
            <w:r>
              <w:rPr>
                <w:rFonts w:hint="eastAsia" w:hAnsi="宋体"/>
                <w:b/>
                <w:color w:val="000000" w:themeColor="text1"/>
                <w:kern w:val="0"/>
                <w:szCs w:val="21"/>
                <w14:textFill>
                  <w14:solidFill>
                    <w14:schemeClr w14:val="tx1"/>
                  </w14:solidFill>
                </w14:textFill>
              </w:rPr>
              <w:t>区域空气质量现状评价表</w:t>
            </w:r>
          </w:p>
          <w:tbl>
            <w:tblPr>
              <w:tblStyle w:val="19"/>
              <w:tblW w:w="7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653"/>
              <w:gridCol w:w="1259"/>
              <w:gridCol w:w="1259"/>
              <w:gridCol w:w="1259"/>
              <w:gridCol w:w="1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8"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污染物</w:t>
                  </w:r>
                </w:p>
              </w:tc>
              <w:tc>
                <w:tcPr>
                  <w:tcW w:w="1653"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年评价指标</w:t>
                  </w:r>
                </w:p>
              </w:tc>
              <w:tc>
                <w:tcPr>
                  <w:tcW w:w="125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现状浓度（</w:t>
                  </w:r>
                  <w:r>
                    <w:rPr>
                      <w:b/>
                      <w:color w:val="000000" w:themeColor="text1"/>
                      <w:szCs w:val="21"/>
                      <w14:textFill>
                        <w14:solidFill>
                          <w14:schemeClr w14:val="tx1"/>
                        </w14:solidFill>
                      </w14:textFill>
                    </w:rPr>
                    <w:t>μg/m</w:t>
                  </w:r>
                  <w:r>
                    <w:rPr>
                      <w:b/>
                      <w:color w:val="000000" w:themeColor="text1"/>
                      <w:szCs w:val="21"/>
                      <w:vertAlign w:val="superscript"/>
                      <w14:textFill>
                        <w14:solidFill>
                          <w14:schemeClr w14:val="tx1"/>
                        </w14:solidFill>
                      </w14:textFill>
                    </w:rPr>
                    <w:t>3</w:t>
                  </w:r>
                  <w:r>
                    <w:rPr>
                      <w:rFonts w:hint="eastAsia" w:hAnsi="宋体"/>
                      <w:b/>
                      <w:color w:val="000000" w:themeColor="text1"/>
                      <w:kern w:val="0"/>
                      <w:szCs w:val="21"/>
                      <w14:textFill>
                        <w14:solidFill>
                          <w14:schemeClr w14:val="tx1"/>
                        </w14:solidFill>
                      </w14:textFill>
                    </w:rPr>
                    <w:t>）</w:t>
                  </w:r>
                </w:p>
              </w:tc>
              <w:tc>
                <w:tcPr>
                  <w:tcW w:w="125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标准值</w:t>
                  </w:r>
                </w:p>
                <w:p>
                  <w:pPr>
                    <w:adjustRightInd w:val="0"/>
                    <w:snapToGrid w:val="0"/>
                    <w:jc w:val="center"/>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w:t>
                  </w:r>
                  <w:r>
                    <w:rPr>
                      <w:b/>
                      <w:color w:val="000000" w:themeColor="text1"/>
                      <w:szCs w:val="21"/>
                      <w14:textFill>
                        <w14:solidFill>
                          <w14:schemeClr w14:val="tx1"/>
                        </w14:solidFill>
                      </w14:textFill>
                    </w:rPr>
                    <w:t>μg/m</w:t>
                  </w:r>
                  <w:r>
                    <w:rPr>
                      <w:b/>
                      <w:color w:val="000000" w:themeColor="text1"/>
                      <w:szCs w:val="21"/>
                      <w:vertAlign w:val="superscript"/>
                      <w14:textFill>
                        <w14:solidFill>
                          <w14:schemeClr w14:val="tx1"/>
                        </w14:solidFill>
                      </w14:textFill>
                    </w:rPr>
                    <w:t>3</w:t>
                  </w:r>
                  <w:r>
                    <w:rPr>
                      <w:rFonts w:hint="eastAsia" w:hAnsi="宋体"/>
                      <w:b/>
                      <w:color w:val="000000" w:themeColor="text1"/>
                      <w:kern w:val="0"/>
                      <w:szCs w:val="21"/>
                      <w14:textFill>
                        <w14:solidFill>
                          <w14:schemeClr w14:val="tx1"/>
                        </w14:solidFill>
                      </w14:textFill>
                    </w:rPr>
                    <w:t>）</w:t>
                  </w:r>
                </w:p>
              </w:tc>
              <w:tc>
                <w:tcPr>
                  <w:tcW w:w="125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占标率</w:t>
                  </w:r>
                  <w:r>
                    <w:rPr>
                      <w:rFonts w:hAnsi="宋体"/>
                      <w:b/>
                      <w:color w:val="000000" w:themeColor="text1"/>
                      <w:kern w:val="0"/>
                      <w:szCs w:val="21"/>
                      <w14:textFill>
                        <w14:solidFill>
                          <w14:schemeClr w14:val="tx1"/>
                        </w14:solidFill>
                      </w14:textFill>
                    </w:rPr>
                    <w:t>/%</w:t>
                  </w:r>
                </w:p>
              </w:tc>
              <w:tc>
                <w:tcPr>
                  <w:tcW w:w="1259"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p>
              </w:tc>
              <w:tc>
                <w:tcPr>
                  <w:tcW w:w="16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年均质量浓度</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hAnsi="宋体"/>
                      <w:color w:val="000000" w:themeColor="text1"/>
                      <w:kern w:val="0"/>
                      <w:szCs w:val="21"/>
                      <w:lang w:val="en-US" w:eastAsia="zh-CN"/>
                      <w14:textFill>
                        <w14:solidFill>
                          <w14:schemeClr w14:val="tx1"/>
                        </w14:solidFill>
                      </w14:textFill>
                    </w:rPr>
                    <w:t>51</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70</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73</w:t>
                  </w:r>
                </w:p>
              </w:tc>
              <w:tc>
                <w:tcPr>
                  <w:tcW w:w="1259"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2.5</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themeColor="text1"/>
                      <w:kern w:val="0"/>
                      <w:szCs w:val="21"/>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hAnsi="宋体"/>
                      <w:color w:val="000000" w:themeColor="text1"/>
                      <w:kern w:val="0"/>
                      <w:szCs w:val="21"/>
                      <w:lang w:val="en-US" w:eastAsia="zh-CN"/>
                      <w14:textFill>
                        <w14:solidFill>
                          <w14:schemeClr w14:val="tx1"/>
                        </w14:solidFill>
                      </w14:textFill>
                    </w:rPr>
                    <w:t>29</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35</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hAnsi="宋体"/>
                      <w:color w:val="000000" w:themeColor="text1"/>
                      <w:kern w:val="0"/>
                      <w:szCs w:val="21"/>
                      <w:lang w:val="en-US" w:eastAsia="zh-CN"/>
                      <w14:textFill>
                        <w14:solidFill>
                          <w14:schemeClr w14:val="tx1"/>
                        </w14:solidFill>
                      </w14:textFill>
                    </w:rPr>
                    <w:t>83</w:t>
                  </w:r>
                </w:p>
              </w:tc>
              <w:tc>
                <w:tcPr>
                  <w:tcW w:w="1259"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themeColor="text1"/>
                      <w:kern w:val="0"/>
                      <w:szCs w:val="21"/>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hAnsi="宋体"/>
                      <w:color w:val="000000" w:themeColor="text1"/>
                      <w:kern w:val="0"/>
                      <w:szCs w:val="21"/>
                      <w:lang w:val="en-US" w:eastAsia="zh-CN"/>
                      <w14:textFill>
                        <w14:solidFill>
                          <w14:schemeClr w14:val="tx1"/>
                        </w14:solidFill>
                      </w14:textFill>
                    </w:rPr>
                    <w:t>9</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60</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15</w:t>
                  </w:r>
                </w:p>
              </w:tc>
              <w:tc>
                <w:tcPr>
                  <w:tcW w:w="1259"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themeColor="text1"/>
                      <w:kern w:val="0"/>
                      <w:szCs w:val="21"/>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hAnsi="宋体"/>
                      <w:color w:val="000000" w:themeColor="text1"/>
                      <w:kern w:val="0"/>
                      <w:szCs w:val="21"/>
                      <w:lang w:val="en-US" w:eastAsia="zh-CN"/>
                      <w14:textFill>
                        <w14:solidFill>
                          <w14:schemeClr w14:val="tx1"/>
                        </w14:solidFill>
                      </w14:textFill>
                    </w:rPr>
                    <w:t>19</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40</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48</w:t>
                  </w:r>
                </w:p>
              </w:tc>
              <w:tc>
                <w:tcPr>
                  <w:tcW w:w="1259"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8" w:type="dxa"/>
                  <w:tcBorders>
                    <w:top w:val="single" w:color="auto" w:sz="4" w:space="0"/>
                    <w:left w:val="single" w:color="auto" w:sz="12" w:space="0"/>
                    <w:bottom w:val="single" w:color="auto" w:sz="4" w:space="0"/>
                    <w:right w:val="single" w:color="auto" w:sz="4" w:space="0"/>
                  </w:tcBorders>
                  <w:vAlign w:val="center"/>
                </w:tcPr>
                <w:p>
                  <w:pPr>
                    <w:pStyle w:val="4"/>
                    <w:adjustRightInd w:val="0"/>
                    <w:snapToGrid w:val="0"/>
                    <w:spacing w:before="0" w:after="0" w:line="240" w:lineRule="auto"/>
                    <w:jc w:val="center"/>
                    <w:rPr>
                      <w:rFonts w:ascii="Times New Roman" w:hAnsi="Times New Roman"/>
                      <w:b w:val="0"/>
                      <w:color w:val="000000" w:themeColor="text1"/>
                      <w:sz w:val="21"/>
                      <w:szCs w:val="21"/>
                      <w14:textFill>
                        <w14:solidFill>
                          <w14:schemeClr w14:val="tx1"/>
                        </w14:solidFill>
                      </w14:textFill>
                    </w:rPr>
                  </w:pPr>
                  <w:r>
                    <w:rPr>
                      <w:rFonts w:ascii="Times New Roman" w:hAnsi="Times New Roman"/>
                      <w:b w:val="0"/>
                      <w:color w:val="000000" w:themeColor="text1"/>
                      <w:sz w:val="21"/>
                      <w:szCs w:val="21"/>
                      <w14:textFill>
                        <w14:solidFill>
                          <w14:schemeClr w14:val="tx1"/>
                        </w14:solidFill>
                      </w14:textFill>
                    </w:rPr>
                    <w:t>CO</w:t>
                  </w:r>
                </w:p>
              </w:tc>
              <w:tc>
                <w:tcPr>
                  <w:tcW w:w="1653" w:type="dxa"/>
                  <w:vMerge w:val="restar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百分位数日平均或</w:t>
                  </w:r>
                  <w:r>
                    <w:rPr>
                      <w:color w:val="000000" w:themeColor="text1"/>
                      <w:szCs w:val="21"/>
                      <w14:textFill>
                        <w14:solidFill>
                          <w14:schemeClr w14:val="tx1"/>
                        </w14:solidFill>
                      </w14:textFill>
                    </w:rPr>
                    <w:t>8h</w:t>
                  </w:r>
                  <w:r>
                    <w:rPr>
                      <w:rFonts w:hint="eastAsia" w:hAnsi="宋体"/>
                      <w:color w:val="000000" w:themeColor="text1"/>
                      <w:szCs w:val="21"/>
                      <w14:textFill>
                        <w14:solidFill>
                          <w14:schemeClr w14:val="tx1"/>
                        </w14:solidFill>
                      </w14:textFill>
                    </w:rPr>
                    <w:t>平均质量浓度</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Ansi="宋体"/>
                      <w:color w:val="000000" w:themeColor="text1"/>
                      <w:kern w:val="0"/>
                      <w:szCs w:val="21"/>
                      <w14:textFill>
                        <w14:solidFill>
                          <w14:schemeClr w14:val="tx1"/>
                        </w14:solidFill>
                      </w14:textFill>
                    </w:rPr>
                    <w:t>1</w:t>
                  </w:r>
                  <w:r>
                    <w:rPr>
                      <w:rFonts w:hint="eastAsia" w:hAnsi="宋体"/>
                      <w:color w:val="000000" w:themeColor="text1"/>
                      <w:kern w:val="0"/>
                      <w:szCs w:val="21"/>
                      <w:lang w:val="en-US" w:eastAsia="zh-CN"/>
                      <w14:textFill>
                        <w14:solidFill>
                          <w14:schemeClr w14:val="tx1"/>
                        </w14:solidFill>
                      </w14:textFill>
                    </w:rPr>
                    <w:t>200</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4000</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hAnsi="宋体" w:eastAsia="宋体"/>
                      <w:color w:val="000000" w:themeColor="text1"/>
                      <w:kern w:val="0"/>
                      <w:szCs w:val="21"/>
                      <w:lang w:eastAsia="zh-CN"/>
                      <w14:textFill>
                        <w14:solidFill>
                          <w14:schemeClr w14:val="tx1"/>
                        </w14:solidFill>
                      </w14:textFill>
                    </w:rPr>
                  </w:pPr>
                  <w:r>
                    <w:rPr>
                      <w:color w:val="000000" w:themeColor="text1"/>
                      <w:sz w:val="22"/>
                      <w14:textFill>
                        <w14:solidFill>
                          <w14:schemeClr w14:val="tx1"/>
                        </w14:solidFill>
                      </w14:textFill>
                    </w:rPr>
                    <w:t>3</w:t>
                  </w:r>
                  <w:r>
                    <w:rPr>
                      <w:rFonts w:hint="eastAsia"/>
                      <w:color w:val="000000" w:themeColor="text1"/>
                      <w:sz w:val="22"/>
                      <w:lang w:val="en-US" w:eastAsia="zh-CN"/>
                      <w14:textFill>
                        <w14:solidFill>
                          <w14:schemeClr w14:val="tx1"/>
                        </w14:solidFill>
                      </w14:textFill>
                    </w:rPr>
                    <w:t>0</w:t>
                  </w:r>
                </w:p>
              </w:tc>
              <w:tc>
                <w:tcPr>
                  <w:tcW w:w="1259"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68" w:type="dxa"/>
                  <w:tcBorders>
                    <w:top w:val="single" w:color="auto" w:sz="4" w:space="0"/>
                    <w:left w:val="single" w:color="auto" w:sz="12" w:space="0"/>
                    <w:bottom w:val="single" w:color="auto" w:sz="12" w:space="0"/>
                    <w:right w:val="single" w:color="auto" w:sz="4" w:space="0"/>
                  </w:tcBorders>
                  <w:vAlign w:val="center"/>
                </w:tcPr>
                <w:p>
                  <w:pPr>
                    <w:pStyle w:val="4"/>
                    <w:adjustRightInd w:val="0"/>
                    <w:snapToGrid w:val="0"/>
                    <w:spacing w:before="0" w:after="0" w:line="240" w:lineRule="auto"/>
                    <w:jc w:val="center"/>
                    <w:rPr>
                      <w:rFonts w:ascii="Times New Roman" w:hAnsi="Times New Roman"/>
                      <w:b w:val="0"/>
                      <w:color w:val="000000" w:themeColor="text1"/>
                      <w:sz w:val="21"/>
                      <w:szCs w:val="21"/>
                      <w:vertAlign w:val="subscript"/>
                      <w14:textFill>
                        <w14:solidFill>
                          <w14:schemeClr w14:val="tx1"/>
                        </w14:solidFill>
                      </w14:textFill>
                    </w:rPr>
                  </w:pPr>
                  <w:r>
                    <w:rPr>
                      <w:rFonts w:ascii="Times New Roman" w:hAnsi="Times New Roman"/>
                      <w:b w:val="0"/>
                      <w:color w:val="000000" w:themeColor="text1"/>
                      <w:sz w:val="21"/>
                      <w:szCs w:val="21"/>
                      <w14:textFill>
                        <w14:solidFill>
                          <w14:schemeClr w14:val="tx1"/>
                        </w14:solidFill>
                      </w14:textFill>
                    </w:rPr>
                    <w:t>O</w:t>
                  </w:r>
                  <w:r>
                    <w:rPr>
                      <w:rFonts w:ascii="Times New Roman" w:hAnsi="Times New Roman"/>
                      <w:b w:val="0"/>
                      <w:color w:val="000000" w:themeColor="text1"/>
                      <w:sz w:val="21"/>
                      <w:szCs w:val="21"/>
                      <w:vertAlign w:val="subscript"/>
                      <w14:textFill>
                        <w14:solidFill>
                          <w14:schemeClr w14:val="tx1"/>
                        </w14:solidFill>
                      </w14:textFill>
                    </w:rPr>
                    <w:t>3</w:t>
                  </w:r>
                </w:p>
              </w:tc>
              <w:tc>
                <w:tcPr>
                  <w:tcW w:w="165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125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hAnsi="宋体"/>
                      <w:color w:val="000000" w:themeColor="text1"/>
                      <w:kern w:val="0"/>
                      <w:szCs w:val="21"/>
                      <w:lang w:val="en-US" w:eastAsia="zh-CN"/>
                      <w14:textFill>
                        <w14:solidFill>
                          <w14:schemeClr w14:val="tx1"/>
                        </w14:solidFill>
                      </w14:textFill>
                    </w:rPr>
                    <w:t>95</w:t>
                  </w:r>
                </w:p>
              </w:tc>
              <w:tc>
                <w:tcPr>
                  <w:tcW w:w="125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160</w:t>
                  </w:r>
                </w:p>
              </w:tc>
              <w:tc>
                <w:tcPr>
                  <w:tcW w:w="125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hAnsi="宋体" w:eastAsia="宋体"/>
                      <w:color w:val="000000" w:themeColor="text1"/>
                      <w:kern w:val="0"/>
                      <w:szCs w:val="21"/>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59</w:t>
                  </w:r>
                </w:p>
              </w:tc>
              <w:tc>
                <w:tcPr>
                  <w:tcW w:w="1259"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达标</w:t>
                  </w:r>
                </w:p>
              </w:tc>
            </w:tr>
          </w:tbl>
          <w:p>
            <w:pPr>
              <w:adjustRightInd w:val="0"/>
              <w:snapToGrid w:val="0"/>
              <w:spacing w:line="360" w:lineRule="auto"/>
              <w:ind w:right="-6" w:firstLine="480" w:firstLineChars="200"/>
              <w:jc w:val="left"/>
              <w:rPr>
                <w:rFonts w:hAnsi="宋体"/>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根据统计结果，</w:t>
            </w:r>
            <w:r>
              <w:rPr>
                <w:rFonts w:hAnsi="宋体"/>
                <w:color w:val="000000" w:themeColor="text1"/>
                <w:kern w:val="0"/>
                <w:sz w:val="24"/>
                <w14:textFill>
                  <w14:solidFill>
                    <w14:schemeClr w14:val="tx1"/>
                  </w14:solidFill>
                </w14:textFill>
              </w:rPr>
              <w:t>PM</w:t>
            </w:r>
            <w:r>
              <w:rPr>
                <w:rFonts w:hAnsi="宋体"/>
                <w:color w:val="000000" w:themeColor="text1"/>
                <w:kern w:val="0"/>
                <w:sz w:val="24"/>
                <w:vertAlign w:val="subscript"/>
                <w14:textFill>
                  <w14:solidFill>
                    <w14:schemeClr w14:val="tx1"/>
                  </w14:solidFill>
                </w14:textFill>
              </w:rPr>
              <w:t>2.5</w:t>
            </w:r>
            <w:r>
              <w:rPr>
                <w:rFonts w:hint="eastAsia" w:hAnsi="宋体"/>
                <w:color w:val="000000" w:themeColor="text1"/>
                <w:kern w:val="0"/>
                <w:sz w:val="24"/>
                <w:lang w:eastAsia="zh-CN"/>
                <w14:textFill>
                  <w14:solidFill>
                    <w14:schemeClr w14:val="tx1"/>
                  </w14:solidFill>
                </w14:textFill>
              </w:rPr>
              <w:t>、</w:t>
            </w:r>
            <w:r>
              <w:rPr>
                <w:rFonts w:hAnsi="宋体"/>
                <w:color w:val="000000" w:themeColor="text1"/>
                <w:kern w:val="0"/>
                <w:sz w:val="24"/>
                <w14:textFill>
                  <w14:solidFill>
                    <w14:schemeClr w14:val="tx1"/>
                  </w14:solidFill>
                </w14:textFill>
              </w:rPr>
              <w:t>PM</w:t>
            </w:r>
            <w:r>
              <w:rPr>
                <w:rFonts w:hAnsi="宋体"/>
                <w:color w:val="000000" w:themeColor="text1"/>
                <w:kern w:val="0"/>
                <w:sz w:val="24"/>
                <w:vertAlign w:val="subscript"/>
                <w14:textFill>
                  <w14:solidFill>
                    <w14:schemeClr w14:val="tx1"/>
                  </w14:solidFill>
                </w14:textFill>
              </w:rPr>
              <w:t>10</w:t>
            </w:r>
            <w:r>
              <w:rPr>
                <w:rFonts w:hint="eastAsia" w:hAnsi="宋体"/>
                <w:color w:val="000000" w:themeColor="text1"/>
                <w:kern w:val="0"/>
                <w:sz w:val="24"/>
                <w14:textFill>
                  <w14:solidFill>
                    <w14:schemeClr w14:val="tx1"/>
                  </w14:solidFill>
                </w14:textFill>
              </w:rPr>
              <w:t>、</w:t>
            </w: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w:t>
            </w:r>
            <w:r>
              <w:rPr>
                <w:rFonts w:hAnsi="宋体"/>
                <w:color w:val="000000" w:themeColor="text1"/>
                <w:kern w:val="0"/>
                <w:sz w:val="24"/>
                <w14:textFill>
                  <w14:solidFill>
                    <w14:schemeClr w14:val="tx1"/>
                  </w14:solidFill>
                </w14:textFill>
              </w:rPr>
              <w:t>SO</w:t>
            </w:r>
            <w:r>
              <w:rPr>
                <w:rFonts w:hAnsi="宋体"/>
                <w:color w:val="000000" w:themeColor="text1"/>
                <w:kern w:val="0"/>
                <w:sz w:val="24"/>
                <w:vertAlign w:val="subscript"/>
                <w14:textFill>
                  <w14:solidFill>
                    <w14:schemeClr w14:val="tx1"/>
                  </w14:solidFill>
                </w14:textFill>
              </w:rPr>
              <w:t>2</w:t>
            </w:r>
            <w:r>
              <w:rPr>
                <w:rFonts w:hint="eastAsia" w:hAnsi="宋体"/>
                <w:color w:val="000000" w:themeColor="text1"/>
                <w:kern w:val="0"/>
                <w:sz w:val="24"/>
                <w14:textFill>
                  <w14:solidFill>
                    <w14:schemeClr w14:val="tx1"/>
                  </w14:solidFill>
                </w14:textFill>
              </w:rPr>
              <w:t>年均浓度、</w:t>
            </w:r>
            <w:r>
              <w:rPr>
                <w:rFonts w:hAnsi="宋体"/>
                <w:color w:val="000000" w:themeColor="text1"/>
                <w:kern w:val="0"/>
                <w:sz w:val="24"/>
                <w14:textFill>
                  <w14:solidFill>
                    <w14:schemeClr w14:val="tx1"/>
                  </w14:solidFill>
                </w14:textFill>
              </w:rPr>
              <w:t>O</w:t>
            </w:r>
            <w:r>
              <w:rPr>
                <w:rFonts w:hAnsi="宋体"/>
                <w:color w:val="000000" w:themeColor="text1"/>
                <w:kern w:val="0"/>
                <w:sz w:val="24"/>
                <w:vertAlign w:val="subscript"/>
                <w14:textFill>
                  <w14:solidFill>
                    <w14:schemeClr w14:val="tx1"/>
                  </w14:solidFill>
                </w14:textFill>
              </w:rPr>
              <w:t>3</w:t>
            </w:r>
            <w:r>
              <w:rPr>
                <w:rFonts w:hAnsi="宋体"/>
                <w:color w:val="000000" w:themeColor="text1"/>
                <w:kern w:val="0"/>
                <w:sz w:val="24"/>
                <w14:textFill>
                  <w14:solidFill>
                    <w14:schemeClr w14:val="tx1"/>
                  </w14:solidFill>
                </w14:textFill>
              </w:rPr>
              <w:t>8</w:t>
            </w:r>
            <w:r>
              <w:rPr>
                <w:rFonts w:hint="eastAsia" w:hAnsi="宋体"/>
                <w:color w:val="000000" w:themeColor="text1"/>
                <w:kern w:val="0"/>
                <w:sz w:val="24"/>
                <w14:textFill>
                  <w14:solidFill>
                    <w14:schemeClr w14:val="tx1"/>
                  </w14:solidFill>
                </w14:textFill>
              </w:rPr>
              <w:t>小时均值、</w:t>
            </w:r>
            <w:r>
              <w:rPr>
                <w:rFonts w:hAnsi="宋体"/>
                <w:color w:val="000000" w:themeColor="text1"/>
                <w:kern w:val="0"/>
                <w:sz w:val="24"/>
                <w14:textFill>
                  <w14:solidFill>
                    <w14:schemeClr w14:val="tx1"/>
                  </w14:solidFill>
                </w14:textFill>
              </w:rPr>
              <w:t>CO24h</w:t>
            </w:r>
            <w:r>
              <w:rPr>
                <w:rFonts w:hint="eastAsia" w:hAnsi="宋体"/>
                <w:color w:val="000000" w:themeColor="text1"/>
                <w:kern w:val="0"/>
                <w:sz w:val="24"/>
                <w14:textFill>
                  <w14:solidFill>
                    <w14:schemeClr w14:val="tx1"/>
                  </w14:solidFill>
                </w14:textFill>
              </w:rPr>
              <w:t>均值达标，根据《环境影响评价技术导则大气环境》（</w:t>
            </w:r>
            <w:r>
              <w:rPr>
                <w:rFonts w:hAnsi="宋体"/>
                <w:color w:val="000000" w:themeColor="text1"/>
                <w:kern w:val="0"/>
                <w:sz w:val="24"/>
                <w14:textFill>
                  <w14:solidFill>
                    <w14:schemeClr w14:val="tx1"/>
                  </w14:solidFill>
                </w14:textFill>
              </w:rPr>
              <w:t>HJ2.2-2018</w:t>
            </w:r>
            <w:r>
              <w:rPr>
                <w:rFonts w:hint="eastAsia" w:hAnsi="宋体"/>
                <w:color w:val="000000" w:themeColor="text1"/>
                <w:kern w:val="0"/>
                <w:sz w:val="24"/>
                <w14:textFill>
                  <w14:solidFill>
                    <w14:schemeClr w14:val="tx1"/>
                  </w14:solidFill>
                </w14:textFill>
              </w:rPr>
              <w:t>）判定项目所在区域为达标区。</w:t>
            </w:r>
          </w:p>
          <w:p>
            <w:pPr>
              <w:adjustRightInd w:val="0"/>
              <w:snapToGrid w:val="0"/>
              <w:spacing w:line="360" w:lineRule="auto"/>
              <w:ind w:right="-6" w:firstLine="480" w:firstLineChars="200"/>
              <w:jc w:val="left"/>
              <w:rPr>
                <w:rFonts w:hAnsi="宋体"/>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2</w:t>
            </w:r>
            <w:r>
              <w:rPr>
                <w:rFonts w:hint="eastAsia" w:hAnsi="宋体"/>
                <w:color w:val="000000" w:themeColor="text1"/>
                <w:kern w:val="0"/>
                <w:sz w:val="24"/>
                <w14:textFill>
                  <w14:solidFill>
                    <w14:schemeClr w14:val="tx1"/>
                  </w14:solidFill>
                </w14:textFill>
              </w:rPr>
              <w:t>）区域环境空气质量补测</w:t>
            </w:r>
          </w:p>
          <w:p>
            <w:pPr>
              <w:adjustRightInd w:val="0"/>
              <w:snapToGrid w:val="0"/>
              <w:spacing w:line="360" w:lineRule="auto"/>
              <w:ind w:right="-6" w:firstLine="480" w:firstLineChars="200"/>
              <w:jc w:val="left"/>
              <w:rPr>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建设单位委托了陕西</w:t>
            </w:r>
            <w:r>
              <w:rPr>
                <w:rFonts w:hint="eastAsia" w:hAnsi="宋体"/>
                <w:color w:val="000000" w:themeColor="text1"/>
                <w:kern w:val="0"/>
                <w:sz w:val="24"/>
                <w:lang w:val="en-US" w:eastAsia="zh-CN"/>
                <w14:textFill>
                  <w14:solidFill>
                    <w14:schemeClr w14:val="tx1"/>
                  </w14:solidFill>
                </w14:textFill>
              </w:rPr>
              <w:t>正环</w:t>
            </w:r>
            <w:r>
              <w:rPr>
                <w:rFonts w:hint="eastAsia" w:hAnsi="宋体"/>
                <w:color w:val="000000" w:themeColor="text1"/>
                <w:kern w:val="0"/>
                <w:sz w:val="24"/>
                <w14:textFill>
                  <w14:solidFill>
                    <w14:schemeClr w14:val="tx1"/>
                  </w14:solidFill>
                </w14:textFill>
              </w:rPr>
              <w:t>检测</w:t>
            </w:r>
            <w:r>
              <w:rPr>
                <w:rFonts w:hint="eastAsia" w:hAnsi="宋体"/>
                <w:color w:val="000000" w:themeColor="text1"/>
                <w:kern w:val="0"/>
                <w:sz w:val="24"/>
                <w:lang w:val="en-US" w:eastAsia="zh-CN"/>
                <w14:textFill>
                  <w14:solidFill>
                    <w14:schemeClr w14:val="tx1"/>
                  </w14:solidFill>
                </w14:textFill>
              </w:rPr>
              <w:t>技术</w:t>
            </w:r>
            <w:r>
              <w:rPr>
                <w:rFonts w:hint="eastAsia" w:hAnsi="宋体"/>
                <w:color w:val="000000" w:themeColor="text1"/>
                <w:kern w:val="0"/>
                <w:sz w:val="24"/>
                <w14:textFill>
                  <w14:solidFill>
                    <w14:schemeClr w14:val="tx1"/>
                  </w14:solidFill>
                </w14:textFill>
              </w:rPr>
              <w:t>有限公司对本项目所在区域进行了特征污染因子补测，监测报告见附件。</w:t>
            </w:r>
          </w:p>
          <w:p>
            <w:pPr>
              <w:adjustRightInd w:val="0"/>
              <w:snapToGrid w:val="0"/>
              <w:spacing w:line="360" w:lineRule="auto"/>
              <w:ind w:left="2" w:leftChars="1" w:firstLine="420" w:firstLineChars="200"/>
              <w:jc w:val="left"/>
              <w:rPr>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①</w:t>
            </w:r>
            <w:r>
              <w:rPr>
                <w:rFonts w:hint="eastAsia" w:hAnsi="宋体"/>
                <w:color w:val="000000" w:themeColor="text1"/>
                <w:sz w:val="24"/>
                <w14:textFill>
                  <w14:solidFill>
                    <w14:schemeClr w14:val="tx1"/>
                  </w14:solidFill>
                </w14:textFill>
              </w:rPr>
              <w:t>监测布点：在项目所在地的下风向</w:t>
            </w:r>
            <w:r>
              <w:rPr>
                <w:color w:val="000000" w:themeColor="text1"/>
                <w:sz w:val="24"/>
                <w14:textFill>
                  <w14:solidFill>
                    <w14:schemeClr w14:val="tx1"/>
                  </w14:solidFill>
                </w14:textFill>
              </w:rPr>
              <w:t>G1</w:t>
            </w:r>
            <w:r>
              <w:rPr>
                <w:rFonts w:hint="eastAsia" w:hAnsi="宋体"/>
                <w:color w:val="000000" w:themeColor="text1"/>
                <w:sz w:val="24"/>
                <w14:textFill>
                  <w14:solidFill>
                    <w14:schemeClr w14:val="tx1"/>
                  </w14:solidFill>
                </w14:textFill>
              </w:rPr>
              <w:t>布设</w:t>
            </w:r>
            <w:r>
              <w:rPr>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个监测点位，具体监测点位见附图。</w:t>
            </w:r>
          </w:p>
          <w:p>
            <w:pPr>
              <w:pStyle w:val="46"/>
              <w:adjustRightInd w:val="0"/>
              <w:snapToGrid w:val="0"/>
              <w:spacing w:line="360" w:lineRule="auto"/>
              <w:jc w:val="left"/>
              <w:rPr>
                <w:rFonts w:ascii="Times New Roman" w:hAnsi="Times New Roman"/>
                <w:color w:val="000000" w:themeColor="text1"/>
                <w:sz w:val="24"/>
                <w:szCs w:val="24"/>
                <w14:textFill>
                  <w14:solidFill>
                    <w14:schemeClr w14:val="tx1"/>
                  </w14:solidFill>
                </w14:textFill>
              </w:rPr>
            </w:pPr>
            <w:r>
              <w:rPr>
                <w:rFonts w:hint="eastAsia" w:ascii="Times New Roman" w:hAnsi="宋体"/>
                <w:color w:val="000000" w:themeColor="text1"/>
                <w14:textFill>
                  <w14:solidFill>
                    <w14:schemeClr w14:val="tx1"/>
                  </w14:solidFill>
                </w14:textFill>
              </w:rPr>
              <w:t>②</w:t>
            </w:r>
            <w:r>
              <w:rPr>
                <w:rFonts w:hint="eastAsia" w:ascii="Times New Roman" w:hAnsi="宋体"/>
                <w:color w:val="000000" w:themeColor="text1"/>
                <w:sz w:val="24"/>
                <w14:textFill>
                  <w14:solidFill>
                    <w14:schemeClr w14:val="tx1"/>
                  </w14:solidFill>
                </w14:textFill>
              </w:rPr>
              <w:t>监测项目：</w:t>
            </w:r>
            <w:r>
              <w:rPr>
                <w:rFonts w:ascii="Times New Roman" w:hAnsi="Times New Roman"/>
                <w:color w:val="000000" w:themeColor="text1"/>
                <w:sz w:val="24"/>
                <w:szCs w:val="24"/>
                <w14:textFill>
                  <w14:solidFill>
                    <w14:schemeClr w14:val="tx1"/>
                  </w14:solidFill>
                </w14:textFill>
              </w:rPr>
              <w:t>TSP</w:t>
            </w:r>
            <w:r>
              <w:rPr>
                <w:rFonts w:hint="eastAsia" w:ascii="Times New Roman" w:hAnsi="宋体"/>
                <w:color w:val="000000" w:themeColor="text1"/>
                <w:sz w:val="24"/>
                <w14:textFill>
                  <w14:solidFill>
                    <w14:schemeClr w14:val="tx1"/>
                  </w14:solidFill>
                </w14:textFill>
              </w:rPr>
              <w:t>及监测期间的常规气象要素（风向、风速、气压、气温等）。</w:t>
            </w:r>
          </w:p>
          <w:p>
            <w:pPr>
              <w:adjustRightInd w:val="0"/>
              <w:snapToGrid w:val="0"/>
              <w:spacing w:line="360" w:lineRule="auto"/>
              <w:ind w:left="2" w:leftChars="1" w:firstLine="420" w:firstLineChars="200"/>
              <w:jc w:val="left"/>
              <w:rPr>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③</w:t>
            </w:r>
            <w:r>
              <w:rPr>
                <w:rFonts w:hint="eastAsia" w:hAnsi="宋体"/>
                <w:color w:val="000000" w:themeColor="text1"/>
                <w:sz w:val="24"/>
                <w14:textFill>
                  <w14:solidFill>
                    <w14:schemeClr w14:val="tx1"/>
                  </w14:solidFill>
                </w14:textFill>
              </w:rPr>
              <w:t>监测频率：</w:t>
            </w:r>
            <w:r>
              <w:rPr>
                <w:color w:val="000000" w:themeColor="text1"/>
                <w:sz w:val="24"/>
                <w14:textFill>
                  <w14:solidFill>
                    <w14:schemeClr w14:val="tx1"/>
                  </w14:solidFill>
                </w14:textFill>
              </w:rPr>
              <w:t>TSP</w:t>
            </w:r>
            <w:r>
              <w:rPr>
                <w:rFonts w:hint="eastAsia" w:hAnsi="宋体"/>
                <w:color w:val="000000" w:themeColor="text1"/>
                <w:sz w:val="24"/>
                <w14:textFill>
                  <w14:solidFill>
                    <w14:schemeClr w14:val="tx1"/>
                  </w14:solidFill>
                </w14:textFill>
              </w:rPr>
              <w:t>应有监测</w:t>
            </w:r>
            <w:r>
              <w:rPr>
                <w:color w:val="000000" w:themeColor="text1"/>
                <w:sz w:val="24"/>
                <w14:textFill>
                  <w14:solidFill>
                    <w14:schemeClr w14:val="tx1"/>
                  </w14:solidFill>
                </w14:textFill>
              </w:rPr>
              <w:t>24</w:t>
            </w:r>
            <w:r>
              <w:rPr>
                <w:rFonts w:hint="eastAsia" w:hAnsi="宋体"/>
                <w:color w:val="000000" w:themeColor="text1"/>
                <w:sz w:val="24"/>
                <w14:textFill>
                  <w14:solidFill>
                    <w14:schemeClr w14:val="tx1"/>
                  </w14:solidFill>
                </w14:textFill>
              </w:rPr>
              <w:t>小时均值。</w:t>
            </w:r>
          </w:p>
          <w:p>
            <w:pPr>
              <w:adjustRightInd w:val="0"/>
              <w:snapToGrid w:val="0"/>
              <w:spacing w:line="360" w:lineRule="auto"/>
              <w:ind w:left="2" w:leftChars="1" w:firstLine="420" w:firstLineChars="200"/>
              <w:jc w:val="left"/>
              <w:rPr>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④</w:t>
            </w:r>
            <w:r>
              <w:rPr>
                <w:rFonts w:hint="eastAsia" w:hAnsi="宋体"/>
                <w:color w:val="000000" w:themeColor="text1"/>
                <w:sz w:val="24"/>
                <w14:textFill>
                  <w14:solidFill>
                    <w14:schemeClr w14:val="tx1"/>
                  </w14:solidFill>
                </w14:textFill>
              </w:rPr>
              <w:t>环境空气质量现状监测结果</w:t>
            </w:r>
          </w:p>
          <w:p>
            <w:pPr>
              <w:adjustRightInd w:val="0"/>
              <w:snapToGrid w:val="0"/>
              <w:spacing w:line="360" w:lineRule="auto"/>
              <w:ind w:left="2" w:leftChars="1" w:firstLine="480" w:firstLineChars="200"/>
              <w:jc w:val="left"/>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本次空气环境监测时段为</w:t>
            </w:r>
            <w:r>
              <w:rPr>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22.8.5</w:t>
            </w:r>
            <w:r>
              <w:rPr>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22.8.6</w:t>
            </w:r>
            <w:r>
              <w:rPr>
                <w:rFonts w:hint="eastAsia" w:hAnsi="宋体"/>
                <w:color w:val="000000" w:themeColor="text1"/>
                <w:sz w:val="24"/>
                <w14:textFill>
                  <w14:solidFill>
                    <w14:schemeClr w14:val="tx1"/>
                  </w14:solidFill>
                </w14:textFill>
              </w:rPr>
              <w:t>，具体的监测结果</w:t>
            </w:r>
            <w:r>
              <w:rPr>
                <w:rFonts w:hint="eastAsia" w:hAnsi="宋体"/>
                <w:color w:val="000000" w:themeColor="text1"/>
                <w:sz w:val="24"/>
                <w:lang w:val="en-US" w:eastAsia="zh-CN"/>
                <w14:textFill>
                  <w14:solidFill>
                    <w14:schemeClr w14:val="tx1"/>
                  </w14:solidFill>
                </w14:textFill>
              </w:rPr>
              <w:t>见下表</w:t>
            </w:r>
            <w:r>
              <w:rPr>
                <w:rFonts w:hint="eastAsia" w:hAnsi="宋体"/>
                <w:color w:val="000000" w:themeColor="text1"/>
                <w:sz w:val="24"/>
                <w14:textFill>
                  <w14:solidFill>
                    <w14:schemeClr w14:val="tx1"/>
                  </w14:solidFill>
                </w14:textFill>
              </w:rPr>
              <w:t>。</w:t>
            </w:r>
          </w:p>
          <w:p>
            <w:pPr>
              <w:adjustRightInd w:val="0"/>
              <w:snapToGrid w:val="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表</w:t>
            </w:r>
            <w:r>
              <w:rPr>
                <w:rFonts w:hint="eastAsia" w:hAnsi="宋体"/>
                <w:b/>
                <w:bCs/>
                <w:color w:val="000000" w:themeColor="text1"/>
                <w:szCs w:val="21"/>
                <w:lang w:val="en-US" w:eastAsia="zh-CN"/>
                <w14:textFill>
                  <w14:solidFill>
                    <w14:schemeClr w14:val="tx1"/>
                  </w14:solidFill>
                </w14:textFill>
              </w:rPr>
              <w:t>18</w:t>
            </w:r>
            <w:r>
              <w:rPr>
                <w:rFonts w:hint="eastAsia" w:hAnsi="宋体"/>
                <w:b/>
                <w:bCs/>
                <w:color w:val="000000" w:themeColor="text1"/>
                <w:szCs w:val="21"/>
                <w14:textFill>
                  <w14:solidFill>
                    <w14:schemeClr w14:val="tx1"/>
                  </w14:solidFill>
                </w14:textFill>
              </w:rPr>
              <w:t>其他污染物补充监测点位基本信息</w:t>
            </w:r>
          </w:p>
          <w:tbl>
            <w:tblPr>
              <w:tblStyle w:val="19"/>
              <w:tblW w:w="8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1126"/>
              <w:gridCol w:w="1240"/>
              <w:gridCol w:w="987"/>
              <w:gridCol w:w="2237"/>
              <w:gridCol w:w="638"/>
              <w:gridCol w:w="9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923"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监测点名称</w:t>
                  </w:r>
                </w:p>
              </w:tc>
              <w:tc>
                <w:tcPr>
                  <w:tcW w:w="2366"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监测点坐标</w:t>
                  </w:r>
                  <w:r>
                    <w:rPr>
                      <w:rFonts w:hAnsi="宋体"/>
                      <w:b/>
                      <w:bCs/>
                      <w:color w:val="000000" w:themeColor="text1"/>
                      <w:szCs w:val="21"/>
                      <w14:textFill>
                        <w14:solidFill>
                          <w14:schemeClr w14:val="tx1"/>
                        </w14:solidFill>
                      </w14:textFill>
                    </w:rPr>
                    <w:t>/m</w:t>
                  </w:r>
                </w:p>
              </w:tc>
              <w:tc>
                <w:tcPr>
                  <w:tcW w:w="987"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监测因子</w:t>
                  </w:r>
                </w:p>
              </w:tc>
              <w:tc>
                <w:tcPr>
                  <w:tcW w:w="2237"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监测时段</w:t>
                  </w:r>
                </w:p>
              </w:tc>
              <w:tc>
                <w:tcPr>
                  <w:tcW w:w="638"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相对厂址方位</w:t>
                  </w:r>
                </w:p>
              </w:tc>
              <w:tc>
                <w:tcPr>
                  <w:tcW w:w="927"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相对厂家距离</w:t>
                  </w:r>
                  <w:r>
                    <w:rPr>
                      <w:rFonts w:hAnsi="宋体"/>
                      <w:b/>
                      <w:bCs/>
                      <w:color w:val="000000" w:themeColor="text1"/>
                      <w:szCs w:val="21"/>
                      <w14:textFill>
                        <w14:solidFill>
                          <w14:schemeClr w14:val="tx1"/>
                        </w14:solidFill>
                      </w14:textFill>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94" w:hRule="atLeast"/>
                <w:jc w:val="center"/>
              </w:trPr>
              <w:tc>
                <w:tcPr>
                  <w:tcW w:w="923" w:type="dxa"/>
                  <w:tcBorders>
                    <w:top w:val="single" w:color="auto" w:sz="6" w:space="0"/>
                    <w:left w:val="single" w:color="auto" w:sz="12" w:space="0"/>
                    <w:bottom w:val="single" w:color="auto" w:sz="12" w:space="0"/>
                    <w:right w:val="single" w:color="auto" w:sz="6" w:space="0"/>
                  </w:tcBorders>
                  <w:vAlign w:val="center"/>
                </w:tcPr>
                <w:p>
                  <w:pPr>
                    <w:spacing w:line="2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G1</w:t>
                  </w:r>
                </w:p>
              </w:tc>
              <w:tc>
                <w:tcPr>
                  <w:tcW w:w="1126"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286549.93</w:t>
                  </w:r>
                </w:p>
              </w:tc>
              <w:tc>
                <w:tcPr>
                  <w:tcW w:w="1240"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3632412.02</w:t>
                  </w:r>
                </w:p>
              </w:tc>
              <w:tc>
                <w:tcPr>
                  <w:tcW w:w="987"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hAnsi="宋体"/>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TSP</w:t>
                  </w:r>
                </w:p>
              </w:tc>
              <w:tc>
                <w:tcPr>
                  <w:tcW w:w="2237"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hint="default" w:hAnsi="宋体" w:eastAsia="宋体"/>
                      <w:bCs/>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22.8.8</w:t>
                  </w:r>
                  <w:r>
                    <w:rPr>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22.8.14</w:t>
                  </w:r>
                </w:p>
              </w:tc>
              <w:tc>
                <w:tcPr>
                  <w:tcW w:w="638"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hint="eastAsia" w:hAnsi="宋体" w:eastAsia="宋体"/>
                      <w:bCs/>
                      <w:color w:val="000000" w:themeColor="text1"/>
                      <w:szCs w:val="21"/>
                      <w:lang w:val="en-US" w:eastAsia="zh-CN"/>
                      <w14:textFill>
                        <w14:solidFill>
                          <w14:schemeClr w14:val="tx1"/>
                        </w14:solidFill>
                      </w14:textFill>
                    </w:rPr>
                  </w:pPr>
                  <w:r>
                    <w:rPr>
                      <w:rFonts w:hAnsi="宋体"/>
                      <w:bCs/>
                      <w:color w:val="000000" w:themeColor="text1"/>
                      <w:szCs w:val="21"/>
                      <w14:textFill>
                        <w14:solidFill>
                          <w14:schemeClr w14:val="tx1"/>
                        </w14:solidFill>
                      </w14:textFill>
                    </w:rPr>
                    <w:t>西</w:t>
                  </w:r>
                  <w:r>
                    <w:rPr>
                      <w:rFonts w:hint="eastAsia" w:hAnsi="宋体"/>
                      <w:bCs/>
                      <w:color w:val="000000" w:themeColor="text1"/>
                      <w:szCs w:val="21"/>
                      <w:lang w:val="en-US" w:eastAsia="zh-CN"/>
                      <w14:textFill>
                        <w14:solidFill>
                          <w14:schemeClr w14:val="tx1"/>
                        </w14:solidFill>
                      </w14:textFill>
                    </w:rPr>
                    <w:t>侧</w:t>
                  </w:r>
                </w:p>
              </w:tc>
              <w:tc>
                <w:tcPr>
                  <w:tcW w:w="927"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200</w:t>
                  </w:r>
                </w:p>
              </w:tc>
            </w:tr>
          </w:tbl>
          <w:p>
            <w:pPr>
              <w:adjustRightInd w:val="0"/>
              <w:snapToGrid w:val="0"/>
              <w:jc w:val="center"/>
              <w:rPr>
                <w:rFonts w:hint="eastAsia" w:hAnsi="宋体"/>
                <w:b/>
                <w:bCs/>
                <w:color w:val="000000" w:themeColor="text1"/>
                <w:szCs w:val="21"/>
                <w14:textFill>
                  <w14:solidFill>
                    <w14:schemeClr w14:val="tx1"/>
                  </w14:solidFill>
                </w14:textFill>
              </w:rPr>
            </w:pPr>
          </w:p>
          <w:p>
            <w:pPr>
              <w:adjustRightInd w:val="0"/>
              <w:snapToGrid w:val="0"/>
              <w:jc w:val="center"/>
              <w:rPr>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表</w:t>
            </w:r>
            <w:r>
              <w:rPr>
                <w:rFonts w:hint="eastAsia"/>
                <w:b/>
                <w:bCs/>
                <w:color w:val="000000" w:themeColor="text1"/>
                <w:szCs w:val="21"/>
                <w:lang w:val="en-US" w:eastAsia="zh-CN"/>
                <w14:textFill>
                  <w14:solidFill>
                    <w14:schemeClr w14:val="tx1"/>
                  </w14:solidFill>
                </w14:textFill>
              </w:rPr>
              <w:t>19</w:t>
            </w:r>
            <w:r>
              <w:rPr>
                <w:rFonts w:hint="eastAsia"/>
                <w:b/>
                <w:bCs/>
                <w:color w:val="000000" w:themeColor="text1"/>
                <w:szCs w:val="21"/>
                <w14:textFill>
                  <w14:solidFill>
                    <w14:schemeClr w14:val="tx1"/>
                  </w14:solidFill>
                </w14:textFill>
              </w:rPr>
              <w:t>其他污染物环境质量现状（监测结果）</w:t>
            </w:r>
          </w:p>
          <w:tbl>
            <w:tblPr>
              <w:tblStyle w:val="19"/>
              <w:tblW w:w="7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7"/>
              <w:gridCol w:w="1172"/>
              <w:gridCol w:w="1296"/>
              <w:gridCol w:w="719"/>
              <w:gridCol w:w="574"/>
              <w:gridCol w:w="1138"/>
              <w:gridCol w:w="1084"/>
              <w:gridCol w:w="354"/>
              <w:gridCol w:w="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597" w:type="dxa"/>
                  <w:vMerge w:val="restart"/>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监测点位</w:t>
                  </w:r>
                </w:p>
              </w:tc>
              <w:tc>
                <w:tcPr>
                  <w:tcW w:w="2468"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监测点坐标</w:t>
                  </w:r>
                  <w:r>
                    <w:rPr>
                      <w:rFonts w:hAnsi="宋体"/>
                      <w:b/>
                      <w:bCs/>
                      <w:color w:val="000000" w:themeColor="text1"/>
                      <w:szCs w:val="21"/>
                      <w14:textFill>
                        <w14:solidFill>
                          <w14:schemeClr w14:val="tx1"/>
                        </w14:solidFill>
                      </w14:textFill>
                    </w:rPr>
                    <w:t>/m</w:t>
                  </w:r>
                </w:p>
              </w:tc>
              <w:tc>
                <w:tcPr>
                  <w:tcW w:w="719"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污染物</w:t>
                  </w:r>
                </w:p>
              </w:tc>
              <w:tc>
                <w:tcPr>
                  <w:tcW w:w="574"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平均时间</w:t>
                  </w:r>
                </w:p>
              </w:tc>
              <w:tc>
                <w:tcPr>
                  <w:tcW w:w="1138"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评价标准</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ug/m</w:t>
                  </w:r>
                  <w:r>
                    <w:rPr>
                      <w:b/>
                      <w:color w:val="000000" w:themeColor="text1"/>
                      <w:szCs w:val="21"/>
                      <w:vertAlign w:val="superscript"/>
                      <w14:textFill>
                        <w14:solidFill>
                          <w14:schemeClr w14:val="tx1"/>
                        </w14:solidFill>
                      </w14:textFill>
                    </w:rPr>
                    <w:t>3</w:t>
                  </w:r>
                  <w:r>
                    <w:rPr>
                      <w:rFonts w:hint="eastAsia"/>
                      <w:b/>
                      <w:color w:val="000000" w:themeColor="text1"/>
                      <w:szCs w:val="21"/>
                      <w14:textFill>
                        <w14:solidFill>
                          <w14:schemeClr w14:val="tx1"/>
                        </w14:solidFill>
                      </w14:textFill>
                    </w:rPr>
                    <w:t>）</w:t>
                  </w:r>
                </w:p>
              </w:tc>
              <w:tc>
                <w:tcPr>
                  <w:tcW w:w="1084"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监测浓度范围</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ug/m</w:t>
                  </w:r>
                  <w:r>
                    <w:rPr>
                      <w:b/>
                      <w:color w:val="000000" w:themeColor="text1"/>
                      <w:szCs w:val="21"/>
                      <w:vertAlign w:val="superscript"/>
                      <w14:textFill>
                        <w14:solidFill>
                          <w14:schemeClr w14:val="tx1"/>
                        </w14:solidFill>
                      </w14:textFill>
                    </w:rPr>
                    <w:t>3</w:t>
                  </w:r>
                  <w:r>
                    <w:rPr>
                      <w:rFonts w:hint="eastAsia"/>
                      <w:b/>
                      <w:color w:val="000000" w:themeColor="text1"/>
                      <w:szCs w:val="21"/>
                      <w14:textFill>
                        <w14:solidFill>
                          <w14:schemeClr w14:val="tx1"/>
                        </w14:solidFill>
                      </w14:textFill>
                    </w:rPr>
                    <w:t>）</w:t>
                  </w:r>
                </w:p>
              </w:tc>
              <w:tc>
                <w:tcPr>
                  <w:tcW w:w="354"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超标率</w:t>
                  </w:r>
                  <w:r>
                    <w:rPr>
                      <w:b/>
                      <w:color w:val="000000" w:themeColor="text1"/>
                      <w:szCs w:val="21"/>
                      <w14:textFill>
                        <w14:solidFill>
                          <w14:schemeClr w14:val="tx1"/>
                        </w14:solidFill>
                      </w14:textFill>
                    </w:rPr>
                    <w:t>/%</w:t>
                  </w:r>
                </w:p>
              </w:tc>
              <w:tc>
                <w:tcPr>
                  <w:tcW w:w="713" w:type="dxa"/>
                  <w:vMerge w:val="restart"/>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597"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color w:val="000000" w:themeColor="text1"/>
                      <w:szCs w:val="21"/>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X</w:t>
                  </w:r>
                </w:p>
              </w:tc>
              <w:tc>
                <w:tcPr>
                  <w:tcW w:w="129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Y</w:t>
                  </w:r>
                </w:p>
              </w:tc>
              <w:tc>
                <w:tcPr>
                  <w:tcW w:w="719"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color w:val="000000" w:themeColor="text1"/>
                      <w:szCs w:val="21"/>
                      <w14:textFill>
                        <w14:solidFill>
                          <w14:schemeClr w14:val="tx1"/>
                        </w14:solidFill>
                      </w14:textFill>
                    </w:rPr>
                  </w:pPr>
                </w:p>
              </w:tc>
              <w:tc>
                <w:tcPr>
                  <w:tcW w:w="574"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color w:val="000000" w:themeColor="text1"/>
                      <w:szCs w:val="21"/>
                      <w14:textFill>
                        <w14:solidFill>
                          <w14:schemeClr w14:val="tx1"/>
                        </w14:solidFill>
                      </w14:textFill>
                    </w:rPr>
                  </w:pPr>
                </w:p>
              </w:tc>
              <w:tc>
                <w:tcPr>
                  <w:tcW w:w="1138"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color w:val="000000" w:themeColor="text1"/>
                      <w:szCs w:val="21"/>
                      <w14:textFill>
                        <w14:solidFill>
                          <w14:schemeClr w14:val="tx1"/>
                        </w14:solidFill>
                      </w14:textFill>
                    </w:rPr>
                  </w:pPr>
                </w:p>
              </w:tc>
              <w:tc>
                <w:tcPr>
                  <w:tcW w:w="1084"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color w:val="000000" w:themeColor="text1"/>
                      <w:szCs w:val="21"/>
                      <w14:textFill>
                        <w14:solidFill>
                          <w14:schemeClr w14:val="tx1"/>
                        </w14:solidFill>
                      </w14:textFill>
                    </w:rPr>
                  </w:pPr>
                </w:p>
              </w:tc>
              <w:tc>
                <w:tcPr>
                  <w:tcW w:w="354"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color w:val="000000" w:themeColor="text1"/>
                      <w:szCs w:val="21"/>
                      <w14:textFill>
                        <w14:solidFill>
                          <w14:schemeClr w14:val="tx1"/>
                        </w14:solidFill>
                      </w14:textFill>
                    </w:rPr>
                  </w:pPr>
                </w:p>
              </w:tc>
              <w:tc>
                <w:tcPr>
                  <w:tcW w:w="713"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597" w:type="dxa"/>
                  <w:tcBorders>
                    <w:top w:val="single" w:color="auto" w:sz="6" w:space="0"/>
                    <w:left w:val="single" w:color="auto" w:sz="12" w:space="0"/>
                    <w:bottom w:val="single" w:color="auto" w:sz="12" w:space="0"/>
                    <w:right w:val="single" w:color="auto" w:sz="6"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Cs w:val="21"/>
                      <w14:textFill>
                        <w14:solidFill>
                          <w14:schemeClr w14:val="tx1"/>
                        </w14:solidFill>
                      </w14:textFill>
                    </w:rPr>
                    <w:t>G1</w:t>
                  </w:r>
                </w:p>
              </w:tc>
              <w:tc>
                <w:tcPr>
                  <w:tcW w:w="1172"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286549.93</w:t>
                  </w:r>
                </w:p>
              </w:tc>
              <w:tc>
                <w:tcPr>
                  <w:tcW w:w="1296"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3632412.02</w:t>
                  </w:r>
                </w:p>
              </w:tc>
              <w:tc>
                <w:tcPr>
                  <w:tcW w:w="719"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hAnsi="宋体"/>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TSP</w:t>
                  </w:r>
                </w:p>
              </w:tc>
              <w:tc>
                <w:tcPr>
                  <w:tcW w:w="574"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24h</w:t>
                  </w:r>
                </w:p>
              </w:tc>
              <w:tc>
                <w:tcPr>
                  <w:tcW w:w="1138"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1084"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52~60</w:t>
                  </w:r>
                </w:p>
              </w:tc>
              <w:tc>
                <w:tcPr>
                  <w:tcW w:w="354"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713"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bl>
          <w:p>
            <w:pPr>
              <w:adjustRightInd w:val="0"/>
              <w:snapToGrid w:val="0"/>
              <w:spacing w:line="360" w:lineRule="auto"/>
              <w:ind w:firstLine="480" w:firstLineChars="200"/>
              <w:textAlignment w:val="baseline"/>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由监测结果分析可知，</w:t>
            </w:r>
            <w:r>
              <w:rPr>
                <w:color w:val="000000" w:themeColor="text1"/>
                <w:sz w:val="24"/>
                <w14:textFill>
                  <w14:solidFill>
                    <w14:schemeClr w14:val="tx1"/>
                  </w14:solidFill>
                </w14:textFill>
              </w:rPr>
              <w:t>TSP24h</w:t>
            </w:r>
            <w:r>
              <w:rPr>
                <w:rFonts w:hint="eastAsia" w:hAnsi="宋体"/>
                <w:color w:val="000000" w:themeColor="text1"/>
                <w:sz w:val="24"/>
                <w14:textFill>
                  <w14:solidFill>
                    <w14:schemeClr w14:val="tx1"/>
                  </w14:solidFill>
                </w14:textFill>
              </w:rPr>
              <w:t>平均浓度均满足《环境空气质量标准》（</w:t>
            </w:r>
            <w:r>
              <w:rPr>
                <w:color w:val="000000" w:themeColor="text1"/>
                <w:sz w:val="24"/>
                <w14:textFill>
                  <w14:solidFill>
                    <w14:schemeClr w14:val="tx1"/>
                  </w14:solidFill>
                </w14:textFill>
              </w:rPr>
              <w:t>GB3095-2012</w:t>
            </w:r>
            <w:r>
              <w:rPr>
                <w:rFonts w:hint="eastAsia" w:hAnsi="宋体"/>
                <w:color w:val="000000" w:themeColor="text1"/>
                <w:sz w:val="24"/>
                <w14:textFill>
                  <w14:solidFill>
                    <w14:schemeClr w14:val="tx1"/>
                  </w14:solidFill>
                </w14:textFill>
              </w:rPr>
              <w:t>）中二级标准要求。</w:t>
            </w:r>
          </w:p>
          <w:p>
            <w:pPr>
              <w:adjustRightInd w:val="0"/>
              <w:snapToGrid w:val="0"/>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、声环境质量现状</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）声环境现状监测</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监测点位置：在项目四周外</w:t>
            </w:r>
            <w:r>
              <w:rPr>
                <w:color w:val="000000" w:themeColor="text1"/>
                <w:sz w:val="24"/>
                <w14:textFill>
                  <w14:solidFill>
                    <w14:schemeClr w14:val="tx1"/>
                  </w14:solidFill>
                </w14:textFill>
              </w:rPr>
              <w:t>1m</w:t>
            </w:r>
            <w:r>
              <w:rPr>
                <w:rFonts w:hint="eastAsia"/>
                <w:color w:val="000000" w:themeColor="text1"/>
                <w:sz w:val="24"/>
                <w14:textFill>
                  <w14:solidFill>
                    <w14:schemeClr w14:val="tx1"/>
                  </w14:solidFill>
                </w14:textFill>
              </w:rPr>
              <w:t>处和敏感点，共布设</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个环境噪声监测点（</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），监测点位置见图</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监测项目：连续等效</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声级。</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监测时间及频次：</w:t>
            </w:r>
            <w:r>
              <w:rPr>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22.8.8-2022.8.9</w:t>
            </w:r>
            <w:r>
              <w:rPr>
                <w:rFonts w:hint="eastAsia"/>
                <w:color w:val="000000" w:themeColor="text1"/>
                <w:sz w:val="24"/>
                <w14:textFill>
                  <w14:solidFill>
                    <w14:schemeClr w14:val="tx1"/>
                  </w14:solidFill>
                </w14:textFill>
              </w:rPr>
              <w:t>连续监测</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天，昼夜各监测</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次。</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）声环境现状监测结果</w:t>
            </w:r>
          </w:p>
          <w:p>
            <w:pPr>
              <w:adjustRightInd w:val="0"/>
              <w:snapToGrid w:val="0"/>
              <w:spacing w:line="360" w:lineRule="auto"/>
              <w:ind w:firstLine="480" w:firstLineChars="200"/>
              <w:jc w:val="left"/>
              <w:rPr>
                <w:b/>
                <w:bCs/>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监测时间为</w:t>
            </w:r>
            <w:r>
              <w:rPr>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22</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日至</w:t>
            </w:r>
            <w:r>
              <w:rPr>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22</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日，监测结果见表</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w:t>
            </w:r>
          </w:p>
          <w:p>
            <w:pPr>
              <w:adjustRightInd w:val="0"/>
              <w:snapToGrid w:val="0"/>
              <w:jc w:val="center"/>
              <w:rPr>
                <w:b/>
                <w:color w:val="000000" w:themeColor="text1"/>
                <w:kern w:val="0"/>
                <w:szCs w:val="21"/>
                <w14:textFill>
                  <w14:solidFill>
                    <w14:schemeClr w14:val="tx1"/>
                  </w14:solidFill>
                </w14:textFill>
              </w:rPr>
            </w:pPr>
            <w:r>
              <w:rPr>
                <w:rFonts w:hint="eastAsia"/>
                <w:b/>
                <w:bCs/>
                <w:color w:val="000000" w:themeColor="text1"/>
                <w:szCs w:val="21"/>
                <w14:textFill>
                  <w14:solidFill>
                    <w14:schemeClr w14:val="tx1"/>
                  </w14:solidFill>
                </w14:textFill>
              </w:rPr>
              <w:t>表</w:t>
            </w:r>
            <w:r>
              <w:rPr>
                <w:rFonts w:hint="eastAsia"/>
                <w:b/>
                <w:bCs/>
                <w:color w:val="000000" w:themeColor="text1"/>
                <w:szCs w:val="21"/>
                <w:lang w:val="en-US" w:eastAsia="zh-CN"/>
                <w14:textFill>
                  <w14:solidFill>
                    <w14:schemeClr w14:val="tx1"/>
                  </w14:solidFill>
                </w14:textFill>
              </w:rPr>
              <w:t>20</w:t>
            </w:r>
            <w:r>
              <w:rPr>
                <w:rFonts w:hint="eastAsia"/>
                <w:b/>
                <w:bCs/>
                <w:color w:val="000000" w:themeColor="text1"/>
                <w:szCs w:val="21"/>
                <w14:textFill>
                  <w14:solidFill>
                    <w14:schemeClr w14:val="tx1"/>
                  </w14:solidFill>
                </w14:textFill>
              </w:rPr>
              <w:t xml:space="preserve"> 声环境质量监测结果</w:t>
            </w:r>
            <w:r>
              <w:rPr>
                <w:rFonts w:hint="eastAsia"/>
                <w:b/>
                <w:color w:val="000000" w:themeColor="text1"/>
                <w:kern w:val="0"/>
                <w:szCs w:val="21"/>
                <w14:textFill>
                  <w14:solidFill>
                    <w14:schemeClr w14:val="tx1"/>
                  </w14:solidFill>
                </w14:textFill>
              </w:rPr>
              <w:t>单位：</w:t>
            </w:r>
            <w:r>
              <w:rPr>
                <w:b/>
                <w:color w:val="000000" w:themeColor="text1"/>
                <w:kern w:val="0"/>
                <w:szCs w:val="21"/>
                <w14:textFill>
                  <w14:solidFill>
                    <w14:schemeClr w14:val="tx1"/>
                  </w14:solidFill>
                </w14:textFill>
              </w:rPr>
              <w:t>Leq dB(A)</w:t>
            </w:r>
          </w:p>
          <w:tbl>
            <w:tblPr>
              <w:tblStyle w:val="19"/>
              <w:tblW w:w="77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1427"/>
              <w:gridCol w:w="1429"/>
              <w:gridCol w:w="1427"/>
              <w:gridCol w:w="14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jc w:val="center"/>
              </w:trPr>
              <w:tc>
                <w:tcPr>
                  <w:tcW w:w="2004" w:type="dxa"/>
                  <w:vMerge w:val="restart"/>
                  <w:tcBorders>
                    <w:top w:val="single" w:color="auto" w:sz="12" w:space="0"/>
                    <w:left w:val="single" w:color="auto" w:sz="12" w:space="0"/>
                    <w:bottom w:val="single" w:color="auto" w:sz="6" w:space="0"/>
                    <w:right w:val="single" w:color="auto" w:sz="6"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监测点位</w:t>
                  </w:r>
                </w:p>
              </w:tc>
              <w:tc>
                <w:tcPr>
                  <w:tcW w:w="5715" w:type="dxa"/>
                  <w:gridSpan w:val="4"/>
                  <w:tcBorders>
                    <w:top w:val="single" w:color="auto" w:sz="12" w:space="0"/>
                    <w:left w:val="single" w:color="auto" w:sz="6" w:space="0"/>
                    <w:bottom w:val="single" w:color="auto" w:sz="6" w:space="0"/>
                    <w:right w:val="single" w:color="auto" w:sz="12"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监测结果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jc w:val="center"/>
              </w:trPr>
              <w:tc>
                <w:tcPr>
                  <w:tcW w:w="2004"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color w:val="000000" w:themeColor="text1"/>
                      <w:szCs w:val="21"/>
                      <w14:textFill>
                        <w14:solidFill>
                          <w14:schemeClr w14:val="tx1"/>
                        </w14:solidFill>
                      </w14:textFill>
                    </w:rPr>
                  </w:pPr>
                </w:p>
              </w:tc>
              <w:tc>
                <w:tcPr>
                  <w:tcW w:w="2856"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20</w:t>
                  </w:r>
                  <w:r>
                    <w:rPr>
                      <w:rFonts w:hint="eastAsia"/>
                      <w:b/>
                      <w:color w:val="000000" w:themeColor="text1"/>
                      <w:szCs w:val="21"/>
                      <w:lang w:val="en-US" w:eastAsia="zh-CN"/>
                      <w14:textFill>
                        <w14:solidFill>
                          <w14:schemeClr w14:val="tx1"/>
                        </w14:solidFill>
                      </w14:textFill>
                    </w:rPr>
                    <w:t>22.8.8</w:t>
                  </w:r>
                </w:p>
              </w:tc>
              <w:tc>
                <w:tcPr>
                  <w:tcW w:w="2859" w:type="dxa"/>
                  <w:gridSpan w:val="2"/>
                  <w:tcBorders>
                    <w:top w:val="single" w:color="auto" w:sz="6" w:space="0"/>
                    <w:left w:val="single" w:color="auto" w:sz="6" w:space="0"/>
                    <w:bottom w:val="single" w:color="auto" w:sz="6" w:space="0"/>
                    <w:right w:val="single" w:color="auto" w:sz="12" w:space="0"/>
                  </w:tcBorders>
                  <w:vAlign w:val="center"/>
                </w:tcPr>
                <w:p>
                  <w:pPr>
                    <w:jc w:val="center"/>
                    <w:rPr>
                      <w:rFonts w:hint="default"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20</w:t>
                  </w:r>
                  <w:r>
                    <w:rPr>
                      <w:rFonts w:hint="eastAsia"/>
                      <w:b/>
                      <w:color w:val="000000" w:themeColor="text1"/>
                      <w:szCs w:val="21"/>
                      <w:lang w:val="en-US" w:eastAsia="zh-CN"/>
                      <w14:textFill>
                        <w14:solidFill>
                          <w14:schemeClr w14:val="tx1"/>
                        </w14:solidFill>
                      </w14:textFill>
                    </w:rPr>
                    <w:t>22.8.9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jc w:val="center"/>
              </w:trPr>
              <w:tc>
                <w:tcPr>
                  <w:tcW w:w="2004"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color w:val="000000" w:themeColor="text1"/>
                      <w:szCs w:val="21"/>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昼间</w:t>
                  </w:r>
                  <w:r>
                    <w:rPr>
                      <w:b/>
                      <w:color w:val="000000" w:themeColor="text1"/>
                      <w:szCs w:val="21"/>
                      <w14:textFill>
                        <w14:solidFill>
                          <w14:schemeClr w14:val="tx1"/>
                        </w14:solidFill>
                      </w14:textFill>
                    </w:rPr>
                    <w:t>dB</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A</w:t>
                  </w:r>
                  <w:r>
                    <w:rPr>
                      <w:rFonts w:hint="eastAsia"/>
                      <w:b/>
                      <w:color w:val="000000" w:themeColor="text1"/>
                      <w:szCs w:val="21"/>
                      <w14:textFill>
                        <w14:solidFill>
                          <w14:schemeClr w14:val="tx1"/>
                        </w14:solidFill>
                      </w14:textFill>
                    </w:rPr>
                    <w:t>）</w:t>
                  </w: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夜间</w:t>
                  </w:r>
                  <w:r>
                    <w:rPr>
                      <w:b/>
                      <w:color w:val="000000" w:themeColor="text1"/>
                      <w:szCs w:val="21"/>
                      <w14:textFill>
                        <w14:solidFill>
                          <w14:schemeClr w14:val="tx1"/>
                        </w14:solidFill>
                      </w14:textFill>
                    </w:rPr>
                    <w:t>dB</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A</w:t>
                  </w:r>
                  <w:r>
                    <w:rPr>
                      <w:rFonts w:hint="eastAsia"/>
                      <w:b/>
                      <w:color w:val="000000" w:themeColor="text1"/>
                      <w:szCs w:val="21"/>
                      <w14:textFill>
                        <w14:solidFill>
                          <w14:schemeClr w14:val="tx1"/>
                        </w14:solidFill>
                      </w14:textFill>
                    </w:rPr>
                    <w:t>）</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昼间</w:t>
                  </w:r>
                  <w:r>
                    <w:rPr>
                      <w:b/>
                      <w:color w:val="000000" w:themeColor="text1"/>
                      <w:szCs w:val="21"/>
                      <w14:textFill>
                        <w14:solidFill>
                          <w14:schemeClr w14:val="tx1"/>
                        </w14:solidFill>
                      </w14:textFill>
                    </w:rPr>
                    <w:t>dB</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A</w:t>
                  </w:r>
                  <w:r>
                    <w:rPr>
                      <w:rFonts w:hint="eastAsia"/>
                      <w:b/>
                      <w:color w:val="000000" w:themeColor="text1"/>
                      <w:szCs w:val="21"/>
                      <w14:textFill>
                        <w14:solidFill>
                          <w14:schemeClr w14:val="tx1"/>
                        </w14:solidFill>
                      </w14:textFill>
                    </w:rPr>
                    <w:t>）</w:t>
                  </w:r>
                </w:p>
              </w:tc>
              <w:tc>
                <w:tcPr>
                  <w:tcW w:w="1432" w:type="dxa"/>
                  <w:tcBorders>
                    <w:top w:val="single" w:color="auto" w:sz="6" w:space="0"/>
                    <w:left w:val="single" w:color="auto" w:sz="6" w:space="0"/>
                    <w:bottom w:val="single" w:color="auto" w:sz="6" w:space="0"/>
                    <w:right w:val="single" w:color="auto" w:sz="12"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夜间</w:t>
                  </w:r>
                  <w:r>
                    <w:rPr>
                      <w:b/>
                      <w:color w:val="000000" w:themeColor="text1"/>
                      <w:szCs w:val="21"/>
                      <w14:textFill>
                        <w14:solidFill>
                          <w14:schemeClr w14:val="tx1"/>
                        </w14:solidFill>
                      </w14:textFill>
                    </w:rPr>
                    <w:t>dB</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A</w:t>
                  </w:r>
                  <w:r>
                    <w:rPr>
                      <w:rFonts w:hint="eastAsia"/>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2004"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北厂界</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0</w:t>
                  </w: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51</w:t>
                  </w:r>
                </w:p>
              </w:tc>
              <w:tc>
                <w:tcPr>
                  <w:tcW w:w="1432" w:type="dxa"/>
                  <w:tcBorders>
                    <w:top w:val="single" w:color="auto" w:sz="6" w:space="0"/>
                    <w:left w:val="single" w:color="auto" w:sz="6" w:space="0"/>
                    <w:bottom w:val="single" w:color="auto" w:sz="6" w:space="0"/>
                    <w:right w:val="single" w:color="auto" w:sz="12"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2004"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东厂界</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51</w:t>
                  </w: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2</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3</w:t>
                  </w:r>
                </w:p>
              </w:tc>
              <w:tc>
                <w:tcPr>
                  <w:tcW w:w="1432"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2004"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南厂界</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5</w:t>
                  </w: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3</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4</w:t>
                  </w:r>
                </w:p>
              </w:tc>
              <w:tc>
                <w:tcPr>
                  <w:tcW w:w="1432"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2004"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西厂界</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3</w:t>
                  </w: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2</w:t>
                  </w: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2</w:t>
                  </w:r>
                </w:p>
              </w:tc>
              <w:tc>
                <w:tcPr>
                  <w:tcW w:w="1432"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2004" w:type="dxa"/>
                  <w:tcBorders>
                    <w:top w:val="single" w:color="auto" w:sz="6" w:space="0"/>
                    <w:left w:val="single" w:color="auto" w:sz="12" w:space="0"/>
                    <w:bottom w:val="single" w:color="auto" w:sz="12" w:space="0"/>
                    <w:right w:val="single" w:color="auto" w:sz="6" w:space="0"/>
                  </w:tcBorders>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西侧敏感</w:t>
                  </w:r>
                  <w:r>
                    <w:rPr>
                      <w:rFonts w:hint="eastAsia"/>
                      <w:color w:val="000000" w:themeColor="text1"/>
                      <w:szCs w:val="21"/>
                      <w:lang w:val="en-US" w:eastAsia="zh-CN"/>
                      <w14:textFill>
                        <w14:solidFill>
                          <w14:schemeClr w14:val="tx1"/>
                        </w14:solidFill>
                      </w14:textFill>
                    </w:rPr>
                    <w:t>点</w:t>
                  </w:r>
                </w:p>
              </w:tc>
              <w:tc>
                <w:tcPr>
                  <w:tcW w:w="1427" w:type="dxa"/>
                  <w:tcBorders>
                    <w:top w:val="single" w:color="auto" w:sz="6" w:space="0"/>
                    <w:left w:val="single" w:color="auto" w:sz="6" w:space="0"/>
                    <w:bottom w:val="single" w:color="auto" w:sz="12"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9</w:t>
                  </w:r>
                </w:p>
              </w:tc>
              <w:tc>
                <w:tcPr>
                  <w:tcW w:w="1429" w:type="dxa"/>
                  <w:tcBorders>
                    <w:top w:val="single" w:color="auto" w:sz="6" w:space="0"/>
                    <w:left w:val="single" w:color="auto" w:sz="6" w:space="0"/>
                    <w:bottom w:val="single" w:color="auto" w:sz="12"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1</w:t>
                  </w:r>
                </w:p>
              </w:tc>
              <w:tc>
                <w:tcPr>
                  <w:tcW w:w="1427" w:type="dxa"/>
                  <w:tcBorders>
                    <w:top w:val="single" w:color="auto" w:sz="6" w:space="0"/>
                    <w:left w:val="single" w:color="auto" w:sz="6" w:space="0"/>
                    <w:bottom w:val="single" w:color="auto" w:sz="12" w:space="0"/>
                    <w:right w:val="single" w:color="auto" w:sz="6"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8</w:t>
                  </w:r>
                </w:p>
              </w:tc>
              <w:tc>
                <w:tcPr>
                  <w:tcW w:w="1432" w:type="dxa"/>
                  <w:tcBorders>
                    <w:top w:val="single" w:color="auto" w:sz="6" w:space="0"/>
                    <w:left w:val="single" w:color="auto" w:sz="6" w:space="0"/>
                    <w:bottom w:val="single" w:color="auto" w:sz="12" w:space="0"/>
                    <w:right w:val="single" w:color="auto" w:sz="12"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0</w:t>
                  </w:r>
                </w:p>
              </w:tc>
            </w:tr>
          </w:tbl>
          <w:p>
            <w:pPr>
              <w:adjustRightInd w:val="0"/>
              <w:snapToGrid w:val="0"/>
              <w:spacing w:line="360" w:lineRule="auto"/>
              <w:ind w:firstLine="480" w:firstLineChars="200"/>
              <w:jc w:val="left"/>
              <w:rPr>
                <w:rFonts w:hint="eastAsia"/>
                <w:color w:val="000000" w:themeColor="text1"/>
                <w:sz w:val="24"/>
                <w14:textFill>
                  <w14:solidFill>
                    <w14:schemeClr w14:val="tx1"/>
                  </w14:solidFill>
                </w14:textFill>
              </w:rPr>
            </w:pP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）声环境质量现状评价</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根据监测结果，项目东、南、西、北场和敏感点界声环境昼间、夜间均达到《声环境质量标准》（</w:t>
            </w:r>
            <w:r>
              <w:rPr>
                <w:color w:val="000000" w:themeColor="text1"/>
                <w:sz w:val="24"/>
                <w14:textFill>
                  <w14:solidFill>
                    <w14:schemeClr w14:val="tx1"/>
                  </w14:solidFill>
                </w14:textFill>
              </w:rPr>
              <w:t>GB3096-2008</w:t>
            </w:r>
            <w:r>
              <w:rPr>
                <w:rFonts w:hint="eastAsia"/>
                <w:color w:val="000000" w:themeColor="text1"/>
                <w:sz w:val="24"/>
                <w14:textFill>
                  <w14:solidFill>
                    <w14:schemeClr w14:val="tx1"/>
                  </w14:solidFill>
                </w14:textFill>
              </w:rPr>
              <w:t>）中的</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类区标准要求，说明该区域声环境质量状况良好。</w:t>
            </w:r>
          </w:p>
          <w:p>
            <w:pPr>
              <w:spacing w:line="360" w:lineRule="auto"/>
              <w:ind w:left="482"/>
              <w:rPr>
                <w:b/>
                <w:color w:val="000000" w:themeColor="text1"/>
                <w:kern w:val="0"/>
                <w:sz w:val="24"/>
                <w14:textFill>
                  <w14:solidFill>
                    <w14:schemeClr w14:val="tx1"/>
                  </w14:solidFill>
                </w14:textFill>
              </w:rPr>
            </w:pPr>
            <w:r>
              <w:rPr>
                <w:rFonts w:hAnsi="宋体"/>
                <w:b/>
                <w:color w:val="000000" w:themeColor="text1"/>
                <w:kern w:val="0"/>
                <w:sz w:val="24"/>
                <w14:textFill>
                  <w14:solidFill>
                    <w14:schemeClr w14:val="tx1"/>
                  </w14:solidFill>
                </w14:textFill>
              </w:rPr>
              <w:t>3</w:t>
            </w:r>
            <w:r>
              <w:rPr>
                <w:rFonts w:hint="eastAsia" w:hAnsi="宋体"/>
                <w:b/>
                <w:color w:val="000000" w:themeColor="text1"/>
                <w:kern w:val="0"/>
                <w:sz w:val="24"/>
                <w14:textFill>
                  <w14:solidFill>
                    <w14:schemeClr w14:val="tx1"/>
                  </w14:solidFill>
                </w14:textFill>
              </w:rPr>
              <w:t>、地表水质量现状</w:t>
            </w:r>
          </w:p>
          <w:p>
            <w:pPr>
              <w:numPr>
                <w:ilvl w:val="0"/>
                <w:numId w:val="4"/>
              </w:num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监测点位</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w:t>
            </w:r>
            <w:r>
              <w:rPr>
                <w:rFonts w:hint="eastAsia" w:hAnsi="宋体"/>
                <w:color w:val="000000" w:themeColor="text1"/>
                <w:sz w:val="24"/>
                <w:lang w:val="en-US" w:eastAsia="zh-CN"/>
                <w14:textFill>
                  <w14:solidFill>
                    <w14:schemeClr w14:val="tx1"/>
                  </w14:solidFill>
                </w14:textFill>
              </w:rPr>
              <w:t>地白鱼河</w:t>
            </w:r>
            <w:r>
              <w:rPr>
                <w:rFonts w:hint="eastAsia" w:hAnsi="宋体"/>
                <w:color w:val="000000" w:themeColor="text1"/>
                <w:sz w:val="24"/>
                <w14:textFill>
                  <w14:solidFill>
                    <w14:schemeClr w14:val="tx1"/>
                  </w14:solidFill>
                </w14:textFill>
              </w:rPr>
              <w:t>上游</w:t>
            </w:r>
            <w:r>
              <w:rPr>
                <w:rFonts w:hAnsi="宋体"/>
                <w:color w:val="000000" w:themeColor="text1"/>
                <w:sz w:val="24"/>
                <w14:textFill>
                  <w14:solidFill>
                    <w14:schemeClr w14:val="tx1"/>
                  </w14:solidFill>
                </w14:textFill>
              </w:rPr>
              <w:t>500m</w:t>
            </w:r>
            <w:r>
              <w:rPr>
                <w:rFonts w:hint="eastAsia" w:hAnsi="宋体"/>
                <w:color w:val="000000" w:themeColor="text1"/>
                <w:sz w:val="24"/>
                <w14:textFill>
                  <w14:solidFill>
                    <w14:schemeClr w14:val="tx1"/>
                  </w14:solidFill>
                </w14:textFill>
              </w:rPr>
              <w:t>断面布设</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个监测断面，下游</w:t>
            </w:r>
            <w:r>
              <w:rPr>
                <w:rFonts w:hint="eastAsia" w:hAnsi="宋体"/>
                <w:color w:val="000000" w:themeColor="text1"/>
                <w:sz w:val="24"/>
                <w:lang w:val="en-US" w:eastAsia="zh-CN"/>
                <w14:textFill>
                  <w14:solidFill>
                    <w14:schemeClr w14:val="tx1"/>
                  </w14:solidFill>
                </w14:textFill>
              </w:rPr>
              <w:t>10</w:t>
            </w:r>
            <w:r>
              <w:rPr>
                <w:rFonts w:hAnsi="宋体"/>
                <w:color w:val="000000" w:themeColor="text1"/>
                <w:sz w:val="24"/>
                <w14:textFill>
                  <w14:solidFill>
                    <w14:schemeClr w14:val="tx1"/>
                  </w14:solidFill>
                </w14:textFill>
              </w:rPr>
              <w:t>00m</w:t>
            </w:r>
            <w:r>
              <w:rPr>
                <w:rFonts w:hint="eastAsia" w:hAnsi="宋体"/>
                <w:color w:val="000000" w:themeColor="text1"/>
                <w:sz w:val="24"/>
                <w14:textFill>
                  <w14:solidFill>
                    <w14:schemeClr w14:val="tx1"/>
                  </w14:solidFill>
                </w14:textFill>
              </w:rPr>
              <w:t>处布设</w:t>
            </w:r>
            <w:r>
              <w:rPr>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个监测断面，一共设</w:t>
            </w:r>
            <w:r>
              <w:rPr>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个水质监测断面。</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）监测因子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pH</w:t>
            </w: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COD</w:t>
            </w:r>
            <w:r>
              <w:rPr>
                <w:rFonts w:hint="eastAsia" w:hAnsi="宋体"/>
                <w:color w:val="000000" w:themeColor="text1"/>
                <w:sz w:val="24"/>
                <w14:textFill>
                  <w14:solidFill>
                    <w14:schemeClr w14:val="tx1"/>
                  </w14:solidFill>
                </w14:textFill>
              </w:rPr>
              <w:t>、氨氮、</w:t>
            </w:r>
            <w:r>
              <w:rPr>
                <w:color w:val="000000" w:themeColor="text1"/>
                <w:sz w:val="24"/>
                <w14:textFill>
                  <w14:solidFill>
                    <w14:schemeClr w14:val="tx1"/>
                  </w14:solidFill>
                </w14:textFill>
              </w:rPr>
              <w:t>BOD</w:t>
            </w:r>
            <w:r>
              <w:rPr>
                <w:color w:val="000000" w:themeColor="text1"/>
                <w:sz w:val="24"/>
                <w:vertAlign w:val="subscript"/>
                <w14:textFill>
                  <w14:solidFill>
                    <w14:schemeClr w14:val="tx1"/>
                  </w14:solidFill>
                </w14:textFill>
              </w:rPr>
              <w:t>5</w:t>
            </w: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SS</w:t>
            </w:r>
            <w:r>
              <w:rPr>
                <w:rFonts w:hint="eastAsia" w:hAnsi="宋体"/>
                <w:color w:val="000000" w:themeColor="text1"/>
                <w:sz w:val="24"/>
                <w14:textFill>
                  <w14:solidFill>
                    <w14:schemeClr w14:val="tx1"/>
                  </w14:solidFill>
                </w14:textFill>
              </w:rPr>
              <w:t>共</w:t>
            </w:r>
            <w:r>
              <w:rPr>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项，同时给出流速、河宽、水深、水温等河流参数，同时标定采样点经纬度坐标。</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）采样时间及监测频率</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监测时间为</w:t>
            </w:r>
            <w:r>
              <w:rPr>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22</w:t>
            </w:r>
            <w:r>
              <w:rPr>
                <w:rFonts w:hint="eastAsia" w:hAnsi="宋体"/>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8</w:t>
            </w:r>
            <w:r>
              <w:rPr>
                <w:rFonts w:hint="eastAsia" w:hAnsi="宋体"/>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8</w:t>
            </w:r>
            <w:r>
              <w:rPr>
                <w:rFonts w:hint="eastAsia" w:hAnsi="宋体"/>
                <w:color w:val="000000" w:themeColor="text1"/>
                <w:sz w:val="24"/>
                <w14:textFill>
                  <w14:solidFill>
                    <w14:schemeClr w14:val="tx1"/>
                  </w14:solidFill>
                </w14:textFill>
              </w:rPr>
              <w:t>日</w:t>
            </w:r>
            <w:r>
              <w:rPr>
                <w:rFonts w:hAnsi="宋体"/>
                <w:color w:val="000000" w:themeColor="text1"/>
                <w:sz w:val="24"/>
                <w14:textFill>
                  <w14:solidFill>
                    <w14:schemeClr w14:val="tx1"/>
                  </w14:solidFill>
                </w14:textFill>
              </w:rPr>
              <w:t>-20</w:t>
            </w:r>
            <w:r>
              <w:rPr>
                <w:rFonts w:hint="eastAsia" w:hAnsi="宋体"/>
                <w:color w:val="000000" w:themeColor="text1"/>
                <w:sz w:val="24"/>
                <w:lang w:val="en-US" w:eastAsia="zh-CN"/>
                <w14:textFill>
                  <w14:solidFill>
                    <w14:schemeClr w14:val="tx1"/>
                  </w14:solidFill>
                </w14:textFill>
              </w:rPr>
              <w:t>22</w:t>
            </w:r>
            <w:r>
              <w:rPr>
                <w:rFonts w:hint="eastAsia" w:hAnsi="宋体"/>
                <w:color w:val="000000" w:themeColor="text1"/>
                <w:sz w:val="24"/>
                <w14:textFill>
                  <w14:solidFill>
                    <w14:schemeClr w14:val="tx1"/>
                  </w14:solidFill>
                </w14:textFill>
              </w:rPr>
              <w:t>年</w:t>
            </w:r>
            <w:r>
              <w:rPr>
                <w:rFonts w:hint="eastAsia" w:hAnsi="宋体"/>
                <w:color w:val="000000" w:themeColor="text1"/>
                <w:sz w:val="24"/>
                <w:lang w:val="en-US" w:eastAsia="zh-CN"/>
                <w14:textFill>
                  <w14:solidFill>
                    <w14:schemeClr w14:val="tx1"/>
                  </w14:solidFill>
                </w14:textFill>
              </w:rPr>
              <w:t>8</w:t>
            </w:r>
            <w:r>
              <w:rPr>
                <w:rFonts w:hint="eastAsia" w:hAnsi="宋体"/>
                <w:color w:val="000000" w:themeColor="text1"/>
                <w:sz w:val="24"/>
                <w14:textFill>
                  <w14:solidFill>
                    <w14:schemeClr w14:val="tx1"/>
                  </w14:solidFill>
                </w14:textFill>
              </w:rPr>
              <w:t>月</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14:textFill>
                  <w14:solidFill>
                    <w14:schemeClr w14:val="tx1"/>
                  </w14:solidFill>
                </w14:textFill>
              </w:rPr>
              <w:t>日，地表水水质监测时间为连续</w:t>
            </w:r>
            <w:r>
              <w:rPr>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天监测。监测点位见附图，监测结果见表</w:t>
            </w:r>
            <w:r>
              <w:rPr>
                <w:rFonts w:hint="eastAsia"/>
                <w:color w:val="000000" w:themeColor="text1"/>
                <w:sz w:val="24"/>
                <w:lang w:val="en-US" w:eastAsia="zh-CN"/>
                <w14:textFill>
                  <w14:solidFill>
                    <w14:schemeClr w14:val="tx1"/>
                  </w14:solidFill>
                </w14:textFill>
              </w:rPr>
              <w:t>21</w:t>
            </w:r>
            <w:r>
              <w:rPr>
                <w:rFonts w:hint="eastAsia" w:hAnsi="宋体"/>
                <w:color w:val="000000" w:themeColor="text1"/>
                <w:sz w:val="24"/>
                <w14:textFill>
                  <w14:solidFill>
                    <w14:schemeClr w14:val="tx1"/>
                  </w14:solidFill>
                </w14:textFill>
              </w:rPr>
              <w:t>。</w:t>
            </w:r>
          </w:p>
          <w:p>
            <w:pPr>
              <w:ind w:firstLine="422"/>
              <w:jc w:val="center"/>
              <w:rPr>
                <w:color w:val="000000" w:themeColor="text1"/>
                <w14:textFill>
                  <w14:solidFill>
                    <w14:schemeClr w14:val="tx1"/>
                  </w14:solidFill>
                </w14:textFill>
              </w:rPr>
            </w:pPr>
            <w:r>
              <w:rPr>
                <w:rFonts w:hint="eastAsia" w:hAnsi="宋体"/>
                <w:b/>
                <w:bCs/>
                <w:color w:val="000000" w:themeColor="text1"/>
                <w:szCs w:val="21"/>
                <w14:textFill>
                  <w14:solidFill>
                    <w14:schemeClr w14:val="tx1"/>
                  </w14:solidFill>
                </w14:textFill>
              </w:rPr>
              <w:t>表</w:t>
            </w:r>
            <w:r>
              <w:rPr>
                <w:rFonts w:hint="eastAsia"/>
                <w:b/>
                <w:bCs/>
                <w:color w:val="000000" w:themeColor="text1"/>
                <w:szCs w:val="21"/>
                <w:lang w:val="en-US" w:eastAsia="zh-CN"/>
                <w14:textFill>
                  <w14:solidFill>
                    <w14:schemeClr w14:val="tx1"/>
                  </w14:solidFill>
                </w14:textFill>
              </w:rPr>
              <w:t xml:space="preserve">21 </w:t>
            </w:r>
            <w:r>
              <w:rPr>
                <w:rFonts w:hint="eastAsia" w:hAnsi="宋体"/>
                <w:b/>
                <w:bCs/>
                <w:color w:val="000000" w:themeColor="text1"/>
                <w:szCs w:val="21"/>
                <w14:textFill>
                  <w14:solidFill>
                    <w14:schemeClr w14:val="tx1"/>
                  </w14:solidFill>
                </w14:textFill>
              </w:rPr>
              <w:t>地表水环境监测结果统计表单位（</w:t>
            </w:r>
            <w:r>
              <w:rPr>
                <w:b/>
                <w:bCs/>
                <w:color w:val="000000" w:themeColor="text1"/>
                <w:szCs w:val="21"/>
                <w14:textFill>
                  <w14:solidFill>
                    <w14:schemeClr w14:val="tx1"/>
                  </w14:solidFill>
                </w14:textFill>
              </w:rPr>
              <w:t>mg/L</w:t>
            </w:r>
            <w:r>
              <w:rPr>
                <w:rFonts w:hint="eastAsia" w:hAnsi="宋体"/>
                <w:b/>
                <w:bCs/>
                <w:color w:val="000000" w:themeColor="text1"/>
                <w:szCs w:val="21"/>
                <w14:textFill>
                  <w14:solidFill>
                    <w14:schemeClr w14:val="tx1"/>
                  </w14:solidFill>
                </w14:textFill>
              </w:rPr>
              <w:t>）</w:t>
            </w:r>
          </w:p>
          <w:tbl>
            <w:tblPr>
              <w:tblStyle w:val="19"/>
              <w:tblW w:w="7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76"/>
              <w:gridCol w:w="1389"/>
              <w:gridCol w:w="953"/>
              <w:gridCol w:w="728"/>
              <w:gridCol w:w="138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2276" w:type="dxa"/>
                  <w:tcBorders>
                    <w:top w:val="single" w:color="auto" w:sz="12" w:space="0"/>
                    <w:left w:val="single" w:color="auto" w:sz="12" w:space="0"/>
                    <w:bottom w:val="single" w:color="auto" w:sz="6" w:space="0"/>
                    <w:right w:val="single" w:color="auto" w:sz="6" w:space="0"/>
                  </w:tcBorders>
                  <w:vAlign w:val="center"/>
                </w:tcPr>
                <w:p>
                  <w:pPr>
                    <w:adjustRightInd w:val="0"/>
                    <w:snapToGrid w:val="0"/>
                    <w:ind w:firstLine="525" w:firstLineChars="250"/>
                    <w:jc w:val="both"/>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监测项目</w:t>
                  </w:r>
                </w:p>
                <w:p>
                  <w:pPr>
                    <w:adjustRightInd w:val="0"/>
                    <w:snapToGrid w:val="0"/>
                    <w:ind w:firstLine="525" w:firstLineChars="25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监测点位</w:t>
                  </w:r>
                </w:p>
              </w:tc>
              <w:tc>
                <w:tcPr>
                  <w:tcW w:w="1389"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p</w:t>
                  </w:r>
                  <w:r>
                    <w:rPr>
                      <w:color w:val="000000" w:themeColor="text1"/>
                      <w14:textFill>
                        <w14:solidFill>
                          <w14:schemeClr w14:val="tx1"/>
                        </w14:solidFill>
                      </w14:textFill>
                    </w:rPr>
                    <w:t>H</w:t>
                  </w:r>
                  <w:r>
                    <w:rPr>
                      <w:rFonts w:hint="eastAsia" w:hAnsi="宋体"/>
                      <w:color w:val="000000" w:themeColor="text1"/>
                      <w14:textFill>
                        <w14:solidFill>
                          <w14:schemeClr w14:val="tx1"/>
                        </w14:solidFill>
                      </w14:textFill>
                    </w:rPr>
                    <w:t>（无量纲）</w:t>
                  </w:r>
                </w:p>
              </w:tc>
              <w:tc>
                <w:tcPr>
                  <w:tcW w:w="953"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728"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1385"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氨氮</w:t>
                  </w:r>
                </w:p>
              </w:tc>
              <w:tc>
                <w:tcPr>
                  <w:tcW w:w="1147"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悬浮物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276"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jc w:val="center"/>
                    <w:rPr>
                      <w:color w:val="auto"/>
                      <w:szCs w:val="21"/>
                    </w:rPr>
                  </w:pPr>
                  <w:r>
                    <w:rPr>
                      <w:rFonts w:hint="eastAsia"/>
                      <w:color w:val="auto"/>
                      <w:szCs w:val="21"/>
                      <w:lang w:val="en-US" w:eastAsia="zh-CN"/>
                    </w:rPr>
                    <w:t>项目地白鱼河</w:t>
                  </w:r>
                  <w:r>
                    <w:rPr>
                      <w:rFonts w:hint="eastAsia" w:hAnsi="宋体"/>
                      <w:color w:val="auto"/>
                      <w:szCs w:val="21"/>
                    </w:rPr>
                    <w:t>上游</w:t>
                  </w:r>
                  <w:r>
                    <w:rPr>
                      <w:color w:val="auto"/>
                      <w:szCs w:val="21"/>
                    </w:rPr>
                    <w:t>500m</w:t>
                  </w:r>
                </w:p>
              </w:tc>
              <w:tc>
                <w:tcPr>
                  <w:tcW w:w="13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9.0</w:t>
                  </w:r>
                </w:p>
              </w:tc>
              <w:tc>
                <w:tcPr>
                  <w:tcW w:w="9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6</w:t>
                  </w:r>
                </w:p>
              </w:tc>
              <w:tc>
                <w:tcPr>
                  <w:tcW w:w="72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p>
              </w:tc>
              <w:tc>
                <w:tcPr>
                  <w:tcW w:w="138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070</w:t>
                  </w:r>
                  <w:r>
                    <w:rPr>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094</w:t>
                  </w:r>
                </w:p>
              </w:tc>
              <w:tc>
                <w:tcPr>
                  <w:tcW w:w="1147"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276"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jc w:val="center"/>
                    <w:rPr>
                      <w:color w:val="auto"/>
                      <w:szCs w:val="21"/>
                    </w:rPr>
                  </w:pPr>
                  <w:r>
                    <w:rPr>
                      <w:rFonts w:hint="eastAsia"/>
                      <w:color w:val="auto"/>
                      <w:szCs w:val="21"/>
                      <w:lang w:val="en-US" w:eastAsia="zh-CN"/>
                    </w:rPr>
                    <w:t>项目地白鱼河</w:t>
                  </w:r>
                  <w:r>
                    <w:rPr>
                      <w:rFonts w:hint="eastAsia" w:hAnsi="宋体"/>
                      <w:color w:val="auto"/>
                      <w:szCs w:val="21"/>
                    </w:rPr>
                    <w:t>下游</w:t>
                  </w:r>
                  <w:r>
                    <w:rPr>
                      <w:color w:val="auto"/>
                      <w:szCs w:val="21"/>
                    </w:rPr>
                    <w:t>1000m</w:t>
                  </w:r>
                </w:p>
              </w:tc>
              <w:tc>
                <w:tcPr>
                  <w:tcW w:w="13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9.2</w:t>
                  </w:r>
                </w:p>
              </w:tc>
              <w:tc>
                <w:tcPr>
                  <w:tcW w:w="9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2.6</w:t>
                  </w:r>
                </w:p>
              </w:tc>
              <w:tc>
                <w:tcPr>
                  <w:tcW w:w="72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13</w:t>
                  </w:r>
                </w:p>
              </w:tc>
              <w:tc>
                <w:tcPr>
                  <w:tcW w:w="138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066</w:t>
                  </w:r>
                  <w:r>
                    <w:rPr>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097</w:t>
                  </w:r>
                </w:p>
              </w:tc>
              <w:tc>
                <w:tcPr>
                  <w:tcW w:w="1147"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27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color w:val="auto"/>
                    </w:rPr>
                  </w:pPr>
                  <w:r>
                    <w:rPr>
                      <w:rFonts w:hint="eastAsia" w:hAnsi="宋体"/>
                      <w:color w:val="auto"/>
                      <w:sz w:val="21"/>
                      <w:szCs w:val="21"/>
                      <w:lang w:val="en-US" w:eastAsia="zh-CN"/>
                    </w:rPr>
                    <w:t>白鱼河</w:t>
                  </w:r>
                  <w:r>
                    <w:rPr>
                      <w:rFonts w:hint="eastAsia" w:ascii="宋体" w:hAnsi="宋体" w:eastAsia="宋体" w:cs="宋体"/>
                      <w:color w:val="auto"/>
                      <w:sz w:val="21"/>
                      <w:szCs w:val="21"/>
                      <w:lang w:val="en-US" w:eastAsia="zh-CN"/>
                    </w:rPr>
                    <w:t>Ⅱ</w:t>
                  </w:r>
                  <w:r>
                    <w:rPr>
                      <w:rFonts w:hint="eastAsia" w:hAnsi="宋体"/>
                      <w:color w:val="auto"/>
                      <w:sz w:val="21"/>
                      <w:szCs w:val="21"/>
                    </w:rPr>
                    <w:t>类标准限值</w:t>
                  </w:r>
                </w:p>
              </w:tc>
              <w:tc>
                <w:tcPr>
                  <w:tcW w:w="13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6-9</w:t>
                  </w:r>
                </w:p>
              </w:tc>
              <w:tc>
                <w:tcPr>
                  <w:tcW w:w="9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72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138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w:t>
                  </w:r>
                </w:p>
              </w:tc>
              <w:tc>
                <w:tcPr>
                  <w:tcW w:w="1147"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bl>
          <w:p>
            <w:pPr>
              <w:adjustRightInd w:val="0"/>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由上表监测结果可以看出：项目周边地表水环境满足《地表水环境质量标准》</w:t>
            </w:r>
            <w:r>
              <w:rPr>
                <w:color w:val="000000" w:themeColor="text1"/>
                <w:sz w:val="24"/>
                <w14:textFill>
                  <w14:solidFill>
                    <w14:schemeClr w14:val="tx1"/>
                  </w14:solidFill>
                </w14:textFill>
              </w:rPr>
              <w:t>GB3838-2002</w:t>
            </w:r>
            <w:r>
              <w:rPr>
                <w:rFonts w:hint="eastAsia" w:hAnsi="宋体"/>
                <w:color w:val="000000" w:themeColor="text1"/>
                <w:sz w:val="24"/>
                <w14:textFill>
                  <w14:solidFill>
                    <w14:schemeClr w14:val="tx1"/>
                  </w14:solidFill>
                </w14:textFill>
              </w:rPr>
              <w:t>中</w:t>
            </w:r>
            <w:r>
              <w:rPr>
                <w:rFonts w:hint="eastAsia" w:ascii="宋体" w:hAnsi="宋体" w:eastAsia="宋体" w:cs="宋体"/>
                <w:color w:val="000000" w:themeColor="text1"/>
                <w:sz w:val="24"/>
                <w14:textFill>
                  <w14:solidFill>
                    <w14:schemeClr w14:val="tx1"/>
                  </w14:solidFill>
                </w14:textFill>
              </w:rPr>
              <w:t>Ⅱ</w:t>
            </w:r>
            <w:r>
              <w:rPr>
                <w:rFonts w:hint="eastAsia" w:hAnsi="宋体"/>
                <w:color w:val="000000" w:themeColor="text1"/>
                <w:sz w:val="24"/>
                <w14:textFill>
                  <w14:solidFill>
                    <w14:schemeClr w14:val="tx1"/>
                  </w14:solidFill>
                </w14:textFill>
              </w:rPr>
              <w:t>类功能区限值标准，因此，表明项目所在地表水环境现状良好。</w:t>
            </w:r>
          </w:p>
          <w:p>
            <w:pPr>
              <w:adjustRightInd w:val="0"/>
              <w:snapToGrid w:val="0"/>
              <w:spacing w:line="360" w:lineRule="auto"/>
              <w:ind w:left="-34" w:leftChars="-16" w:firstLine="14" w:firstLineChars="5"/>
              <w:jc w:val="left"/>
              <w:rPr>
                <w:b/>
                <w:color w:val="000000" w:themeColor="text1"/>
                <w:sz w:val="28"/>
                <w14:textFill>
                  <w14:solidFill>
                    <w14:schemeClr w14:val="tx1"/>
                  </w14:solidFill>
                </w14:textFill>
              </w:rPr>
            </w:pPr>
          </w:p>
          <w:p>
            <w:pPr>
              <w:adjustRightInd w:val="0"/>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center"/>
          </w:tcPr>
          <w:p>
            <w:pPr>
              <w:adjustRightInd w:val="0"/>
              <w:snapToGrid w:val="0"/>
              <w:spacing w:line="360" w:lineRule="auto"/>
              <w:ind w:firstLine="472" w:firstLineChars="200"/>
              <w:textAlignment w:val="baseline"/>
              <w:rPr>
                <w:color w:val="000000" w:themeColor="text1"/>
                <w:spacing w:val="-2"/>
                <w:kern w:val="28"/>
                <w:sz w:val="24"/>
                <w14:textFill>
                  <w14:solidFill>
                    <w14:schemeClr w14:val="tx1"/>
                  </w14:solidFill>
                </w14:textFill>
              </w:rPr>
            </w:pPr>
            <w:r>
              <w:rPr>
                <w:rFonts w:hint="eastAsia"/>
                <w:color w:val="000000" w:themeColor="text1"/>
                <w:spacing w:val="-2"/>
                <w:kern w:val="28"/>
                <w:sz w:val="24"/>
                <w14:textFill>
                  <w14:solidFill>
                    <w14:schemeClr w14:val="tx1"/>
                  </w14:solidFill>
                </w14:textFill>
              </w:rPr>
              <w:t>根据现场踏勘的情况，考虑到本项目的排污特点与周围的环境特征，项目周边环境关系及环境保护目标见下表。</w:t>
            </w:r>
          </w:p>
          <w:p>
            <w:pPr>
              <w:adjustRightInd w:val="0"/>
              <w:snapToGrid w:val="0"/>
              <w:ind w:firstLine="422"/>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w:t>
            </w:r>
            <w:r>
              <w:rPr>
                <w:rFonts w:hint="eastAsia"/>
                <w:b/>
                <w:bCs/>
                <w:color w:val="000000" w:themeColor="text1"/>
                <w:szCs w:val="21"/>
                <w:lang w:val="en-US" w:eastAsia="zh-CN"/>
                <w14:textFill>
                  <w14:solidFill>
                    <w14:schemeClr w14:val="tx1"/>
                  </w14:solidFill>
                </w14:textFill>
              </w:rPr>
              <w:t xml:space="preserve">22 </w:t>
            </w:r>
            <w:r>
              <w:rPr>
                <w:rFonts w:hint="eastAsia"/>
                <w:b/>
                <w:bCs/>
                <w:color w:val="000000" w:themeColor="text1"/>
                <w:szCs w:val="21"/>
                <w14:textFill>
                  <w14:solidFill>
                    <w14:schemeClr w14:val="tx1"/>
                  </w14:solidFill>
                </w14:textFill>
              </w:rPr>
              <w:t>主要环境保护目标</w:t>
            </w:r>
          </w:p>
          <w:tbl>
            <w:tblPr>
              <w:tblStyle w:val="19"/>
              <w:tblW w:w="8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136"/>
              <w:gridCol w:w="1299"/>
              <w:gridCol w:w="917"/>
              <w:gridCol w:w="648"/>
              <w:gridCol w:w="1059"/>
              <w:gridCol w:w="954"/>
              <w:gridCol w:w="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vMerge w:val="restart"/>
                  <w:tcBorders>
                    <w:top w:val="single" w:color="auto" w:sz="12"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2435" w:type="dxa"/>
                  <w:gridSpan w:val="2"/>
                  <w:tcBorders>
                    <w:top w:val="single" w:color="auto" w:sz="12"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坐标</w:t>
                  </w:r>
                  <w:r>
                    <w:rPr>
                      <w:color w:val="000000" w:themeColor="text1"/>
                      <w14:textFill>
                        <w14:solidFill>
                          <w14:schemeClr w14:val="tx1"/>
                        </w14:solidFill>
                      </w14:textFill>
                    </w:rPr>
                    <w:t>/m</w:t>
                  </w:r>
                </w:p>
              </w:tc>
              <w:tc>
                <w:tcPr>
                  <w:tcW w:w="917" w:type="dxa"/>
                  <w:vMerge w:val="restart"/>
                  <w:tcBorders>
                    <w:top w:val="single" w:color="auto" w:sz="12"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保护对象</w:t>
                  </w:r>
                </w:p>
              </w:tc>
              <w:tc>
                <w:tcPr>
                  <w:tcW w:w="648" w:type="dxa"/>
                  <w:vMerge w:val="restart"/>
                  <w:tcBorders>
                    <w:top w:val="single" w:color="auto" w:sz="12"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保护内容</w:t>
                  </w:r>
                </w:p>
              </w:tc>
              <w:tc>
                <w:tcPr>
                  <w:tcW w:w="1059" w:type="dxa"/>
                  <w:vMerge w:val="restart"/>
                  <w:tcBorders>
                    <w:top w:val="single" w:color="auto" w:sz="12"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环境功能区</w:t>
                  </w:r>
                </w:p>
              </w:tc>
              <w:tc>
                <w:tcPr>
                  <w:tcW w:w="954" w:type="dxa"/>
                  <w:vMerge w:val="restart"/>
                  <w:tcBorders>
                    <w:top w:val="single" w:color="auto" w:sz="12"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相对厂址方位</w:t>
                  </w:r>
                </w:p>
              </w:tc>
              <w:tc>
                <w:tcPr>
                  <w:tcW w:w="950" w:type="dxa"/>
                  <w:vMerge w:val="restart"/>
                  <w:tcBorders>
                    <w:top w:val="single" w:color="auto" w:sz="12"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相对厂界距离</w:t>
                  </w:r>
                  <w:r>
                    <w:rPr>
                      <w:color w:val="000000" w:themeColor="text1"/>
                      <w14:textFill>
                        <w14:solidFill>
                          <w14:schemeClr w14:val="tx1"/>
                        </w14:solidFill>
                      </w14:textFill>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X</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Y</w:t>
                  </w:r>
                </w:p>
              </w:tc>
              <w:tc>
                <w:tcPr>
                  <w:tcW w:w="91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0"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战胜村</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285721.77</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3634018.85</w:t>
                  </w:r>
                </w:p>
              </w:tc>
              <w:tc>
                <w:tcPr>
                  <w:tcW w:w="917" w:type="dxa"/>
                  <w:vMerge w:val="restart"/>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居民</w:t>
                  </w:r>
                </w:p>
              </w:tc>
              <w:tc>
                <w:tcPr>
                  <w:tcW w:w="648" w:type="dxa"/>
                  <w:vMerge w:val="restart"/>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空气质量</w:t>
                  </w:r>
                </w:p>
              </w:tc>
              <w:tc>
                <w:tcPr>
                  <w:tcW w:w="1059" w:type="dxa"/>
                  <w:vMerge w:val="restart"/>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类区</w:t>
                  </w: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NW</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公平村</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286532.05</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3634751.92</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N</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行政村</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287564.87</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3634248.69</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NE</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后沟村</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288753.98</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3633894.62</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NE</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奎星楼</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286904.32</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3633399.80</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N</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郭家沟垴</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285471.12</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3632816.92</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葫芦寨</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285188.00</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3631599.60</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SW</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民主村</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285897.02</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3630983.05</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SW</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岳王庙</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286196.35</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3630344.08</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SW</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彭家庄</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286245.29</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3630006.90</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SW</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千田村</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286823.33</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3630001.71</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康扒村</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288405.92</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3631510.58</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SE</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夏家湾</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286907.06</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3632031.92</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奎星村</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287171.79</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3632581.89</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E</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周边零散住户</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286549.93</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3632412.02</w:t>
                  </w:r>
                </w:p>
              </w:tc>
              <w:tc>
                <w:tcPr>
                  <w:tcW w:w="91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105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000000" w:themeColor="text1"/>
                      <w14:textFill>
                        <w14:solidFill>
                          <w14:schemeClr w14:val="tx1"/>
                        </w14:solidFill>
                      </w14:textFill>
                    </w:rPr>
                  </w:pPr>
                </w:p>
              </w:tc>
              <w:tc>
                <w:tcPr>
                  <w:tcW w:w="95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w:t>
                  </w:r>
                </w:p>
              </w:tc>
              <w:tc>
                <w:tcPr>
                  <w:tcW w:w="950" w:type="dxa"/>
                  <w:tcBorders>
                    <w:top w:val="single" w:color="auto" w:sz="6" w:space="0"/>
                    <w:left w:val="single" w:color="auto" w:sz="6" w:space="0"/>
                    <w:bottom w:val="single" w:color="auto" w:sz="6" w:space="0"/>
                    <w:right w:val="single" w:color="auto" w:sz="12"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水环境</w:t>
                  </w: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287305.88</w:t>
                  </w:r>
                </w:p>
              </w:tc>
              <w:tc>
                <w:tcPr>
                  <w:tcW w:w="129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3632562.87</w:t>
                  </w:r>
                </w:p>
              </w:tc>
              <w:tc>
                <w:tcPr>
                  <w:tcW w:w="917"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白鱼河</w:t>
                  </w:r>
                </w:p>
              </w:tc>
              <w:tc>
                <w:tcPr>
                  <w:tcW w:w="64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05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Ⅱ</w:t>
                  </w:r>
                  <w:r>
                    <w:rPr>
                      <w:rFonts w:hint="eastAsia"/>
                      <w:color w:val="000000" w:themeColor="text1"/>
                      <w14:textFill>
                        <w14:solidFill>
                          <w14:schemeClr w14:val="tx1"/>
                        </w14:solidFill>
                      </w14:textFill>
                    </w:rPr>
                    <w:t>类水域</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w:t>
                  </w:r>
                </w:p>
              </w:tc>
              <w:tc>
                <w:tcPr>
                  <w:tcW w:w="95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52" w:type="dxa"/>
                  <w:tcBorders>
                    <w:top w:val="single" w:color="auto" w:sz="6" w:space="0"/>
                    <w:left w:val="single" w:color="auto" w:sz="12" w:space="0"/>
                    <w:bottom w:val="single" w:color="auto" w:sz="12"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周边零散住户</w:t>
                  </w:r>
                </w:p>
              </w:tc>
              <w:tc>
                <w:tcPr>
                  <w:tcW w:w="1136"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286549.93</w:t>
                  </w:r>
                </w:p>
              </w:tc>
              <w:tc>
                <w:tcPr>
                  <w:tcW w:w="1299"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3632412.02</w:t>
                  </w:r>
                </w:p>
              </w:tc>
              <w:tc>
                <w:tcPr>
                  <w:tcW w:w="917"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居民</w:t>
                  </w:r>
                </w:p>
              </w:tc>
              <w:tc>
                <w:tcPr>
                  <w:tcW w:w="648"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声环境</w:t>
                  </w:r>
                </w:p>
              </w:tc>
              <w:tc>
                <w:tcPr>
                  <w:tcW w:w="1059"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类区</w:t>
                  </w:r>
                </w:p>
              </w:tc>
              <w:tc>
                <w:tcPr>
                  <w:tcW w:w="954"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W</w:t>
                  </w:r>
                </w:p>
              </w:tc>
              <w:tc>
                <w:tcPr>
                  <w:tcW w:w="950" w:type="dxa"/>
                  <w:tcBorders>
                    <w:top w:val="single" w:color="auto" w:sz="6" w:space="0"/>
                    <w:left w:val="single" w:color="auto" w:sz="6" w:space="0"/>
                    <w:bottom w:val="single" w:color="auto" w:sz="12" w:space="0"/>
                    <w:right w:val="single" w:color="auto" w:sz="12" w:space="0"/>
                  </w:tcBorders>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180</w:t>
                  </w:r>
                </w:p>
              </w:tc>
            </w:tr>
          </w:tbl>
          <w:p>
            <w:pPr>
              <w:adjustRightInd w:val="0"/>
              <w:snapToGrid w:val="0"/>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污染</w:t>
            </w:r>
          </w:p>
          <w:p>
            <w:pPr>
              <w:adjustRightInd w:val="0"/>
              <w:snapToGrid w:val="0"/>
              <w:jc w:val="center"/>
              <w:rPr>
                <w:rFonts w:hint="eastAsia" w:ascii="宋体" w:hAnsi="宋体" w:cs="宋体"/>
                <w:kern w:val="0"/>
                <w:szCs w:val="21"/>
              </w:rPr>
            </w:pPr>
            <w:r>
              <w:rPr>
                <w:rFonts w:hint="eastAsia" w:ascii="宋体" w:hAnsi="宋体" w:cs="宋体"/>
                <w:kern w:val="0"/>
                <w:szCs w:val="21"/>
              </w:rPr>
              <w:t>物排</w:t>
            </w:r>
          </w:p>
          <w:p>
            <w:pPr>
              <w:adjustRightInd w:val="0"/>
              <w:snapToGrid w:val="0"/>
              <w:jc w:val="center"/>
              <w:rPr>
                <w:rFonts w:hint="eastAsia" w:ascii="宋体" w:hAnsi="宋体" w:cs="宋体"/>
                <w:kern w:val="0"/>
                <w:szCs w:val="21"/>
              </w:rPr>
            </w:pPr>
            <w:r>
              <w:rPr>
                <w:rFonts w:hint="eastAsia" w:ascii="宋体" w:hAnsi="宋体" w:cs="宋体"/>
                <w:kern w:val="0"/>
                <w:szCs w:val="21"/>
              </w:rPr>
              <w:t>放控</w:t>
            </w:r>
          </w:p>
          <w:p>
            <w:pPr>
              <w:adjustRightInd w:val="0"/>
              <w:snapToGrid w:val="0"/>
              <w:jc w:val="center"/>
              <w:rPr>
                <w:rFonts w:hint="eastAsia"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noWrap w:val="0"/>
            <w:vAlign w:val="center"/>
          </w:tcPr>
          <w:p>
            <w:pPr>
              <w:pStyle w:val="42"/>
              <w:spacing w:before="1"/>
              <w:ind w:firstLine="482" w:firstLineChars="200"/>
              <w:rPr>
                <w:b/>
                <w:bCs/>
                <w:sz w:val="24"/>
                <w:szCs w:val="24"/>
              </w:rPr>
            </w:pPr>
            <w:r>
              <w:rPr>
                <w:rFonts w:hint="eastAsia"/>
                <w:b/>
                <w:bCs/>
                <w:sz w:val="24"/>
                <w:szCs w:val="24"/>
                <w:lang w:val="en-US" w:eastAsia="zh-CN"/>
              </w:rPr>
              <w:t>1、</w:t>
            </w:r>
            <w:r>
              <w:rPr>
                <w:b/>
                <w:bCs/>
                <w:sz w:val="24"/>
                <w:szCs w:val="24"/>
              </w:rPr>
              <w:t>废气</w:t>
            </w:r>
          </w:p>
          <w:p>
            <w:pPr>
              <w:pStyle w:val="44"/>
              <w:numPr>
                <w:ilvl w:val="0"/>
                <w:numId w:val="0"/>
              </w:numPr>
              <w:tabs>
                <w:tab w:val="left" w:pos="3820"/>
              </w:tabs>
              <w:autoSpaceDE w:val="0"/>
              <w:autoSpaceDN w:val="0"/>
              <w:spacing w:before="160" w:after="0" w:line="364" w:lineRule="auto"/>
              <w:ind w:right="375" w:rightChars="0" w:firstLine="476" w:firstLineChars="200"/>
              <w:jc w:val="both"/>
              <w:rPr>
                <w:rFonts w:hint="eastAsia"/>
                <w:lang w:eastAsia="zh-CN"/>
              </w:rPr>
            </w:pPr>
            <w:r>
              <w:rPr>
                <w:rFonts w:hint="default" w:ascii="Times New Roman" w:hAnsi="Times New Roman" w:eastAsia="宋体" w:cs="Times New Roman"/>
                <w:spacing w:val="-1"/>
                <w:kern w:val="0"/>
                <w:sz w:val="24"/>
                <w:szCs w:val="22"/>
                <w:lang w:val="en-US" w:eastAsia="zh-CN"/>
              </w:rPr>
              <w:t>施工期厂界扬尘执行陕西省地方标准《施工场界扬尘排放限值》</w:t>
            </w:r>
            <w:r>
              <w:rPr>
                <w:rFonts w:hint="eastAsia" w:ascii="Times New Roman" w:hAnsi="Times New Roman" w:eastAsia="宋体" w:cs="Times New Roman"/>
                <w:spacing w:val="-1"/>
                <w:kern w:val="0"/>
                <w:sz w:val="24"/>
                <w:szCs w:val="22"/>
                <w:lang w:val="en-US" w:eastAsia="zh-CN"/>
              </w:rPr>
              <w:t>（</w:t>
            </w:r>
            <w:r>
              <w:rPr>
                <w:rFonts w:hint="default" w:ascii="Times New Roman" w:hAnsi="Times New Roman" w:eastAsia="宋体" w:cs="Times New Roman"/>
                <w:spacing w:val="-1"/>
                <w:kern w:val="0"/>
                <w:sz w:val="24"/>
                <w:szCs w:val="22"/>
                <w:lang w:val="en-US" w:eastAsia="zh-CN"/>
              </w:rPr>
              <w:t>DB61/1078-2017</w:t>
            </w:r>
            <w:r>
              <w:rPr>
                <w:rFonts w:hint="eastAsia" w:ascii="Times New Roman" w:hAnsi="Times New Roman" w:eastAsia="宋体" w:cs="Times New Roman"/>
                <w:spacing w:val="-1"/>
                <w:kern w:val="0"/>
                <w:sz w:val="24"/>
                <w:szCs w:val="22"/>
                <w:lang w:val="en-US" w:eastAsia="zh-CN"/>
              </w:rPr>
              <w:t>）</w:t>
            </w:r>
            <w:r>
              <w:rPr>
                <w:rFonts w:hint="default" w:ascii="Times New Roman" w:hAnsi="Times New Roman" w:eastAsia="宋体" w:cs="Times New Roman"/>
                <w:spacing w:val="-1"/>
                <w:kern w:val="0"/>
                <w:sz w:val="24"/>
                <w:szCs w:val="22"/>
                <w:lang w:val="en-US" w:eastAsia="zh-CN"/>
              </w:rPr>
              <w:t>具体标准限值见表</w:t>
            </w:r>
            <w:r>
              <w:rPr>
                <w:rFonts w:hint="eastAsia" w:ascii="Times New Roman" w:hAnsi="Times New Roman" w:cs="Times New Roman"/>
                <w:spacing w:val="-1"/>
                <w:kern w:val="0"/>
                <w:sz w:val="24"/>
                <w:szCs w:val="22"/>
                <w:lang w:val="en-US" w:eastAsia="zh-CN"/>
              </w:rPr>
              <w:t>23</w:t>
            </w:r>
            <w:r>
              <w:rPr>
                <w:rFonts w:hint="eastAsia"/>
                <w:lang w:eastAsia="zh-CN"/>
              </w:rPr>
              <w:t>。</w:t>
            </w:r>
          </w:p>
          <w:p>
            <w:pPr>
              <w:pStyle w:val="44"/>
              <w:numPr>
                <w:ilvl w:val="0"/>
                <w:numId w:val="0"/>
              </w:numPr>
              <w:tabs>
                <w:tab w:val="left" w:pos="3820"/>
              </w:tabs>
              <w:autoSpaceDE w:val="0"/>
              <w:autoSpaceDN w:val="0"/>
              <w:spacing w:before="160" w:after="0" w:line="364" w:lineRule="auto"/>
              <w:ind w:right="375" w:rightChars="0" w:firstLine="482" w:firstLineChars="200"/>
              <w:jc w:val="center"/>
              <w:rPr>
                <w:rFonts w:hint="default" w:ascii="Times New Roman" w:hAnsi="Times New Roman" w:cs="Times New Roman"/>
                <w:sz w:val="24"/>
                <w:szCs w:val="24"/>
                <w:lang w:eastAsia="zh-CN"/>
              </w:rPr>
            </w:pPr>
            <w:r>
              <w:rPr>
                <w:rFonts w:hint="default" w:ascii="Times New Roman" w:hAnsi="Times New Roman" w:cs="Times New Roman"/>
                <w:b/>
                <w:sz w:val="24"/>
                <w:szCs w:val="24"/>
              </w:rPr>
              <w:t>表</w:t>
            </w:r>
            <w:r>
              <w:rPr>
                <w:rFonts w:hint="eastAsia" w:ascii="Times New Roman" w:hAnsi="Times New Roman" w:cs="Times New Roman"/>
                <w:b/>
                <w:sz w:val="24"/>
                <w:szCs w:val="24"/>
                <w:lang w:val="en-US" w:eastAsia="zh-CN"/>
              </w:rPr>
              <w:t xml:space="preserve">23 </w:t>
            </w:r>
            <w:r>
              <w:rPr>
                <w:rFonts w:hint="default" w:ascii="Times New Roman" w:hAnsi="Times New Roman" w:cs="Times New Roman"/>
                <w:b/>
                <w:sz w:val="24"/>
                <w:szCs w:val="24"/>
              </w:rPr>
              <w:t>施工厂界扬尘排放限值</w:t>
            </w:r>
          </w:p>
          <w:tbl>
            <w:tblPr>
              <w:tblStyle w:val="2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05"/>
              <w:gridCol w:w="176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984" w:type="dxa"/>
                  <w:noWrap w:val="0"/>
                  <w:vAlign w:val="center"/>
                </w:tcPr>
                <w:p>
                  <w:pPr>
                    <w:adjustRightInd w:val="0"/>
                    <w:snapToGrid w:val="0"/>
                    <w:jc w:val="center"/>
                    <w:rPr>
                      <w:rFonts w:hint="default"/>
                      <w:color w:val="000000" w:themeColor="text1"/>
                      <w:lang w:val="zh-CN" w:eastAsia="zh-CN"/>
                      <w14:textFill>
                        <w14:solidFill>
                          <w14:schemeClr w14:val="tx1"/>
                        </w14:solidFill>
                      </w14:textFill>
                    </w:rPr>
                  </w:pPr>
                  <w:r>
                    <w:rPr>
                      <w:rFonts w:hint="default"/>
                      <w:color w:val="000000" w:themeColor="text1"/>
                      <w14:textFill>
                        <w14:solidFill>
                          <w14:schemeClr w14:val="tx1"/>
                        </w14:solidFill>
                      </w14:textFill>
                    </w:rPr>
                    <w:t>污染物</w:t>
                  </w:r>
                </w:p>
              </w:tc>
              <w:tc>
                <w:tcPr>
                  <w:tcW w:w="2205" w:type="dxa"/>
                  <w:noWrap w:val="0"/>
                  <w:vAlign w:val="center"/>
                </w:tcPr>
                <w:p>
                  <w:pPr>
                    <w:adjustRightInd w:val="0"/>
                    <w:snapToGrid w:val="0"/>
                    <w:jc w:val="center"/>
                    <w:rPr>
                      <w:rFonts w:hint="default"/>
                      <w:color w:val="000000" w:themeColor="text1"/>
                      <w:lang w:val="zh-CN" w:eastAsia="zh-CN"/>
                      <w14:textFill>
                        <w14:solidFill>
                          <w14:schemeClr w14:val="tx1"/>
                        </w14:solidFill>
                      </w14:textFill>
                    </w:rPr>
                  </w:pPr>
                  <w:r>
                    <w:rPr>
                      <w:rFonts w:hint="default"/>
                      <w:color w:val="000000" w:themeColor="text1"/>
                      <w14:textFill>
                        <w14:solidFill>
                          <w14:schemeClr w14:val="tx1"/>
                        </w14:solidFill>
                      </w14:textFill>
                    </w:rPr>
                    <w:t>施工阶段</w:t>
                  </w:r>
                </w:p>
              </w:tc>
              <w:tc>
                <w:tcPr>
                  <w:tcW w:w="1764" w:type="dxa"/>
                  <w:noWrap w:val="0"/>
                  <w:vAlign w:val="center"/>
                </w:tcPr>
                <w:p>
                  <w:pPr>
                    <w:adjustRightInd w:val="0"/>
                    <w:snapToGrid w:val="0"/>
                    <w:jc w:val="center"/>
                    <w:rPr>
                      <w:rFonts w:hint="default"/>
                      <w:color w:val="000000" w:themeColor="text1"/>
                      <w:lang w:val="zh-CN" w:eastAsia="zh-CN"/>
                      <w14:textFill>
                        <w14:solidFill>
                          <w14:schemeClr w14:val="tx1"/>
                        </w14:solidFill>
                      </w14:textFill>
                    </w:rPr>
                  </w:pPr>
                  <w:r>
                    <w:rPr>
                      <w:rFonts w:hint="default"/>
                      <w:color w:val="000000" w:themeColor="text1"/>
                      <w14:textFill>
                        <w14:solidFill>
                          <w14:schemeClr w14:val="tx1"/>
                        </w14:solidFill>
                      </w14:textFill>
                    </w:rPr>
                    <w:t>小时平均浓度限值</w:t>
                  </w:r>
                </w:p>
              </w:tc>
              <w:tc>
                <w:tcPr>
                  <w:tcW w:w="1985" w:type="dxa"/>
                  <w:noWrap w:val="0"/>
                  <w:vAlign w:val="center"/>
                </w:tcPr>
                <w:p>
                  <w:pPr>
                    <w:adjustRightInd w:val="0"/>
                    <w:snapToGrid w:val="0"/>
                    <w:jc w:val="center"/>
                    <w:rPr>
                      <w:rFonts w:hint="default"/>
                      <w:color w:val="000000" w:themeColor="text1"/>
                      <w:lang w:val="zh-CN" w:eastAsia="zh-CN"/>
                      <w14:textFill>
                        <w14:solidFill>
                          <w14:schemeClr w14:val="tx1"/>
                        </w14:solidFill>
                      </w14:textFill>
                    </w:rPr>
                  </w:pPr>
                  <w:r>
                    <w:rPr>
                      <w:rFonts w:hint="default"/>
                      <w:color w:val="000000" w:themeColor="text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84" w:type="dxa"/>
                  <w:vMerge w:val="restart"/>
                  <w:noWrap w:val="0"/>
                  <w:vAlign w:val="center"/>
                </w:tcPr>
                <w:p>
                  <w:pPr>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总悬浮颗粒物（TSP）</w:t>
                  </w:r>
                </w:p>
              </w:tc>
              <w:tc>
                <w:tcPr>
                  <w:tcW w:w="2205" w:type="dxa"/>
                  <w:noWrap w:val="0"/>
                  <w:vAlign w:val="center"/>
                </w:tcPr>
                <w:p>
                  <w:pPr>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拆除、土方及地基处</w:t>
                  </w:r>
                </w:p>
                <w:p>
                  <w:pPr>
                    <w:contextualSpacing/>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理</w:t>
                  </w:r>
                </w:p>
              </w:tc>
              <w:tc>
                <w:tcPr>
                  <w:tcW w:w="1764" w:type="dxa"/>
                  <w:noWrap w:val="0"/>
                  <w:vAlign w:val="center"/>
                </w:tcPr>
                <w:p>
                  <w:pPr>
                    <w:contextualSpacing/>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0.8mg/m</w:t>
                  </w:r>
                  <w:r>
                    <w:rPr>
                      <w:rFonts w:hint="default" w:ascii="Times New Roman" w:hAnsi="Times New Roman" w:eastAsia="宋体" w:cs="Times New Roman"/>
                      <w:sz w:val="21"/>
                      <w:szCs w:val="21"/>
                      <w:vertAlign w:val="superscript"/>
                    </w:rPr>
                    <w:t>3</w:t>
                  </w:r>
                </w:p>
              </w:tc>
              <w:tc>
                <w:tcPr>
                  <w:tcW w:w="1985" w:type="dxa"/>
                  <w:vMerge w:val="restart"/>
                  <w:noWrap w:val="0"/>
                  <w:vAlign w:val="center"/>
                </w:tcPr>
                <w:p>
                  <w:pPr>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《施工厂界扬尘排放限值》（DB61/1078-2017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84" w:type="dxa"/>
                  <w:vMerge w:val="continue"/>
                  <w:noWrap w:val="0"/>
                  <w:vAlign w:val="center"/>
                </w:tcPr>
                <w:p>
                  <w:pPr>
                    <w:pStyle w:val="4"/>
                    <w:jc w:val="center"/>
                    <w:rPr>
                      <w:rFonts w:hint="default" w:ascii="Times New Roman" w:hAnsi="Times New Roman" w:eastAsia="宋体" w:cs="Times New Roman"/>
                      <w:sz w:val="21"/>
                      <w:szCs w:val="21"/>
                    </w:rPr>
                  </w:pPr>
                </w:p>
              </w:tc>
              <w:tc>
                <w:tcPr>
                  <w:tcW w:w="2205" w:type="dxa"/>
                  <w:noWrap w:val="0"/>
                  <w:vAlign w:val="center"/>
                </w:tcPr>
                <w:p>
                  <w:pPr>
                    <w:pStyle w:val="42"/>
                    <w:spacing w:before="52"/>
                    <w:ind w:left="117"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基础、主体结构及</w:t>
                  </w:r>
                  <w:r>
                    <w:rPr>
                      <w:rFonts w:hint="default" w:ascii="Times New Roman" w:hAnsi="Times New Roman" w:eastAsia="宋体" w:cs="Times New Roman"/>
                      <w:sz w:val="21"/>
                      <w:szCs w:val="21"/>
                      <w:lang w:val="en-US" w:eastAsia="zh-CN"/>
                    </w:rPr>
                    <w:t>装饰</w:t>
                  </w:r>
                </w:p>
              </w:tc>
              <w:tc>
                <w:tcPr>
                  <w:tcW w:w="1764" w:type="dxa"/>
                  <w:noWrap w:val="0"/>
                  <w:vAlign w:val="center"/>
                </w:tcPr>
                <w:p>
                  <w:pPr>
                    <w:pStyle w:val="42"/>
                    <w:spacing w:before="66"/>
                    <w:ind w:left="525" w:leftChars="0"/>
                    <w:jc w:val="both"/>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0.7mg/m</w:t>
                  </w:r>
                  <w:r>
                    <w:rPr>
                      <w:rFonts w:hint="default" w:ascii="Times New Roman" w:hAnsi="Times New Roman" w:eastAsia="宋体" w:cs="Times New Roman"/>
                      <w:sz w:val="21"/>
                      <w:szCs w:val="21"/>
                      <w:vertAlign w:val="superscript"/>
                    </w:rPr>
                    <w:t>3</w:t>
                  </w:r>
                </w:p>
              </w:tc>
              <w:tc>
                <w:tcPr>
                  <w:tcW w:w="1985" w:type="dxa"/>
                  <w:vMerge w:val="continue"/>
                  <w:noWrap w:val="0"/>
                  <w:vAlign w:val="center"/>
                </w:tcPr>
                <w:p>
                  <w:pPr>
                    <w:pStyle w:val="4"/>
                    <w:jc w:val="center"/>
                    <w:rPr>
                      <w:rFonts w:hint="default" w:ascii="Times New Roman" w:hAnsi="Times New Roman" w:eastAsia="宋体" w:cs="Times New Roman"/>
                      <w:sz w:val="21"/>
                      <w:szCs w:val="21"/>
                    </w:rPr>
                  </w:pPr>
                </w:p>
              </w:tc>
            </w:tr>
          </w:tbl>
          <w:p>
            <w:pPr>
              <w:pStyle w:val="44"/>
              <w:numPr>
                <w:ilvl w:val="0"/>
                <w:numId w:val="0"/>
              </w:numPr>
              <w:tabs>
                <w:tab w:val="left" w:pos="3820"/>
              </w:tabs>
              <w:autoSpaceDE w:val="0"/>
              <w:autoSpaceDN w:val="0"/>
              <w:spacing w:before="160" w:after="0" w:line="364" w:lineRule="auto"/>
              <w:ind w:right="375" w:rightChars="0" w:firstLine="476" w:firstLineChars="200"/>
              <w:jc w:val="both"/>
              <w:rPr>
                <w:b/>
                <w:sz w:val="21"/>
              </w:rPr>
            </w:pPr>
            <w:r>
              <w:rPr>
                <w:rFonts w:hint="default" w:ascii="Times New Roman" w:hAnsi="Times New Roman" w:eastAsia="宋体" w:cs="Times New Roman"/>
                <w:spacing w:val="-1"/>
                <w:kern w:val="0"/>
                <w:sz w:val="24"/>
                <w:szCs w:val="22"/>
                <w:lang w:val="en-US" w:eastAsia="zh-CN"/>
              </w:rPr>
              <w:t>运营期废气执行《大气污染物综合排放标准》（GB16297-1996）表2中的二级标准，具体见表</w:t>
            </w:r>
            <w:r>
              <w:rPr>
                <w:rFonts w:hint="eastAsia" w:ascii="Times New Roman" w:hAnsi="Times New Roman" w:cs="Times New Roman"/>
                <w:spacing w:val="-1"/>
                <w:kern w:val="0"/>
                <w:sz w:val="24"/>
                <w:szCs w:val="22"/>
                <w:lang w:val="en-US" w:eastAsia="zh-CN"/>
              </w:rPr>
              <w:t>24</w:t>
            </w:r>
            <w:r>
              <w:rPr>
                <w:rFonts w:hint="eastAsia" w:ascii="Times New Roman" w:hAnsi="Times New Roman" w:eastAsia="宋体" w:cs="Times New Roman"/>
                <w:spacing w:val="-1"/>
                <w:kern w:val="0"/>
                <w:sz w:val="24"/>
                <w:szCs w:val="22"/>
                <w:lang w:val="en-US" w:eastAsia="zh-CN"/>
              </w:rPr>
              <w:t>。</w:t>
            </w:r>
          </w:p>
          <w:p>
            <w:pPr>
              <w:pStyle w:val="42"/>
              <w:ind w:left="1607" w:right="1576"/>
              <w:jc w:val="center"/>
              <w:rPr>
                <w:rFonts w:hint="eastAsia" w:ascii="Times New Roman" w:hAnsi="Times New Roman" w:eastAsia="宋体" w:cs="Times New Roman"/>
                <w:spacing w:val="-1"/>
                <w:kern w:val="0"/>
                <w:sz w:val="24"/>
                <w:szCs w:val="24"/>
                <w:lang w:val="en-US" w:eastAsia="zh-CN"/>
              </w:rPr>
            </w:pPr>
            <w:r>
              <w:rPr>
                <w:rFonts w:hint="default" w:ascii="Times New Roman" w:hAnsi="Times New Roman" w:cs="Times New Roman"/>
                <w:b/>
                <w:sz w:val="24"/>
                <w:szCs w:val="24"/>
              </w:rPr>
              <w:t>表</w:t>
            </w:r>
            <w:r>
              <w:rPr>
                <w:rFonts w:hint="default" w:ascii="Times New Roman" w:hAnsi="Times New Roman" w:cs="Times New Roman"/>
                <w:b/>
                <w:sz w:val="24"/>
                <w:szCs w:val="24"/>
                <w:lang w:val="en-US" w:eastAsia="zh-CN"/>
              </w:rPr>
              <w:t>2</w:t>
            </w:r>
            <w:r>
              <w:rPr>
                <w:rFonts w:hint="eastAsia" w:ascii="Times New Roman" w:hAnsi="Times New Roman" w:cs="Times New Roman"/>
                <w:b/>
                <w:sz w:val="24"/>
                <w:szCs w:val="24"/>
                <w:lang w:val="en-US" w:eastAsia="zh-CN"/>
              </w:rPr>
              <w:t>4</w:t>
            </w:r>
            <w:r>
              <w:rPr>
                <w:rFonts w:hint="default" w:ascii="Times New Roman" w:hAnsi="Times New Roman" w:eastAsia="Times New Roman" w:cs="Times New Roman"/>
                <w:b/>
                <w:sz w:val="24"/>
                <w:szCs w:val="24"/>
              </w:rPr>
              <w:t xml:space="preserve"> </w:t>
            </w:r>
            <w:r>
              <w:rPr>
                <w:rFonts w:hint="default" w:ascii="Times New Roman" w:hAnsi="Times New Roman" w:cs="Times New Roman"/>
                <w:b/>
                <w:sz w:val="24"/>
                <w:szCs w:val="24"/>
              </w:rPr>
              <w:t>大气污染物排</w:t>
            </w:r>
            <w:r>
              <w:rPr>
                <w:b/>
                <w:sz w:val="24"/>
                <w:szCs w:val="24"/>
              </w:rPr>
              <w:t>放标准</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1320"/>
              <w:gridCol w:w="2280"/>
              <w:gridCol w:w="1804"/>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999" w:type="dxa"/>
                  <w:vMerge w:val="restart"/>
                  <w:noWrap w:val="0"/>
                  <w:vAlign w:val="top"/>
                </w:tcPr>
                <w:p>
                  <w:pPr>
                    <w:pStyle w:val="42"/>
                    <w:spacing w:before="10"/>
                    <w:rPr>
                      <w:rFonts w:ascii="Times New Roman"/>
                      <w:sz w:val="21"/>
                      <w:szCs w:val="21"/>
                    </w:rPr>
                  </w:pPr>
                </w:p>
                <w:p>
                  <w:pPr>
                    <w:pStyle w:val="42"/>
                    <w:ind w:left="216"/>
                    <w:rPr>
                      <w:sz w:val="21"/>
                      <w:szCs w:val="21"/>
                    </w:rPr>
                  </w:pPr>
                  <w:r>
                    <w:rPr>
                      <w:sz w:val="21"/>
                      <w:szCs w:val="21"/>
                    </w:rPr>
                    <w:t>点位</w:t>
                  </w:r>
                </w:p>
              </w:tc>
              <w:tc>
                <w:tcPr>
                  <w:tcW w:w="1320" w:type="dxa"/>
                  <w:vMerge w:val="restart"/>
                  <w:noWrap w:val="0"/>
                  <w:vAlign w:val="top"/>
                </w:tcPr>
                <w:p>
                  <w:pPr>
                    <w:pStyle w:val="42"/>
                    <w:spacing w:before="10"/>
                    <w:rPr>
                      <w:rFonts w:ascii="Times New Roman"/>
                      <w:sz w:val="21"/>
                      <w:szCs w:val="21"/>
                    </w:rPr>
                  </w:pPr>
                </w:p>
                <w:p>
                  <w:pPr>
                    <w:pStyle w:val="42"/>
                    <w:ind w:firstLine="420" w:firstLineChars="200"/>
                    <w:rPr>
                      <w:sz w:val="21"/>
                      <w:szCs w:val="21"/>
                    </w:rPr>
                  </w:pPr>
                  <w:r>
                    <w:rPr>
                      <w:sz w:val="21"/>
                      <w:szCs w:val="21"/>
                    </w:rPr>
                    <w:t>污染物</w:t>
                  </w:r>
                </w:p>
              </w:tc>
              <w:tc>
                <w:tcPr>
                  <w:tcW w:w="4084" w:type="dxa"/>
                  <w:gridSpan w:val="2"/>
                  <w:noWrap w:val="0"/>
                  <w:vAlign w:val="top"/>
                </w:tcPr>
                <w:p>
                  <w:pPr>
                    <w:pStyle w:val="42"/>
                    <w:spacing w:before="58"/>
                    <w:ind w:left="844"/>
                    <w:rPr>
                      <w:sz w:val="21"/>
                      <w:szCs w:val="21"/>
                    </w:rPr>
                  </w:pPr>
                  <w:r>
                    <w:rPr>
                      <w:sz w:val="21"/>
                      <w:szCs w:val="21"/>
                    </w:rPr>
                    <w:t>无组织排放监控浓度限值</w:t>
                  </w:r>
                </w:p>
              </w:tc>
              <w:tc>
                <w:tcPr>
                  <w:tcW w:w="1214" w:type="dxa"/>
                  <w:vMerge w:val="restart"/>
                  <w:noWrap w:val="0"/>
                  <w:vAlign w:val="top"/>
                </w:tcPr>
                <w:p>
                  <w:pPr>
                    <w:pStyle w:val="42"/>
                    <w:spacing w:before="10"/>
                    <w:rPr>
                      <w:rFonts w:ascii="Times New Roman"/>
                      <w:sz w:val="21"/>
                      <w:szCs w:val="21"/>
                    </w:rPr>
                  </w:pPr>
                </w:p>
                <w:p>
                  <w:pPr>
                    <w:pStyle w:val="42"/>
                    <w:ind w:left="415"/>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99" w:type="dxa"/>
                  <w:vMerge w:val="continue"/>
                  <w:tcBorders>
                    <w:top w:val="nil"/>
                  </w:tcBorders>
                  <w:noWrap w:val="0"/>
                  <w:vAlign w:val="top"/>
                </w:tcPr>
                <w:p>
                  <w:pPr>
                    <w:rPr>
                      <w:sz w:val="21"/>
                      <w:szCs w:val="21"/>
                    </w:rPr>
                  </w:pPr>
                </w:p>
              </w:tc>
              <w:tc>
                <w:tcPr>
                  <w:tcW w:w="1320" w:type="dxa"/>
                  <w:vMerge w:val="continue"/>
                  <w:tcBorders>
                    <w:top w:val="nil"/>
                  </w:tcBorders>
                  <w:noWrap w:val="0"/>
                  <w:vAlign w:val="top"/>
                </w:tcPr>
                <w:p>
                  <w:pPr>
                    <w:rPr>
                      <w:sz w:val="21"/>
                      <w:szCs w:val="21"/>
                    </w:rPr>
                  </w:pPr>
                </w:p>
              </w:tc>
              <w:tc>
                <w:tcPr>
                  <w:tcW w:w="2280" w:type="dxa"/>
                  <w:noWrap w:val="0"/>
                  <w:vAlign w:val="top"/>
                </w:tcPr>
                <w:p>
                  <w:pPr>
                    <w:pStyle w:val="42"/>
                    <w:spacing w:before="30"/>
                    <w:ind w:left="170" w:right="163"/>
                    <w:jc w:val="center"/>
                    <w:rPr>
                      <w:sz w:val="21"/>
                      <w:szCs w:val="21"/>
                    </w:rPr>
                  </w:pPr>
                  <w:r>
                    <w:rPr>
                      <w:sz w:val="21"/>
                      <w:szCs w:val="21"/>
                    </w:rPr>
                    <w:t>监控点</w:t>
                  </w:r>
                </w:p>
              </w:tc>
              <w:tc>
                <w:tcPr>
                  <w:tcW w:w="1804" w:type="dxa"/>
                  <w:noWrap w:val="0"/>
                  <w:vAlign w:val="top"/>
                </w:tcPr>
                <w:p>
                  <w:pPr>
                    <w:pStyle w:val="42"/>
                    <w:spacing w:before="30"/>
                    <w:ind w:left="249" w:right="241"/>
                    <w:jc w:val="center"/>
                    <w:rPr>
                      <w:sz w:val="21"/>
                      <w:szCs w:val="21"/>
                    </w:rPr>
                  </w:pPr>
                  <w:r>
                    <w:rPr>
                      <w:sz w:val="21"/>
                      <w:szCs w:val="21"/>
                    </w:rPr>
                    <w:t>浓度（</w:t>
                  </w:r>
                  <w:r>
                    <w:rPr>
                      <w:rFonts w:ascii="Times New Roman" w:hAnsi="Times New Roman" w:eastAsia="Times New Roman"/>
                      <w:sz w:val="21"/>
                      <w:szCs w:val="21"/>
                    </w:rPr>
                    <w:t>mg/m³</w:t>
                  </w:r>
                  <w:r>
                    <w:rPr>
                      <w:sz w:val="21"/>
                      <w:szCs w:val="21"/>
                    </w:rPr>
                    <w:t>）</w:t>
                  </w:r>
                </w:p>
              </w:tc>
              <w:tc>
                <w:tcPr>
                  <w:tcW w:w="1214" w:type="dxa"/>
                  <w:vMerge w:val="continue"/>
                  <w:tcBorders>
                    <w:top w:val="nil"/>
                  </w:tcBorders>
                  <w:noWrap w:val="0"/>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999" w:type="dxa"/>
                  <w:noWrap w:val="0"/>
                  <w:vAlign w:val="top"/>
                </w:tcPr>
                <w:p>
                  <w:pPr>
                    <w:pStyle w:val="42"/>
                    <w:spacing w:before="118"/>
                    <w:ind w:left="216"/>
                    <w:rPr>
                      <w:sz w:val="21"/>
                      <w:szCs w:val="21"/>
                    </w:rPr>
                  </w:pPr>
                  <w:r>
                    <w:rPr>
                      <w:sz w:val="21"/>
                      <w:szCs w:val="21"/>
                    </w:rPr>
                    <w:t>厂界</w:t>
                  </w:r>
                </w:p>
              </w:tc>
              <w:tc>
                <w:tcPr>
                  <w:tcW w:w="1320" w:type="dxa"/>
                  <w:noWrap w:val="0"/>
                  <w:vAlign w:val="top"/>
                </w:tcPr>
                <w:p>
                  <w:pPr>
                    <w:pStyle w:val="42"/>
                    <w:spacing w:before="118"/>
                    <w:ind w:left="550"/>
                    <w:rPr>
                      <w:sz w:val="21"/>
                      <w:szCs w:val="21"/>
                    </w:rPr>
                  </w:pPr>
                  <w:r>
                    <w:rPr>
                      <w:sz w:val="21"/>
                      <w:szCs w:val="21"/>
                    </w:rPr>
                    <w:t>颗粒物</w:t>
                  </w:r>
                </w:p>
              </w:tc>
              <w:tc>
                <w:tcPr>
                  <w:tcW w:w="2280" w:type="dxa"/>
                  <w:noWrap w:val="0"/>
                  <w:vAlign w:val="top"/>
                </w:tcPr>
                <w:p>
                  <w:pPr>
                    <w:pStyle w:val="42"/>
                    <w:spacing w:before="118"/>
                    <w:ind w:left="170" w:right="166"/>
                    <w:jc w:val="center"/>
                    <w:rPr>
                      <w:sz w:val="21"/>
                      <w:szCs w:val="21"/>
                    </w:rPr>
                  </w:pPr>
                  <w:r>
                    <w:rPr>
                      <w:sz w:val="21"/>
                      <w:szCs w:val="21"/>
                    </w:rPr>
                    <w:t>周界外浓度最高点</w:t>
                  </w:r>
                </w:p>
              </w:tc>
              <w:tc>
                <w:tcPr>
                  <w:tcW w:w="1804" w:type="dxa"/>
                  <w:noWrap w:val="0"/>
                  <w:vAlign w:val="top"/>
                </w:tcPr>
                <w:p>
                  <w:pPr>
                    <w:pStyle w:val="42"/>
                    <w:spacing w:before="132"/>
                    <w:ind w:left="249" w:right="240"/>
                    <w:jc w:val="center"/>
                    <w:rPr>
                      <w:rFonts w:ascii="Times New Roman"/>
                      <w:sz w:val="21"/>
                      <w:szCs w:val="21"/>
                    </w:rPr>
                  </w:pPr>
                  <w:r>
                    <w:rPr>
                      <w:rFonts w:ascii="Times New Roman"/>
                      <w:sz w:val="21"/>
                      <w:szCs w:val="21"/>
                    </w:rPr>
                    <w:t>1.0</w:t>
                  </w:r>
                </w:p>
              </w:tc>
              <w:tc>
                <w:tcPr>
                  <w:tcW w:w="1214" w:type="dxa"/>
                  <w:noWrap w:val="0"/>
                  <w:vAlign w:val="top"/>
                </w:tcPr>
                <w:p>
                  <w:pPr>
                    <w:pStyle w:val="42"/>
                    <w:jc w:val="center"/>
                    <w:rPr>
                      <w:rFonts w:hint="eastAsia" w:ascii="Times New Roman"/>
                      <w:sz w:val="21"/>
                      <w:szCs w:val="21"/>
                      <w:lang w:val="en-US" w:eastAsia="zh-CN"/>
                    </w:rPr>
                  </w:pPr>
                </w:p>
                <w:p>
                  <w:pPr>
                    <w:pStyle w:val="42"/>
                    <w:jc w:val="center"/>
                    <w:rPr>
                      <w:rFonts w:hint="default" w:ascii="Times New Roman" w:eastAsia="宋体"/>
                      <w:sz w:val="21"/>
                      <w:szCs w:val="21"/>
                      <w:lang w:val="en-US" w:eastAsia="zh-CN"/>
                    </w:rPr>
                  </w:pPr>
                  <w:r>
                    <w:rPr>
                      <w:rFonts w:hint="eastAsia" w:ascii="Times New Roman"/>
                      <w:sz w:val="21"/>
                      <w:szCs w:val="21"/>
                      <w:lang w:val="en-US" w:eastAsia="zh-CN"/>
                    </w:rPr>
                    <w:t>/</w:t>
                  </w:r>
                </w:p>
              </w:tc>
            </w:tr>
          </w:tbl>
          <w:p>
            <w:pPr>
              <w:pStyle w:val="44"/>
              <w:numPr>
                <w:ilvl w:val="0"/>
                <w:numId w:val="0"/>
              </w:numPr>
              <w:tabs>
                <w:tab w:val="left" w:pos="3820"/>
              </w:tabs>
              <w:autoSpaceDE w:val="0"/>
              <w:autoSpaceDN w:val="0"/>
              <w:spacing w:before="160" w:after="0" w:line="364" w:lineRule="auto"/>
              <w:ind w:right="375" w:rightChars="0" w:firstLine="478" w:firstLineChars="200"/>
              <w:jc w:val="both"/>
              <w:rPr>
                <w:rFonts w:hint="default" w:ascii="Times New Roman" w:hAnsi="Times New Roman" w:eastAsia="宋体" w:cs="Times New Roman"/>
                <w:b/>
                <w:bCs/>
                <w:spacing w:val="-1"/>
                <w:kern w:val="0"/>
                <w:sz w:val="24"/>
                <w:szCs w:val="22"/>
                <w:lang w:val="en-US" w:eastAsia="zh-CN"/>
              </w:rPr>
            </w:pPr>
            <w:r>
              <w:rPr>
                <w:rFonts w:hint="default" w:ascii="Times New Roman" w:hAnsi="Times New Roman" w:eastAsia="宋体" w:cs="Times New Roman"/>
                <w:b/>
                <w:bCs/>
                <w:spacing w:val="-1"/>
                <w:kern w:val="0"/>
                <w:sz w:val="24"/>
                <w:szCs w:val="22"/>
                <w:lang w:val="en-US" w:eastAsia="zh-CN"/>
              </w:rPr>
              <w:t>2、噪声</w:t>
            </w:r>
          </w:p>
          <w:p>
            <w:pPr>
              <w:pStyle w:val="44"/>
              <w:numPr>
                <w:ilvl w:val="0"/>
                <w:numId w:val="0"/>
              </w:numPr>
              <w:tabs>
                <w:tab w:val="left" w:pos="3820"/>
              </w:tabs>
              <w:autoSpaceDE w:val="0"/>
              <w:autoSpaceDN w:val="0"/>
              <w:spacing w:before="160" w:after="0" w:line="364" w:lineRule="auto"/>
              <w:ind w:right="375" w:rightChars="0" w:firstLine="476" w:firstLineChars="200"/>
              <w:jc w:val="both"/>
              <w:rPr>
                <w:rFonts w:hint="eastAsia" w:ascii="Times New Roman" w:hAnsi="Times New Roman" w:eastAsia="宋体" w:cs="Times New Roman"/>
                <w:spacing w:val="-1"/>
                <w:kern w:val="0"/>
                <w:sz w:val="24"/>
                <w:szCs w:val="22"/>
                <w:lang w:val="en-US" w:eastAsia="zh-CN"/>
              </w:rPr>
            </w:pPr>
            <w:r>
              <w:rPr>
                <w:rFonts w:hint="default" w:ascii="Times New Roman" w:hAnsi="Times New Roman" w:eastAsia="宋体" w:cs="Times New Roman"/>
                <w:spacing w:val="-1"/>
                <w:kern w:val="0"/>
                <w:sz w:val="24"/>
                <w:szCs w:val="22"/>
                <w:lang w:val="en-US" w:eastAsia="zh-CN"/>
              </w:rPr>
              <w:t>施工期噪声执行《建筑施工场界环境噪声排放标准》（GB12523-2011） 中相关要求；运营期噪声执行《工业企业厂界环境噪声排放标准》</w:t>
            </w:r>
            <w:r>
              <w:rPr>
                <w:rFonts w:hint="eastAsia" w:ascii="Times New Roman" w:hAnsi="Times New Roman" w:eastAsia="宋体" w:cs="Times New Roman"/>
                <w:spacing w:val="-1"/>
                <w:kern w:val="0"/>
                <w:sz w:val="24"/>
                <w:szCs w:val="22"/>
                <w:lang w:val="en-US" w:eastAsia="zh-CN"/>
              </w:rPr>
              <w:t>（</w:t>
            </w:r>
            <w:r>
              <w:rPr>
                <w:rFonts w:hint="default" w:ascii="Times New Roman" w:hAnsi="Times New Roman" w:eastAsia="宋体" w:cs="Times New Roman"/>
                <w:spacing w:val="-1"/>
                <w:kern w:val="0"/>
                <w:sz w:val="24"/>
                <w:szCs w:val="22"/>
                <w:lang w:val="en-US" w:eastAsia="zh-CN"/>
              </w:rPr>
              <w:t>GB12348-2008</w:t>
            </w:r>
            <w:r>
              <w:rPr>
                <w:rFonts w:hint="eastAsia" w:ascii="Times New Roman" w:hAnsi="Times New Roman" w:eastAsia="宋体" w:cs="Times New Roman"/>
                <w:spacing w:val="-1"/>
                <w:kern w:val="0"/>
                <w:sz w:val="24"/>
                <w:szCs w:val="22"/>
                <w:lang w:val="en-US" w:eastAsia="zh-CN"/>
              </w:rPr>
              <w:t>）</w:t>
            </w:r>
            <w:r>
              <w:rPr>
                <w:rFonts w:hint="default" w:ascii="Times New Roman" w:hAnsi="Times New Roman" w:eastAsia="宋体" w:cs="Times New Roman"/>
                <w:spacing w:val="-1"/>
                <w:kern w:val="0"/>
                <w:sz w:val="24"/>
                <w:szCs w:val="22"/>
                <w:lang w:val="en-US" w:eastAsia="zh-CN"/>
              </w:rPr>
              <w:t>中的2类标准</w:t>
            </w:r>
            <w:r>
              <w:rPr>
                <w:rFonts w:hint="eastAsia" w:ascii="Times New Roman" w:hAnsi="Times New Roman" w:eastAsia="宋体" w:cs="Times New Roman"/>
                <w:spacing w:val="-1"/>
                <w:kern w:val="0"/>
                <w:sz w:val="24"/>
                <w:szCs w:val="22"/>
                <w:lang w:val="en-US" w:eastAsia="zh-CN"/>
              </w:rPr>
              <w:t>。</w:t>
            </w:r>
          </w:p>
          <w:p>
            <w:pPr>
              <w:pStyle w:val="42"/>
              <w:spacing w:before="159"/>
              <w:ind w:right="1576" w:firstLine="378" w:firstLineChars="200"/>
              <w:jc w:val="center"/>
              <w:rPr>
                <w:rFonts w:hint="eastAsia" w:ascii="Times New Roman" w:hAnsi="Times New Roman" w:eastAsia="宋体" w:cs="Times New Roman"/>
                <w:spacing w:val="-1"/>
                <w:kern w:val="0"/>
                <w:sz w:val="24"/>
                <w:szCs w:val="24"/>
                <w:lang w:val="en-US" w:eastAsia="zh-CN"/>
              </w:rPr>
            </w:pPr>
            <w:r>
              <w:rPr>
                <w:rFonts w:hint="eastAsia"/>
                <w:b/>
                <w:spacing w:val="-26"/>
                <w:sz w:val="24"/>
                <w:szCs w:val="24"/>
                <w:lang w:val="en-US" w:eastAsia="zh-CN"/>
              </w:rPr>
              <w:t xml:space="preserve">         </w:t>
            </w:r>
            <w:r>
              <w:rPr>
                <w:b/>
                <w:spacing w:val="-26"/>
                <w:sz w:val="24"/>
                <w:szCs w:val="24"/>
              </w:rPr>
              <w:t>表</w:t>
            </w:r>
            <w:r>
              <w:rPr>
                <w:rFonts w:hint="eastAsia" w:ascii="Times New Roman" w:eastAsia="宋体"/>
                <w:b/>
                <w:sz w:val="24"/>
                <w:szCs w:val="24"/>
                <w:lang w:val="en-US" w:eastAsia="zh-CN"/>
              </w:rPr>
              <w:t>2</w:t>
            </w:r>
            <w:r>
              <w:rPr>
                <w:rFonts w:hint="eastAsia" w:ascii="Times New Roman"/>
                <w:b/>
                <w:sz w:val="24"/>
                <w:szCs w:val="24"/>
                <w:lang w:val="en-US" w:eastAsia="zh-CN"/>
              </w:rPr>
              <w:t>5</w:t>
            </w:r>
            <w:r>
              <w:rPr>
                <w:rFonts w:ascii="Times New Roman" w:eastAsia="Times New Roman"/>
                <w:b/>
                <w:spacing w:val="51"/>
                <w:sz w:val="24"/>
                <w:szCs w:val="24"/>
              </w:rPr>
              <w:t xml:space="preserve"> </w:t>
            </w:r>
            <w:r>
              <w:rPr>
                <w:b/>
                <w:sz w:val="24"/>
                <w:szCs w:val="24"/>
              </w:rPr>
              <w:t>建筑施工场界环境噪声排放标准 单位：</w:t>
            </w:r>
            <w:r>
              <w:rPr>
                <w:rFonts w:ascii="Times New Roman" w:eastAsia="Times New Roman"/>
                <w:b/>
                <w:sz w:val="24"/>
                <w:szCs w:val="24"/>
              </w:rPr>
              <w:t>dB(A)</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4"/>
              <w:gridCol w:w="3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3834" w:type="dxa"/>
                  <w:noWrap w:val="0"/>
                  <w:vAlign w:val="center"/>
                </w:tcPr>
                <w:p>
                  <w:pPr>
                    <w:pStyle w:val="42"/>
                    <w:spacing w:before="40"/>
                    <w:ind w:right="1726"/>
                    <w:jc w:val="center"/>
                    <w:rPr>
                      <w:b/>
                      <w:bCs/>
                      <w:sz w:val="21"/>
                      <w:szCs w:val="21"/>
                    </w:rPr>
                  </w:pPr>
                  <w:r>
                    <w:rPr>
                      <w:rFonts w:hint="eastAsia"/>
                      <w:b/>
                      <w:bCs/>
                      <w:sz w:val="21"/>
                      <w:szCs w:val="21"/>
                      <w:lang w:val="en-US" w:eastAsia="zh-CN"/>
                    </w:rPr>
                    <w:t xml:space="preserve">               </w:t>
                  </w:r>
                  <w:r>
                    <w:rPr>
                      <w:b/>
                      <w:bCs/>
                      <w:sz w:val="21"/>
                      <w:szCs w:val="21"/>
                    </w:rPr>
                    <w:t>昼间</w:t>
                  </w:r>
                </w:p>
              </w:tc>
              <w:tc>
                <w:tcPr>
                  <w:tcW w:w="3910" w:type="dxa"/>
                  <w:noWrap w:val="0"/>
                  <w:vAlign w:val="center"/>
                </w:tcPr>
                <w:p>
                  <w:pPr>
                    <w:pStyle w:val="42"/>
                    <w:spacing w:before="40"/>
                    <w:ind w:right="1725"/>
                    <w:jc w:val="center"/>
                    <w:rPr>
                      <w:b/>
                      <w:bCs/>
                      <w:sz w:val="21"/>
                      <w:szCs w:val="21"/>
                    </w:rPr>
                  </w:pPr>
                  <w:r>
                    <w:rPr>
                      <w:rFonts w:hint="eastAsia"/>
                      <w:b/>
                      <w:bCs/>
                      <w:sz w:val="21"/>
                      <w:szCs w:val="21"/>
                      <w:lang w:val="en-US" w:eastAsia="zh-CN"/>
                    </w:rPr>
                    <w:t xml:space="preserve">                </w:t>
                  </w:r>
                  <w:r>
                    <w:rPr>
                      <w:b/>
                      <w:bCs/>
                      <w:sz w:val="21"/>
                      <w:szCs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3834" w:type="dxa"/>
                  <w:noWrap w:val="0"/>
                  <w:vAlign w:val="center"/>
                </w:tcPr>
                <w:p>
                  <w:pPr>
                    <w:pStyle w:val="42"/>
                    <w:spacing w:before="54"/>
                    <w:ind w:left="1731" w:right="1723"/>
                    <w:jc w:val="center"/>
                    <w:rPr>
                      <w:rFonts w:ascii="Times New Roman"/>
                      <w:sz w:val="21"/>
                      <w:szCs w:val="21"/>
                    </w:rPr>
                  </w:pPr>
                  <w:r>
                    <w:rPr>
                      <w:rFonts w:ascii="Times New Roman"/>
                      <w:sz w:val="21"/>
                      <w:szCs w:val="21"/>
                    </w:rPr>
                    <w:t>70</w:t>
                  </w:r>
                </w:p>
              </w:tc>
              <w:tc>
                <w:tcPr>
                  <w:tcW w:w="3910" w:type="dxa"/>
                  <w:noWrap w:val="0"/>
                  <w:vAlign w:val="center"/>
                </w:tcPr>
                <w:p>
                  <w:pPr>
                    <w:pStyle w:val="42"/>
                    <w:spacing w:before="54"/>
                    <w:ind w:left="1731" w:right="1721"/>
                    <w:jc w:val="center"/>
                    <w:rPr>
                      <w:rFonts w:ascii="Times New Roman"/>
                      <w:sz w:val="21"/>
                      <w:szCs w:val="21"/>
                    </w:rPr>
                  </w:pPr>
                  <w:r>
                    <w:rPr>
                      <w:rFonts w:ascii="Times New Roman"/>
                      <w:sz w:val="21"/>
                      <w:szCs w:val="21"/>
                    </w:rPr>
                    <w:t>55</w:t>
                  </w:r>
                </w:p>
              </w:tc>
            </w:tr>
          </w:tbl>
          <w:p>
            <w:pPr>
              <w:pStyle w:val="42"/>
              <w:ind w:right="1576"/>
              <w:jc w:val="both"/>
              <w:rPr>
                <w:b/>
                <w:spacing w:val="-26"/>
                <w:sz w:val="24"/>
                <w:szCs w:val="24"/>
              </w:rPr>
            </w:pPr>
          </w:p>
          <w:p>
            <w:pPr>
              <w:pStyle w:val="42"/>
              <w:ind w:left="1604" w:right="1576"/>
              <w:jc w:val="center"/>
              <w:rPr>
                <w:rFonts w:hint="default" w:ascii="Times New Roman" w:hAnsi="Times New Roman" w:eastAsia="宋体" w:cs="Times New Roman"/>
                <w:spacing w:val="-1"/>
                <w:kern w:val="0"/>
                <w:sz w:val="24"/>
                <w:szCs w:val="24"/>
                <w:lang w:val="en-US" w:eastAsia="zh-CN"/>
              </w:rPr>
            </w:pPr>
            <w:r>
              <w:rPr>
                <w:rFonts w:hint="default" w:ascii="Times New Roman" w:hAnsi="Times New Roman" w:cs="Times New Roman"/>
                <w:b/>
                <w:spacing w:val="-26"/>
                <w:sz w:val="24"/>
                <w:szCs w:val="24"/>
              </w:rPr>
              <w:t>表</w:t>
            </w:r>
            <w:r>
              <w:rPr>
                <w:rFonts w:hint="default" w:ascii="Times New Roman" w:hAnsi="Times New Roman" w:cs="Times New Roman"/>
                <w:b/>
                <w:spacing w:val="-26"/>
                <w:sz w:val="24"/>
                <w:szCs w:val="24"/>
                <w:lang w:val="en-US" w:eastAsia="zh-CN"/>
              </w:rPr>
              <w:t>2</w:t>
            </w:r>
            <w:r>
              <w:rPr>
                <w:rFonts w:hint="eastAsia" w:ascii="Times New Roman" w:hAnsi="Times New Roman" w:cs="Times New Roman"/>
                <w:b/>
                <w:spacing w:val="-26"/>
                <w:sz w:val="24"/>
                <w:szCs w:val="24"/>
                <w:lang w:val="en-US" w:eastAsia="zh-CN"/>
              </w:rPr>
              <w:t>6</w:t>
            </w:r>
            <w:r>
              <w:rPr>
                <w:rFonts w:hint="default" w:ascii="Times New Roman" w:hAnsi="Times New Roman" w:eastAsia="Times New Roman" w:cs="Times New Roman"/>
                <w:b/>
                <w:spacing w:val="52"/>
                <w:sz w:val="24"/>
                <w:szCs w:val="24"/>
              </w:rPr>
              <w:t xml:space="preserve"> </w:t>
            </w:r>
            <w:r>
              <w:rPr>
                <w:rFonts w:hint="default" w:ascii="Times New Roman" w:hAnsi="Times New Roman" w:cs="Times New Roman"/>
                <w:b/>
                <w:sz w:val="24"/>
                <w:szCs w:val="24"/>
              </w:rPr>
              <w:t>运营</w:t>
            </w:r>
            <w:r>
              <w:rPr>
                <w:b/>
                <w:sz w:val="24"/>
                <w:szCs w:val="24"/>
              </w:rPr>
              <w:t>期环境噪声排放限值</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9"/>
              <w:gridCol w:w="2418"/>
              <w:gridCol w:w="831"/>
              <w:gridCol w:w="837"/>
              <w:gridCol w:w="1026"/>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1689" w:type="dxa"/>
                  <w:vMerge w:val="restart"/>
                  <w:noWrap w:val="0"/>
                  <w:vAlign w:val="center"/>
                </w:tcPr>
                <w:p>
                  <w:pPr>
                    <w:pStyle w:val="42"/>
                    <w:spacing w:before="139"/>
                    <w:ind w:left="564"/>
                    <w:jc w:val="both"/>
                    <w:rPr>
                      <w:sz w:val="21"/>
                      <w:szCs w:val="21"/>
                    </w:rPr>
                  </w:pPr>
                  <w:r>
                    <w:rPr>
                      <w:sz w:val="21"/>
                      <w:szCs w:val="21"/>
                    </w:rPr>
                    <w:t>监测点</w:t>
                  </w:r>
                </w:p>
              </w:tc>
              <w:tc>
                <w:tcPr>
                  <w:tcW w:w="2418" w:type="dxa"/>
                  <w:vMerge w:val="restart"/>
                  <w:noWrap w:val="0"/>
                  <w:vAlign w:val="center"/>
                </w:tcPr>
                <w:p>
                  <w:pPr>
                    <w:pStyle w:val="42"/>
                    <w:spacing w:before="139"/>
                    <w:ind w:left="839"/>
                    <w:jc w:val="both"/>
                    <w:rPr>
                      <w:sz w:val="21"/>
                      <w:szCs w:val="21"/>
                    </w:rPr>
                  </w:pPr>
                  <w:r>
                    <w:rPr>
                      <w:sz w:val="21"/>
                      <w:szCs w:val="21"/>
                    </w:rPr>
                    <w:t>执行标准</w:t>
                  </w:r>
                </w:p>
              </w:tc>
              <w:tc>
                <w:tcPr>
                  <w:tcW w:w="831" w:type="dxa"/>
                  <w:vMerge w:val="restart"/>
                  <w:noWrap w:val="0"/>
                  <w:vAlign w:val="center"/>
                </w:tcPr>
                <w:p>
                  <w:pPr>
                    <w:pStyle w:val="42"/>
                    <w:spacing w:before="139"/>
                    <w:ind w:left="222"/>
                    <w:jc w:val="both"/>
                    <w:rPr>
                      <w:sz w:val="21"/>
                      <w:szCs w:val="21"/>
                    </w:rPr>
                  </w:pPr>
                  <w:r>
                    <w:rPr>
                      <w:sz w:val="21"/>
                      <w:szCs w:val="21"/>
                    </w:rPr>
                    <w:t>级别</w:t>
                  </w:r>
                </w:p>
              </w:tc>
              <w:tc>
                <w:tcPr>
                  <w:tcW w:w="837" w:type="dxa"/>
                  <w:vMerge w:val="restart"/>
                  <w:noWrap w:val="0"/>
                  <w:vAlign w:val="center"/>
                </w:tcPr>
                <w:p>
                  <w:pPr>
                    <w:pStyle w:val="42"/>
                    <w:spacing w:before="139"/>
                    <w:ind w:left="225"/>
                    <w:jc w:val="both"/>
                    <w:rPr>
                      <w:sz w:val="21"/>
                      <w:szCs w:val="21"/>
                    </w:rPr>
                  </w:pPr>
                  <w:r>
                    <w:rPr>
                      <w:sz w:val="21"/>
                      <w:szCs w:val="21"/>
                    </w:rPr>
                    <w:t>单位</w:t>
                  </w:r>
                </w:p>
              </w:tc>
              <w:tc>
                <w:tcPr>
                  <w:tcW w:w="1968" w:type="dxa"/>
                  <w:gridSpan w:val="2"/>
                  <w:noWrap w:val="0"/>
                  <w:vAlign w:val="center"/>
                </w:tcPr>
                <w:p>
                  <w:pPr>
                    <w:pStyle w:val="42"/>
                    <w:spacing w:line="252" w:lineRule="exact"/>
                    <w:ind w:left="489"/>
                    <w:jc w:val="both"/>
                    <w:rPr>
                      <w:sz w:val="21"/>
                      <w:szCs w:val="21"/>
                    </w:rPr>
                  </w:pPr>
                  <w:r>
                    <w:rPr>
                      <w:sz w:val="21"/>
                      <w:szCs w:val="21"/>
                    </w:rPr>
                    <w:t>标准限值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1689" w:type="dxa"/>
                  <w:vMerge w:val="continue"/>
                  <w:tcBorders>
                    <w:top w:val="nil"/>
                  </w:tcBorders>
                  <w:noWrap w:val="0"/>
                  <w:vAlign w:val="center"/>
                </w:tcPr>
                <w:p>
                  <w:pPr>
                    <w:jc w:val="center"/>
                    <w:rPr>
                      <w:sz w:val="21"/>
                      <w:szCs w:val="21"/>
                    </w:rPr>
                  </w:pPr>
                </w:p>
              </w:tc>
              <w:tc>
                <w:tcPr>
                  <w:tcW w:w="2418" w:type="dxa"/>
                  <w:vMerge w:val="continue"/>
                  <w:tcBorders>
                    <w:top w:val="nil"/>
                  </w:tcBorders>
                  <w:noWrap w:val="0"/>
                  <w:vAlign w:val="center"/>
                </w:tcPr>
                <w:p>
                  <w:pPr>
                    <w:jc w:val="center"/>
                    <w:rPr>
                      <w:sz w:val="21"/>
                      <w:szCs w:val="21"/>
                    </w:rPr>
                  </w:pPr>
                </w:p>
              </w:tc>
              <w:tc>
                <w:tcPr>
                  <w:tcW w:w="831" w:type="dxa"/>
                  <w:vMerge w:val="continue"/>
                  <w:tcBorders>
                    <w:top w:val="nil"/>
                  </w:tcBorders>
                  <w:noWrap w:val="0"/>
                  <w:vAlign w:val="center"/>
                </w:tcPr>
                <w:p>
                  <w:pPr>
                    <w:jc w:val="center"/>
                    <w:rPr>
                      <w:sz w:val="21"/>
                      <w:szCs w:val="21"/>
                    </w:rPr>
                  </w:pPr>
                </w:p>
              </w:tc>
              <w:tc>
                <w:tcPr>
                  <w:tcW w:w="837" w:type="dxa"/>
                  <w:vMerge w:val="continue"/>
                  <w:tcBorders>
                    <w:top w:val="nil"/>
                  </w:tcBorders>
                  <w:noWrap w:val="0"/>
                  <w:vAlign w:val="center"/>
                </w:tcPr>
                <w:p>
                  <w:pPr>
                    <w:jc w:val="center"/>
                    <w:rPr>
                      <w:sz w:val="21"/>
                      <w:szCs w:val="21"/>
                    </w:rPr>
                  </w:pPr>
                </w:p>
              </w:tc>
              <w:tc>
                <w:tcPr>
                  <w:tcW w:w="1026" w:type="dxa"/>
                  <w:noWrap w:val="0"/>
                  <w:vAlign w:val="center"/>
                </w:tcPr>
                <w:p>
                  <w:pPr>
                    <w:pStyle w:val="42"/>
                    <w:spacing w:line="252" w:lineRule="exact"/>
                    <w:ind w:left="197" w:right="194"/>
                    <w:jc w:val="center"/>
                    <w:rPr>
                      <w:sz w:val="21"/>
                      <w:szCs w:val="21"/>
                    </w:rPr>
                  </w:pPr>
                  <w:r>
                    <w:rPr>
                      <w:sz w:val="21"/>
                      <w:szCs w:val="21"/>
                    </w:rPr>
                    <w:t>昼间</w:t>
                  </w:r>
                </w:p>
              </w:tc>
              <w:tc>
                <w:tcPr>
                  <w:tcW w:w="942" w:type="dxa"/>
                  <w:noWrap w:val="0"/>
                  <w:vAlign w:val="center"/>
                </w:tcPr>
                <w:p>
                  <w:pPr>
                    <w:pStyle w:val="42"/>
                    <w:spacing w:line="252" w:lineRule="exact"/>
                    <w:ind w:left="248" w:right="242"/>
                    <w:jc w:val="center"/>
                    <w:rPr>
                      <w:sz w:val="21"/>
                      <w:szCs w:val="21"/>
                    </w:rPr>
                  </w:pPr>
                  <w:r>
                    <w:rPr>
                      <w:sz w:val="21"/>
                      <w:szCs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1689" w:type="dxa"/>
                  <w:noWrap w:val="0"/>
                  <w:vAlign w:val="center"/>
                </w:tcPr>
                <w:p>
                  <w:pPr>
                    <w:pStyle w:val="42"/>
                    <w:ind w:firstLine="420" w:firstLineChars="200"/>
                    <w:jc w:val="both"/>
                    <w:rPr>
                      <w:sz w:val="21"/>
                      <w:szCs w:val="21"/>
                    </w:rPr>
                  </w:pPr>
                  <w:r>
                    <w:rPr>
                      <w:sz w:val="21"/>
                      <w:szCs w:val="21"/>
                    </w:rPr>
                    <w:t>四周厂界</w:t>
                  </w:r>
                </w:p>
              </w:tc>
              <w:tc>
                <w:tcPr>
                  <w:tcW w:w="2418" w:type="dxa"/>
                  <w:noWrap w:val="0"/>
                  <w:vAlign w:val="center"/>
                </w:tcPr>
                <w:p>
                  <w:pPr>
                    <w:pStyle w:val="42"/>
                    <w:tabs>
                      <w:tab w:val="left" w:pos="525"/>
                      <w:tab w:val="left" w:pos="945"/>
                      <w:tab w:val="left" w:pos="1362"/>
                      <w:tab w:val="left" w:pos="1780"/>
                      <w:tab w:val="left" w:pos="2200"/>
                    </w:tabs>
                    <w:spacing w:line="244" w:lineRule="auto"/>
                    <w:ind w:left="107" w:right="96"/>
                    <w:jc w:val="center"/>
                    <w:rPr>
                      <w:sz w:val="21"/>
                      <w:szCs w:val="21"/>
                    </w:rPr>
                  </w:pPr>
                  <w:r>
                    <w:rPr>
                      <w:spacing w:val="23"/>
                      <w:sz w:val="21"/>
                      <w:szCs w:val="21"/>
                    </w:rPr>
                    <w:t>《工业</w:t>
                  </w:r>
                  <w:r>
                    <w:rPr>
                      <w:spacing w:val="21"/>
                      <w:sz w:val="21"/>
                      <w:szCs w:val="21"/>
                    </w:rPr>
                    <w:t>企</w:t>
                  </w:r>
                  <w:r>
                    <w:rPr>
                      <w:spacing w:val="23"/>
                      <w:sz w:val="21"/>
                      <w:szCs w:val="21"/>
                    </w:rPr>
                    <w:t>业厂界环境</w:t>
                  </w:r>
                  <w:r>
                    <w:rPr>
                      <w:spacing w:val="-10"/>
                      <w:sz w:val="21"/>
                      <w:szCs w:val="21"/>
                    </w:rPr>
                    <w:t>噪</w:t>
                  </w:r>
                  <w:r>
                    <w:rPr>
                      <w:sz w:val="21"/>
                      <w:szCs w:val="21"/>
                    </w:rPr>
                    <w:t>声排放标准</w:t>
                  </w:r>
                  <w:r>
                    <w:rPr>
                      <w:spacing w:val="-17"/>
                      <w:sz w:val="21"/>
                      <w:szCs w:val="21"/>
                    </w:rPr>
                    <w:t>》</w:t>
                  </w:r>
                </w:p>
                <w:p>
                  <w:pPr>
                    <w:pStyle w:val="42"/>
                    <w:spacing w:line="248" w:lineRule="exact"/>
                    <w:jc w:val="center"/>
                    <w:rPr>
                      <w:sz w:val="21"/>
                      <w:szCs w:val="21"/>
                    </w:rPr>
                  </w:pPr>
                  <w:r>
                    <w:rPr>
                      <w:sz w:val="21"/>
                      <w:szCs w:val="21"/>
                    </w:rPr>
                    <w:t>（</w:t>
                  </w:r>
                  <w:r>
                    <w:rPr>
                      <w:rFonts w:ascii="Times New Roman" w:eastAsia="Times New Roman"/>
                      <w:sz w:val="21"/>
                      <w:szCs w:val="21"/>
                    </w:rPr>
                    <w:t>GB12348-2008</w:t>
                  </w:r>
                  <w:r>
                    <w:rPr>
                      <w:sz w:val="21"/>
                      <w:szCs w:val="21"/>
                    </w:rPr>
                    <w:t>）</w:t>
                  </w:r>
                </w:p>
              </w:tc>
              <w:tc>
                <w:tcPr>
                  <w:tcW w:w="831" w:type="dxa"/>
                  <w:noWrap w:val="0"/>
                  <w:vAlign w:val="center"/>
                </w:tcPr>
                <w:p>
                  <w:pPr>
                    <w:pStyle w:val="42"/>
                    <w:ind w:firstLine="210" w:firstLineChars="100"/>
                    <w:jc w:val="both"/>
                    <w:rPr>
                      <w:sz w:val="21"/>
                      <w:szCs w:val="21"/>
                    </w:rPr>
                  </w:pPr>
                  <w:r>
                    <w:rPr>
                      <w:rFonts w:ascii="Times New Roman" w:eastAsia="Times New Roman"/>
                      <w:sz w:val="21"/>
                      <w:szCs w:val="21"/>
                    </w:rPr>
                    <w:t>2</w:t>
                  </w:r>
                  <w:r>
                    <w:rPr>
                      <w:sz w:val="21"/>
                      <w:szCs w:val="21"/>
                    </w:rPr>
                    <w:t>类</w:t>
                  </w:r>
                </w:p>
              </w:tc>
              <w:tc>
                <w:tcPr>
                  <w:tcW w:w="837" w:type="dxa"/>
                  <w:noWrap w:val="0"/>
                  <w:vAlign w:val="center"/>
                </w:tcPr>
                <w:p>
                  <w:pPr>
                    <w:pStyle w:val="42"/>
                    <w:ind w:firstLine="210" w:firstLineChars="100"/>
                    <w:jc w:val="both"/>
                    <w:rPr>
                      <w:rFonts w:ascii="Times New Roman"/>
                      <w:sz w:val="21"/>
                      <w:szCs w:val="21"/>
                    </w:rPr>
                  </w:pPr>
                  <w:r>
                    <w:rPr>
                      <w:rFonts w:ascii="Times New Roman"/>
                      <w:sz w:val="21"/>
                      <w:szCs w:val="21"/>
                    </w:rPr>
                    <w:t>dB(A)</w:t>
                  </w:r>
                </w:p>
              </w:tc>
              <w:tc>
                <w:tcPr>
                  <w:tcW w:w="1026" w:type="dxa"/>
                  <w:noWrap w:val="0"/>
                  <w:vAlign w:val="center"/>
                </w:tcPr>
                <w:p>
                  <w:pPr>
                    <w:pStyle w:val="42"/>
                    <w:ind w:right="190" w:firstLine="420" w:firstLineChars="200"/>
                    <w:jc w:val="both"/>
                    <w:rPr>
                      <w:rFonts w:ascii="Times New Roman"/>
                      <w:sz w:val="21"/>
                      <w:szCs w:val="21"/>
                    </w:rPr>
                  </w:pPr>
                  <w:r>
                    <w:rPr>
                      <w:rFonts w:ascii="Times New Roman"/>
                      <w:sz w:val="21"/>
                      <w:szCs w:val="21"/>
                    </w:rPr>
                    <w:t>60</w:t>
                  </w:r>
                </w:p>
              </w:tc>
              <w:tc>
                <w:tcPr>
                  <w:tcW w:w="942" w:type="dxa"/>
                  <w:noWrap w:val="0"/>
                  <w:vAlign w:val="center"/>
                </w:tcPr>
                <w:p>
                  <w:pPr>
                    <w:pStyle w:val="42"/>
                    <w:ind w:right="238" w:firstLine="420" w:firstLineChars="200"/>
                    <w:jc w:val="both"/>
                    <w:rPr>
                      <w:rFonts w:ascii="Times New Roman"/>
                      <w:sz w:val="21"/>
                      <w:szCs w:val="21"/>
                    </w:rPr>
                  </w:pPr>
                  <w:r>
                    <w:rPr>
                      <w:rFonts w:ascii="Times New Roman"/>
                      <w:sz w:val="21"/>
                      <w:szCs w:val="21"/>
                    </w:rPr>
                    <w:t>50</w:t>
                  </w:r>
                </w:p>
              </w:tc>
            </w:tr>
          </w:tbl>
          <w:p>
            <w:pPr>
              <w:pStyle w:val="42"/>
              <w:spacing w:before="143"/>
              <w:ind w:firstLine="480" w:firstLineChars="200"/>
              <w:rPr>
                <w:b/>
                <w:sz w:val="24"/>
              </w:rPr>
            </w:pPr>
            <w:r>
              <w:rPr>
                <w:rFonts w:ascii="Times New Roman" w:eastAsia="Times New Roman"/>
                <w:b/>
                <w:sz w:val="24"/>
              </w:rPr>
              <w:t>3</w:t>
            </w:r>
            <w:r>
              <w:rPr>
                <w:b/>
                <w:sz w:val="24"/>
              </w:rPr>
              <w:t>、固废</w:t>
            </w:r>
          </w:p>
          <w:p>
            <w:pPr>
              <w:pStyle w:val="42"/>
              <w:spacing w:before="158" w:line="364" w:lineRule="auto"/>
              <w:ind w:left="111" w:right="83" w:firstLine="480"/>
              <w:jc w:val="both"/>
              <w:rPr>
                <w:sz w:val="24"/>
              </w:rPr>
            </w:pPr>
            <w:r>
              <w:rPr>
                <w:rFonts w:hint="default" w:ascii="Times New Roman" w:hAnsi="Times New Roman" w:eastAsia="宋体" w:cs="Times New Roman"/>
                <w:spacing w:val="-1"/>
                <w:kern w:val="0"/>
                <w:sz w:val="24"/>
                <w:szCs w:val="22"/>
                <w:lang w:val="en-US" w:eastAsia="zh-CN" w:bidi="zh-CN"/>
              </w:rPr>
              <w:t>企业一般工业固体废物贮存场所满足防渗漏、防雨淋、防扬尘等环境保护要求。危险废物执行《危险废物贮存污染控制标准》(GB18597-2001) 及其2013年修改单中相关要求</w:t>
            </w:r>
            <w:r>
              <w:rPr>
                <w:sz w:val="24"/>
              </w:rPr>
              <w:t>。</w:t>
            </w:r>
          </w:p>
          <w:p>
            <w:pPr>
              <w:pStyle w:val="42"/>
              <w:spacing w:line="307" w:lineRule="exact"/>
              <w:ind w:left="111" w:firstLine="480" w:firstLineChars="200"/>
              <w:rPr>
                <w:b/>
                <w:sz w:val="24"/>
              </w:rPr>
            </w:pPr>
            <w:r>
              <w:rPr>
                <w:rFonts w:ascii="Times New Roman" w:eastAsia="Times New Roman"/>
                <w:b/>
                <w:sz w:val="24"/>
              </w:rPr>
              <w:t>4</w:t>
            </w:r>
            <w:r>
              <w:rPr>
                <w:b/>
                <w:sz w:val="24"/>
              </w:rPr>
              <w:t>、废水</w:t>
            </w:r>
          </w:p>
          <w:p>
            <w:pPr>
              <w:pStyle w:val="42"/>
              <w:spacing w:before="158" w:line="364" w:lineRule="auto"/>
              <w:ind w:left="111" w:right="83" w:firstLine="480"/>
              <w:jc w:val="both"/>
              <w:rPr>
                <w:rFonts w:hint="eastAsia" w:ascii="Times New Roman" w:hAnsi="Times New Roman" w:eastAsia="宋体" w:cs="Times New Roman"/>
                <w:spacing w:val="-1"/>
                <w:kern w:val="0"/>
                <w:sz w:val="24"/>
                <w:szCs w:val="22"/>
                <w:lang w:val="en-US" w:eastAsia="zh-CN" w:bidi="zh-CN"/>
              </w:rPr>
            </w:pPr>
            <w:r>
              <w:rPr>
                <w:spacing w:val="-5"/>
                <w:sz w:val="24"/>
              </w:rPr>
              <w:t>项</w:t>
            </w:r>
            <w:r>
              <w:rPr>
                <w:rFonts w:hint="default" w:ascii="Times New Roman" w:hAnsi="Times New Roman" w:eastAsia="宋体" w:cs="Times New Roman"/>
                <w:spacing w:val="-1"/>
                <w:kern w:val="0"/>
                <w:sz w:val="24"/>
                <w:szCs w:val="22"/>
                <w:lang w:val="en-US" w:eastAsia="zh-CN" w:bidi="zh-CN"/>
              </w:rPr>
              <w:t>目生活污水排入化粪池定期清掏，用于周边</w:t>
            </w:r>
            <w:r>
              <w:rPr>
                <w:rFonts w:hint="eastAsia" w:ascii="Times New Roman" w:hAnsi="Times New Roman" w:cs="Times New Roman"/>
                <w:spacing w:val="-1"/>
                <w:kern w:val="0"/>
                <w:sz w:val="24"/>
                <w:szCs w:val="22"/>
                <w:lang w:val="en-US" w:eastAsia="zh-CN" w:bidi="zh-CN"/>
              </w:rPr>
              <w:t>农田</w:t>
            </w:r>
            <w:r>
              <w:rPr>
                <w:rFonts w:hint="default" w:ascii="Times New Roman" w:hAnsi="Times New Roman" w:eastAsia="宋体" w:cs="Times New Roman"/>
                <w:spacing w:val="-1"/>
                <w:kern w:val="0"/>
                <w:sz w:val="24"/>
                <w:szCs w:val="22"/>
                <w:lang w:val="en-US" w:eastAsia="zh-CN" w:bidi="zh-CN"/>
              </w:rPr>
              <w:t>施肥，不外排；车辆清洗废水经沉淀池沉淀后全部回用，不外排</w:t>
            </w:r>
            <w:r>
              <w:rPr>
                <w:rFonts w:hint="eastAsia" w:ascii="Times New Roman" w:hAnsi="Times New Roman" w:cs="Times New Roman"/>
                <w:spacing w:val="-1"/>
                <w:kern w:val="0"/>
                <w:sz w:val="24"/>
                <w:szCs w:val="22"/>
                <w:lang w:val="en-US" w:eastAsia="zh-CN" w:bidi="zh-CN"/>
              </w:rPr>
              <w:t>。</w:t>
            </w:r>
          </w:p>
          <w:p>
            <w:pPr>
              <w:pStyle w:val="42"/>
              <w:spacing w:before="158" w:line="364" w:lineRule="auto"/>
              <w:ind w:right="83" w:firstLine="482" w:firstLineChars="200"/>
              <w:jc w:val="both"/>
              <w:rPr>
                <w:rFonts w:ascii="宋体" w:hAnsi="宋体" w:cs="宋体"/>
                <w:kern w:val="0"/>
                <w:szCs w:val="21"/>
              </w:rPr>
            </w:pPr>
            <w:r>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t>5、</w:t>
            </w:r>
            <w:r>
              <w:rPr>
                <w:rFonts w:hint="default" w:ascii="Times New Roman" w:hAnsi="Times New Roman" w:eastAsia="宋体" w:cs="Times New Roman"/>
                <w:b/>
                <w:bCs/>
                <w:color w:val="000000" w:themeColor="text1"/>
                <w:kern w:val="0"/>
                <w:sz w:val="24"/>
                <w14:textFill>
                  <w14:solidFill>
                    <w14:schemeClr w14:val="tx1"/>
                  </w14:solidFill>
                </w14:textFill>
              </w:rPr>
              <w:t>其他按照国家有关规定执行。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noWrap w:val="0"/>
            <w:vAlign w:val="center"/>
          </w:tcPr>
          <w:p>
            <w:pPr>
              <w:adjustRightInd w:val="0"/>
              <w:snapToGrid w:val="0"/>
              <w:jc w:val="left"/>
              <w:rPr>
                <w:rFonts w:hint="default"/>
                <w:lang w:val="en-US" w:eastAsia="zh-CN"/>
              </w:rPr>
            </w:pPr>
          </w:p>
          <w:p>
            <w:pPr>
              <w:adjustRightInd w:val="0"/>
              <w:snapToGrid w:val="0"/>
              <w:jc w:val="left"/>
              <w:rPr>
                <w:rFonts w:hint="default"/>
                <w:lang w:val="en-US" w:eastAsia="zh-CN"/>
              </w:rPr>
            </w:pPr>
          </w:p>
          <w:p>
            <w:pPr>
              <w:adjustRightInd w:val="0"/>
              <w:snapToGrid w:val="0"/>
              <w:jc w:val="left"/>
              <w:rPr>
                <w:rFonts w:hint="default"/>
                <w:lang w:val="en-US" w:eastAsia="zh-CN"/>
              </w:rPr>
            </w:pPr>
          </w:p>
          <w:p>
            <w:pPr>
              <w:adjustRightInd w:val="0"/>
              <w:snapToGrid w:val="0"/>
              <w:jc w:val="left"/>
              <w:rPr>
                <w:rFonts w:hint="default"/>
                <w:lang w:val="en-US" w:eastAsia="zh-CN"/>
              </w:rPr>
            </w:pPr>
          </w:p>
          <w:p>
            <w:pPr>
              <w:adjustRightInd w:val="0"/>
              <w:snapToGrid w:val="0"/>
              <w:jc w:val="left"/>
              <w:rPr>
                <w:rFonts w:hint="default"/>
                <w:lang w:val="en-US" w:eastAsia="zh-CN"/>
              </w:rPr>
            </w:pPr>
          </w:p>
          <w:p>
            <w:pPr>
              <w:adjustRightInd w:val="0"/>
              <w:snapToGrid w:val="0"/>
              <w:jc w:val="left"/>
              <w:rPr>
                <w:rFonts w:hint="default"/>
                <w:lang w:val="en-US" w:eastAsia="zh-CN"/>
              </w:rPr>
            </w:pPr>
          </w:p>
          <w:p>
            <w:pPr>
              <w:adjustRightInd w:val="0"/>
              <w:snapToGrid w:val="0"/>
              <w:jc w:val="left"/>
              <w:rPr>
                <w:rFonts w:hint="default"/>
                <w:lang w:val="en-US" w:eastAsia="zh-CN"/>
              </w:rPr>
            </w:pPr>
          </w:p>
          <w:p>
            <w:pPr>
              <w:adjustRightInd w:val="0"/>
              <w:snapToGrid w:val="0"/>
              <w:jc w:val="left"/>
              <w:rPr>
                <w:rFonts w:hint="default"/>
                <w:lang w:val="en-US" w:eastAsia="zh-CN"/>
              </w:rPr>
            </w:pPr>
          </w:p>
          <w:p>
            <w:pPr>
              <w:adjustRightInd w:val="0"/>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根据“十四五”期间总量控制要求，“十四五”期间污染物控制指标为COD</w:t>
            </w:r>
            <w:r>
              <w:rPr>
                <w:rFonts w:hint="default" w:ascii="Times New Roman" w:hAnsi="Times New Roman" w:eastAsia="宋体" w:cs="Times New Roman"/>
                <w:sz w:val="24"/>
                <w:szCs w:val="24"/>
                <w:vertAlign w:val="subscript"/>
                <w:lang w:val="en-US" w:eastAsia="zh-CN"/>
              </w:rPr>
              <w:t>cr</w:t>
            </w:r>
            <w:r>
              <w:rPr>
                <w:rFonts w:hint="default" w:ascii="Times New Roman" w:hAnsi="Times New Roman" w:eastAsia="宋体" w:cs="Times New Roman"/>
                <w:sz w:val="24"/>
                <w:szCs w:val="24"/>
                <w:lang w:val="en-US" w:eastAsia="zh-CN"/>
              </w:rPr>
              <w:t>、NH</w:t>
            </w:r>
            <w:r>
              <w:rPr>
                <w:rFonts w:hint="default" w:ascii="Times New Roman" w:hAnsi="Times New Roman" w:eastAsia="宋体" w:cs="Times New Roman"/>
                <w:sz w:val="24"/>
                <w:szCs w:val="24"/>
                <w:vertAlign w:val="subscript"/>
                <w:lang w:val="en-US" w:eastAsia="zh-CN"/>
              </w:rPr>
              <w:t>3</w:t>
            </w:r>
            <w:r>
              <w:rPr>
                <w:rFonts w:hint="default" w:ascii="Times New Roman" w:hAnsi="Times New Roman" w:eastAsia="宋体" w:cs="Times New Roman"/>
                <w:sz w:val="24"/>
                <w:szCs w:val="24"/>
                <w:lang w:val="en-US" w:eastAsia="zh-CN"/>
              </w:rPr>
              <w:t>-N、NO</w:t>
            </w:r>
            <w:r>
              <w:rPr>
                <w:rFonts w:hint="default" w:ascii="Times New Roman" w:hAnsi="Times New Roman" w:eastAsia="宋体" w:cs="Times New Roman"/>
                <w:sz w:val="24"/>
                <w:szCs w:val="24"/>
                <w:vertAlign w:val="subscript"/>
                <w:lang w:val="en-US" w:eastAsia="zh-CN"/>
              </w:rPr>
              <w:t>x</w:t>
            </w:r>
            <w:r>
              <w:rPr>
                <w:rFonts w:hint="default" w:ascii="Times New Roman" w:hAnsi="Times New Roman" w:eastAsia="宋体" w:cs="Times New Roman"/>
                <w:sz w:val="24"/>
                <w:szCs w:val="24"/>
                <w:lang w:val="en-US" w:eastAsia="zh-CN"/>
              </w:rPr>
              <w:t>、VOCs。</w:t>
            </w:r>
            <w:r>
              <w:rPr>
                <w:rFonts w:hint="default" w:ascii="Times New Roman" w:hAnsi="Times New Roman" w:eastAsia="宋体" w:cs="Times New Roman"/>
                <w:sz w:val="24"/>
                <w:szCs w:val="24"/>
              </w:rPr>
              <w:t>本项目生活污水经化粪池处理后定期清掏用于绿化或周边农田施肥，不外排。本项目生产过程中所产生的粉尘经过设置除尘装置后，对环境影响很小，故此项目不设涉及总量控制指标。</w:t>
            </w:r>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tc>
      </w:tr>
    </w:tbl>
    <w:p>
      <w:pPr>
        <w:pStyle w:val="15"/>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746" w:type="dxa"/>
            <w:noWrap w:val="0"/>
            <w:tcMar>
              <w:left w:w="28" w:type="dxa"/>
              <w:right w:w="28" w:type="dxa"/>
            </w:tcMar>
            <w:vAlign w:val="center"/>
          </w:tcPr>
          <w:p>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pPr>
              <w:pStyle w:val="15"/>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116" w:type="dxa"/>
            <w:noWrap w:val="0"/>
            <w:vAlign w:val="center"/>
          </w:tcPr>
          <w:p>
            <w:pPr>
              <w:adjustRightInd w:val="0"/>
              <w:snapToGrid w:val="0"/>
              <w:spacing w:line="360" w:lineRule="auto"/>
              <w:ind w:firstLine="482" w:firstLineChars="200"/>
              <w:jc w:val="left"/>
              <w:rPr>
                <w:rFonts w:eastAsiaTheme="minorEastAsia"/>
                <w:b/>
                <w:color w:val="000000" w:themeColor="text1"/>
                <w:kern w:val="0"/>
                <w:sz w:val="24"/>
                <w:szCs w:val="24"/>
                <w14:textFill>
                  <w14:solidFill>
                    <w14:schemeClr w14:val="tx1"/>
                  </w14:solidFill>
                </w14:textFill>
              </w:rPr>
            </w:pPr>
            <w:r>
              <w:rPr>
                <w:rFonts w:hAnsiTheme="minorEastAsia" w:eastAsiaTheme="minorEastAsia"/>
                <w:b/>
                <w:color w:val="000000" w:themeColor="text1"/>
                <w:kern w:val="0"/>
                <w:sz w:val="24"/>
                <w:szCs w:val="24"/>
                <w14:textFill>
                  <w14:solidFill>
                    <w14:schemeClr w14:val="tx1"/>
                  </w14:solidFill>
                </w14:textFill>
              </w:rPr>
              <w:t>施工期环境影响分析</w:t>
            </w:r>
            <w:r>
              <w:rPr>
                <w:rFonts w:hint="eastAsia" w:hAnsiTheme="minorEastAsia" w:eastAsiaTheme="minorEastAsia"/>
                <w:b/>
                <w:color w:val="000000" w:themeColor="text1"/>
                <w:kern w:val="0"/>
                <w:sz w:val="24"/>
                <w:szCs w:val="24"/>
                <w:lang w:val="en-US" w:eastAsia="zh-CN"/>
                <w14:textFill>
                  <w14:solidFill>
                    <w14:schemeClr w14:val="tx1"/>
                  </w14:solidFill>
                </w14:textFill>
              </w:rPr>
              <w:t>及措施</w:t>
            </w:r>
            <w:r>
              <w:rPr>
                <w:rFonts w:hAnsiTheme="minorEastAsia" w:eastAsiaTheme="minorEastAsia"/>
                <w:b/>
                <w:color w:val="000000" w:themeColor="text1"/>
                <w:kern w:val="0"/>
                <w:sz w:val="24"/>
                <w:szCs w:val="24"/>
                <w14:textFill>
                  <w14:solidFill>
                    <w14:schemeClr w14:val="tx1"/>
                  </w14:solidFill>
                </w14:textFill>
              </w:rPr>
              <w:t>：</w:t>
            </w:r>
          </w:p>
          <w:p>
            <w:pPr>
              <w:pStyle w:val="47"/>
              <w:adjustRightInd w:val="0"/>
              <w:snapToGrid w:val="0"/>
              <w:ind w:firstLine="482"/>
              <w:jc w:val="left"/>
              <w:rPr>
                <w:rFonts w:hint="default" w:ascii="Times New Roman" w:hAnsi="Times New Roman" w:cs="Times New Roman" w:eastAsiaTheme="minorEastAsia"/>
                <w:b/>
                <w:color w:val="000000" w:themeColor="text1"/>
                <w:lang w:val="en-US" w:eastAsia="zh-CN"/>
                <w14:textFill>
                  <w14:solidFill>
                    <w14:schemeClr w14:val="tx1"/>
                  </w14:solidFill>
                </w14:textFill>
              </w:rPr>
            </w:pPr>
            <w:r>
              <w:rPr>
                <w:rFonts w:ascii="Times New Roman" w:hAnsi="Times New Roman" w:cs="Times New Roman" w:eastAsiaTheme="minorEastAsia"/>
                <w:b/>
                <w:color w:val="000000" w:themeColor="text1"/>
                <w14:textFill>
                  <w14:solidFill>
                    <w14:schemeClr w14:val="tx1"/>
                  </w14:solidFill>
                </w14:textFill>
              </w:rPr>
              <w:t>1</w:t>
            </w:r>
            <w:r>
              <w:rPr>
                <w:rFonts w:ascii="Times New Roman" w:cs="Times New Roman" w:hAnsiTheme="minorEastAsia" w:eastAsiaTheme="minorEastAsia"/>
                <w:b/>
                <w:color w:val="000000" w:themeColor="text1"/>
                <w14:textFill>
                  <w14:solidFill>
                    <w14:schemeClr w14:val="tx1"/>
                  </w14:solidFill>
                </w14:textFill>
              </w:rPr>
              <w:t>、空气环境影响分析</w:t>
            </w:r>
            <w:r>
              <w:rPr>
                <w:rFonts w:hint="eastAsia" w:ascii="Times New Roman" w:cs="Times New Roman" w:hAnsiTheme="minorEastAsia" w:eastAsiaTheme="minorEastAsia"/>
                <w:b/>
                <w:color w:val="000000" w:themeColor="text1"/>
                <w:lang w:val="en-US" w:eastAsia="zh-CN"/>
                <w14:textFill>
                  <w14:solidFill>
                    <w14:schemeClr w14:val="tx1"/>
                  </w14:solidFill>
                </w14:textFill>
              </w:rPr>
              <w:t>及措施</w:t>
            </w:r>
          </w:p>
          <w:p>
            <w:pPr>
              <w:pStyle w:val="50"/>
              <w:adjustRightInd w:val="0"/>
              <w:snapToGrid w:val="0"/>
              <w:spacing w:line="360" w:lineRule="auto"/>
              <w:ind w:firstLine="480"/>
              <w:jc w:val="left"/>
              <w:rPr>
                <w:rFonts w:ascii="Times New Roman" w:cs="Times New Roman" w:eastAsiaTheme="minorEastAsia"/>
                <w:color w:val="000000" w:themeColor="text1"/>
                <w:sz w:val="24"/>
                <w14:textFill>
                  <w14:solidFill>
                    <w14:schemeClr w14:val="tx1"/>
                  </w14:solidFill>
                </w14:textFill>
              </w:rPr>
            </w:pPr>
            <w:r>
              <w:rPr>
                <w:rFonts w:ascii="Times New Roman" w:cs="Times New Roman" w:hAnsiTheme="minorEastAsia" w:eastAsiaTheme="minorEastAsia"/>
                <w:color w:val="000000" w:themeColor="text1"/>
                <w:sz w:val="24"/>
                <w14:textFill>
                  <w14:solidFill>
                    <w14:schemeClr w14:val="tx1"/>
                  </w14:solidFill>
                </w14:textFill>
              </w:rPr>
              <w:t>建设期大气污染源主要为工业场地平整、采矿平台的修建，建筑材料运输、装卸、堆放中的扬尘，土方运输车辆行驶产生的扬尘等，污染物为无组织排放。</w:t>
            </w:r>
          </w:p>
          <w:p>
            <w:pPr>
              <w:pStyle w:val="50"/>
              <w:adjustRightInd w:val="0"/>
              <w:snapToGrid w:val="0"/>
              <w:spacing w:line="360" w:lineRule="auto"/>
              <w:ind w:firstLine="480"/>
              <w:jc w:val="left"/>
              <w:rPr>
                <w:rFonts w:ascii="Times New Roman" w:cs="Times New Roman" w:eastAsiaTheme="minorEastAsia"/>
                <w:color w:val="000000" w:themeColor="text1"/>
                <w:sz w:val="24"/>
                <w14:textFill>
                  <w14:solidFill>
                    <w14:schemeClr w14:val="tx1"/>
                  </w14:solidFill>
                </w14:textFill>
              </w:rPr>
            </w:pPr>
            <w:r>
              <w:rPr>
                <w:rFonts w:ascii="Times New Roman" w:cs="Times New Roman" w:hAnsiTheme="minorEastAsia" w:eastAsiaTheme="minorEastAsia"/>
                <w:color w:val="000000" w:themeColor="text1"/>
                <w:sz w:val="24"/>
                <w14:textFill>
                  <w14:solidFill>
                    <w14:schemeClr w14:val="tx1"/>
                  </w14:solidFill>
                </w14:textFill>
              </w:rPr>
              <w:t>施工扬尘的污染程度与风速、粉尘颗粒、粉尘含水量和汽车行驶速度等因素有关，汽车行驶速度和风速增大，产生的起尘量</w:t>
            </w:r>
            <w:r>
              <w:rPr>
                <w:rFonts w:hint="eastAsia" w:ascii="Times New Roman" w:cs="Times New Roman" w:hAnsiTheme="minorEastAsia" w:eastAsiaTheme="minorEastAsia"/>
                <w:color w:val="000000" w:themeColor="text1"/>
                <w:sz w:val="24"/>
                <w:lang w:eastAsia="zh-CN"/>
                <w14:textFill>
                  <w14:solidFill>
                    <w14:schemeClr w14:val="tx1"/>
                  </w14:solidFill>
                </w14:textFill>
              </w:rPr>
              <w:t>成正比</w:t>
            </w:r>
            <w:r>
              <w:rPr>
                <w:rFonts w:ascii="Times New Roman" w:cs="Times New Roman" w:hAnsiTheme="minorEastAsia" w:eastAsiaTheme="minorEastAsia"/>
                <w:color w:val="000000" w:themeColor="text1"/>
                <w:sz w:val="24"/>
                <w14:textFill>
                  <w14:solidFill>
                    <w14:schemeClr w14:val="tx1"/>
                  </w14:solidFill>
                </w14:textFill>
              </w:rPr>
              <w:t>或级数增加，粉尘污染范围相应扩大。施工扬尘会造成局部地段降尘量增多，对施工现场周围的大气环境会产生一定的影响。但这种污染是局部的、短期的，工程完成之后这种影响就会消失。</w:t>
            </w:r>
          </w:p>
          <w:p>
            <w:pPr>
              <w:pStyle w:val="48"/>
              <w:adjustRightInd w:val="0"/>
              <w:snapToGrid w:val="0"/>
              <w:spacing w:line="360" w:lineRule="auto"/>
              <w:ind w:firstLine="480"/>
              <w:jc w:val="left"/>
              <w:rPr>
                <w:rFonts w:eastAsiaTheme="minorEastAsia"/>
                <w:color w:val="000000" w:themeColor="text1"/>
                <w:sz w:val="24"/>
                <w:szCs w:val="28"/>
                <w14:textFill>
                  <w14:solidFill>
                    <w14:schemeClr w14:val="tx1"/>
                  </w14:solidFill>
                </w14:textFill>
              </w:rPr>
            </w:pPr>
            <w:r>
              <w:rPr>
                <w:rFonts w:hAnsiTheme="minorEastAsia" w:eastAsiaTheme="minorEastAsia"/>
                <w:color w:val="000000" w:themeColor="text1"/>
                <w:sz w:val="24"/>
                <w:szCs w:val="28"/>
                <w14:textFill>
                  <w14:solidFill>
                    <w14:schemeClr w14:val="tx1"/>
                  </w14:solidFill>
                </w14:textFill>
              </w:rPr>
              <w:t>（</w:t>
            </w:r>
            <w:r>
              <w:rPr>
                <w:rFonts w:eastAsiaTheme="minorEastAsia"/>
                <w:color w:val="000000" w:themeColor="text1"/>
                <w:sz w:val="24"/>
                <w:szCs w:val="28"/>
                <w14:textFill>
                  <w14:solidFill>
                    <w14:schemeClr w14:val="tx1"/>
                  </w14:solidFill>
                </w14:textFill>
              </w:rPr>
              <w:t>1</w:t>
            </w:r>
            <w:r>
              <w:rPr>
                <w:rFonts w:hAnsiTheme="minorEastAsia" w:eastAsiaTheme="minorEastAsia"/>
                <w:color w:val="000000" w:themeColor="text1"/>
                <w:sz w:val="24"/>
                <w:szCs w:val="28"/>
                <w14:textFill>
                  <w14:solidFill>
                    <w14:schemeClr w14:val="tx1"/>
                  </w14:solidFill>
                </w14:textFill>
              </w:rPr>
              <w:t>）全面提升施工扬尘管控水平。严格管控施工扬尘，全面落实建筑施工扬尘管理</w:t>
            </w:r>
            <w:r>
              <w:rPr>
                <w:rFonts w:eastAsiaTheme="minorEastAsia"/>
                <w:color w:val="000000" w:themeColor="text1"/>
                <w:sz w:val="24"/>
                <w:szCs w:val="28"/>
                <w14:textFill>
                  <w14:solidFill>
                    <w14:schemeClr w14:val="tx1"/>
                  </w14:solidFill>
                </w14:textFill>
              </w:rPr>
              <w:t>“</w:t>
            </w:r>
            <w:r>
              <w:rPr>
                <w:rFonts w:hint="eastAsia" w:eastAsiaTheme="minorEastAsia"/>
                <w:color w:val="000000" w:themeColor="text1"/>
                <w:sz w:val="24"/>
                <w:szCs w:val="28"/>
                <w:lang w:val="en-US" w:eastAsia="zh-CN"/>
                <w14:textFill>
                  <w14:solidFill>
                    <w14:schemeClr w14:val="tx1"/>
                  </w14:solidFill>
                </w14:textFill>
              </w:rPr>
              <w:t>六</w:t>
            </w:r>
            <w:r>
              <w:rPr>
                <w:rFonts w:hAnsiTheme="minorEastAsia" w:eastAsiaTheme="minorEastAsia"/>
                <w:color w:val="000000" w:themeColor="text1"/>
                <w:sz w:val="24"/>
                <w:szCs w:val="28"/>
                <w14:textFill>
                  <w14:solidFill>
                    <w14:schemeClr w14:val="tx1"/>
                  </w14:solidFill>
                </w14:textFill>
              </w:rPr>
              <w:t>个</w:t>
            </w:r>
            <w:r>
              <w:rPr>
                <w:rFonts w:eastAsiaTheme="minorEastAsia"/>
                <w:color w:val="000000" w:themeColor="text1"/>
                <w:sz w:val="24"/>
                <w:szCs w:val="28"/>
                <w14:textFill>
                  <w14:solidFill>
                    <w14:schemeClr w14:val="tx1"/>
                  </w14:solidFill>
                </w14:textFill>
              </w:rPr>
              <w:t>100%”</w:t>
            </w:r>
            <w:r>
              <w:rPr>
                <w:rFonts w:hAnsiTheme="minorEastAsia" w:eastAsiaTheme="minorEastAsia"/>
                <w:color w:val="000000" w:themeColor="text1"/>
                <w:sz w:val="24"/>
                <w:szCs w:val="28"/>
                <w14:textFill>
                  <w14:solidFill>
                    <w14:schemeClr w14:val="tx1"/>
                  </w14:solidFill>
                </w14:textFill>
              </w:rPr>
              <w:t>，对落实扬尘管控措施不力的施工工地，在建筑市场监管与诚信信息平台曝光，记入企业不良信用记录。探索建立不诚信施工单位退出市场机制和取消招投标资格机制。加强渣土车运输监管，车辆必须全部安装卫星定位系统，杜绝超载、抛洒等现象。</w:t>
            </w:r>
          </w:p>
          <w:p>
            <w:pPr>
              <w:pStyle w:val="48"/>
              <w:adjustRightInd w:val="0"/>
              <w:snapToGrid w:val="0"/>
              <w:spacing w:line="360" w:lineRule="auto"/>
              <w:ind w:firstLine="480"/>
              <w:jc w:val="left"/>
              <w:rPr>
                <w:rFonts w:eastAsiaTheme="minorEastAsia"/>
                <w:color w:val="000000" w:themeColor="text1"/>
                <w:sz w:val="24"/>
                <w:szCs w:val="28"/>
                <w14:textFill>
                  <w14:solidFill>
                    <w14:schemeClr w14:val="tx1"/>
                  </w14:solidFill>
                </w14:textFill>
              </w:rPr>
            </w:pPr>
            <w:r>
              <w:rPr>
                <w:rFonts w:hAnsiTheme="minorEastAsia" w:eastAsiaTheme="minorEastAsia"/>
                <w:color w:val="000000" w:themeColor="text1"/>
                <w:sz w:val="24"/>
                <w:szCs w:val="28"/>
                <w14:textFill>
                  <w14:solidFill>
                    <w14:schemeClr w14:val="tx1"/>
                  </w14:solidFill>
                </w14:textFill>
              </w:rPr>
              <w:t>（</w:t>
            </w:r>
            <w:r>
              <w:rPr>
                <w:rFonts w:eastAsiaTheme="minorEastAsia"/>
                <w:color w:val="000000" w:themeColor="text1"/>
                <w:sz w:val="24"/>
                <w:szCs w:val="28"/>
                <w14:textFill>
                  <w14:solidFill>
                    <w14:schemeClr w14:val="tx1"/>
                  </w14:solidFill>
                </w14:textFill>
              </w:rPr>
              <w:t>2</w:t>
            </w:r>
            <w:r>
              <w:rPr>
                <w:rFonts w:hAnsiTheme="minorEastAsia" w:eastAsiaTheme="minorEastAsia"/>
                <w:color w:val="000000" w:themeColor="text1"/>
                <w:sz w:val="24"/>
                <w:szCs w:val="28"/>
                <w14:textFill>
                  <w14:solidFill>
                    <w14:schemeClr w14:val="tx1"/>
                  </w14:solidFill>
                </w14:textFill>
              </w:rPr>
              <w:t>）控制道路扬尘污染。严格道路保洁作业标准，实行机械化清扫，精细化保洁、地毯式吸尘、定时段清洗、全方位洒水的</w:t>
            </w:r>
            <w:r>
              <w:rPr>
                <w:rFonts w:eastAsiaTheme="minorEastAsia"/>
                <w:color w:val="000000" w:themeColor="text1"/>
                <w:sz w:val="24"/>
                <w:szCs w:val="28"/>
                <w14:textFill>
                  <w14:solidFill>
                    <w14:schemeClr w14:val="tx1"/>
                  </w14:solidFill>
                </w14:textFill>
              </w:rPr>
              <w:t>“</w:t>
            </w:r>
            <w:r>
              <w:rPr>
                <w:rFonts w:hAnsiTheme="minorEastAsia" w:eastAsiaTheme="minorEastAsia"/>
                <w:color w:val="000000" w:themeColor="text1"/>
                <w:sz w:val="24"/>
                <w:szCs w:val="28"/>
                <w14:textFill>
                  <w14:solidFill>
                    <w14:schemeClr w14:val="tx1"/>
                  </w14:solidFill>
                </w14:textFill>
              </w:rPr>
              <w:t>五位一体</w:t>
            </w:r>
            <w:r>
              <w:rPr>
                <w:rFonts w:eastAsiaTheme="minorEastAsia"/>
                <w:color w:val="000000" w:themeColor="text1"/>
                <w:sz w:val="24"/>
                <w:szCs w:val="28"/>
                <w14:textFill>
                  <w14:solidFill>
                    <w14:schemeClr w14:val="tx1"/>
                  </w14:solidFill>
                </w14:textFill>
              </w:rPr>
              <w:t>”</w:t>
            </w:r>
            <w:r>
              <w:rPr>
                <w:rFonts w:hAnsiTheme="minorEastAsia" w:eastAsiaTheme="minorEastAsia"/>
                <w:color w:val="000000" w:themeColor="text1"/>
                <w:sz w:val="24"/>
                <w:szCs w:val="28"/>
                <w14:textFill>
                  <w14:solidFill>
                    <w14:schemeClr w14:val="tx1"/>
                  </w14:solidFill>
                </w14:textFill>
              </w:rPr>
              <w:t>作业模式，从源头上防止道路扬尘。</w:t>
            </w:r>
          </w:p>
          <w:p>
            <w:pPr>
              <w:pStyle w:val="48"/>
              <w:adjustRightInd w:val="0"/>
              <w:snapToGrid w:val="0"/>
              <w:spacing w:line="360" w:lineRule="auto"/>
              <w:ind w:firstLine="480"/>
              <w:jc w:val="left"/>
              <w:rPr>
                <w:rFonts w:eastAsiaTheme="minorEastAsia"/>
                <w:color w:val="000000" w:themeColor="text1"/>
                <w:sz w:val="24"/>
                <w:szCs w:val="28"/>
                <w14:textFill>
                  <w14:solidFill>
                    <w14:schemeClr w14:val="tx1"/>
                  </w14:solidFill>
                </w14:textFill>
              </w:rPr>
            </w:pPr>
            <w:r>
              <w:rPr>
                <w:rFonts w:hAnsiTheme="minorEastAsia" w:eastAsiaTheme="minorEastAsia"/>
                <w:color w:val="000000" w:themeColor="text1"/>
                <w:sz w:val="24"/>
                <w:szCs w:val="28"/>
                <w14:textFill>
                  <w14:solidFill>
                    <w14:schemeClr w14:val="tx1"/>
                  </w14:solidFill>
                </w14:textFill>
              </w:rPr>
              <w:t>（</w:t>
            </w:r>
            <w:r>
              <w:rPr>
                <w:rFonts w:eastAsiaTheme="minorEastAsia"/>
                <w:color w:val="000000" w:themeColor="text1"/>
                <w:sz w:val="24"/>
                <w:szCs w:val="28"/>
                <w14:textFill>
                  <w14:solidFill>
                    <w14:schemeClr w14:val="tx1"/>
                  </w14:solidFill>
                </w14:textFill>
              </w:rPr>
              <w:t>3</w:t>
            </w:r>
            <w:r>
              <w:rPr>
                <w:rFonts w:hAnsiTheme="minorEastAsia" w:eastAsiaTheme="minorEastAsia"/>
                <w:color w:val="000000" w:themeColor="text1"/>
                <w:sz w:val="24"/>
                <w:szCs w:val="28"/>
                <w14:textFill>
                  <w14:solidFill>
                    <w14:schemeClr w14:val="tx1"/>
                  </w14:solidFill>
                </w14:textFill>
              </w:rPr>
              <w:t>）运输物料的车辆应限速，不得超载，对运输道路进行定期清扫、洒水；</w:t>
            </w:r>
          </w:p>
          <w:p>
            <w:pPr>
              <w:pStyle w:val="48"/>
              <w:adjustRightInd w:val="0"/>
              <w:snapToGrid w:val="0"/>
              <w:spacing w:line="360" w:lineRule="auto"/>
              <w:ind w:firstLine="480"/>
              <w:jc w:val="left"/>
              <w:rPr>
                <w:rFonts w:eastAsiaTheme="minorEastAsia"/>
                <w:color w:val="000000" w:themeColor="text1"/>
                <w:sz w:val="24"/>
                <w:szCs w:val="28"/>
                <w14:textFill>
                  <w14:solidFill>
                    <w14:schemeClr w14:val="tx1"/>
                  </w14:solidFill>
                </w14:textFill>
              </w:rPr>
            </w:pPr>
            <w:r>
              <w:rPr>
                <w:rFonts w:hAnsiTheme="minorEastAsia" w:eastAsiaTheme="minorEastAsia"/>
                <w:color w:val="000000" w:themeColor="text1"/>
                <w:sz w:val="24"/>
                <w:szCs w:val="28"/>
                <w14:textFill>
                  <w14:solidFill>
                    <w14:schemeClr w14:val="tx1"/>
                  </w14:solidFill>
                </w14:textFill>
              </w:rPr>
              <w:t>（</w:t>
            </w:r>
            <w:r>
              <w:rPr>
                <w:rFonts w:eastAsiaTheme="minorEastAsia"/>
                <w:color w:val="000000" w:themeColor="text1"/>
                <w:sz w:val="24"/>
                <w:szCs w:val="28"/>
                <w14:textFill>
                  <w14:solidFill>
                    <w14:schemeClr w14:val="tx1"/>
                  </w14:solidFill>
                </w14:textFill>
              </w:rPr>
              <w:t>4</w:t>
            </w:r>
            <w:r>
              <w:rPr>
                <w:rFonts w:hAnsiTheme="minorEastAsia" w:eastAsiaTheme="minorEastAsia"/>
                <w:color w:val="000000" w:themeColor="text1"/>
                <w:sz w:val="24"/>
                <w:szCs w:val="28"/>
                <w14:textFill>
                  <w14:solidFill>
                    <w14:schemeClr w14:val="tx1"/>
                  </w14:solidFill>
                </w14:textFill>
              </w:rPr>
              <w:t>）对石料加工区、办公区域地面及运输道路及时硬化、绿化。</w:t>
            </w:r>
          </w:p>
          <w:p>
            <w:pPr>
              <w:pStyle w:val="47"/>
              <w:adjustRightInd w:val="0"/>
              <w:snapToGrid w:val="0"/>
              <w:ind w:firstLineChars="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采取以上措施后，施工期粉尘污染对周围环境空气影响可得到有效控制，随着施工期结束，施工粉尘影响也会随之消失。</w:t>
            </w:r>
          </w:p>
          <w:p>
            <w:pPr>
              <w:pStyle w:val="47"/>
              <w:adjustRightInd w:val="0"/>
              <w:snapToGrid w:val="0"/>
              <w:ind w:firstLine="482"/>
              <w:jc w:val="left"/>
              <w:rPr>
                <w:rFonts w:ascii="Times New Roman" w:hAnsi="Times New Roman" w:cs="Times New Roman" w:eastAsiaTheme="minorEastAsia"/>
                <w:b/>
                <w:color w:val="000000" w:themeColor="text1"/>
                <w14:textFill>
                  <w14:solidFill>
                    <w14:schemeClr w14:val="tx1"/>
                  </w14:solidFill>
                </w14:textFill>
              </w:rPr>
            </w:pPr>
            <w:r>
              <w:rPr>
                <w:rFonts w:ascii="Times New Roman" w:hAnsi="Times New Roman" w:cs="Times New Roman" w:eastAsiaTheme="minorEastAsia"/>
                <w:b/>
                <w:color w:val="000000" w:themeColor="text1"/>
                <w14:textFill>
                  <w14:solidFill>
                    <w14:schemeClr w14:val="tx1"/>
                  </w14:solidFill>
                </w14:textFill>
              </w:rPr>
              <w:t>2</w:t>
            </w:r>
            <w:r>
              <w:rPr>
                <w:rFonts w:ascii="Times New Roman" w:cs="Times New Roman" w:hAnsiTheme="minorEastAsia" w:eastAsiaTheme="minorEastAsia"/>
                <w:b/>
                <w:color w:val="000000" w:themeColor="text1"/>
                <w14:textFill>
                  <w14:solidFill>
                    <w14:schemeClr w14:val="tx1"/>
                  </w14:solidFill>
                </w14:textFill>
              </w:rPr>
              <w:t>、水环境影响分析</w:t>
            </w:r>
            <w:r>
              <w:rPr>
                <w:rFonts w:hint="eastAsia" w:ascii="Times New Roman" w:cs="Times New Roman" w:hAnsiTheme="minorEastAsia" w:eastAsiaTheme="minorEastAsia"/>
                <w:b/>
                <w:color w:val="000000" w:themeColor="text1"/>
                <w:lang w:val="en-US" w:eastAsia="zh-CN"/>
                <w14:textFill>
                  <w14:solidFill>
                    <w14:schemeClr w14:val="tx1"/>
                  </w14:solidFill>
                </w14:textFill>
              </w:rPr>
              <w:t>及措施</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1</w:t>
            </w:r>
            <w:r>
              <w:rPr>
                <w:rFonts w:ascii="Times New Roman" w:cs="Times New Roman" w:hAnsiTheme="minorEastAsia" w:eastAsiaTheme="minorEastAsia"/>
                <w:color w:val="000000" w:themeColor="text1"/>
                <w14:textFill>
                  <w14:solidFill>
                    <w14:schemeClr w14:val="tx1"/>
                  </w14:solidFill>
                </w14:textFill>
              </w:rPr>
              <w:t>）施工废水</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本项目施工用水量很少，生产废水主要来自施工车辆与施工机械冲洗废水。废水中主要污染物为石油类和</w:t>
            </w:r>
            <w:r>
              <w:rPr>
                <w:rFonts w:ascii="Times New Roman" w:hAnsi="Times New Roman" w:cs="Times New Roman" w:eastAsiaTheme="minorEastAsia"/>
                <w:color w:val="000000" w:themeColor="text1"/>
                <w14:textFill>
                  <w14:solidFill>
                    <w14:schemeClr w14:val="tx1"/>
                  </w14:solidFill>
                </w14:textFill>
              </w:rPr>
              <w:t>SS</w:t>
            </w:r>
            <w:r>
              <w:rPr>
                <w:rFonts w:ascii="Times New Roman" w:cs="Times New Roman" w:hAnsiTheme="minorEastAsia" w:eastAsiaTheme="minorEastAsia"/>
                <w:color w:val="000000" w:themeColor="text1"/>
                <w14:textFill>
                  <w14:solidFill>
                    <w14:schemeClr w14:val="tx1"/>
                  </w14:solidFill>
                </w14:textFill>
              </w:rPr>
              <w:t>，评价要求施工场地废水依托现有沉淀池，经沉淀处理后作为施工生产用水或抑尘洒水，不外排。</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w:t>
            </w:r>
            <w:r>
              <w:rPr>
                <w:rFonts w:ascii="Times New Roman" w:hAnsi="Times New Roman" w:cs="Times New Roman" w:eastAsiaTheme="minorEastAsia"/>
                <w:color w:val="000000" w:themeColor="text1"/>
                <w14:textFill>
                  <w14:solidFill>
                    <w14:schemeClr w14:val="tx1"/>
                  </w14:solidFill>
                </w14:textFill>
              </w:rPr>
              <w:t>2</w:t>
            </w:r>
            <w:r>
              <w:rPr>
                <w:rFonts w:ascii="Times New Roman" w:cs="Times New Roman" w:hAnsiTheme="minorEastAsia" w:eastAsiaTheme="minorEastAsia"/>
                <w:color w:val="000000" w:themeColor="text1"/>
                <w14:textFill>
                  <w14:solidFill>
                    <w14:schemeClr w14:val="tx1"/>
                  </w14:solidFill>
                </w14:textFill>
              </w:rPr>
              <w:t>）生活污水</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项目设水厕，同时建设化粪池，施工人员依托水厕，化粪池清淘后拉运附近农田综合利用。</w:t>
            </w:r>
          </w:p>
          <w:p>
            <w:pPr>
              <w:pStyle w:val="47"/>
              <w:adjustRightInd w:val="0"/>
              <w:snapToGrid w:val="0"/>
              <w:ind w:firstLine="482"/>
              <w:jc w:val="left"/>
              <w:rPr>
                <w:rFonts w:ascii="Times New Roman" w:hAnsi="Times New Roman" w:cs="Times New Roman" w:eastAsiaTheme="minorEastAsia"/>
                <w:b/>
                <w:color w:val="000000" w:themeColor="text1"/>
                <w14:textFill>
                  <w14:solidFill>
                    <w14:schemeClr w14:val="tx1"/>
                  </w14:solidFill>
                </w14:textFill>
              </w:rPr>
            </w:pPr>
            <w:r>
              <w:rPr>
                <w:rFonts w:ascii="Times New Roman" w:hAnsi="Times New Roman" w:cs="Times New Roman" w:eastAsiaTheme="minorEastAsia"/>
                <w:b/>
                <w:color w:val="000000" w:themeColor="text1"/>
                <w14:textFill>
                  <w14:solidFill>
                    <w14:schemeClr w14:val="tx1"/>
                  </w14:solidFill>
                </w14:textFill>
              </w:rPr>
              <w:t>3</w:t>
            </w:r>
            <w:r>
              <w:rPr>
                <w:rFonts w:ascii="Times New Roman" w:cs="Times New Roman" w:hAnsiTheme="minorEastAsia" w:eastAsiaTheme="minorEastAsia"/>
                <w:b/>
                <w:color w:val="000000" w:themeColor="text1"/>
                <w14:textFill>
                  <w14:solidFill>
                    <w14:schemeClr w14:val="tx1"/>
                  </w14:solidFill>
                </w14:textFill>
              </w:rPr>
              <w:t>、施工噪声影响分析</w:t>
            </w:r>
            <w:r>
              <w:rPr>
                <w:rFonts w:hint="eastAsia" w:ascii="Times New Roman" w:cs="Times New Roman" w:hAnsiTheme="minorEastAsia" w:eastAsiaTheme="minorEastAsia"/>
                <w:b/>
                <w:color w:val="000000" w:themeColor="text1"/>
                <w:lang w:val="en-US" w:eastAsia="zh-CN"/>
                <w14:textFill>
                  <w14:solidFill>
                    <w14:schemeClr w14:val="tx1"/>
                  </w14:solidFill>
                </w14:textFill>
              </w:rPr>
              <w:t>及措施</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本项目施工期产生的噪声主要为设备安装时产生的噪声，产生噪声量较小。施工噪声防治措施：</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①合理布置施工场地，选用低噪声设备；</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②严格操作规程，降低人为噪声；</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③控制施工时段，禁止高噪声设备夜间施工；</w:t>
            </w:r>
          </w:p>
          <w:p>
            <w:pPr>
              <w:pStyle w:val="47"/>
              <w:adjustRightInd w:val="0"/>
              <w:snapToGrid w:val="0"/>
              <w:ind w:firstLine="482"/>
              <w:jc w:val="left"/>
              <w:rPr>
                <w:rFonts w:ascii="Times New Roman" w:hAnsi="Times New Roman" w:cs="Times New Roman" w:eastAsiaTheme="minorEastAsia"/>
                <w:b/>
                <w:color w:val="000000" w:themeColor="text1"/>
                <w14:textFill>
                  <w14:solidFill>
                    <w14:schemeClr w14:val="tx1"/>
                  </w14:solidFill>
                </w14:textFill>
              </w:rPr>
            </w:pPr>
            <w:r>
              <w:rPr>
                <w:rFonts w:ascii="Times New Roman" w:hAnsi="Times New Roman" w:cs="Times New Roman" w:eastAsiaTheme="minorEastAsia"/>
                <w:b/>
                <w:color w:val="000000" w:themeColor="text1"/>
                <w14:textFill>
                  <w14:solidFill>
                    <w14:schemeClr w14:val="tx1"/>
                  </w14:solidFill>
                </w14:textFill>
              </w:rPr>
              <w:t>4</w:t>
            </w:r>
            <w:r>
              <w:rPr>
                <w:rFonts w:ascii="Times New Roman" w:cs="Times New Roman" w:hAnsiTheme="minorEastAsia" w:eastAsiaTheme="minorEastAsia"/>
                <w:b/>
                <w:color w:val="000000" w:themeColor="text1"/>
                <w14:textFill>
                  <w14:solidFill>
                    <w14:schemeClr w14:val="tx1"/>
                  </w14:solidFill>
                </w14:textFill>
              </w:rPr>
              <w:t>、固体废物影响分析</w:t>
            </w:r>
            <w:r>
              <w:rPr>
                <w:rFonts w:hint="eastAsia" w:ascii="Times New Roman" w:cs="Times New Roman" w:hAnsiTheme="minorEastAsia" w:eastAsiaTheme="minorEastAsia"/>
                <w:b/>
                <w:color w:val="000000" w:themeColor="text1"/>
                <w:lang w:val="en-US" w:eastAsia="zh-CN"/>
                <w14:textFill>
                  <w14:solidFill>
                    <w14:schemeClr w14:val="tx1"/>
                  </w14:solidFill>
                </w14:textFill>
              </w:rPr>
              <w:t>及措施</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本项目施工人员</w:t>
            </w:r>
            <w:r>
              <w:rPr>
                <w:rFonts w:ascii="Times New Roman" w:hAnsi="Times New Roman" w:cs="Times New Roman" w:eastAsiaTheme="minorEastAsia"/>
                <w:color w:val="000000" w:themeColor="text1"/>
                <w14:textFill>
                  <w14:solidFill>
                    <w14:schemeClr w14:val="tx1"/>
                  </w14:solidFill>
                </w14:textFill>
              </w:rPr>
              <w:t>10</w:t>
            </w:r>
            <w:r>
              <w:rPr>
                <w:rFonts w:ascii="Times New Roman" w:cs="Times New Roman" w:hAnsiTheme="minorEastAsia" w:eastAsiaTheme="minorEastAsia"/>
                <w:color w:val="000000" w:themeColor="text1"/>
                <w14:textFill>
                  <w14:solidFill>
                    <w14:schemeClr w14:val="tx1"/>
                  </w14:solidFill>
                </w14:textFill>
              </w:rPr>
              <w:t>人，生活垃圾产生量为</w:t>
            </w:r>
            <w:r>
              <w:rPr>
                <w:rFonts w:ascii="Times New Roman" w:hAnsi="Times New Roman" w:cs="Times New Roman" w:eastAsiaTheme="minorEastAsia"/>
                <w:color w:val="000000" w:themeColor="text1"/>
                <w14:textFill>
                  <w14:solidFill>
                    <w14:schemeClr w14:val="tx1"/>
                  </w14:solidFill>
                </w14:textFill>
              </w:rPr>
              <w:t>0.005t/d</w:t>
            </w:r>
            <w:r>
              <w:rPr>
                <w:rFonts w:ascii="Times New Roman" w:cs="Times New Roman" w:hAnsiTheme="minorEastAsia" w:eastAsiaTheme="minorEastAsia"/>
                <w:color w:val="000000" w:themeColor="text1"/>
                <w14:textFill>
                  <w14:solidFill>
                    <w14:schemeClr w14:val="tx1"/>
                  </w14:solidFill>
                </w14:textFill>
              </w:rPr>
              <w:t>。施工人员生活垃圾依托厂区现有工作人员生活垃圾处理措施，生活垃圾由垃圾桶收集，定期运往市政垃圾收集点统一处理，严禁随意倾倒。</w:t>
            </w:r>
          </w:p>
          <w:p>
            <w:pPr>
              <w:pStyle w:val="47"/>
              <w:adjustRightInd w:val="0"/>
              <w:snapToGrid w:val="0"/>
              <w:ind w:firstLine="480"/>
              <w:jc w:val="left"/>
              <w:rPr>
                <w:rFonts w:ascii="Times New Roman" w:hAnsi="Times New Roman" w:cs="Times New Roman" w:eastAsiaTheme="minorEastAsia"/>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综上所述，本项目施工期生产的固体废物经妥善处置后不会对周围环境及施工场地环境卫生产生影响。</w:t>
            </w:r>
          </w:p>
          <w:p>
            <w:pPr>
              <w:pStyle w:val="47"/>
              <w:adjustRightInd w:val="0"/>
              <w:snapToGrid w:val="0"/>
              <w:ind w:firstLine="482"/>
              <w:jc w:val="left"/>
              <w:rPr>
                <w:rFonts w:ascii="Times New Roman" w:hAnsi="Times New Roman" w:cs="Times New Roman" w:eastAsiaTheme="minorEastAsia"/>
                <w:b/>
                <w:color w:val="FF0000"/>
              </w:rPr>
            </w:pPr>
            <w:r>
              <w:rPr>
                <w:rFonts w:ascii="Times New Roman" w:hAnsi="Times New Roman" w:cs="Times New Roman" w:eastAsiaTheme="minorEastAsia"/>
                <w:b/>
                <w:color w:val="FF0000"/>
              </w:rPr>
              <w:t>5</w:t>
            </w:r>
            <w:r>
              <w:rPr>
                <w:rFonts w:ascii="Times New Roman" w:cs="Times New Roman" w:hAnsiTheme="minorEastAsia" w:eastAsiaTheme="minorEastAsia"/>
                <w:b/>
                <w:color w:val="FF0000"/>
              </w:rPr>
              <w:t>、生态影响分析</w:t>
            </w:r>
            <w:r>
              <w:rPr>
                <w:rFonts w:hint="eastAsia" w:ascii="Times New Roman" w:cs="Times New Roman" w:hAnsiTheme="minorEastAsia" w:eastAsiaTheme="minorEastAsia"/>
                <w:b/>
                <w:color w:val="FF0000"/>
                <w:lang w:val="en-US" w:eastAsia="zh-CN"/>
              </w:rPr>
              <w:t>及措施</w:t>
            </w:r>
          </w:p>
          <w:p>
            <w:pPr>
              <w:pStyle w:val="47"/>
              <w:adjustRightInd w:val="0"/>
              <w:snapToGrid w:val="0"/>
              <w:ind w:firstLine="480"/>
              <w:jc w:val="left"/>
              <w:rPr>
                <w:rFonts w:hint="eastAsia" w:ascii="Times New Roman" w:cs="Times New Roman" w:hAnsiTheme="minorEastAsia" w:eastAsiaTheme="minorEastAsia"/>
                <w:color w:val="FF0000"/>
                <w:lang w:val="en-US" w:eastAsia="zh-CN"/>
              </w:rPr>
            </w:pPr>
            <w:r>
              <w:rPr>
                <w:rFonts w:hint="eastAsia" w:ascii="Times New Roman" w:cs="Times New Roman" w:hAnsiTheme="minorEastAsia" w:eastAsiaTheme="minorEastAsia"/>
                <w:color w:val="FF0000"/>
                <w:lang w:val="en-US" w:eastAsia="zh-CN"/>
              </w:rPr>
              <w:t>施工期产生的生态影响主要为施工过程造成的生态干扰、景观破坏和水土流失。</w:t>
            </w:r>
          </w:p>
          <w:p>
            <w:pPr>
              <w:pStyle w:val="47"/>
              <w:adjustRightInd w:val="0"/>
              <w:snapToGrid w:val="0"/>
              <w:ind w:firstLine="480"/>
              <w:jc w:val="left"/>
              <w:rPr>
                <w:rFonts w:hint="eastAsia" w:ascii="Times New Roman" w:cs="Times New Roman" w:hAnsiTheme="minorEastAsia" w:eastAsiaTheme="minorEastAsia"/>
                <w:color w:val="000000" w:themeColor="text1"/>
                <w:lang w:val="en-US" w:eastAsia="zh-CN"/>
                <w14:textFill>
                  <w14:solidFill>
                    <w14:schemeClr w14:val="tx1"/>
                  </w14:solidFill>
                </w14:textFill>
              </w:rPr>
            </w:pPr>
            <w:r>
              <w:rPr>
                <w:rFonts w:hint="eastAsia" w:ascii="Times New Roman" w:cs="Times New Roman" w:hAnsiTheme="minorEastAsia" w:eastAsiaTheme="minorEastAsia"/>
                <w:color w:val="000000" w:themeColor="text1"/>
                <w14:textFill>
                  <w14:solidFill>
                    <w14:schemeClr w14:val="tx1"/>
                  </w14:solidFill>
                </w14:textFill>
              </w:rPr>
              <w:t>①</w:t>
            </w:r>
            <w:r>
              <w:rPr>
                <w:rFonts w:hint="eastAsia" w:ascii="Times New Roman" w:cs="Times New Roman" w:hAnsiTheme="minorEastAsia" w:eastAsiaTheme="minorEastAsia"/>
                <w:color w:val="000000" w:themeColor="text1"/>
                <w:lang w:val="en-US" w:eastAsia="zh-CN"/>
                <w14:textFill>
                  <w14:solidFill>
                    <w14:schemeClr w14:val="tx1"/>
                  </w14:solidFill>
                </w14:textFill>
              </w:rPr>
              <w:t>土石方的开挖和路基填筑工序使沿线的植被遭到破坏，地表裸露，从而使沿线地区的局部生态结构发生一定的变化。开挖后裸露地表在雨水及地表径流的作用下将引起水土流失。</w:t>
            </w:r>
          </w:p>
          <w:p>
            <w:pPr>
              <w:pStyle w:val="47"/>
              <w:adjustRightInd w:val="0"/>
              <w:snapToGrid w:val="0"/>
              <w:ind w:firstLine="480"/>
              <w:jc w:val="left"/>
              <w:rPr>
                <w:rFonts w:hint="eastAsia" w:ascii="Times New Roman" w:cs="Times New Roman" w:hAnsiTheme="minorEastAsia" w:eastAsiaTheme="minorEastAsia"/>
                <w:color w:val="000000" w:themeColor="text1"/>
                <w:lang w:val="en-US" w:eastAsia="zh-CN"/>
                <w14:textFill>
                  <w14:solidFill>
                    <w14:schemeClr w14:val="tx1"/>
                  </w14:solidFill>
                </w14:textFill>
              </w:rPr>
            </w:pPr>
            <w:r>
              <w:rPr>
                <w:rFonts w:hint="eastAsia" w:ascii="Times New Roman" w:cs="Times New Roman" w:hAnsiTheme="minorEastAsia" w:eastAsiaTheme="minorEastAsia"/>
                <w:color w:val="000000" w:themeColor="text1"/>
                <w14:textFill>
                  <w14:solidFill>
                    <w14:schemeClr w14:val="tx1"/>
                  </w14:solidFill>
                </w14:textFill>
              </w:rPr>
              <w:t>②</w:t>
            </w:r>
            <w:r>
              <w:rPr>
                <w:rFonts w:hint="eastAsia" w:ascii="Times New Roman" w:cs="Times New Roman" w:hAnsiTheme="minorEastAsia" w:eastAsiaTheme="minorEastAsia"/>
                <w:color w:val="000000" w:themeColor="text1"/>
                <w:lang w:val="en-US" w:eastAsia="zh-CN"/>
                <w14:textFill>
                  <w14:solidFill>
                    <w14:schemeClr w14:val="tx1"/>
                  </w14:solidFill>
                </w14:textFill>
              </w:rPr>
              <w:t>车辆运行、路基和边坡加固、打桩等工序产生的施工噪声会对沿线野生动物造成负面影响。经现场勘查，建设范围内无珍稀动植物集中分布。</w:t>
            </w:r>
          </w:p>
          <w:p>
            <w:pPr>
              <w:pStyle w:val="47"/>
              <w:adjustRightInd w:val="0"/>
              <w:snapToGrid w:val="0"/>
              <w:ind w:firstLine="480"/>
              <w:jc w:val="left"/>
              <w:rPr>
                <w:rFonts w:hint="eastAsia" w:ascii="Times New Roman" w:cs="Times New Roman" w:hAnsiTheme="minorEastAsia" w:eastAsiaTheme="minorEastAsia"/>
                <w:color w:val="000000" w:themeColor="text1"/>
                <w:lang w:val="en-US" w:eastAsia="zh-CN"/>
                <w14:textFill>
                  <w14:solidFill>
                    <w14:schemeClr w14:val="tx1"/>
                  </w14:solidFill>
                </w14:textFill>
              </w:rPr>
            </w:pPr>
            <w:r>
              <w:rPr>
                <w:rFonts w:hint="eastAsia" w:ascii="Times New Roman" w:cs="Times New Roman" w:hAnsiTheme="minorEastAsia" w:eastAsiaTheme="minorEastAsia"/>
                <w:color w:val="000000" w:themeColor="text1"/>
                <w:lang w:val="en-US" w:eastAsia="zh-CN"/>
                <w14:textFill>
                  <w14:solidFill>
                    <w14:schemeClr w14:val="tx1"/>
                  </w14:solidFill>
                </w14:textFill>
              </w:rPr>
              <w:t>为降低施工期对生态的影响，建设施工单位在施工采取以下措施：</w:t>
            </w:r>
          </w:p>
          <w:p>
            <w:pPr>
              <w:pStyle w:val="47"/>
              <w:adjustRightInd w:val="0"/>
              <w:snapToGrid w:val="0"/>
              <w:ind w:firstLine="480"/>
              <w:jc w:val="left"/>
              <w:rPr>
                <w:rFonts w:hint="eastAsia" w:ascii="Times New Roman" w:cs="Times New Roman" w:hAnsiTheme="minorEastAsia" w:eastAsiaTheme="minorEastAsia"/>
                <w:color w:val="000000" w:themeColor="text1"/>
                <w:lang w:val="en-US" w:eastAsia="zh-CN"/>
                <w14:textFill>
                  <w14:solidFill>
                    <w14:schemeClr w14:val="tx1"/>
                  </w14:solidFill>
                </w14:textFill>
              </w:rPr>
            </w:pPr>
            <w:r>
              <w:rPr>
                <w:rFonts w:hint="eastAsia" w:ascii="Times New Roman" w:cs="Times New Roman" w:hAnsiTheme="minorEastAsia" w:eastAsiaTheme="minorEastAsia"/>
                <w:color w:val="000000" w:themeColor="text1"/>
                <w:lang w:val="en-US" w:eastAsia="zh-CN"/>
                <w14:textFill>
                  <w14:solidFill>
                    <w14:schemeClr w14:val="tx1"/>
                  </w14:solidFill>
                </w14:textFill>
              </w:rPr>
              <w:t>（1）强化生态环境保护意识，严格控制施工作业范围。</w:t>
            </w:r>
          </w:p>
          <w:p>
            <w:pPr>
              <w:pStyle w:val="47"/>
              <w:adjustRightInd w:val="0"/>
              <w:snapToGrid w:val="0"/>
              <w:ind w:firstLine="480"/>
              <w:jc w:val="left"/>
              <w:rPr>
                <w:rFonts w:hint="eastAsia" w:ascii="Times New Roman" w:cs="Times New Roman" w:hAnsiTheme="minorEastAsia" w:eastAsiaTheme="minorEastAsia"/>
                <w:color w:val="000000" w:themeColor="text1"/>
                <w:lang w:val="en-US" w:eastAsia="zh-CN"/>
                <w14:textFill>
                  <w14:solidFill>
                    <w14:schemeClr w14:val="tx1"/>
                  </w14:solidFill>
                </w14:textFill>
              </w:rPr>
            </w:pPr>
            <w:r>
              <w:rPr>
                <w:rFonts w:hint="eastAsia" w:ascii="Times New Roman" w:cs="Times New Roman" w:hAnsiTheme="minorEastAsia" w:eastAsiaTheme="minorEastAsia"/>
                <w:color w:val="000000" w:themeColor="text1"/>
                <w:lang w:val="en-US" w:eastAsia="zh-CN"/>
                <w14:textFill>
                  <w14:solidFill>
                    <w14:schemeClr w14:val="tx1"/>
                  </w14:solidFill>
                </w14:textFill>
              </w:rPr>
              <w:t>（2）做好挖填土方的合理调配工作，开挖弃土应及时清运出施工现场，运至弃土场。</w:t>
            </w:r>
          </w:p>
          <w:p>
            <w:pPr>
              <w:pStyle w:val="47"/>
              <w:adjustRightInd w:val="0"/>
              <w:snapToGrid w:val="0"/>
              <w:ind w:firstLine="480"/>
              <w:jc w:val="left"/>
              <w:rPr>
                <w:rFonts w:hint="default" w:ascii="Times New Roman" w:cs="Times New Roman" w:hAnsiTheme="minorEastAsia" w:eastAsiaTheme="minorEastAsia"/>
                <w:color w:val="000000" w:themeColor="text1"/>
                <w:lang w:val="en-US" w:eastAsia="zh-CN"/>
                <w14:textFill>
                  <w14:solidFill>
                    <w14:schemeClr w14:val="tx1"/>
                  </w14:solidFill>
                </w14:textFill>
              </w:rPr>
            </w:pPr>
            <w:r>
              <w:rPr>
                <w:rFonts w:hint="eastAsia" w:ascii="Times New Roman" w:cs="Times New Roman" w:hAnsiTheme="minorEastAsia" w:eastAsiaTheme="minorEastAsia"/>
                <w:color w:val="000000" w:themeColor="text1"/>
                <w:lang w:val="en-US" w:eastAsia="zh-CN"/>
                <w14:textFill>
                  <w14:solidFill>
                    <w14:schemeClr w14:val="tx1"/>
                  </w14:solidFill>
                </w14:textFill>
              </w:rPr>
              <w:t>（3）施工期结束后及时恢复绿化用地，绿化树种选择以周边道路绿化树种保持一致。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szCs w:val="21"/>
              </w:rPr>
            </w:pPr>
            <w:r>
              <w:rPr>
                <w:rFonts w:hint="eastAsia" w:ascii="宋体" w:hAnsi="宋体" w:cs="宋体"/>
                <w:bCs/>
                <w:szCs w:val="21"/>
              </w:rPr>
              <w:t>运营</w:t>
            </w:r>
          </w:p>
          <w:p>
            <w:pPr>
              <w:adjustRightInd w:val="0"/>
              <w:snapToGrid w:val="0"/>
              <w:jc w:val="center"/>
              <w:rPr>
                <w:rFonts w:hint="eastAsia" w:ascii="宋体" w:hAnsi="宋体" w:cs="宋体"/>
                <w:bCs/>
                <w:szCs w:val="21"/>
              </w:rPr>
            </w:pPr>
            <w:r>
              <w:rPr>
                <w:rFonts w:hint="eastAsia" w:ascii="宋体" w:hAnsi="宋体" w:cs="宋体"/>
                <w:bCs/>
                <w:szCs w:val="21"/>
              </w:rPr>
              <w:t>期环</w:t>
            </w:r>
          </w:p>
          <w:p>
            <w:pPr>
              <w:adjustRightInd w:val="0"/>
              <w:snapToGrid w:val="0"/>
              <w:jc w:val="center"/>
              <w:rPr>
                <w:rFonts w:hint="eastAsia" w:ascii="宋体" w:hAnsi="宋体" w:cs="宋体"/>
                <w:bCs/>
                <w:szCs w:val="21"/>
              </w:rPr>
            </w:pPr>
            <w:r>
              <w:rPr>
                <w:rFonts w:hint="eastAsia" w:ascii="宋体" w:hAnsi="宋体" w:cs="宋体"/>
                <w:bCs/>
                <w:szCs w:val="21"/>
              </w:rPr>
              <w:t>境影</w:t>
            </w:r>
          </w:p>
          <w:p>
            <w:pPr>
              <w:adjustRightInd w:val="0"/>
              <w:snapToGrid w:val="0"/>
              <w:jc w:val="center"/>
              <w:rPr>
                <w:rFonts w:hint="eastAsia" w:ascii="宋体" w:hAnsi="宋体" w:cs="宋体"/>
                <w:bCs/>
                <w:szCs w:val="21"/>
              </w:rPr>
            </w:pPr>
            <w:r>
              <w:rPr>
                <w:rFonts w:hint="eastAsia" w:ascii="宋体" w:hAnsi="宋体" w:cs="宋体"/>
                <w:bCs/>
                <w:szCs w:val="21"/>
              </w:rPr>
              <w:t>响和</w:t>
            </w:r>
          </w:p>
          <w:p>
            <w:pPr>
              <w:adjustRightInd w:val="0"/>
              <w:snapToGrid w:val="0"/>
              <w:jc w:val="center"/>
              <w:rPr>
                <w:rFonts w:hint="eastAsia"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116" w:type="dxa"/>
            <w:noWrap w:val="0"/>
            <w:vAlign w:val="center"/>
          </w:tcPr>
          <w:p>
            <w:pPr>
              <w:adjustRightInd w:val="0"/>
              <w:snapToGrid w:val="0"/>
              <w:spacing w:line="360" w:lineRule="auto"/>
              <w:ind w:firstLine="482" w:firstLineChars="200"/>
              <w:jc w:val="left"/>
              <w:rPr>
                <w:rFonts w:eastAsiaTheme="minorEastAsia"/>
                <w:b/>
                <w:color w:val="000000" w:themeColor="text1"/>
                <w:kern w:val="0"/>
                <w:sz w:val="24"/>
                <w:szCs w:val="24"/>
                <w14:textFill>
                  <w14:solidFill>
                    <w14:schemeClr w14:val="tx1"/>
                  </w14:solidFill>
                </w14:textFill>
              </w:rPr>
            </w:pPr>
            <w:r>
              <w:rPr>
                <w:rFonts w:hAnsiTheme="minorEastAsia" w:eastAsiaTheme="minorEastAsia"/>
                <w:b/>
                <w:color w:val="000000" w:themeColor="text1"/>
                <w:kern w:val="0"/>
                <w:sz w:val="24"/>
                <w:szCs w:val="24"/>
                <w14:textFill>
                  <w14:solidFill>
                    <w14:schemeClr w14:val="tx1"/>
                  </w14:solidFill>
                </w14:textFill>
              </w:rPr>
              <w:t>运营期环境影响分析</w:t>
            </w:r>
            <w:r>
              <w:rPr>
                <w:rFonts w:hint="eastAsia" w:hAnsiTheme="minorEastAsia" w:eastAsiaTheme="minorEastAsia"/>
                <w:b/>
                <w:color w:val="000000" w:themeColor="text1"/>
                <w:kern w:val="0"/>
                <w:sz w:val="24"/>
                <w:szCs w:val="24"/>
                <w:lang w:val="en-US" w:eastAsia="zh-CN"/>
                <w14:textFill>
                  <w14:solidFill>
                    <w14:schemeClr w14:val="tx1"/>
                  </w14:solidFill>
                </w14:textFill>
              </w:rPr>
              <w:t>及措施</w:t>
            </w:r>
          </w:p>
          <w:p>
            <w:pPr>
              <w:adjustRightInd w:val="0"/>
              <w:snapToGrid w:val="0"/>
              <w:spacing w:line="360" w:lineRule="auto"/>
              <w:ind w:firstLine="482" w:firstLineChars="200"/>
              <w:jc w:val="left"/>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1</w:t>
            </w:r>
            <w:r>
              <w:rPr>
                <w:rFonts w:hAnsiTheme="minorEastAsia" w:eastAsiaTheme="minorEastAsia"/>
                <w:b/>
                <w:color w:val="000000" w:themeColor="text1"/>
                <w:sz w:val="24"/>
                <w14:textFill>
                  <w14:solidFill>
                    <w14:schemeClr w14:val="tx1"/>
                  </w14:solidFill>
                </w14:textFill>
              </w:rPr>
              <w:t>、大气环境影响分析</w:t>
            </w:r>
            <w:r>
              <w:rPr>
                <w:rFonts w:hint="eastAsia" w:hAnsiTheme="minorEastAsia" w:eastAsiaTheme="minorEastAsia"/>
                <w:b/>
                <w:color w:val="000000" w:themeColor="text1"/>
                <w:sz w:val="24"/>
                <w:lang w:val="en-US" w:eastAsia="zh-CN"/>
                <w14:textFill>
                  <w14:solidFill>
                    <w14:schemeClr w14:val="tx1"/>
                  </w14:solidFill>
                </w14:textFill>
              </w:rPr>
              <w:t>及措施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食堂油烟废气</w:t>
            </w:r>
          </w:p>
          <w:p>
            <w:pPr>
              <w:spacing w:line="360" w:lineRule="auto"/>
              <w:ind w:firstLine="480" w:firstLineChars="200"/>
              <w:rPr>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本项目食堂油烟废气主要是食堂烹饪物料分解时产生的油烟废气。食堂仅供工作人员用餐，用餐人数15人，根据工程分析可知油烟产生量为0.0038t/a，</w:t>
            </w:r>
            <w:r>
              <w:rPr>
                <w:rFonts w:hint="default" w:ascii="Times New Roman" w:hAnsi="Times New Roman" w:cs="Times New Roman"/>
                <w:bCs/>
                <w:color w:val="000000" w:themeColor="text1"/>
                <w:sz w:val="24"/>
                <w14:textFill>
                  <w14:solidFill>
                    <w14:schemeClr w14:val="tx1"/>
                  </w14:solidFill>
                </w14:textFill>
              </w:rPr>
              <w:t>评价建议建设单位安装油烟</w:t>
            </w:r>
            <w:r>
              <w:rPr>
                <w:rFonts w:hint="eastAsia"/>
                <w:bCs/>
                <w:color w:val="000000" w:themeColor="text1"/>
                <w:sz w:val="24"/>
                <w14:textFill>
                  <w14:solidFill>
                    <w14:schemeClr w14:val="tx1"/>
                  </w14:solidFill>
                </w14:textFill>
              </w:rPr>
              <w:t>净化器（处理效率达到</w:t>
            </w:r>
            <w:r>
              <w:rPr>
                <w:rFonts w:hint="eastAsia"/>
                <w:bCs/>
                <w:color w:val="000000" w:themeColor="text1"/>
                <w:sz w:val="24"/>
                <w:lang w:val="en-US" w:eastAsia="zh-CN"/>
                <w14:textFill>
                  <w14:solidFill>
                    <w14:schemeClr w14:val="tx1"/>
                  </w14:solidFill>
                </w14:textFill>
              </w:rPr>
              <w:t>6</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以上），项目灶头风量为</w:t>
            </w:r>
            <w:r>
              <w:rPr>
                <w:bCs/>
                <w:color w:val="000000" w:themeColor="text1"/>
                <w:sz w:val="24"/>
                <w14:textFill>
                  <w14:solidFill>
                    <w14:schemeClr w14:val="tx1"/>
                  </w14:solidFill>
                </w14:textFill>
              </w:rPr>
              <w:t>3000m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，时长按</w:t>
            </w:r>
            <w:r>
              <w:rPr>
                <w:bCs/>
                <w:color w:val="000000" w:themeColor="text1"/>
                <w:sz w:val="24"/>
                <w14:textFill>
                  <w14:solidFill>
                    <w14:schemeClr w14:val="tx1"/>
                  </w14:solidFill>
                </w14:textFill>
              </w:rPr>
              <w:t>4h/d</w:t>
            </w:r>
            <w:r>
              <w:rPr>
                <w:rFonts w:hint="eastAsia"/>
                <w:bCs/>
                <w:color w:val="000000" w:themeColor="text1"/>
                <w:sz w:val="24"/>
                <w14:textFill>
                  <w14:solidFill>
                    <w14:schemeClr w14:val="tx1"/>
                  </w14:solidFill>
                </w14:textFill>
              </w:rPr>
              <w:t>经净化处理后油烟废气排放浓度为</w:t>
            </w:r>
            <w:r>
              <w:rPr>
                <w:bCs/>
                <w:color w:val="000000" w:themeColor="text1"/>
                <w:sz w:val="24"/>
                <w14:textFill>
                  <w14:solidFill>
                    <w14:schemeClr w14:val="tx1"/>
                  </w14:solidFill>
                </w14:textFill>
              </w:rPr>
              <w:t>0.3</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mg/m</w:t>
            </w:r>
            <w:r>
              <w:rPr>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符合《饮食业油烟排放标准》（试行）（</w:t>
            </w:r>
            <w:r>
              <w:rPr>
                <w:color w:val="000000" w:themeColor="text1"/>
                <w:sz w:val="24"/>
                <w14:textFill>
                  <w14:solidFill>
                    <w14:schemeClr w14:val="tx1"/>
                  </w14:solidFill>
                </w14:textFill>
              </w:rPr>
              <w:t>GB18483-2001</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2.0</w:t>
            </w:r>
            <w:r>
              <w:rPr>
                <w:bCs/>
                <w:color w:val="000000" w:themeColor="text1"/>
                <w:sz w:val="24"/>
                <w14:textFill>
                  <w14:solidFill>
                    <w14:schemeClr w14:val="tx1"/>
                  </w14:solidFill>
                </w14:textFill>
              </w:rPr>
              <w:t>mg/m</w:t>
            </w:r>
            <w:r>
              <w:rPr>
                <w:bCs/>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的污染物排放要求。</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（2）食堂燃烧废气</w:t>
            </w:r>
          </w:p>
          <w:p>
            <w:pPr>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本项目食堂使用液化气或电能作为能源，液化气和电均属清洁能源，燃烧产生污染物排放浓度远低于国家规定的排放标准，对区域内大气环境影响较小。</w:t>
            </w:r>
          </w:p>
          <w:p>
            <w:pPr>
              <w:adjustRightInd w:val="0"/>
              <w:snapToGrid w:val="0"/>
              <w:spacing w:line="360" w:lineRule="auto"/>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（3）露天采场无组织粉尘排放影响分析</w:t>
            </w:r>
          </w:p>
          <w:p>
            <w:pPr>
              <w:adjustRightInd w:val="0"/>
              <w:snapToGrid w:val="0"/>
              <w:spacing w:line="360" w:lineRule="auto"/>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①覆盖层剥离过程粉尘排放影响</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矿山覆盖层剥离采用挖掘设备，粉尘排放主要来自弃渣装载过程，另外，形成的裸露地表在风力作用下易产生风力扬尘，经采取对剥离作业面和弃渣装载过程适当洒水后，粉尘排放量将有所降低，影响范围和程度不大。</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②潜孔钻机粉尘排放影响</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FF0000"/>
                <w:sz w:val="24"/>
              </w:rPr>
              <w:t>露天采矿潜孔钻机在钻进过程中会有少量粉尘产生，</w:t>
            </w:r>
            <w:r>
              <w:rPr>
                <w:rFonts w:hint="eastAsia" w:hAnsiTheme="minorEastAsia" w:eastAsiaTheme="minorEastAsia"/>
                <w:color w:val="FF0000"/>
                <w:sz w:val="24"/>
                <w:lang w:val="en-US" w:eastAsia="zh-CN"/>
              </w:rPr>
              <w:t>采用洒水喷淋湿法作业处理</w:t>
            </w:r>
            <w:r>
              <w:rPr>
                <w:rFonts w:hint="eastAsia" w:hAnsiTheme="minorEastAsia" w:eastAsiaTheme="minorEastAsia"/>
                <w:color w:val="000000" w:themeColor="text1"/>
                <w:sz w:val="24"/>
                <w:lang w:val="en-US" w:eastAsia="zh-CN"/>
                <w14:textFill>
                  <w14:solidFill>
                    <w14:schemeClr w14:val="tx1"/>
                  </w14:solidFill>
                </w14:textFill>
              </w:rPr>
              <w:t>，</w:t>
            </w:r>
            <w:r>
              <w:rPr>
                <w:rFonts w:hAnsiTheme="minorEastAsia" w:eastAsiaTheme="minorEastAsia"/>
                <w:color w:val="000000" w:themeColor="text1"/>
                <w:sz w:val="24"/>
                <w14:textFill>
                  <w14:solidFill>
                    <w14:schemeClr w14:val="tx1"/>
                  </w14:solidFill>
                </w14:textFill>
              </w:rPr>
              <w:t>处理后颗粒物的排放浓度符合《大气污染物综合排放标准》（</w:t>
            </w:r>
            <w:r>
              <w:rPr>
                <w:rFonts w:eastAsiaTheme="minorEastAsia"/>
                <w:color w:val="000000" w:themeColor="text1"/>
                <w:sz w:val="24"/>
                <w14:textFill>
                  <w14:solidFill>
                    <w14:schemeClr w14:val="tx1"/>
                  </w14:solidFill>
                </w14:textFill>
              </w:rPr>
              <w:t>GB16297-1996</w:t>
            </w:r>
            <w:r>
              <w:rPr>
                <w:rFonts w:hAnsiTheme="minorEastAsia" w:eastAsiaTheme="minorEastAsia"/>
                <w:color w:val="000000" w:themeColor="text1"/>
                <w:sz w:val="24"/>
                <w14:textFill>
                  <w14:solidFill>
                    <w14:schemeClr w14:val="tx1"/>
                  </w14:solidFill>
                </w14:textFill>
              </w:rPr>
              <w:t>）中二级标准的排放限值，对周围环境空气的影响不大，其主要影响操作人员，评价要求操作人员应</w:t>
            </w:r>
            <w:r>
              <w:rPr>
                <w:rFonts w:hint="eastAsia" w:hAnsiTheme="minorEastAsia" w:eastAsiaTheme="minorEastAsia"/>
                <w:color w:val="000000" w:themeColor="text1"/>
                <w:sz w:val="24"/>
                <w:lang w:eastAsia="zh-CN"/>
                <w14:textFill>
                  <w14:solidFill>
                    <w14:schemeClr w14:val="tx1"/>
                  </w14:solidFill>
                </w14:textFill>
              </w:rPr>
              <w:t>佩戴</w:t>
            </w:r>
            <w:r>
              <w:rPr>
                <w:rFonts w:hAnsiTheme="minorEastAsia" w:eastAsiaTheme="minorEastAsia"/>
                <w:color w:val="000000" w:themeColor="text1"/>
                <w:sz w:val="24"/>
                <w14:textFill>
                  <w14:solidFill>
                    <w14:schemeClr w14:val="tx1"/>
                  </w14:solidFill>
                </w14:textFill>
              </w:rPr>
              <w:t>防尘口罩、防尘帽等防护用品，防护用品应具有</w:t>
            </w:r>
            <w:r>
              <w:rPr>
                <w:rFonts w:eastAsiaTheme="minorEastAsia"/>
                <w:color w:val="000000" w:themeColor="text1"/>
                <w:sz w:val="24"/>
                <w14:textFill>
                  <w14:solidFill>
                    <w14:schemeClr w14:val="tx1"/>
                  </w14:solidFill>
                </w14:textFill>
              </w:rPr>
              <w:t>“LA”</w:t>
            </w:r>
            <w:r>
              <w:rPr>
                <w:rFonts w:hAnsiTheme="minorEastAsia" w:eastAsiaTheme="minorEastAsia"/>
                <w:color w:val="000000" w:themeColor="text1"/>
                <w:sz w:val="24"/>
                <w14:textFill>
                  <w14:solidFill>
                    <w14:schemeClr w14:val="tx1"/>
                  </w14:solidFill>
                </w14:textFill>
              </w:rPr>
              <w:t>标志，质量与阻尘率应符合国家技术标准的要求，以保护钻机操作人员的身体健康。</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③采场爆破废气环境影响</w:t>
            </w:r>
          </w:p>
          <w:p>
            <w:pPr>
              <w:adjustRightInd w:val="0"/>
              <w:snapToGrid w:val="0"/>
              <w:spacing w:line="360" w:lineRule="auto"/>
              <w:ind w:firstLine="480" w:firstLineChars="200"/>
              <w:jc w:val="left"/>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本项目爆破产生粉尘</w:t>
            </w:r>
            <w:r>
              <w:rPr>
                <w:rFonts w:hint="eastAsia" w:eastAsiaTheme="minorEastAsia"/>
                <w:color w:val="000000" w:themeColor="text1"/>
                <w:sz w:val="24"/>
                <w:szCs w:val="24"/>
                <w14:textFill>
                  <w14:solidFill>
                    <w14:schemeClr w14:val="tx1"/>
                  </w14:solidFill>
                </w14:textFill>
              </w:rPr>
              <w:t>7.05</w:t>
            </w:r>
            <w:r>
              <w:rPr>
                <w:rFonts w:eastAsiaTheme="minorEastAsia"/>
                <w:color w:val="000000" w:themeColor="text1"/>
                <w:sz w:val="24"/>
                <w:szCs w:val="24"/>
                <w14:textFill>
                  <w14:solidFill>
                    <w14:schemeClr w14:val="tx1"/>
                  </w14:solidFill>
                </w14:textFill>
              </w:rPr>
              <w:t>t/a</w:t>
            </w:r>
            <w:r>
              <w:rPr>
                <w:rFonts w:hAnsiTheme="minorEastAsia" w:eastAsiaTheme="minorEastAsia"/>
                <w:color w:val="000000" w:themeColor="text1"/>
                <w:sz w:val="24"/>
                <w:szCs w:val="24"/>
                <w14:textFill>
                  <w14:solidFill>
                    <w14:schemeClr w14:val="tx1"/>
                  </w14:solidFill>
                </w14:textFill>
              </w:rPr>
              <w:t>，粒径</w:t>
            </w:r>
            <w:r>
              <w:rPr>
                <w:rFonts w:eastAsiaTheme="minorEastAsia"/>
                <w:color w:val="000000" w:themeColor="text1"/>
                <w:sz w:val="24"/>
                <w:szCs w:val="24"/>
                <w14:textFill>
                  <w14:solidFill>
                    <w14:schemeClr w14:val="tx1"/>
                  </w14:solidFill>
                </w14:textFill>
              </w:rPr>
              <w:t>&lt;10</w:t>
            </w:r>
            <w:r>
              <w:rPr>
                <w:rFonts w:eastAsiaTheme="minorEastAsia"/>
                <w:color w:val="000000" w:themeColor="text1"/>
                <w:sz w:val="24"/>
                <w:szCs w:val="24"/>
                <w14:textFill>
                  <w14:solidFill>
                    <w14:schemeClr w14:val="tx1"/>
                  </w14:solidFill>
                </w14:textFill>
              </w:rPr>
              <w:sym w:font="Symbol" w:char="F06D"/>
            </w:r>
            <w:r>
              <w:rPr>
                <w:rFonts w:eastAsiaTheme="minorEastAsia"/>
                <w:color w:val="000000" w:themeColor="text1"/>
                <w:sz w:val="24"/>
                <w:szCs w:val="24"/>
                <w14:textFill>
                  <w14:solidFill>
                    <w14:schemeClr w14:val="tx1"/>
                  </w14:solidFill>
                </w14:textFill>
              </w:rPr>
              <w:t>m</w:t>
            </w:r>
            <w:r>
              <w:rPr>
                <w:rFonts w:hAnsiTheme="minorEastAsia" w:eastAsiaTheme="minorEastAsia"/>
                <w:color w:val="000000" w:themeColor="text1"/>
                <w:sz w:val="24"/>
                <w:szCs w:val="24"/>
                <w14:textFill>
                  <w14:solidFill>
                    <w14:schemeClr w14:val="tx1"/>
                  </w14:solidFill>
                </w14:textFill>
              </w:rPr>
              <w:t>的飘尘产生量约</w:t>
            </w:r>
            <w:r>
              <w:rPr>
                <w:rFonts w:hint="eastAsia" w:eastAsiaTheme="minorEastAsia"/>
                <w:color w:val="000000" w:themeColor="text1"/>
                <w:sz w:val="24"/>
                <w:szCs w:val="24"/>
                <w14:textFill>
                  <w14:solidFill>
                    <w14:schemeClr w14:val="tx1"/>
                  </w14:solidFill>
                </w14:textFill>
              </w:rPr>
              <w:t>70.5</w:t>
            </w:r>
            <w:r>
              <w:rPr>
                <w:rFonts w:eastAsiaTheme="minorEastAsia"/>
                <w:color w:val="000000" w:themeColor="text1"/>
                <w:sz w:val="24"/>
                <w:szCs w:val="24"/>
                <w14:textFill>
                  <w14:solidFill>
                    <w14:schemeClr w14:val="tx1"/>
                  </w14:solidFill>
                </w14:textFill>
              </w:rPr>
              <w:t>kg/a</w:t>
            </w:r>
            <w:r>
              <w:rPr>
                <w:rFonts w:hAnsiTheme="minorEastAsia" w:eastAsiaTheme="minorEastAsia"/>
                <w:color w:val="000000" w:themeColor="text1"/>
                <w:sz w:val="24"/>
                <w:szCs w:val="24"/>
                <w14:textFill>
                  <w14:solidFill>
                    <w14:schemeClr w14:val="tx1"/>
                  </w14:solidFill>
                </w14:textFill>
              </w:rPr>
              <w:t>。根据以往爆破现场情况，由于爆破粉尘粒径较大，扩散范围有限，下风向影响距离一般在</w:t>
            </w:r>
            <w:r>
              <w:rPr>
                <w:rFonts w:eastAsiaTheme="minorEastAsia"/>
                <w:color w:val="000000" w:themeColor="text1"/>
                <w:sz w:val="24"/>
                <w:szCs w:val="24"/>
                <w14:textFill>
                  <w14:solidFill>
                    <w14:schemeClr w14:val="tx1"/>
                  </w14:solidFill>
                </w14:textFill>
              </w:rPr>
              <w:t>500m</w:t>
            </w:r>
            <w:r>
              <w:rPr>
                <w:rFonts w:hAnsiTheme="minorEastAsia" w:eastAsiaTheme="minorEastAsia"/>
                <w:color w:val="000000" w:themeColor="text1"/>
                <w:sz w:val="24"/>
                <w:szCs w:val="24"/>
                <w14:textFill>
                  <w14:solidFill>
                    <w14:schemeClr w14:val="tx1"/>
                  </w14:solidFill>
                </w14:textFill>
              </w:rPr>
              <w:t>以内，且随距离的增加粉尘浓度迅速下降。</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为防止粉尘污染，爆破后在爆破现场洒水以减少粉尘污染。另外，爆破粉尘量的大小与爆破装药量的多少、矿山地形、气象条件有关，设计将采用控制与减少装药量的方法进行。采取以上措施后，粉尘抑制率为</w:t>
            </w:r>
            <w:r>
              <w:rPr>
                <w:rFonts w:eastAsiaTheme="minorEastAsia"/>
                <w:color w:val="000000" w:themeColor="text1"/>
                <w:sz w:val="24"/>
                <w:szCs w:val="24"/>
                <w14:textFill>
                  <w14:solidFill>
                    <w14:schemeClr w14:val="tx1"/>
                  </w14:solidFill>
                </w14:textFill>
              </w:rPr>
              <w:t>90%</w:t>
            </w:r>
            <w:r>
              <w:rPr>
                <w:rFonts w:hAnsiTheme="minorEastAsia" w:eastAsiaTheme="minorEastAsia"/>
                <w:color w:val="000000" w:themeColor="text1"/>
                <w:sz w:val="24"/>
                <w:szCs w:val="24"/>
                <w14:textFill>
                  <w14:solidFill>
                    <w14:schemeClr w14:val="tx1"/>
                  </w14:solidFill>
                </w14:textFill>
              </w:rPr>
              <w:t>，爆破粉尘排放量为</w:t>
            </w:r>
            <w:r>
              <w:rPr>
                <w:rFonts w:hint="eastAsia" w:eastAsiaTheme="minorEastAsia"/>
                <w:color w:val="000000" w:themeColor="text1"/>
                <w:sz w:val="24"/>
                <w:szCs w:val="24"/>
                <w14:textFill>
                  <w14:solidFill>
                    <w14:schemeClr w14:val="tx1"/>
                  </w14:solidFill>
                </w14:textFill>
              </w:rPr>
              <w:t>7.05</w:t>
            </w:r>
            <w:r>
              <w:rPr>
                <w:rFonts w:eastAsiaTheme="minorEastAsia"/>
                <w:color w:val="000000" w:themeColor="text1"/>
                <w:sz w:val="24"/>
                <w:szCs w:val="24"/>
                <w14:textFill>
                  <w14:solidFill>
                    <w14:schemeClr w14:val="tx1"/>
                  </w14:solidFill>
                </w14:textFill>
              </w:rPr>
              <w:t>t/a</w:t>
            </w:r>
            <w:r>
              <w:rPr>
                <w:rFonts w:hAnsiTheme="minorEastAsia" w:eastAsiaTheme="minorEastAsia"/>
                <w:color w:val="000000" w:themeColor="text1"/>
                <w:sz w:val="24"/>
                <w:szCs w:val="24"/>
                <w14:textFill>
                  <w14:solidFill>
                    <w14:schemeClr w14:val="tx1"/>
                  </w14:solidFill>
                </w14:textFill>
              </w:rPr>
              <w:t>，排放量较少，对周围环境影响较小。</w:t>
            </w:r>
          </w:p>
          <w:p>
            <w:pPr>
              <w:adjustRightInd w:val="0"/>
              <w:snapToGrid w:val="0"/>
              <w:spacing w:line="360" w:lineRule="auto"/>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按照项目的炸药用量，污染物</w:t>
            </w:r>
            <w:r>
              <w:rPr>
                <w:rFonts w:eastAsiaTheme="minorEastAsia"/>
                <w:color w:val="000000" w:themeColor="text1"/>
                <w:sz w:val="24"/>
                <w14:textFill>
                  <w14:solidFill>
                    <w14:schemeClr w14:val="tx1"/>
                  </w14:solidFill>
                </w14:textFill>
              </w:rPr>
              <w:t>CO</w:t>
            </w:r>
            <w:r>
              <w:rPr>
                <w:rFonts w:hAnsiTheme="minorEastAsia" w:eastAsiaTheme="minorEastAsia"/>
                <w:color w:val="000000" w:themeColor="text1"/>
                <w:sz w:val="24"/>
                <w14:textFill>
                  <w14:solidFill>
                    <w14:schemeClr w14:val="tx1"/>
                  </w14:solidFill>
                </w14:textFill>
              </w:rPr>
              <w:t>量为</w:t>
            </w:r>
            <w:r>
              <w:rPr>
                <w:rFonts w:eastAsiaTheme="minorEastAsia"/>
                <w:color w:val="000000" w:themeColor="text1"/>
                <w:sz w:val="24"/>
                <w14:textFill>
                  <w14:solidFill>
                    <w14:schemeClr w14:val="tx1"/>
                  </w14:solidFill>
                </w14:textFill>
              </w:rPr>
              <w:t>0.</w:t>
            </w:r>
            <w:r>
              <w:rPr>
                <w:rFonts w:hint="eastAsia" w:eastAsiaTheme="minorEastAsia"/>
                <w:color w:val="000000" w:themeColor="text1"/>
                <w:sz w:val="24"/>
                <w14:textFill>
                  <w14:solidFill>
                    <w14:schemeClr w14:val="tx1"/>
                  </w14:solidFill>
                </w14:textFill>
              </w:rPr>
              <w:t>159</w:t>
            </w:r>
            <w:r>
              <w:rPr>
                <w:rFonts w:eastAsiaTheme="minorEastAsia"/>
                <w:color w:val="000000" w:themeColor="text1"/>
                <w:sz w:val="24"/>
                <w14:textFill>
                  <w14:solidFill>
                    <w14:schemeClr w14:val="tx1"/>
                  </w14:solidFill>
                </w14:textFill>
              </w:rPr>
              <w:t>t/a</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NO</w:t>
            </w:r>
            <w:r>
              <w:rPr>
                <w:rFonts w:eastAsiaTheme="minorEastAsia"/>
                <w:color w:val="000000" w:themeColor="text1"/>
                <w:sz w:val="24"/>
                <w:vertAlign w:val="subscript"/>
                <w14:textFill>
                  <w14:solidFill>
                    <w14:schemeClr w14:val="tx1"/>
                  </w14:solidFill>
                </w14:textFill>
              </w:rPr>
              <w:t>x</w:t>
            </w:r>
            <w:r>
              <w:rPr>
                <w:rFonts w:hAnsiTheme="minorEastAsia" w:eastAsiaTheme="minorEastAsia"/>
                <w:color w:val="000000" w:themeColor="text1"/>
                <w:sz w:val="24"/>
                <w14:textFill>
                  <w14:solidFill>
                    <w14:schemeClr w14:val="tx1"/>
                  </w14:solidFill>
                </w14:textFill>
              </w:rPr>
              <w:t>产生量</w:t>
            </w:r>
            <w:r>
              <w:rPr>
                <w:rFonts w:eastAsiaTheme="minorEastAsia"/>
                <w:color w:val="000000" w:themeColor="text1"/>
                <w:sz w:val="24"/>
                <w14:textFill>
                  <w14:solidFill>
                    <w14:schemeClr w14:val="tx1"/>
                  </w14:solidFill>
                </w14:textFill>
              </w:rPr>
              <w:t>0.</w:t>
            </w:r>
            <w:r>
              <w:rPr>
                <w:rFonts w:hint="eastAsia" w:eastAsiaTheme="minorEastAsia"/>
                <w:color w:val="000000" w:themeColor="text1"/>
                <w:sz w:val="24"/>
                <w14:textFill>
                  <w14:solidFill>
                    <w14:schemeClr w14:val="tx1"/>
                  </w14:solidFill>
                </w14:textFill>
              </w:rPr>
              <w:t>438</w:t>
            </w:r>
            <w:r>
              <w:rPr>
                <w:rFonts w:eastAsiaTheme="minorEastAsia"/>
                <w:color w:val="000000" w:themeColor="text1"/>
                <w:sz w:val="24"/>
                <w14:textFill>
                  <w14:solidFill>
                    <w14:schemeClr w14:val="tx1"/>
                  </w14:solidFill>
                </w14:textFill>
              </w:rPr>
              <w:t>t/a</w:t>
            </w:r>
            <w:r>
              <w:rPr>
                <w:rFonts w:hAnsiTheme="minorEastAsia" w:eastAsiaTheme="minorEastAsia"/>
                <w:color w:val="000000" w:themeColor="text1"/>
                <w:sz w:val="24"/>
                <w14:textFill>
                  <w14:solidFill>
                    <w14:schemeClr w14:val="tx1"/>
                  </w14:solidFill>
                </w14:textFill>
              </w:rPr>
              <w:t>。目前尚无适当的治理措施，操作人员可通过防毒面具吸收或暂时</w:t>
            </w:r>
            <w:r>
              <w:rPr>
                <w:rFonts w:hint="eastAsia" w:hAnsiTheme="minorEastAsia" w:eastAsiaTheme="minorEastAsia"/>
                <w:color w:val="000000" w:themeColor="text1"/>
                <w:sz w:val="24"/>
                <w:lang w:eastAsia="zh-CN"/>
                <w14:textFill>
                  <w14:solidFill>
                    <w14:schemeClr w14:val="tx1"/>
                  </w14:solidFill>
                </w14:textFill>
              </w:rPr>
              <w:t>撤离</w:t>
            </w:r>
            <w:r>
              <w:rPr>
                <w:rFonts w:hAnsiTheme="minorEastAsia" w:eastAsiaTheme="minorEastAsia"/>
                <w:color w:val="000000" w:themeColor="text1"/>
                <w:sz w:val="24"/>
                <w14:textFill>
                  <w14:solidFill>
                    <w14:schemeClr w14:val="tx1"/>
                  </w14:solidFill>
                </w14:textFill>
              </w:rPr>
              <w:t>爆破现场的办法解决，另外选择大气扩散条件较好的时间进行爆破，有助于废气尽快扩散，对周围环境</w:t>
            </w:r>
            <w:r>
              <w:rPr>
                <w:rFonts w:hint="default" w:ascii="Times New Roman" w:hAnsi="Times New Roman" w:cs="Times New Roman" w:eastAsiaTheme="minorEastAsia"/>
                <w:color w:val="000000" w:themeColor="text1"/>
                <w:sz w:val="24"/>
                <w14:textFill>
                  <w14:solidFill>
                    <w14:schemeClr w14:val="tx1"/>
                  </w14:solidFill>
                </w14:textFill>
              </w:rPr>
              <w:t>的影响较小。</w:t>
            </w:r>
          </w:p>
          <w:p>
            <w:pPr>
              <w:adjustRightInd w:val="0"/>
              <w:snapToGrid w:val="0"/>
              <w:spacing w:line="360" w:lineRule="auto"/>
              <w:ind w:firstLine="480" w:firstLineChars="200"/>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④工作平台粉尘排放影响</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开采过程中</w:t>
            </w:r>
            <w:r>
              <w:rPr>
                <w:rFonts w:hAnsiTheme="minorEastAsia" w:eastAsiaTheme="minorEastAsia"/>
                <w:color w:val="000000" w:themeColor="text1"/>
                <w:sz w:val="24"/>
                <w14:textFill>
                  <w14:solidFill>
                    <w14:schemeClr w14:val="tx1"/>
                  </w14:solidFill>
                </w14:textFill>
              </w:rPr>
              <w:t>采矿工作平台会残留碎石，若不及时清理会造成风力扬尘，同时清渣过程中物料装载也会产生粉尘，会对附近区域环境空气产生一定的影响，但由于有山体阻隔，加之，评价要求，对采矿工作平台应及时进行清理，并洒水防尘，物料装载时首先洒水增湿，同时尽量降低物料落差高度，以减少粉尘飞扬。经采取措施后，粉尘对周围敏感点及空气环境影响较小。</w:t>
            </w:r>
          </w:p>
          <w:p>
            <w:pPr>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AnsiTheme="minorEastAsia" w:eastAsiaTheme="minorEastAsia"/>
                <w:color w:val="000000" w:themeColor="text1"/>
                <w:sz w:val="24"/>
                <w14:textFill>
                  <w14:solidFill>
                    <w14:schemeClr w14:val="tx1"/>
                  </w14:solidFill>
                </w14:textFill>
              </w:rPr>
              <w:t>）石料加工区粉尘排放影响</w:t>
            </w:r>
          </w:p>
          <w:p>
            <w:pPr>
              <w:adjustRightInd w:val="0"/>
              <w:snapToGrid w:val="0"/>
              <w:spacing w:line="360" w:lineRule="auto"/>
              <w:ind w:firstLine="480" w:firstLineChars="200"/>
              <w:jc w:val="left"/>
              <w:rPr>
                <w:rFonts w:hAnsiTheme="minorEastAsia"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本项目喂料工序，破碎、筛分工段中粉尘总产生量为</w:t>
            </w:r>
            <w:r>
              <w:rPr>
                <w:rFonts w:hint="eastAsia" w:hAnsiTheme="minorEastAsia" w:eastAsiaTheme="minorEastAsia"/>
                <w:color w:val="000000" w:themeColor="text1"/>
                <w:sz w:val="24"/>
                <w:szCs w:val="24"/>
                <w:lang w:val="en-US" w:eastAsia="zh-CN"/>
                <w14:textFill>
                  <w14:solidFill>
                    <w14:schemeClr w14:val="tx1"/>
                  </w14:solidFill>
                </w14:textFill>
              </w:rPr>
              <w:t>831.6</w:t>
            </w:r>
            <w:r>
              <w:rPr>
                <w:rFonts w:hAnsiTheme="minorEastAsia" w:eastAsiaTheme="minorEastAsia"/>
                <w:color w:val="000000" w:themeColor="text1"/>
                <w:sz w:val="24"/>
                <w:szCs w:val="24"/>
                <w14:textFill>
                  <w14:solidFill>
                    <w14:schemeClr w14:val="tx1"/>
                  </w14:solidFill>
                </w14:textFill>
              </w:rPr>
              <w:t>t/a。</w:t>
            </w:r>
          </w:p>
          <w:p>
            <w:pPr>
              <w:adjustRightInd w:val="0"/>
              <w:snapToGrid w:val="0"/>
              <w:spacing w:line="360" w:lineRule="auto"/>
              <w:ind w:firstLine="480" w:firstLineChars="200"/>
              <w:jc w:val="left"/>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评价要求：</w:t>
            </w:r>
          </w:p>
          <w:p>
            <w:pPr>
              <w:adjustRightInd w:val="0"/>
              <w:snapToGrid w:val="0"/>
              <w:spacing w:line="360" w:lineRule="auto"/>
              <w:ind w:firstLine="480" w:firstLineChars="200"/>
              <w:jc w:val="left"/>
              <w:rPr>
                <w:rFonts w:eastAsiaTheme="minorEastAsia"/>
                <w:color w:val="auto"/>
                <w:sz w:val="24"/>
                <w:szCs w:val="24"/>
              </w:rPr>
            </w:pPr>
            <w:r>
              <w:rPr>
                <w:rFonts w:hAnsiTheme="minorEastAsia" w:eastAsiaTheme="minorEastAsia"/>
                <w:color w:val="auto"/>
                <w:sz w:val="24"/>
                <w:szCs w:val="24"/>
              </w:rPr>
              <w:t>Ⅰ、对生产线的料仓喂料口建设半封闭式彩钢棚，破碎机及筛分机采用单体彩钢板箱体密闭，密闭箱体留有进料、出料口，并在进出料口安装洒水器</w:t>
            </w:r>
            <w:r>
              <w:rPr>
                <w:rFonts w:hint="eastAsia" w:hAnsiTheme="minorEastAsia" w:eastAsiaTheme="minorEastAsia"/>
                <w:color w:val="auto"/>
                <w:sz w:val="24"/>
                <w:szCs w:val="24"/>
              </w:rPr>
              <w:t>，</w:t>
            </w:r>
            <w:r>
              <w:rPr>
                <w:rFonts w:hAnsiTheme="minorEastAsia" w:eastAsiaTheme="minorEastAsia"/>
                <w:color w:val="auto"/>
                <w:sz w:val="24"/>
                <w:szCs w:val="24"/>
              </w:rPr>
              <w:t>输送带及设备与输送带衔接处均密闭处理。</w:t>
            </w:r>
          </w:p>
          <w:p>
            <w:pPr>
              <w:adjustRightInd w:val="0"/>
              <w:snapToGrid w:val="0"/>
              <w:spacing w:line="360" w:lineRule="auto"/>
              <w:ind w:firstLine="480" w:firstLineChars="200"/>
              <w:jc w:val="left"/>
              <w:rPr>
                <w:rFonts w:hint="default" w:ascii="Times New Roman" w:hAnsi="Times New Roman" w:cs="Times New Roman" w:eastAsiaTheme="minorEastAsia"/>
                <w:color w:val="auto"/>
                <w:sz w:val="24"/>
                <w:szCs w:val="24"/>
              </w:rPr>
            </w:pPr>
            <w:r>
              <w:rPr>
                <w:rFonts w:hAnsiTheme="minorEastAsia" w:eastAsiaTheme="minorEastAsia"/>
                <w:color w:val="auto"/>
                <w:sz w:val="24"/>
                <w:szCs w:val="24"/>
              </w:rPr>
              <w:t>Ⅱ、生产线设备一级破碎出料口安装喷雾洒水装置，并顶部设一套密闭集气罩收集粉尘</w:t>
            </w:r>
            <w:r>
              <w:rPr>
                <w:rFonts w:hint="eastAsia" w:hAnsiTheme="minorEastAsia" w:eastAsiaTheme="minorEastAsia"/>
                <w:color w:val="auto"/>
                <w:sz w:val="24"/>
                <w:szCs w:val="24"/>
                <w:lang w:eastAsia="zh-CN"/>
              </w:rPr>
              <w:t>，</w:t>
            </w:r>
            <w:r>
              <w:rPr>
                <w:rFonts w:hAnsiTheme="minorEastAsia" w:eastAsiaTheme="minorEastAsia"/>
                <w:color w:val="auto"/>
                <w:sz w:val="24"/>
                <w:szCs w:val="24"/>
              </w:rPr>
              <w:t>净化后的气体排放。生产线设备二级破</w:t>
            </w:r>
            <w:r>
              <w:rPr>
                <w:rFonts w:hint="default" w:ascii="Times New Roman" w:hAnsi="Times New Roman" w:cs="Times New Roman" w:eastAsiaTheme="minorEastAsia"/>
                <w:color w:val="auto"/>
                <w:sz w:val="24"/>
                <w:szCs w:val="24"/>
              </w:rPr>
              <w:t>碎和振动筛</w:t>
            </w:r>
            <w:r>
              <w:rPr>
                <w:rFonts w:hint="eastAsia" w:cs="Times New Roman" w:eastAsiaTheme="minorEastAsia"/>
                <w:color w:val="auto"/>
                <w:sz w:val="24"/>
                <w:szCs w:val="24"/>
                <w:lang w:val="en-US" w:eastAsia="zh-CN"/>
              </w:rPr>
              <w:t>设置全封闭车间，并在顶部设置喷淋装置抑尘</w:t>
            </w:r>
            <w:r>
              <w:rPr>
                <w:rFonts w:hint="default" w:ascii="Times New Roman" w:hAnsi="Times New Roman" w:cs="Times New Roman" w:eastAsiaTheme="minorEastAsia"/>
                <w:color w:val="auto"/>
                <w:sz w:val="24"/>
                <w:szCs w:val="24"/>
              </w:rPr>
              <w:t>处理。</w:t>
            </w:r>
          </w:p>
          <w:p>
            <w:pPr>
              <w:pStyle w:val="18"/>
              <w:adjustRightInd w:val="0"/>
              <w:snapToGrid w:val="0"/>
              <w:spacing w:line="360" w:lineRule="auto"/>
              <w:ind w:firstLine="480"/>
              <w:jc w:val="left"/>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Ⅲ、</w:t>
            </w:r>
            <w:r>
              <w:rPr>
                <w:rFonts w:hint="default" w:ascii="Times New Roman" w:hAnsi="Times New Roman" w:cs="Times New Roman" w:eastAsiaTheme="minorEastAsia"/>
                <w:color w:val="000000" w:themeColor="text1"/>
                <w:sz w:val="24"/>
                <w14:textFill>
                  <w14:solidFill>
                    <w14:schemeClr w14:val="tx1"/>
                  </w14:solidFill>
                </w14:textFill>
              </w:rPr>
              <w:t>在车间进出口定期洒水降尘。</w:t>
            </w:r>
          </w:p>
          <w:p>
            <w:pPr>
              <w:adjustRightInd w:val="0"/>
              <w:snapToGrid w:val="0"/>
              <w:spacing w:line="360" w:lineRule="auto"/>
              <w:ind w:firstLine="480" w:firstLineChars="200"/>
              <w:jc w:val="left"/>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经过以上环保措施处理后，本项目喂料、破碎、筛分工段各污染物产排情况见表2</w:t>
            </w:r>
            <w:r>
              <w:rPr>
                <w:rFonts w:hint="eastAsia"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14:textFill>
                  <w14:solidFill>
                    <w14:schemeClr w14:val="tx1"/>
                  </w14:solidFill>
                </w14:textFill>
              </w:rPr>
              <w:t>。</w:t>
            </w:r>
          </w:p>
          <w:p>
            <w:pPr>
              <w:adjustRightInd w:val="0"/>
              <w:snapToGrid w:val="0"/>
              <w:ind w:firstLine="422" w:firstLineChars="200"/>
              <w:jc w:val="center"/>
              <w:rPr>
                <w:rFonts w:eastAsiaTheme="minorEastAsia"/>
                <w:b/>
                <w:color w:val="auto"/>
                <w:szCs w:val="21"/>
              </w:rPr>
            </w:pPr>
            <w:r>
              <w:rPr>
                <w:rFonts w:hAnsiTheme="minorEastAsia" w:eastAsiaTheme="minorEastAsia"/>
                <w:b/>
                <w:color w:val="auto"/>
                <w:szCs w:val="21"/>
              </w:rPr>
              <w:t>表</w:t>
            </w:r>
            <w:r>
              <w:rPr>
                <w:rFonts w:hint="eastAsia" w:eastAsiaTheme="minorEastAsia"/>
                <w:b/>
                <w:color w:val="auto"/>
                <w:szCs w:val="21"/>
              </w:rPr>
              <w:t>2</w:t>
            </w:r>
            <w:r>
              <w:rPr>
                <w:rFonts w:hint="eastAsia" w:eastAsiaTheme="minorEastAsia"/>
                <w:b/>
                <w:color w:val="auto"/>
                <w:szCs w:val="21"/>
                <w:lang w:val="en-US" w:eastAsia="zh-CN"/>
              </w:rPr>
              <w:t>7</w:t>
            </w:r>
            <w:r>
              <w:rPr>
                <w:rFonts w:hint="eastAsia" w:eastAsiaTheme="minorEastAsia"/>
                <w:b/>
                <w:color w:val="auto"/>
                <w:szCs w:val="21"/>
              </w:rPr>
              <w:t xml:space="preserve"> </w:t>
            </w:r>
            <w:r>
              <w:rPr>
                <w:rFonts w:hAnsiTheme="minorEastAsia" w:eastAsiaTheme="minorEastAsia"/>
                <w:b/>
                <w:color w:val="auto"/>
                <w:szCs w:val="21"/>
              </w:rPr>
              <w:t>项目喂料、破碎、筛分工段粉尘产排情况表</w:t>
            </w:r>
          </w:p>
          <w:tbl>
            <w:tblPr>
              <w:tblStyle w:val="1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15"/>
              <w:gridCol w:w="855"/>
              <w:gridCol w:w="805"/>
              <w:gridCol w:w="1319"/>
              <w:gridCol w:w="970"/>
              <w:gridCol w:w="1072"/>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6" w:type="dxa"/>
                  <w:vMerge w:val="restart"/>
                  <w:vAlign w:val="center"/>
                </w:tcPr>
                <w:p>
                  <w:pPr>
                    <w:adjustRightInd w:val="0"/>
                    <w:snapToGrid w:val="0"/>
                    <w:jc w:val="center"/>
                    <w:rPr>
                      <w:rFonts w:hAnsiTheme="minorEastAsia" w:eastAsiaTheme="minorEastAsia"/>
                      <w:bCs/>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工序名称</w:t>
                  </w:r>
                </w:p>
              </w:tc>
              <w:tc>
                <w:tcPr>
                  <w:tcW w:w="815" w:type="dxa"/>
                  <w:vMerge w:val="restart"/>
                  <w:vAlign w:val="center"/>
                </w:tcPr>
                <w:p>
                  <w:pPr>
                    <w:adjustRightInd w:val="0"/>
                    <w:snapToGrid w:val="0"/>
                    <w:jc w:val="center"/>
                    <w:rPr>
                      <w:rFonts w:eastAsiaTheme="minorEastAsia"/>
                      <w:b/>
                      <w:bCs/>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产尘量</w:t>
                  </w:r>
                </w:p>
                <w:p>
                  <w:pPr>
                    <w:adjustRightInd w:val="0"/>
                    <w:snapToGrid w:val="0"/>
                    <w:jc w:val="center"/>
                    <w:rPr>
                      <w:rFonts w:eastAsiaTheme="minorEastAsia"/>
                      <w:bCs/>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w:t>
                  </w:r>
                  <w:r>
                    <w:rPr>
                      <w:rFonts w:eastAsiaTheme="minorEastAsia"/>
                      <w:b/>
                      <w:bCs/>
                      <w:color w:val="000000" w:themeColor="text1"/>
                      <w:szCs w:val="21"/>
                      <w14:textFill>
                        <w14:solidFill>
                          <w14:schemeClr w14:val="tx1"/>
                        </w14:solidFill>
                      </w14:textFill>
                    </w:rPr>
                    <w:t>t/a</w:t>
                  </w:r>
                  <w:r>
                    <w:rPr>
                      <w:rFonts w:hAnsiTheme="minorEastAsia" w:eastAsiaTheme="minorEastAsia"/>
                      <w:b/>
                      <w:bCs/>
                      <w:color w:val="000000" w:themeColor="text1"/>
                      <w:szCs w:val="21"/>
                      <w14:textFill>
                        <w14:solidFill>
                          <w14:schemeClr w14:val="tx1"/>
                        </w14:solidFill>
                      </w14:textFill>
                    </w:rPr>
                    <w:t>）</w:t>
                  </w:r>
                </w:p>
              </w:tc>
              <w:tc>
                <w:tcPr>
                  <w:tcW w:w="855" w:type="dxa"/>
                  <w:vMerge w:val="restart"/>
                  <w:vAlign w:val="center"/>
                </w:tcPr>
                <w:p>
                  <w:pPr>
                    <w:adjustRightInd w:val="0"/>
                    <w:snapToGrid w:val="0"/>
                    <w:jc w:val="center"/>
                    <w:rPr>
                      <w:rFonts w:eastAsiaTheme="minorEastAsia"/>
                      <w:bCs/>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洒水降尘效率</w:t>
                  </w:r>
                </w:p>
              </w:tc>
              <w:tc>
                <w:tcPr>
                  <w:tcW w:w="805" w:type="dxa"/>
                  <w:vMerge w:val="restart"/>
                  <w:vAlign w:val="center"/>
                </w:tcPr>
                <w:p>
                  <w:pPr>
                    <w:adjustRightInd w:val="0"/>
                    <w:snapToGrid w:val="0"/>
                    <w:jc w:val="center"/>
                    <w:rPr>
                      <w:rFonts w:eastAsiaTheme="minorEastAsia"/>
                      <w:b/>
                      <w:bCs/>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排放</w:t>
                  </w:r>
                </w:p>
                <w:p>
                  <w:pPr>
                    <w:adjustRightInd w:val="0"/>
                    <w:snapToGrid w:val="0"/>
                    <w:jc w:val="center"/>
                    <w:rPr>
                      <w:rFonts w:hAnsiTheme="minorEastAsia" w:eastAsiaTheme="minorEastAsia"/>
                      <w:bCs/>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规律</w:t>
                  </w:r>
                </w:p>
              </w:tc>
              <w:tc>
                <w:tcPr>
                  <w:tcW w:w="4291" w:type="dxa"/>
                  <w:gridSpan w:val="4"/>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6" w:type="dxa"/>
                  <w:vMerge w:val="continue"/>
                  <w:vAlign w:val="center"/>
                </w:tcPr>
                <w:p>
                  <w:pPr>
                    <w:adjustRightInd w:val="0"/>
                    <w:snapToGrid w:val="0"/>
                    <w:jc w:val="center"/>
                    <w:rPr>
                      <w:rFonts w:hAnsiTheme="minorEastAsia" w:eastAsiaTheme="minorEastAsia"/>
                      <w:bCs/>
                      <w:color w:val="000000" w:themeColor="text1"/>
                      <w:szCs w:val="21"/>
                      <w14:textFill>
                        <w14:solidFill>
                          <w14:schemeClr w14:val="tx1"/>
                        </w14:solidFill>
                      </w14:textFill>
                    </w:rPr>
                  </w:pPr>
                </w:p>
              </w:tc>
              <w:tc>
                <w:tcPr>
                  <w:tcW w:w="815" w:type="dxa"/>
                  <w:vMerge w:val="continue"/>
                  <w:vAlign w:val="center"/>
                </w:tcPr>
                <w:p>
                  <w:pPr>
                    <w:adjustRightInd w:val="0"/>
                    <w:snapToGrid w:val="0"/>
                    <w:jc w:val="center"/>
                    <w:rPr>
                      <w:rFonts w:eastAsiaTheme="minorEastAsia"/>
                      <w:bCs/>
                      <w:color w:val="000000" w:themeColor="text1"/>
                      <w:szCs w:val="21"/>
                      <w14:textFill>
                        <w14:solidFill>
                          <w14:schemeClr w14:val="tx1"/>
                        </w14:solidFill>
                      </w14:textFill>
                    </w:rPr>
                  </w:pPr>
                </w:p>
              </w:tc>
              <w:tc>
                <w:tcPr>
                  <w:tcW w:w="855" w:type="dxa"/>
                  <w:vMerge w:val="continue"/>
                  <w:vAlign w:val="center"/>
                </w:tcPr>
                <w:p>
                  <w:pPr>
                    <w:adjustRightInd w:val="0"/>
                    <w:snapToGrid w:val="0"/>
                    <w:jc w:val="center"/>
                    <w:rPr>
                      <w:rFonts w:eastAsiaTheme="minorEastAsia"/>
                      <w:bCs/>
                      <w:color w:val="000000" w:themeColor="text1"/>
                      <w:szCs w:val="21"/>
                      <w14:textFill>
                        <w14:solidFill>
                          <w14:schemeClr w14:val="tx1"/>
                        </w14:solidFill>
                      </w14:textFill>
                    </w:rPr>
                  </w:pPr>
                </w:p>
              </w:tc>
              <w:tc>
                <w:tcPr>
                  <w:tcW w:w="805" w:type="dxa"/>
                  <w:vMerge w:val="continue"/>
                  <w:vAlign w:val="center"/>
                </w:tcPr>
                <w:p>
                  <w:pPr>
                    <w:adjustRightInd w:val="0"/>
                    <w:snapToGrid w:val="0"/>
                    <w:jc w:val="center"/>
                    <w:rPr>
                      <w:rFonts w:hAnsiTheme="minorEastAsia" w:eastAsiaTheme="minorEastAsia"/>
                      <w:bCs/>
                      <w:color w:val="000000" w:themeColor="text1"/>
                      <w:szCs w:val="21"/>
                      <w14:textFill>
                        <w14:solidFill>
                          <w14:schemeClr w14:val="tx1"/>
                        </w14:solidFill>
                      </w14:textFill>
                    </w:rPr>
                  </w:pPr>
                </w:p>
              </w:tc>
              <w:tc>
                <w:tcPr>
                  <w:tcW w:w="1319" w:type="dxa"/>
                  <w:vAlign w:val="center"/>
                </w:tcPr>
                <w:p>
                  <w:pPr>
                    <w:adjustRightInd w:val="0"/>
                    <w:snapToGrid w:val="0"/>
                    <w:jc w:val="center"/>
                    <w:rPr>
                      <w:rFonts w:hAnsiTheme="minorEastAsia" w:eastAsiaTheme="minorEastAsia"/>
                      <w:bCs/>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名称</w:t>
                  </w:r>
                </w:p>
              </w:tc>
              <w:tc>
                <w:tcPr>
                  <w:tcW w:w="970" w:type="dxa"/>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产生量（</w:t>
                  </w:r>
                  <w:r>
                    <w:rPr>
                      <w:rFonts w:eastAsiaTheme="minorEastAsia"/>
                      <w:b/>
                      <w:bCs/>
                      <w:color w:val="000000" w:themeColor="text1"/>
                      <w:szCs w:val="21"/>
                      <w14:textFill>
                        <w14:solidFill>
                          <w14:schemeClr w14:val="tx1"/>
                        </w14:solidFill>
                      </w14:textFill>
                    </w:rPr>
                    <w:t>t/a</w:t>
                  </w:r>
                  <w:r>
                    <w:rPr>
                      <w:rFonts w:hAnsiTheme="minorEastAsia" w:eastAsiaTheme="minorEastAsia"/>
                      <w:b/>
                      <w:bCs/>
                      <w:color w:val="000000" w:themeColor="text1"/>
                      <w:szCs w:val="21"/>
                      <w14:textFill>
                        <w14:solidFill>
                          <w14:schemeClr w14:val="tx1"/>
                        </w14:solidFill>
                      </w14:textFill>
                    </w:rPr>
                    <w:t>）</w:t>
                  </w:r>
                </w:p>
              </w:tc>
              <w:tc>
                <w:tcPr>
                  <w:tcW w:w="107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hAnsiTheme="minorEastAsia" w:eastAsiaTheme="minorEastAsia"/>
                      <w:b/>
                      <w:bCs/>
                      <w:color w:val="000000" w:themeColor="text1"/>
                      <w:szCs w:val="21"/>
                      <w14:textFill>
                        <w14:solidFill>
                          <w14:schemeClr w14:val="tx1"/>
                        </w14:solidFill>
                      </w14:textFill>
                    </w:rPr>
                    <w:t>处理效率</w:t>
                  </w:r>
                </w:p>
              </w:tc>
              <w:tc>
                <w:tcPr>
                  <w:tcW w:w="930" w:type="dxa"/>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排放量（</w:t>
                  </w:r>
                  <w:r>
                    <w:rPr>
                      <w:rFonts w:eastAsiaTheme="minorEastAsia"/>
                      <w:b/>
                      <w:bCs/>
                      <w:color w:val="000000" w:themeColor="text1"/>
                      <w:szCs w:val="21"/>
                      <w14:textFill>
                        <w14:solidFill>
                          <w14:schemeClr w14:val="tx1"/>
                        </w14:solidFill>
                      </w14:textFill>
                    </w:rPr>
                    <w:t>t/a</w:t>
                  </w:r>
                  <w:r>
                    <w:rPr>
                      <w:rFonts w:hAnsiTheme="minorEastAsia" w:eastAsiaTheme="minorEastAsia"/>
                      <w:b/>
                      <w:bCs/>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6" w:type="dxa"/>
                  <w:vAlign w:val="center"/>
                </w:tcPr>
                <w:p>
                  <w:pPr>
                    <w:adjustRightInd w:val="0"/>
                    <w:snapToGrid w:val="0"/>
                    <w:jc w:val="center"/>
                    <w:rPr>
                      <w:rFonts w:hint="default" w:eastAsiaTheme="minorEastAsia"/>
                      <w:bCs/>
                      <w:color w:val="000000" w:themeColor="text1"/>
                      <w:szCs w:val="21"/>
                      <w:lang w:val="en-US" w:eastAsia="zh-CN"/>
                      <w14:textFill>
                        <w14:solidFill>
                          <w14:schemeClr w14:val="tx1"/>
                        </w14:solidFill>
                      </w14:textFill>
                    </w:rPr>
                  </w:pPr>
                  <w:r>
                    <w:rPr>
                      <w:rFonts w:hAnsiTheme="minorEastAsia" w:eastAsiaTheme="minorEastAsia"/>
                      <w:bCs/>
                      <w:color w:val="000000" w:themeColor="text1"/>
                      <w:szCs w:val="21"/>
                      <w14:textFill>
                        <w14:solidFill>
                          <w14:schemeClr w14:val="tx1"/>
                        </w14:solidFill>
                      </w14:textFill>
                    </w:rPr>
                    <w:t>破碎</w:t>
                  </w:r>
                  <w:r>
                    <w:rPr>
                      <w:rFonts w:hint="eastAsia" w:hAnsiTheme="minorEastAsia" w:eastAsiaTheme="minorEastAsia"/>
                      <w:bCs/>
                      <w:color w:val="000000" w:themeColor="text1"/>
                      <w:szCs w:val="21"/>
                      <w:lang w:eastAsia="zh-CN"/>
                      <w14:textFill>
                        <w14:solidFill>
                          <w14:schemeClr w14:val="tx1"/>
                        </w14:solidFill>
                      </w14:textFill>
                    </w:rPr>
                    <w:t>、</w:t>
                  </w:r>
                  <w:r>
                    <w:rPr>
                      <w:rFonts w:hint="eastAsia" w:hAnsiTheme="minorEastAsia" w:eastAsiaTheme="minorEastAsia"/>
                      <w:bCs/>
                      <w:color w:val="000000" w:themeColor="text1"/>
                      <w:szCs w:val="21"/>
                      <w:lang w:val="en-US" w:eastAsia="zh-CN"/>
                      <w14:textFill>
                        <w14:solidFill>
                          <w14:schemeClr w14:val="tx1"/>
                        </w14:solidFill>
                      </w14:textFill>
                    </w:rPr>
                    <w:t>筛分</w:t>
                  </w:r>
                </w:p>
              </w:tc>
              <w:tc>
                <w:tcPr>
                  <w:tcW w:w="815" w:type="dxa"/>
                  <w:vAlign w:val="center"/>
                </w:tcPr>
                <w:p>
                  <w:pPr>
                    <w:adjustRightInd w:val="0"/>
                    <w:snapToGrid w:val="0"/>
                    <w:jc w:val="center"/>
                    <w:rPr>
                      <w:rFonts w:hint="default" w:eastAsiaTheme="minorEastAsia"/>
                      <w:bCs/>
                      <w:color w:val="000000" w:themeColor="text1"/>
                      <w:szCs w:val="21"/>
                      <w:lang w:val="en-US" w:eastAsia="zh-CN"/>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831.6</w:t>
                  </w:r>
                </w:p>
              </w:tc>
              <w:tc>
                <w:tcPr>
                  <w:tcW w:w="855" w:type="dxa"/>
                  <w:vAlign w:val="center"/>
                </w:tcPr>
                <w:p>
                  <w:pPr>
                    <w:adjustRightInd w:val="0"/>
                    <w:snapToGrid w:val="0"/>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74</w:t>
                  </w:r>
                  <w:r>
                    <w:rPr>
                      <w:rFonts w:eastAsiaTheme="minorEastAsia"/>
                      <w:bCs/>
                      <w:color w:val="000000" w:themeColor="text1"/>
                      <w:szCs w:val="21"/>
                      <w14:textFill>
                        <w14:solidFill>
                          <w14:schemeClr w14:val="tx1"/>
                        </w14:solidFill>
                      </w14:textFill>
                    </w:rPr>
                    <w:t>%</w:t>
                  </w:r>
                </w:p>
              </w:tc>
              <w:tc>
                <w:tcPr>
                  <w:tcW w:w="805" w:type="dxa"/>
                  <w:vAlign w:val="center"/>
                </w:tcPr>
                <w:p>
                  <w:pPr>
                    <w:adjustRightInd w:val="0"/>
                    <w:snapToGrid w:val="0"/>
                    <w:jc w:val="center"/>
                    <w:rPr>
                      <w:rFonts w:eastAsiaTheme="minorEastAsia"/>
                      <w:bCs/>
                      <w:color w:val="000000" w:themeColor="text1"/>
                      <w:szCs w:val="21"/>
                      <w14:textFill>
                        <w14:solidFill>
                          <w14:schemeClr w14:val="tx1"/>
                        </w14:solidFill>
                      </w14:textFill>
                    </w:rPr>
                  </w:pPr>
                  <w:r>
                    <w:rPr>
                      <w:rFonts w:hAnsiTheme="minorEastAsia" w:eastAsiaTheme="minorEastAsia"/>
                      <w:bCs/>
                      <w:color w:val="000000" w:themeColor="text1"/>
                      <w:szCs w:val="21"/>
                      <w14:textFill>
                        <w14:solidFill>
                          <w14:schemeClr w14:val="tx1"/>
                        </w14:solidFill>
                      </w14:textFill>
                    </w:rPr>
                    <w:t>连续</w:t>
                  </w:r>
                </w:p>
              </w:tc>
              <w:tc>
                <w:tcPr>
                  <w:tcW w:w="1319" w:type="dxa"/>
                  <w:vAlign w:val="center"/>
                </w:tcPr>
                <w:p>
                  <w:pPr>
                    <w:adjustRightInd w:val="0"/>
                    <w:snapToGrid w:val="0"/>
                    <w:jc w:val="center"/>
                    <w:rPr>
                      <w:rFonts w:hint="default" w:eastAsiaTheme="minorEastAsia"/>
                      <w:bCs/>
                      <w:color w:val="000000" w:themeColor="text1"/>
                      <w:szCs w:val="21"/>
                      <w:lang w:val="en-US" w:eastAsia="zh-CN"/>
                      <w14:textFill>
                        <w14:solidFill>
                          <w14:schemeClr w14:val="tx1"/>
                        </w14:solidFill>
                      </w14:textFill>
                    </w:rPr>
                  </w:pPr>
                  <w:r>
                    <w:rPr>
                      <w:rFonts w:hint="eastAsia" w:hAnsiTheme="minorEastAsia" w:eastAsiaTheme="minorEastAsia"/>
                      <w:bCs/>
                      <w:color w:val="000000" w:themeColor="text1"/>
                      <w:szCs w:val="21"/>
                      <w:lang w:val="en-US" w:eastAsia="zh-CN"/>
                      <w14:textFill>
                        <w14:solidFill>
                          <w14:schemeClr w14:val="tx1"/>
                        </w14:solidFill>
                      </w14:textFill>
                    </w:rPr>
                    <w:t>全封闭车间、顶部设置喷淋装置</w:t>
                  </w:r>
                </w:p>
              </w:tc>
              <w:tc>
                <w:tcPr>
                  <w:tcW w:w="970" w:type="dxa"/>
                  <w:vAlign w:val="center"/>
                </w:tcPr>
                <w:p>
                  <w:pPr>
                    <w:jc w:val="center"/>
                    <w:rPr>
                      <w:rFonts w:hint="default" w:eastAsiaTheme="minorEastAsia"/>
                      <w:color w:val="auto"/>
                      <w:szCs w:val="21"/>
                      <w:lang w:val="en-US" w:eastAsia="zh-CN"/>
                    </w:rPr>
                  </w:pPr>
                  <w:r>
                    <w:rPr>
                      <w:rFonts w:hint="eastAsia" w:eastAsiaTheme="minorEastAsia"/>
                      <w:color w:val="auto"/>
                      <w:szCs w:val="21"/>
                      <w:lang w:val="en-US" w:eastAsia="zh-CN"/>
                    </w:rPr>
                    <w:t>216.216</w:t>
                  </w:r>
                </w:p>
              </w:tc>
              <w:tc>
                <w:tcPr>
                  <w:tcW w:w="1072" w:type="dxa"/>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99%</w:t>
                  </w:r>
                </w:p>
              </w:tc>
              <w:tc>
                <w:tcPr>
                  <w:tcW w:w="930" w:type="dxa"/>
                  <w:vAlign w:val="center"/>
                </w:tcPr>
                <w:p>
                  <w:pPr>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2.16</w:t>
                  </w:r>
                </w:p>
              </w:tc>
            </w:tr>
          </w:tbl>
          <w:p>
            <w:pPr>
              <w:pStyle w:val="49"/>
              <w:ind w:firstLine="480"/>
              <w:jc w:val="left"/>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由上表可知，无组织粉尘排放量为</w:t>
            </w:r>
            <w:r>
              <w:rPr>
                <w:rFonts w:hint="eastAsia" w:eastAsiaTheme="minorEastAsia"/>
                <w:color w:val="000000" w:themeColor="text1"/>
                <w:lang w:val="en-US" w:eastAsia="zh-CN"/>
                <w14:textFill>
                  <w14:solidFill>
                    <w14:schemeClr w14:val="tx1"/>
                  </w14:solidFill>
                </w14:textFill>
              </w:rPr>
              <w:t>2.16</w:t>
            </w:r>
            <w:r>
              <w:rPr>
                <w:rFonts w:eastAsiaTheme="minorEastAsia"/>
                <w:color w:val="000000" w:themeColor="text1"/>
                <w14:textFill>
                  <w14:solidFill>
                    <w14:schemeClr w14:val="tx1"/>
                  </w14:solidFill>
                </w14:textFill>
              </w:rPr>
              <w:t>t/a</w:t>
            </w:r>
            <w:r>
              <w:rPr>
                <w:rFonts w:hAnsiTheme="minorEastAsia" w:eastAsiaTheme="minorEastAsia"/>
                <w:color w:val="000000" w:themeColor="text1"/>
                <w14:textFill>
                  <w14:solidFill>
                    <w14:schemeClr w14:val="tx1"/>
                  </w14:solidFill>
                </w14:textFill>
              </w:rPr>
              <w:t>。</w:t>
            </w:r>
          </w:p>
          <w:p>
            <w:pPr>
              <w:adjustRightInd w:val="0"/>
              <w:snapToGrid w:val="0"/>
              <w:spacing w:line="360" w:lineRule="auto"/>
              <w:ind w:firstLine="480" w:firstLineChars="200"/>
              <w:rPr>
                <w:rFonts w:hint="default" w:ascii="Times New Roman" w:hAnsi="Times New Roman" w:cs="Times New Roman" w:eastAsiaTheme="minorEastAsia"/>
                <w:color w:val="FF0000"/>
                <w:sz w:val="24"/>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AnsiTheme="minorEastAsia" w:eastAsiaTheme="minorEastAsia"/>
                <w:color w:val="000000" w:themeColor="text1"/>
                <w:sz w:val="24"/>
                <w14:textFill>
                  <w14:solidFill>
                    <w14:schemeClr w14:val="tx1"/>
                  </w14:solidFill>
                </w14:textFill>
              </w:rPr>
              <w:t>）原</w:t>
            </w:r>
            <w:r>
              <w:rPr>
                <w:rFonts w:hint="default" w:ascii="Times New Roman" w:hAnsi="Times New Roman" w:cs="Times New Roman" w:eastAsiaTheme="minorEastAsia"/>
                <w:color w:val="000000" w:themeColor="text1"/>
                <w:sz w:val="24"/>
                <w14:textFill>
                  <w14:solidFill>
                    <w14:schemeClr w14:val="tx1"/>
                  </w14:solidFill>
                </w14:textFill>
              </w:rPr>
              <w:t>料装卸过程产生的粉尘</w:t>
            </w:r>
          </w:p>
          <w:p>
            <w:pPr>
              <w:pStyle w:val="49"/>
              <w:ind w:firstLine="480"/>
              <w:jc w:val="left"/>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矿石装卸过程粉尘产生</w:t>
            </w:r>
            <w:r>
              <w:rPr>
                <w:rFonts w:hint="default" w:ascii="Times New Roman" w:hAnsi="Times New Roman" w:cs="Times New Roman" w:eastAsiaTheme="minorEastAsia"/>
                <w:color w:val="FF0000"/>
              </w:rPr>
              <w:t>总量为</w:t>
            </w:r>
            <w:r>
              <w:rPr>
                <w:rFonts w:hint="eastAsia" w:cs="Times New Roman" w:eastAsiaTheme="minorEastAsia"/>
                <w:color w:val="FF0000"/>
                <w:lang w:val="en-US" w:eastAsia="zh-CN"/>
              </w:rPr>
              <w:t>62.5</w:t>
            </w:r>
            <w:r>
              <w:rPr>
                <w:rFonts w:hint="default" w:ascii="Times New Roman" w:hAnsi="Times New Roman" w:cs="Times New Roman" w:eastAsiaTheme="minorEastAsia"/>
                <w:color w:val="FF0000"/>
              </w:rPr>
              <w:t>t/a</w:t>
            </w:r>
            <w:r>
              <w:rPr>
                <w:rFonts w:hint="default" w:ascii="Times New Roman" w:hAnsi="Times New Roman" w:cs="Times New Roman" w:eastAsiaTheme="minorEastAsia"/>
                <w:color w:val="000000" w:themeColor="text1"/>
                <w14:textFill>
                  <w14:solidFill>
                    <w14:schemeClr w14:val="tx1"/>
                  </w14:solidFill>
                </w14:textFill>
              </w:rPr>
              <w:t>。为有效的控制装卸过程中粉尘污染，评价要求：①矿石采装过程进行喷水抑尘；②尽量降低装卸过程中物料落差；③对产品料石进行预湿，增大含水率，以减少下料和装车过程中粉尘的产生量。采取以上措施后，料石可得到充分的润湿，装卸过程产生的粉尘量</w:t>
            </w:r>
            <w:r>
              <w:rPr>
                <w:rFonts w:hint="eastAsia" w:cs="Times New Roman" w:eastAsiaTheme="minorEastAsia"/>
                <w:color w:val="000000" w:themeColor="text1"/>
                <w:lang w:val="en-US" w:eastAsia="zh-CN"/>
                <w14:textFill>
                  <w14:solidFill>
                    <w14:schemeClr w14:val="tx1"/>
                  </w14:solidFill>
                </w14:textFill>
              </w:rPr>
              <w:t>较少</w:t>
            </w:r>
            <w:r>
              <w:rPr>
                <w:rFonts w:hint="default" w:ascii="Times New Roman" w:hAnsi="Times New Roman" w:cs="Times New Roman" w:eastAsiaTheme="minorEastAsia"/>
                <w:color w:val="000000" w:themeColor="text1"/>
                <w14:textFill>
                  <w14:solidFill>
                    <w14:schemeClr w14:val="tx1"/>
                  </w14:solidFill>
                </w14:textFill>
              </w:rPr>
              <w:t>。通过大气扩散和稀释后，对周围环境影响较小。</w:t>
            </w:r>
          </w:p>
          <w:p>
            <w:pPr>
              <w:pStyle w:val="49"/>
              <w:ind w:firstLine="480"/>
              <w:jc w:val="left"/>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4</w:t>
            </w:r>
            <w:r>
              <w:rPr>
                <w:rFonts w:hAnsiTheme="minorEastAsia" w:eastAsiaTheme="minorEastAsia"/>
                <w:color w:val="000000" w:themeColor="text1"/>
                <w14:textFill>
                  <w14:solidFill>
                    <w14:schemeClr w14:val="tx1"/>
                  </w14:solidFill>
                </w14:textFill>
              </w:rPr>
              <w:t>）皮带输送过程产生的粉尘</w:t>
            </w:r>
          </w:p>
          <w:p>
            <w:pPr>
              <w:adjustRightInd w:val="0"/>
              <w:snapToGrid w:val="0"/>
              <w:spacing w:line="360" w:lineRule="auto"/>
              <w:ind w:firstLine="480" w:firstLineChars="200"/>
              <w:rPr>
                <w:rFonts w:eastAsiaTheme="minorEastAsia"/>
                <w:color w:val="000000" w:themeColor="text1"/>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原料进入给料口后均采用输送带输送，输送带在输送过程匀速稳定，一般情况下不易起尘，输送过程中粉尘主要产生于大风天气及胶带机端头搭接部位，本次对输送皮带进行</w:t>
            </w:r>
            <w:r>
              <w:rPr>
                <w:rFonts w:hAnsiTheme="minorEastAsia" w:eastAsiaTheme="minorEastAsia"/>
                <w:snapToGrid w:val="0"/>
                <w:color w:val="000000" w:themeColor="text1"/>
                <w:kern w:val="0"/>
                <w:sz w:val="24"/>
                <w:szCs w:val="24"/>
                <w14:textFill>
                  <w14:solidFill>
                    <w14:schemeClr w14:val="tx1"/>
                  </w14:solidFill>
                </w14:textFill>
              </w:rPr>
              <w:t>全封闭处理，环评要求对胶带机端头搭接部位采取喷水降尘控制措施，可以有效的控制粉尘污染。尽量降低跌落高度，并在输送粉末石料的皮带跌落点处安装一个通口口袋，降低跌落点，减少粉尘排放。</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5</w:t>
            </w:r>
            <w:r>
              <w:rPr>
                <w:rFonts w:hAnsiTheme="minorEastAsia" w:eastAsiaTheme="minorEastAsia"/>
                <w:color w:val="000000" w:themeColor="text1"/>
                <w:sz w:val="24"/>
                <w14:textFill>
                  <w14:solidFill>
                    <w14:schemeClr w14:val="tx1"/>
                  </w14:solidFill>
                </w14:textFill>
              </w:rPr>
              <w:t>）运输扬尘</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w:t>
            </w:r>
            <w:r>
              <w:rPr>
                <w:rFonts w:hAnsiTheme="minorEastAsia" w:eastAsiaTheme="minorEastAsia"/>
                <w:color w:val="000000" w:themeColor="text1"/>
                <w:sz w:val="24"/>
                <w14:textFill>
                  <w14:solidFill>
                    <w14:schemeClr w14:val="tx1"/>
                  </w14:solidFill>
                </w14:textFill>
              </w:rPr>
              <w:t>）项目道路运输过程</w:t>
            </w:r>
            <w:r>
              <w:rPr>
                <w:rFonts w:hAnsiTheme="minorEastAsia" w:eastAsiaTheme="minorEastAsia"/>
                <w:color w:val="auto"/>
                <w:sz w:val="24"/>
              </w:rPr>
              <w:t>粉尘的产生量</w:t>
            </w:r>
            <w:r>
              <w:rPr>
                <w:rFonts w:hint="eastAsia" w:hAnsiTheme="minorEastAsia" w:eastAsiaTheme="minorEastAsia"/>
                <w:color w:val="auto"/>
                <w:sz w:val="24"/>
                <w:lang w:val="en-US" w:eastAsia="zh-CN"/>
              </w:rPr>
              <w:t>为0.478t/a</w:t>
            </w:r>
            <w:r>
              <w:rPr>
                <w:rFonts w:hAnsiTheme="minorEastAsia" w:eastAsiaTheme="minorEastAsia"/>
                <w:color w:val="auto"/>
                <w:sz w:val="24"/>
              </w:rPr>
              <w:t>。本项</w:t>
            </w:r>
            <w:r>
              <w:rPr>
                <w:rFonts w:hAnsiTheme="minorEastAsia" w:eastAsiaTheme="minorEastAsia"/>
                <w:color w:val="000000" w:themeColor="text1"/>
                <w:sz w:val="24"/>
                <w14:textFill>
                  <w14:solidFill>
                    <w14:schemeClr w14:val="tx1"/>
                  </w14:solidFill>
                </w14:textFill>
              </w:rPr>
              <w:t>目运矿道路后期设计为泥结砂石路，一定程度上有效减少道路扬尘；同时环评要求加强道路洒水防尘措施，道路扬尘可抑制。</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bookmarkStart w:id="2" w:name="_Toc417564000"/>
            <w:r>
              <w:rPr>
                <w:rFonts w:eastAsiaTheme="minorEastAsia"/>
                <w:color w:val="000000" w:themeColor="text1"/>
                <w:sz w:val="24"/>
                <w14:textFill>
                  <w14:solidFill>
                    <w14:schemeClr w14:val="tx1"/>
                  </w14:solidFill>
                </w14:textFill>
              </w:rPr>
              <w:t>2</w:t>
            </w:r>
            <w:r>
              <w:rPr>
                <w:rFonts w:hAnsiTheme="minorEastAsia" w:eastAsiaTheme="minorEastAsia"/>
                <w:color w:val="000000" w:themeColor="text1"/>
                <w:sz w:val="24"/>
                <w14:textFill>
                  <w14:solidFill>
                    <w14:schemeClr w14:val="tx1"/>
                  </w14:solidFill>
                </w14:textFill>
              </w:rPr>
              <w:t>）</w:t>
            </w:r>
            <w:bookmarkEnd w:id="2"/>
            <w:r>
              <w:rPr>
                <w:rFonts w:hAnsiTheme="minorEastAsia" w:eastAsiaTheme="minorEastAsia"/>
                <w:color w:val="000000" w:themeColor="text1"/>
                <w:sz w:val="24"/>
                <w14:textFill>
                  <w14:solidFill>
                    <w14:schemeClr w14:val="tx1"/>
                  </w14:solidFill>
                </w14:textFill>
              </w:rPr>
              <w:t>项目产品外售运输道路现状为山路，路面现状坑洼不平。本项目产品在外售运输过程中会因车轮与道路的辗压产生扬尘，车箱内物料遇大风天气时会产生扬尘。</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环评要求产品运输过程中对于粉状物料采用密闭罐车运输或洒水加湿后加盖篷布运输，其它成品采用箱式车箱并加盖篷布以防止物料洒落，严禁石料超出箱板。经采取以上措施后，产品外售运输过程中产生的粉尘量很少</w:t>
            </w:r>
            <w:r>
              <w:rPr>
                <w:rFonts w:hint="eastAsia" w:hAnsiTheme="minorEastAsia" w:eastAsiaTheme="minorEastAsia"/>
                <w:color w:val="000000" w:themeColor="text1"/>
                <w:sz w:val="24"/>
                <w14:textFill>
                  <w14:solidFill>
                    <w14:schemeClr w14:val="tx1"/>
                  </w14:solidFill>
                </w14:textFill>
              </w:rPr>
              <w:t>，可忽略不计。</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AnsiTheme="minorEastAsia" w:eastAsiaTheme="minorEastAsia"/>
                <w:color w:val="000000" w:themeColor="text1"/>
                <w:sz w:val="24"/>
                <w14:textFill>
                  <w14:solidFill>
                    <w14:schemeClr w14:val="tx1"/>
                  </w14:solidFill>
                </w14:textFill>
              </w:rPr>
              <w:t>）排土场扬尘影响</w:t>
            </w:r>
          </w:p>
          <w:p>
            <w:pPr>
              <w:spacing w:line="360" w:lineRule="auto"/>
              <w:ind w:firstLine="480" w:firstLineChars="200"/>
              <w:rPr>
                <w:rFonts w:eastAsiaTheme="minorEastAsia"/>
                <w:color w:val="FF0000"/>
                <w:sz w:val="24"/>
              </w:rPr>
            </w:pPr>
            <w:r>
              <w:rPr>
                <w:rFonts w:hAnsiTheme="minorEastAsia" w:eastAsiaTheme="minorEastAsia"/>
                <w:color w:val="000000" w:themeColor="text1"/>
                <w:sz w:val="24"/>
                <w14:textFill>
                  <w14:solidFill>
                    <w14:schemeClr w14:val="tx1"/>
                  </w14:solidFill>
                </w14:textFill>
              </w:rPr>
              <w:t>环评要求剥离物运至排土场后，要及时用推土机推平压实，并配专门洒水车在排土场地面和运输道路定期洒水降尘。当排土至排场平台上形成一定面积后，在不影响排土作业的情况下及时绿化。另外随着排土场土地复垦和植被恢复措施的实施，排土扬尘污染可得到有效控制</w:t>
            </w:r>
            <w:r>
              <w:rPr>
                <w:rFonts w:hAnsiTheme="minorEastAsia" w:eastAsiaTheme="minorEastAsia"/>
                <w:color w:val="FF0000"/>
                <w:sz w:val="24"/>
              </w:rPr>
              <w:t>。</w:t>
            </w:r>
            <w:r>
              <w:rPr>
                <w:rFonts w:hAnsiTheme="minorEastAsia" w:eastAsiaTheme="minorEastAsia"/>
                <w:color w:val="FF0000"/>
                <w:sz w:val="24"/>
                <w:szCs w:val="24"/>
              </w:rPr>
              <w:t>为防止雨水径流进入</w:t>
            </w:r>
            <w:r>
              <w:rPr>
                <w:rFonts w:hint="eastAsia" w:hAnsiTheme="minorEastAsia" w:eastAsiaTheme="minorEastAsia"/>
                <w:color w:val="FF0000"/>
                <w:sz w:val="24"/>
                <w:szCs w:val="24"/>
                <w:lang w:val="en-US" w:eastAsia="zh-CN"/>
              </w:rPr>
              <w:t>排土</w:t>
            </w:r>
            <w:r>
              <w:rPr>
                <w:rFonts w:hAnsiTheme="minorEastAsia" w:eastAsiaTheme="minorEastAsia"/>
                <w:color w:val="FF0000"/>
                <w:sz w:val="24"/>
                <w:szCs w:val="24"/>
              </w:rPr>
              <w:t>场，</w:t>
            </w:r>
            <w:r>
              <w:rPr>
                <w:rFonts w:hint="eastAsia" w:hAnsiTheme="minorEastAsia" w:eastAsiaTheme="minorEastAsia"/>
                <w:color w:val="FF0000"/>
                <w:sz w:val="24"/>
                <w:szCs w:val="24"/>
                <w:lang w:val="en-US" w:eastAsia="zh-CN"/>
              </w:rPr>
              <w:t>引起水土流失</w:t>
            </w:r>
            <w:r>
              <w:rPr>
                <w:rFonts w:hAnsiTheme="minorEastAsia" w:eastAsiaTheme="minorEastAsia"/>
                <w:color w:val="FF0000"/>
                <w:sz w:val="24"/>
                <w:szCs w:val="24"/>
              </w:rPr>
              <w:t>，</w:t>
            </w:r>
            <w:r>
              <w:rPr>
                <w:rFonts w:hint="eastAsia" w:hAnsiTheme="minorEastAsia" w:eastAsiaTheme="minorEastAsia"/>
                <w:color w:val="FF0000"/>
                <w:sz w:val="24"/>
                <w:szCs w:val="24"/>
                <w:lang w:val="en-US" w:eastAsia="zh-CN"/>
              </w:rPr>
              <w:t>建设单位</w:t>
            </w:r>
            <w:r>
              <w:rPr>
                <w:rFonts w:hAnsiTheme="minorEastAsia" w:eastAsiaTheme="minorEastAsia"/>
                <w:color w:val="FF0000"/>
                <w:sz w:val="24"/>
                <w:szCs w:val="24"/>
              </w:rPr>
              <w:t>在排土场下</w:t>
            </w:r>
            <w:r>
              <w:rPr>
                <w:rFonts w:hint="eastAsia" w:hAnsiTheme="minorEastAsia" w:eastAsiaTheme="minorEastAsia"/>
                <w:color w:val="FF0000"/>
                <w:sz w:val="24"/>
                <w:szCs w:val="24"/>
                <w:lang w:val="en-US" w:eastAsia="zh-CN"/>
              </w:rPr>
              <w:t>方建设拦渣坝</w:t>
            </w:r>
            <w:r>
              <w:rPr>
                <w:rFonts w:hAnsiTheme="minorEastAsia" w:eastAsiaTheme="minorEastAsia"/>
                <w:color w:val="FF0000"/>
                <w:sz w:val="24"/>
                <w:szCs w:val="24"/>
              </w:rPr>
              <w:t>，</w:t>
            </w:r>
            <w:r>
              <w:rPr>
                <w:rFonts w:hint="eastAsia" w:hAnsiTheme="minorEastAsia" w:eastAsiaTheme="minorEastAsia"/>
                <w:color w:val="FF0000"/>
                <w:sz w:val="24"/>
                <w:szCs w:val="24"/>
                <w:lang w:val="en-US" w:eastAsia="zh-CN"/>
              </w:rPr>
              <w:t>上方及</w:t>
            </w:r>
            <w:r>
              <w:rPr>
                <w:rFonts w:hAnsiTheme="minorEastAsia" w:eastAsiaTheme="minorEastAsia"/>
                <w:color w:val="FF0000"/>
                <w:sz w:val="24"/>
                <w:szCs w:val="24"/>
              </w:rPr>
              <w:t>周围设置截排水沟，将上游地表径流和汇水导至排土场下游，防止长期浸水后淋溶液对水环境和土壤环境产生不利影响。</w:t>
            </w:r>
          </w:p>
          <w:p>
            <w:pPr>
              <w:pStyle w:val="6"/>
              <w:adjustRightInd w:val="0"/>
              <w:snapToGrid w:val="0"/>
              <w:spacing w:line="360" w:lineRule="auto"/>
              <w:ind w:firstLine="480"/>
              <w:rPr>
                <w:rFonts w:eastAsiaTheme="minorEastAsia"/>
                <w:color w:val="000000" w:themeColor="text1"/>
                <w:spacing w:val="4"/>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7</w:t>
            </w:r>
            <w:r>
              <w:rPr>
                <w:rFonts w:hAnsiTheme="minorEastAsia" w:eastAsiaTheme="minorEastAsia"/>
                <w:color w:val="000000" w:themeColor="text1"/>
                <w:sz w:val="24"/>
                <w14:textFill>
                  <w14:solidFill>
                    <w14:schemeClr w14:val="tx1"/>
                  </w14:solidFill>
                </w14:textFill>
              </w:rPr>
              <w:t>）无组织粉尘产排情况及处理措施</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为减少物料提升和转运过程中的无组织粉尘排放，本环评提出以下治理措施：</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①将物料的提升和运输过程进行密闭处理；</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②物料在提升过程中，应合理设置导料槽出口与运输皮带之间的高度差，避免落差过大，物料高速下落产生的强烈诱导风致使粉尘溢出；</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③加大导料槽容积，避免因导料槽容积不够，无法有效消除物料高速下落后携带的诱导风，同时应提高导料槽的密封等级，确保导料槽两侧的完全密封；</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④卸料管采用前倾收口扩容设计，前倾扩容设计可有效降低落料点处气压，避免落料点处正压过大引起的喷粉现象；</w:t>
            </w:r>
          </w:p>
          <w:p>
            <w:pPr>
              <w:adjustRightInd w:val="0"/>
              <w:snapToGrid w:val="0"/>
              <w:spacing w:line="360" w:lineRule="auto"/>
              <w:ind w:firstLine="480" w:firstLineChars="200"/>
              <w:rPr>
                <w:rFonts w:hAnsiTheme="minorEastAsia"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⑤对车间定期洒水降尘。</w:t>
            </w:r>
          </w:p>
          <w:p>
            <w:pPr>
              <w:adjustRightInd w:val="0"/>
              <w:snapToGrid w:val="0"/>
              <w:spacing w:line="360" w:lineRule="auto"/>
              <w:ind w:firstLine="480" w:firstLineChars="200"/>
              <w:rPr>
                <w:rFonts w:hAnsiTheme="minorEastAsia" w:eastAsiaTheme="minorEastAsia"/>
                <w:color w:val="000000" w:themeColor="text1"/>
                <w:sz w:val="24"/>
                <w:szCs w:val="24"/>
                <w14:textFill>
                  <w14:solidFill>
                    <w14:schemeClr w14:val="tx1"/>
                  </w14:solidFill>
                </w14:textFill>
              </w:rPr>
            </w:pPr>
            <w:r>
              <w:rPr>
                <w:rFonts w:hint="eastAsia" w:hAnsiTheme="minorEastAsia" w:eastAsiaTheme="minorEastAsia"/>
                <w:color w:val="000000" w:themeColor="text1"/>
                <w:sz w:val="24"/>
                <w:szCs w:val="24"/>
                <w14:textFill>
                  <w14:solidFill>
                    <w14:schemeClr w14:val="tx1"/>
                  </w14:solidFill>
                </w14:textFill>
              </w:rPr>
              <w:t>⑥配备环保除尘雾炮机，定期进行除尘。</w:t>
            </w:r>
          </w:p>
          <w:p>
            <w:pPr>
              <w:pStyle w:val="42"/>
              <w:spacing w:before="1" w:line="364" w:lineRule="auto"/>
              <w:ind w:left="111" w:right="113" w:firstLine="48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粉尘排放情况汇总</w:t>
            </w:r>
          </w:p>
          <w:p>
            <w:pPr>
              <w:pStyle w:val="42"/>
              <w:spacing w:before="1" w:line="364" w:lineRule="auto"/>
              <w:ind w:left="111" w:right="113" w:firstLine="480"/>
              <w:jc w:val="both"/>
            </w:pPr>
            <w:r>
              <w:rPr>
                <w:rFonts w:hint="eastAsia" w:ascii="Times New Roman" w:hAnsi="Times New Roman" w:eastAsia="宋体" w:cs="Times New Roman"/>
                <w:spacing w:val="-1"/>
                <w:kern w:val="0"/>
                <w:sz w:val="24"/>
                <w:szCs w:val="22"/>
                <w:lang w:val="en-US" w:eastAsia="zh-CN" w:bidi="zh-CN"/>
              </w:rPr>
              <w:t>本项目生产期间预计粉尘</w:t>
            </w:r>
            <w:r>
              <w:rPr>
                <w:rFonts w:hint="eastAsia" w:ascii="Times New Roman" w:hAnsi="Times New Roman" w:eastAsia="宋体" w:cs="Times New Roman"/>
                <w:color w:val="auto"/>
                <w:spacing w:val="-1"/>
                <w:kern w:val="0"/>
                <w:sz w:val="24"/>
                <w:szCs w:val="22"/>
                <w:lang w:val="en-US" w:eastAsia="zh-CN" w:bidi="zh-CN"/>
              </w:rPr>
              <w:t>年排放量为</w:t>
            </w:r>
            <w:r>
              <w:rPr>
                <w:rFonts w:hint="eastAsia" w:ascii="Times New Roman" w:hAnsi="Times New Roman" w:cs="Times New Roman"/>
                <w:color w:val="auto"/>
                <w:spacing w:val="-1"/>
                <w:kern w:val="0"/>
                <w:sz w:val="24"/>
                <w:szCs w:val="22"/>
                <w:lang w:val="en-US" w:eastAsia="zh-CN" w:bidi="zh-CN"/>
              </w:rPr>
              <w:t>9.138</w:t>
            </w:r>
            <w:r>
              <w:rPr>
                <w:rFonts w:hint="eastAsia" w:ascii="Times New Roman" w:hAnsi="Times New Roman" w:eastAsia="宋体" w:cs="Times New Roman"/>
                <w:color w:val="auto"/>
                <w:spacing w:val="-1"/>
                <w:kern w:val="0"/>
                <w:sz w:val="24"/>
                <w:szCs w:val="22"/>
                <w:lang w:val="en-US" w:eastAsia="zh-CN" w:bidi="zh-CN"/>
              </w:rPr>
              <w:t>t/a（</w:t>
            </w:r>
            <w:r>
              <w:rPr>
                <w:rFonts w:hint="eastAsia" w:ascii="Times New Roman" w:hAnsi="Times New Roman" w:cs="Times New Roman"/>
                <w:color w:val="auto"/>
                <w:spacing w:val="-1"/>
                <w:kern w:val="0"/>
                <w:sz w:val="24"/>
                <w:szCs w:val="22"/>
                <w:lang w:val="en-US" w:eastAsia="zh-CN" w:bidi="zh-CN"/>
              </w:rPr>
              <w:t>1.269</w:t>
            </w:r>
            <w:r>
              <w:rPr>
                <w:rFonts w:hint="eastAsia" w:ascii="Times New Roman" w:hAnsi="Times New Roman" w:eastAsia="宋体" w:cs="Times New Roman"/>
                <w:color w:val="auto"/>
                <w:spacing w:val="-1"/>
                <w:kern w:val="0"/>
                <w:sz w:val="24"/>
                <w:szCs w:val="22"/>
                <w:lang w:val="en-US" w:eastAsia="zh-CN" w:bidi="zh-CN"/>
              </w:rPr>
              <w:t>kg/h），无组织粉尘排放情况见表</w:t>
            </w:r>
            <w:r>
              <w:rPr>
                <w:rFonts w:hint="eastAsia" w:ascii="Times New Roman" w:hAnsi="Times New Roman" w:cs="Times New Roman"/>
                <w:color w:val="auto"/>
                <w:spacing w:val="-1"/>
                <w:kern w:val="0"/>
                <w:sz w:val="24"/>
                <w:szCs w:val="22"/>
                <w:lang w:val="en-US" w:eastAsia="zh-CN" w:bidi="zh-CN"/>
              </w:rPr>
              <w:t>28</w:t>
            </w:r>
            <w:r>
              <w:rPr>
                <w:rFonts w:hint="eastAsia" w:ascii="Times New Roman" w:hAnsi="Times New Roman" w:eastAsia="宋体" w:cs="Times New Roman"/>
                <w:color w:val="auto"/>
                <w:spacing w:val="-1"/>
                <w:kern w:val="0"/>
                <w:sz w:val="24"/>
                <w:szCs w:val="22"/>
                <w:lang w:val="en-US" w:eastAsia="zh-CN" w:bidi="zh-CN"/>
              </w:rPr>
              <w:t>。</w:t>
            </w:r>
          </w:p>
          <w:p>
            <w:pPr>
              <w:spacing w:before="4" w:after="3"/>
              <w:ind w:right="0" w:firstLine="2867" w:firstLineChars="1200"/>
              <w:jc w:val="both"/>
              <w:rPr>
                <w:rFonts w:hint="eastAsia" w:ascii="Times New Roman" w:hAnsi="Times New Roman" w:eastAsia="宋体" w:cs="Times New Roman"/>
                <w:color w:val="auto"/>
                <w:spacing w:val="-1"/>
                <w:kern w:val="0"/>
                <w:sz w:val="24"/>
                <w:szCs w:val="24"/>
                <w:lang w:val="en-US" w:eastAsia="zh-CN" w:bidi="zh-CN"/>
              </w:rPr>
            </w:pPr>
            <w:r>
              <w:rPr>
                <w:b/>
                <w:color w:val="auto"/>
                <w:spacing w:val="-1"/>
                <w:sz w:val="24"/>
                <w:szCs w:val="24"/>
              </w:rPr>
              <w:t>表</w:t>
            </w:r>
            <w:r>
              <w:rPr>
                <w:rFonts w:hint="eastAsia" w:eastAsia="宋体"/>
                <w:b/>
                <w:color w:val="auto"/>
                <w:sz w:val="24"/>
                <w:szCs w:val="24"/>
                <w:lang w:val="en-US" w:eastAsia="zh-CN"/>
              </w:rPr>
              <w:t>2</w:t>
            </w:r>
            <w:r>
              <w:rPr>
                <w:rFonts w:hint="eastAsia"/>
                <w:b/>
                <w:color w:val="auto"/>
                <w:sz w:val="24"/>
                <w:szCs w:val="24"/>
                <w:lang w:val="en-US" w:eastAsia="zh-CN"/>
              </w:rPr>
              <w:t>8</w:t>
            </w:r>
            <w:r>
              <w:rPr>
                <w:rFonts w:ascii="Times New Roman" w:eastAsia="Times New Roman"/>
                <w:b/>
                <w:color w:val="auto"/>
                <w:spacing w:val="52"/>
                <w:sz w:val="24"/>
                <w:szCs w:val="24"/>
              </w:rPr>
              <w:t xml:space="preserve"> </w:t>
            </w:r>
            <w:r>
              <w:rPr>
                <w:b/>
                <w:color w:val="auto"/>
                <w:sz w:val="24"/>
                <w:szCs w:val="24"/>
              </w:rPr>
              <w:t>粉尘产生及排放情况汇总表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919"/>
              <w:gridCol w:w="842"/>
              <w:gridCol w:w="885"/>
              <w:gridCol w:w="2639"/>
              <w:gridCol w:w="846"/>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929" w:type="dxa"/>
                  <w:vMerge w:val="restart"/>
                  <w:noWrap w:val="0"/>
                  <w:vAlign w:val="center"/>
                </w:tcPr>
                <w:p>
                  <w:pPr>
                    <w:pStyle w:val="42"/>
                    <w:spacing w:line="265" w:lineRule="exact"/>
                    <w:jc w:val="left"/>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产污环节</w:t>
                  </w:r>
                </w:p>
              </w:tc>
              <w:tc>
                <w:tcPr>
                  <w:tcW w:w="1761" w:type="dxa"/>
                  <w:gridSpan w:val="2"/>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产生情况</w:t>
                  </w:r>
                </w:p>
              </w:tc>
              <w:tc>
                <w:tcPr>
                  <w:tcW w:w="885" w:type="dxa"/>
                  <w:vMerge w:val="restart"/>
                  <w:noWrap w:val="0"/>
                  <w:vAlign w:val="center"/>
                </w:tcPr>
                <w:p>
                  <w:pPr>
                    <w:pStyle w:val="42"/>
                    <w:spacing w:line="265" w:lineRule="exact"/>
                    <w:jc w:val="left"/>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排放形式</w:t>
                  </w:r>
                </w:p>
              </w:tc>
              <w:tc>
                <w:tcPr>
                  <w:tcW w:w="2639" w:type="dxa"/>
                  <w:vMerge w:val="restart"/>
                  <w:noWrap w:val="0"/>
                  <w:vAlign w:val="center"/>
                </w:tcPr>
                <w:p>
                  <w:pPr>
                    <w:pStyle w:val="42"/>
                    <w:spacing w:line="265" w:lineRule="exact"/>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治理措施</w:t>
                  </w:r>
                </w:p>
              </w:tc>
              <w:tc>
                <w:tcPr>
                  <w:tcW w:w="1544" w:type="dxa"/>
                  <w:gridSpan w:val="2"/>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排放情况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929" w:type="dxa"/>
                  <w:vMerge w:val="continue"/>
                  <w:tcBorders>
                    <w:top w:val="nil"/>
                  </w:tcBorders>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p>
              </w:tc>
              <w:tc>
                <w:tcPr>
                  <w:tcW w:w="919" w:type="dxa"/>
                  <w:noWrap w:val="0"/>
                  <w:vAlign w:val="center"/>
                </w:tcPr>
                <w:p>
                  <w:pPr>
                    <w:pStyle w:val="42"/>
                    <w:spacing w:line="265" w:lineRule="exact"/>
                    <w:ind w:left="317" w:leftChars="52" w:hanging="208" w:hangingChars="100"/>
                    <w:jc w:val="left"/>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产生量t/a</w:t>
                  </w:r>
                </w:p>
              </w:tc>
              <w:tc>
                <w:tcPr>
                  <w:tcW w:w="842" w:type="dxa"/>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速率</w:t>
                  </w:r>
                </w:p>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kg/h</w:t>
                  </w:r>
                </w:p>
              </w:tc>
              <w:tc>
                <w:tcPr>
                  <w:tcW w:w="885" w:type="dxa"/>
                  <w:vMerge w:val="continue"/>
                  <w:tcBorders>
                    <w:top w:val="nil"/>
                  </w:tcBorders>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p>
              </w:tc>
              <w:tc>
                <w:tcPr>
                  <w:tcW w:w="2639" w:type="dxa"/>
                  <w:vMerge w:val="continue"/>
                  <w:tcBorders>
                    <w:top w:val="nil"/>
                  </w:tcBorders>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p>
              </w:tc>
              <w:tc>
                <w:tcPr>
                  <w:tcW w:w="846" w:type="dxa"/>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排放量</w:t>
                  </w:r>
                </w:p>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t/a</w:t>
                  </w:r>
                </w:p>
              </w:tc>
              <w:tc>
                <w:tcPr>
                  <w:tcW w:w="698" w:type="dxa"/>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速率</w:t>
                  </w:r>
                </w:p>
                <w:p>
                  <w:pPr>
                    <w:pStyle w:val="42"/>
                    <w:spacing w:line="265" w:lineRule="exact"/>
                    <w:ind w:left="111"/>
                    <w:jc w:val="center"/>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929" w:type="dxa"/>
                  <w:noWrap w:val="0"/>
                  <w:vAlign w:val="center"/>
                </w:tcPr>
                <w:p>
                  <w:pPr>
                    <w:pStyle w:val="42"/>
                    <w:spacing w:line="265" w:lineRule="exact"/>
                    <w:ind w:left="111"/>
                    <w:jc w:val="both"/>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原料卸料、投料</w:t>
                  </w:r>
                </w:p>
              </w:tc>
              <w:tc>
                <w:tcPr>
                  <w:tcW w:w="919" w:type="dxa"/>
                  <w:noWrap w:val="0"/>
                  <w:vAlign w:val="center"/>
                </w:tcPr>
                <w:p>
                  <w:pPr>
                    <w:pStyle w:val="42"/>
                    <w:spacing w:line="265" w:lineRule="exact"/>
                    <w:jc w:val="center"/>
                    <w:rPr>
                      <w:rFonts w:hint="default" w:ascii="Times New Roman" w:hAnsi="Times New Roman" w:eastAsia="宋体" w:cs="Times New Roman"/>
                      <w:spacing w:val="-1"/>
                      <w:kern w:val="0"/>
                      <w:sz w:val="21"/>
                      <w:szCs w:val="21"/>
                      <w:lang w:val="en-US" w:eastAsia="zh-CN" w:bidi="zh-CN"/>
                    </w:rPr>
                  </w:pPr>
                  <w:r>
                    <w:rPr>
                      <w:rFonts w:hint="eastAsia" w:ascii="Times New Roman" w:hAnsi="Times New Roman" w:cs="Times New Roman"/>
                      <w:spacing w:val="-1"/>
                      <w:kern w:val="0"/>
                      <w:sz w:val="21"/>
                      <w:szCs w:val="21"/>
                      <w:lang w:val="en-US" w:eastAsia="zh-CN" w:bidi="zh-CN"/>
                    </w:rPr>
                    <w:t>62.5</w:t>
                  </w:r>
                </w:p>
              </w:tc>
              <w:tc>
                <w:tcPr>
                  <w:tcW w:w="842" w:type="dxa"/>
                  <w:noWrap w:val="0"/>
                  <w:vAlign w:val="center"/>
                </w:tcPr>
                <w:p>
                  <w:pPr>
                    <w:pStyle w:val="42"/>
                    <w:spacing w:line="265" w:lineRule="exact"/>
                    <w:jc w:val="both"/>
                    <w:rPr>
                      <w:rFonts w:hint="default" w:ascii="Times New Roman" w:hAnsi="Times New Roman" w:eastAsia="宋体" w:cs="Times New Roman"/>
                      <w:spacing w:val="-1"/>
                      <w:kern w:val="0"/>
                      <w:sz w:val="21"/>
                      <w:szCs w:val="21"/>
                      <w:lang w:val="en-US" w:eastAsia="zh-CN" w:bidi="zh-CN"/>
                    </w:rPr>
                  </w:pPr>
                  <w:r>
                    <w:rPr>
                      <w:rFonts w:hint="eastAsia" w:ascii="Times New Roman" w:hAnsi="Times New Roman" w:cs="Times New Roman"/>
                      <w:spacing w:val="-1"/>
                      <w:kern w:val="0"/>
                      <w:sz w:val="21"/>
                      <w:szCs w:val="21"/>
                      <w:lang w:val="en-US" w:eastAsia="zh-CN" w:bidi="zh-CN"/>
                    </w:rPr>
                    <w:t xml:space="preserve">  8.68</w:t>
                  </w:r>
                </w:p>
              </w:tc>
              <w:tc>
                <w:tcPr>
                  <w:tcW w:w="885" w:type="dxa"/>
                  <w:noWrap w:val="0"/>
                  <w:vAlign w:val="center"/>
                </w:tcPr>
                <w:p>
                  <w:pPr>
                    <w:pStyle w:val="42"/>
                    <w:spacing w:line="265" w:lineRule="exact"/>
                    <w:ind w:firstLine="208" w:firstLineChars="100"/>
                    <w:jc w:val="both"/>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无组织</w:t>
                  </w:r>
                </w:p>
              </w:tc>
              <w:tc>
                <w:tcPr>
                  <w:tcW w:w="2639" w:type="dxa"/>
                  <w:noWrap w:val="0"/>
                  <w:vAlign w:val="center"/>
                </w:tcPr>
                <w:p>
                  <w:pPr>
                    <w:pStyle w:val="42"/>
                    <w:spacing w:line="265" w:lineRule="exact"/>
                    <w:ind w:left="111"/>
                    <w:jc w:val="left"/>
                    <w:rPr>
                      <w:rFonts w:hint="default" w:ascii="Times New Roman" w:hAnsi="Times New Roman" w:eastAsia="宋体" w:cs="Times New Roman"/>
                      <w:spacing w:val="-1"/>
                      <w:kern w:val="0"/>
                      <w:sz w:val="21"/>
                      <w:szCs w:val="21"/>
                      <w:lang w:val="en-US" w:eastAsia="zh-CN" w:bidi="zh-CN"/>
                    </w:rPr>
                  </w:pPr>
                  <w:r>
                    <w:rPr>
                      <w:rFonts w:hint="default" w:ascii="Times New Roman" w:hAnsi="Times New Roman" w:eastAsia="宋体" w:cs="Times New Roman"/>
                      <w:spacing w:val="-1"/>
                      <w:kern w:val="0"/>
                      <w:sz w:val="21"/>
                      <w:szCs w:val="21"/>
                      <w:lang w:val="zh-CN" w:eastAsia="zh-CN" w:bidi="zh-CN"/>
                    </w:rPr>
                    <w:t>水雾喷淋、</w:t>
                  </w:r>
                  <w:r>
                    <w:rPr>
                      <w:rFonts w:hint="eastAsia" w:ascii="Times New Roman" w:hAnsi="Times New Roman" w:eastAsia="宋体" w:cs="Times New Roman"/>
                      <w:spacing w:val="-1"/>
                      <w:kern w:val="0"/>
                      <w:sz w:val="21"/>
                      <w:szCs w:val="21"/>
                      <w:lang w:val="en-US" w:eastAsia="zh-CN" w:bidi="zh-CN"/>
                    </w:rPr>
                    <w:t>抑尘网覆盖、</w:t>
                  </w:r>
                  <w:r>
                    <w:rPr>
                      <w:rFonts w:hint="default" w:ascii="Times New Roman" w:hAnsi="Times New Roman" w:eastAsia="宋体" w:cs="Times New Roman"/>
                      <w:spacing w:val="-1"/>
                      <w:kern w:val="0"/>
                      <w:sz w:val="21"/>
                      <w:szCs w:val="21"/>
                      <w:lang w:val="zh-CN" w:eastAsia="zh-CN" w:bidi="zh-CN"/>
                    </w:rPr>
                    <w:t>加大原料投料时的含水率、降低卸料高度和速度</w:t>
                  </w:r>
                  <w:r>
                    <w:rPr>
                      <w:rFonts w:hint="eastAsia" w:ascii="Times New Roman" w:hAnsi="Times New Roman" w:eastAsia="宋体" w:cs="Times New Roman"/>
                      <w:spacing w:val="-1"/>
                      <w:kern w:val="0"/>
                      <w:sz w:val="21"/>
                      <w:szCs w:val="21"/>
                      <w:lang w:val="zh-CN" w:eastAsia="zh-CN" w:bidi="zh-CN"/>
                    </w:rPr>
                    <w:t>。</w:t>
                  </w:r>
                </w:p>
              </w:tc>
              <w:tc>
                <w:tcPr>
                  <w:tcW w:w="846" w:type="dxa"/>
                  <w:noWrap w:val="0"/>
                  <w:vAlign w:val="center"/>
                </w:tcPr>
                <w:p>
                  <w:pPr>
                    <w:pStyle w:val="42"/>
                    <w:spacing w:line="265" w:lineRule="exact"/>
                    <w:jc w:val="center"/>
                    <w:rPr>
                      <w:rFonts w:hint="default" w:ascii="Times New Roman" w:hAnsi="Times New Roman" w:eastAsia="宋体" w:cs="Times New Roman"/>
                      <w:spacing w:val="-1"/>
                      <w:kern w:val="0"/>
                      <w:sz w:val="21"/>
                      <w:szCs w:val="21"/>
                      <w:lang w:val="en-US" w:eastAsia="zh-CN" w:bidi="zh-CN"/>
                    </w:rPr>
                  </w:pPr>
                  <w:r>
                    <w:rPr>
                      <w:rFonts w:hint="eastAsia" w:ascii="Times New Roman" w:hAnsi="Times New Roman" w:cs="Times New Roman"/>
                      <w:spacing w:val="-1"/>
                      <w:kern w:val="0"/>
                      <w:sz w:val="21"/>
                      <w:szCs w:val="21"/>
                      <w:lang w:val="en-US" w:eastAsia="zh-CN" w:bidi="zh-CN"/>
                    </w:rPr>
                    <w:t>6.5</w:t>
                  </w:r>
                </w:p>
              </w:tc>
              <w:tc>
                <w:tcPr>
                  <w:tcW w:w="698" w:type="dxa"/>
                  <w:noWrap w:val="0"/>
                  <w:vAlign w:val="center"/>
                </w:tcPr>
                <w:p>
                  <w:pPr>
                    <w:pStyle w:val="42"/>
                    <w:spacing w:line="265" w:lineRule="exact"/>
                    <w:jc w:val="both"/>
                    <w:rPr>
                      <w:rFonts w:hint="default" w:ascii="Times New Roman" w:hAnsi="Times New Roman" w:eastAsia="宋体" w:cs="Times New Roman"/>
                      <w:spacing w:val="-1"/>
                      <w:kern w:val="0"/>
                      <w:sz w:val="21"/>
                      <w:szCs w:val="21"/>
                      <w:lang w:val="en-US" w:eastAsia="zh-CN" w:bidi="zh-CN"/>
                    </w:rPr>
                  </w:pPr>
                  <w:r>
                    <w:rPr>
                      <w:rFonts w:hint="eastAsia" w:ascii="Times New Roman" w:hAnsi="Times New Roman" w:cs="Times New Roman"/>
                      <w:spacing w:val="-1"/>
                      <w:kern w:val="0"/>
                      <w:sz w:val="21"/>
                      <w:szCs w:val="21"/>
                      <w:lang w:val="en-US" w:eastAsia="zh-CN" w:bidi="zh-CN"/>
                    </w:rPr>
                    <w:t>0.903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929" w:type="dxa"/>
                  <w:noWrap w:val="0"/>
                  <w:vAlign w:val="center"/>
                </w:tcPr>
                <w:p>
                  <w:pPr>
                    <w:pStyle w:val="42"/>
                    <w:spacing w:line="265" w:lineRule="exact"/>
                    <w:ind w:left="111"/>
                    <w:jc w:val="both"/>
                    <w:rPr>
                      <w:rFonts w:hint="default" w:ascii="Times New Roman" w:hAnsi="Times New Roman" w:eastAsia="宋体" w:cs="Times New Roman"/>
                      <w:spacing w:val="-1"/>
                      <w:kern w:val="0"/>
                      <w:sz w:val="21"/>
                      <w:szCs w:val="21"/>
                      <w:lang w:val="zh-CN" w:eastAsia="zh-CN" w:bidi="zh-CN"/>
                    </w:rPr>
                  </w:pPr>
                  <w:r>
                    <w:rPr>
                      <w:rFonts w:hint="default" w:ascii="Times New Roman" w:hAnsi="Times New Roman" w:eastAsia="宋体" w:cs="Times New Roman"/>
                      <w:spacing w:val="-1"/>
                      <w:kern w:val="0"/>
                      <w:sz w:val="21"/>
                      <w:szCs w:val="21"/>
                      <w:lang w:val="zh-CN" w:eastAsia="zh-CN" w:bidi="zh-CN"/>
                    </w:rPr>
                    <w:t>破碎、筛分工段</w:t>
                  </w:r>
                </w:p>
              </w:tc>
              <w:tc>
                <w:tcPr>
                  <w:tcW w:w="919" w:type="dxa"/>
                  <w:noWrap w:val="0"/>
                  <w:vAlign w:val="center"/>
                </w:tcPr>
                <w:p>
                  <w:pPr>
                    <w:pStyle w:val="42"/>
                    <w:spacing w:line="265" w:lineRule="exact"/>
                    <w:jc w:val="center"/>
                    <w:rPr>
                      <w:rFonts w:hint="default" w:ascii="Times New Roman" w:hAnsi="Times New Roman" w:eastAsia="宋体" w:cs="Times New Roman"/>
                      <w:color w:val="auto"/>
                      <w:spacing w:val="-1"/>
                      <w:kern w:val="0"/>
                      <w:sz w:val="21"/>
                      <w:szCs w:val="21"/>
                      <w:lang w:val="en-US" w:eastAsia="zh-CN" w:bidi="zh-CN"/>
                    </w:rPr>
                  </w:pPr>
                  <w:r>
                    <w:rPr>
                      <w:rFonts w:hint="eastAsia" w:ascii="Times New Roman" w:hAnsi="Times New Roman" w:cs="Times New Roman"/>
                      <w:color w:val="auto"/>
                      <w:spacing w:val="-1"/>
                      <w:kern w:val="0"/>
                      <w:sz w:val="21"/>
                      <w:szCs w:val="21"/>
                      <w:lang w:val="en-US" w:eastAsia="zh-CN" w:bidi="zh-CN"/>
                    </w:rPr>
                    <w:t>831.6</w:t>
                  </w:r>
                </w:p>
              </w:tc>
              <w:tc>
                <w:tcPr>
                  <w:tcW w:w="842" w:type="dxa"/>
                  <w:noWrap w:val="0"/>
                  <w:vAlign w:val="center"/>
                </w:tcPr>
                <w:p>
                  <w:pPr>
                    <w:pStyle w:val="42"/>
                    <w:spacing w:line="265" w:lineRule="exact"/>
                    <w:jc w:val="center"/>
                    <w:rPr>
                      <w:rFonts w:hint="default" w:ascii="Times New Roman" w:hAnsi="Times New Roman" w:eastAsia="宋体" w:cs="Times New Roman"/>
                      <w:color w:val="auto"/>
                      <w:spacing w:val="-1"/>
                      <w:kern w:val="0"/>
                      <w:sz w:val="21"/>
                      <w:szCs w:val="21"/>
                      <w:lang w:val="en-US" w:eastAsia="zh-CN" w:bidi="zh-CN"/>
                    </w:rPr>
                  </w:pPr>
                  <w:r>
                    <w:rPr>
                      <w:rFonts w:hint="eastAsia" w:ascii="Times New Roman" w:hAnsi="Times New Roman" w:cs="Times New Roman"/>
                      <w:color w:val="auto"/>
                      <w:spacing w:val="-1"/>
                      <w:kern w:val="0"/>
                      <w:sz w:val="21"/>
                      <w:szCs w:val="21"/>
                      <w:lang w:val="en-US" w:eastAsia="zh-CN" w:bidi="zh-CN"/>
                    </w:rPr>
                    <w:t>115.5</w:t>
                  </w:r>
                </w:p>
              </w:tc>
              <w:tc>
                <w:tcPr>
                  <w:tcW w:w="885" w:type="dxa"/>
                  <w:noWrap w:val="0"/>
                  <w:vAlign w:val="center"/>
                </w:tcPr>
                <w:p>
                  <w:pPr>
                    <w:pStyle w:val="42"/>
                    <w:spacing w:line="265" w:lineRule="exact"/>
                    <w:ind w:firstLine="208" w:firstLineChars="100"/>
                    <w:jc w:val="both"/>
                    <w:rPr>
                      <w:rFonts w:hint="default" w:ascii="Times New Roman" w:hAnsi="Times New Roman" w:eastAsia="宋体" w:cs="Times New Roman"/>
                      <w:color w:val="auto"/>
                      <w:spacing w:val="-1"/>
                      <w:kern w:val="0"/>
                      <w:sz w:val="21"/>
                      <w:szCs w:val="21"/>
                      <w:lang w:val="zh-CN" w:eastAsia="zh-CN" w:bidi="zh-CN"/>
                    </w:rPr>
                  </w:pPr>
                  <w:r>
                    <w:rPr>
                      <w:rFonts w:hint="default" w:ascii="Times New Roman" w:hAnsi="Times New Roman" w:eastAsia="宋体" w:cs="Times New Roman"/>
                      <w:color w:val="auto"/>
                      <w:spacing w:val="-1"/>
                      <w:kern w:val="0"/>
                      <w:sz w:val="21"/>
                      <w:szCs w:val="21"/>
                      <w:lang w:val="zh-CN" w:eastAsia="zh-CN" w:bidi="zh-CN"/>
                    </w:rPr>
                    <w:t>无组织</w:t>
                  </w:r>
                </w:p>
              </w:tc>
              <w:tc>
                <w:tcPr>
                  <w:tcW w:w="2639" w:type="dxa"/>
                  <w:noWrap w:val="0"/>
                  <w:vAlign w:val="center"/>
                </w:tcPr>
                <w:p>
                  <w:pPr>
                    <w:pStyle w:val="42"/>
                    <w:spacing w:line="265" w:lineRule="exact"/>
                    <w:ind w:left="111"/>
                    <w:jc w:val="left"/>
                    <w:rPr>
                      <w:rFonts w:hint="default" w:ascii="Times New Roman" w:hAnsi="Times New Roman" w:eastAsia="宋体" w:cs="Times New Roman"/>
                      <w:color w:val="000000"/>
                      <w:spacing w:val="-1"/>
                      <w:kern w:val="0"/>
                      <w:sz w:val="21"/>
                      <w:szCs w:val="21"/>
                      <w:lang w:val="zh-CN" w:eastAsia="zh-CN" w:bidi="zh-CN"/>
                    </w:rPr>
                  </w:pPr>
                  <w:r>
                    <w:rPr>
                      <w:rFonts w:hint="default" w:ascii="Times New Roman" w:hAnsi="Times New Roman" w:eastAsia="宋体" w:cs="Times New Roman"/>
                      <w:color w:val="000000"/>
                      <w:spacing w:val="-1"/>
                      <w:kern w:val="0"/>
                      <w:sz w:val="21"/>
                      <w:szCs w:val="21"/>
                      <w:lang w:val="zh-CN" w:eastAsia="zh-CN" w:bidi="zh-CN"/>
                    </w:rPr>
                    <w:t>车间封闭</w:t>
                  </w:r>
                  <w:r>
                    <w:rPr>
                      <w:rFonts w:hint="eastAsia" w:ascii="Times New Roman" w:hAnsi="Times New Roman" w:cs="Times New Roman"/>
                      <w:color w:val="000000"/>
                      <w:spacing w:val="-1"/>
                      <w:kern w:val="0"/>
                      <w:sz w:val="21"/>
                      <w:szCs w:val="21"/>
                      <w:lang w:val="en-US" w:eastAsia="zh-CN" w:bidi="zh-CN"/>
                    </w:rPr>
                    <w:t>顶部设置喷淋装置抑尘</w:t>
                  </w:r>
                  <w:r>
                    <w:rPr>
                      <w:rFonts w:hint="default" w:ascii="Times New Roman" w:hAnsi="Times New Roman" w:eastAsia="宋体" w:cs="Times New Roman"/>
                      <w:color w:val="000000"/>
                      <w:spacing w:val="-1"/>
                      <w:kern w:val="0"/>
                      <w:sz w:val="21"/>
                      <w:szCs w:val="21"/>
                      <w:lang w:val="zh-CN" w:eastAsia="zh-CN" w:bidi="zh-CN"/>
                    </w:rPr>
                    <w:t>、物料喷水抑尘</w:t>
                  </w:r>
                </w:p>
              </w:tc>
              <w:tc>
                <w:tcPr>
                  <w:tcW w:w="846" w:type="dxa"/>
                  <w:noWrap w:val="0"/>
                  <w:vAlign w:val="center"/>
                </w:tcPr>
                <w:p>
                  <w:pPr>
                    <w:pStyle w:val="42"/>
                    <w:spacing w:line="265" w:lineRule="exact"/>
                    <w:jc w:val="center"/>
                    <w:rPr>
                      <w:rFonts w:hint="default" w:ascii="Times New Roman" w:hAnsi="Times New Roman" w:eastAsia="宋体" w:cs="Times New Roman"/>
                      <w:color w:val="000000"/>
                      <w:spacing w:val="-1"/>
                      <w:kern w:val="0"/>
                      <w:sz w:val="21"/>
                      <w:szCs w:val="21"/>
                      <w:lang w:val="en-US" w:eastAsia="zh-CN" w:bidi="zh-CN"/>
                    </w:rPr>
                  </w:pPr>
                  <w:r>
                    <w:rPr>
                      <w:rFonts w:hint="eastAsia" w:ascii="Times New Roman" w:hAnsi="Times New Roman" w:cs="Times New Roman"/>
                      <w:color w:val="000000"/>
                      <w:spacing w:val="-1"/>
                      <w:kern w:val="0"/>
                      <w:sz w:val="21"/>
                      <w:szCs w:val="21"/>
                      <w:lang w:val="en-US" w:eastAsia="zh-CN" w:bidi="zh-CN"/>
                    </w:rPr>
                    <w:t>2.16</w:t>
                  </w:r>
                </w:p>
              </w:tc>
              <w:tc>
                <w:tcPr>
                  <w:tcW w:w="698" w:type="dxa"/>
                  <w:noWrap w:val="0"/>
                  <w:vAlign w:val="center"/>
                </w:tcPr>
                <w:p>
                  <w:pPr>
                    <w:pStyle w:val="42"/>
                    <w:spacing w:line="265" w:lineRule="exact"/>
                    <w:jc w:val="center"/>
                    <w:rPr>
                      <w:rFonts w:hint="default" w:ascii="Times New Roman" w:hAnsi="Times New Roman" w:eastAsia="宋体" w:cs="Times New Roman"/>
                      <w:color w:val="000000"/>
                      <w:spacing w:val="-1"/>
                      <w:kern w:val="0"/>
                      <w:sz w:val="21"/>
                      <w:szCs w:val="21"/>
                      <w:lang w:val="en-US" w:eastAsia="zh-CN" w:bidi="zh-CN"/>
                    </w:rPr>
                  </w:pPr>
                  <w:r>
                    <w:rPr>
                      <w:rFonts w:hint="eastAsia" w:ascii="Times New Roman" w:hAnsi="Times New Roman" w:cs="Times New Roman"/>
                      <w:color w:val="000000"/>
                      <w:spacing w:val="-1"/>
                      <w:kern w:val="0"/>
                      <w:sz w:val="21"/>
                      <w:szCs w:val="21"/>
                      <w:lang w:val="en-US" w:eastAsia="zh-CN" w:bidi="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929" w:type="dxa"/>
                  <w:noWrap w:val="0"/>
                  <w:vAlign w:val="center"/>
                </w:tcPr>
                <w:p>
                  <w:pPr>
                    <w:pStyle w:val="42"/>
                    <w:spacing w:line="265" w:lineRule="exact"/>
                    <w:ind w:left="111"/>
                    <w:jc w:val="both"/>
                    <w:rPr>
                      <w:rFonts w:hint="default" w:ascii="Times New Roman" w:hAnsi="Times New Roman" w:eastAsia="宋体" w:cs="Times New Roman"/>
                      <w:spacing w:val="-1"/>
                      <w:kern w:val="0"/>
                      <w:sz w:val="21"/>
                      <w:szCs w:val="21"/>
                      <w:lang w:val="en-US" w:eastAsia="zh-CN" w:bidi="zh-CN"/>
                    </w:rPr>
                  </w:pPr>
                  <w:r>
                    <w:rPr>
                      <w:rFonts w:hint="eastAsia" w:ascii="Times New Roman" w:hAnsi="Times New Roman" w:cs="Times New Roman"/>
                      <w:spacing w:val="-1"/>
                      <w:kern w:val="0"/>
                      <w:sz w:val="21"/>
                      <w:szCs w:val="21"/>
                      <w:lang w:val="en-US" w:eastAsia="zh-CN" w:bidi="zh-CN"/>
                    </w:rPr>
                    <w:t>道路运输</w:t>
                  </w:r>
                </w:p>
              </w:tc>
              <w:tc>
                <w:tcPr>
                  <w:tcW w:w="919" w:type="dxa"/>
                  <w:noWrap w:val="0"/>
                  <w:vAlign w:val="center"/>
                </w:tcPr>
                <w:p>
                  <w:pPr>
                    <w:pStyle w:val="42"/>
                    <w:spacing w:line="265" w:lineRule="exact"/>
                    <w:jc w:val="center"/>
                    <w:rPr>
                      <w:rFonts w:hint="default" w:ascii="Times New Roman" w:hAnsi="Times New Roman" w:cs="Times New Roman"/>
                      <w:color w:val="auto"/>
                      <w:spacing w:val="-1"/>
                      <w:kern w:val="0"/>
                      <w:sz w:val="21"/>
                      <w:szCs w:val="21"/>
                      <w:lang w:val="en-US" w:eastAsia="zh-CN" w:bidi="zh-CN"/>
                    </w:rPr>
                  </w:pPr>
                  <w:r>
                    <w:rPr>
                      <w:rFonts w:hint="eastAsia" w:ascii="Times New Roman" w:hAnsi="Times New Roman" w:cs="Times New Roman"/>
                      <w:color w:val="auto"/>
                      <w:spacing w:val="-1"/>
                      <w:kern w:val="0"/>
                      <w:sz w:val="21"/>
                      <w:szCs w:val="21"/>
                      <w:lang w:val="en-US" w:eastAsia="zh-CN" w:bidi="zh-CN"/>
                    </w:rPr>
                    <w:t>2.39</w:t>
                  </w:r>
                </w:p>
              </w:tc>
              <w:tc>
                <w:tcPr>
                  <w:tcW w:w="842" w:type="dxa"/>
                  <w:noWrap w:val="0"/>
                  <w:vAlign w:val="center"/>
                </w:tcPr>
                <w:p>
                  <w:pPr>
                    <w:pStyle w:val="42"/>
                    <w:spacing w:line="265" w:lineRule="exact"/>
                    <w:jc w:val="center"/>
                    <w:rPr>
                      <w:rFonts w:hint="default" w:ascii="Times New Roman" w:hAnsi="Times New Roman" w:cs="Times New Roman"/>
                      <w:color w:val="auto"/>
                      <w:spacing w:val="-1"/>
                      <w:kern w:val="0"/>
                      <w:sz w:val="21"/>
                      <w:szCs w:val="21"/>
                      <w:lang w:val="en-US" w:eastAsia="zh-CN" w:bidi="zh-CN"/>
                    </w:rPr>
                  </w:pPr>
                  <w:r>
                    <w:rPr>
                      <w:rFonts w:hint="eastAsia" w:ascii="Times New Roman" w:hAnsi="Times New Roman" w:cs="Times New Roman"/>
                      <w:color w:val="auto"/>
                      <w:spacing w:val="-1"/>
                      <w:kern w:val="0"/>
                      <w:sz w:val="21"/>
                      <w:szCs w:val="21"/>
                      <w:lang w:val="en-US" w:eastAsia="zh-CN" w:bidi="zh-CN"/>
                    </w:rPr>
                    <w:t>0.332</w:t>
                  </w:r>
                </w:p>
              </w:tc>
              <w:tc>
                <w:tcPr>
                  <w:tcW w:w="885" w:type="dxa"/>
                  <w:noWrap w:val="0"/>
                  <w:vAlign w:val="center"/>
                </w:tcPr>
                <w:p>
                  <w:pPr>
                    <w:pStyle w:val="42"/>
                    <w:spacing w:line="265" w:lineRule="exact"/>
                    <w:ind w:firstLine="208" w:firstLineChars="100"/>
                    <w:jc w:val="both"/>
                    <w:rPr>
                      <w:rFonts w:hint="default" w:ascii="Times New Roman" w:hAnsi="Times New Roman" w:eastAsia="宋体" w:cs="Times New Roman"/>
                      <w:color w:val="auto"/>
                      <w:spacing w:val="-1"/>
                      <w:kern w:val="0"/>
                      <w:sz w:val="21"/>
                      <w:szCs w:val="21"/>
                      <w:lang w:val="en-US" w:eastAsia="zh-CN" w:bidi="zh-CN"/>
                    </w:rPr>
                  </w:pPr>
                  <w:r>
                    <w:rPr>
                      <w:rFonts w:hint="eastAsia" w:ascii="Times New Roman" w:hAnsi="Times New Roman" w:cs="Times New Roman"/>
                      <w:color w:val="auto"/>
                      <w:spacing w:val="-1"/>
                      <w:kern w:val="0"/>
                      <w:sz w:val="21"/>
                      <w:szCs w:val="21"/>
                      <w:lang w:val="en-US" w:eastAsia="zh-CN" w:bidi="zh-CN"/>
                    </w:rPr>
                    <w:t>无组织</w:t>
                  </w:r>
                </w:p>
              </w:tc>
              <w:tc>
                <w:tcPr>
                  <w:tcW w:w="2639" w:type="dxa"/>
                  <w:noWrap w:val="0"/>
                  <w:vAlign w:val="center"/>
                </w:tcPr>
                <w:p>
                  <w:pPr>
                    <w:pStyle w:val="42"/>
                    <w:spacing w:line="265" w:lineRule="exact"/>
                    <w:ind w:left="111"/>
                    <w:jc w:val="left"/>
                    <w:rPr>
                      <w:rFonts w:hint="default" w:ascii="Times New Roman" w:hAnsi="Times New Roman" w:eastAsia="宋体" w:cs="Times New Roman"/>
                      <w:color w:val="000000"/>
                      <w:spacing w:val="-1"/>
                      <w:kern w:val="0"/>
                      <w:sz w:val="21"/>
                      <w:szCs w:val="21"/>
                      <w:lang w:val="en-US" w:eastAsia="zh-CN" w:bidi="zh-CN"/>
                    </w:rPr>
                  </w:pPr>
                  <w:r>
                    <w:rPr>
                      <w:rFonts w:hint="eastAsia" w:ascii="Times New Roman" w:hAnsi="Times New Roman" w:cs="Times New Roman"/>
                      <w:color w:val="000000"/>
                      <w:spacing w:val="-1"/>
                      <w:kern w:val="0"/>
                      <w:sz w:val="21"/>
                      <w:szCs w:val="21"/>
                      <w:lang w:val="en-US" w:eastAsia="zh-CN" w:bidi="zh-CN"/>
                    </w:rPr>
                    <w:t>道路洒水，加盖篷布</w:t>
                  </w:r>
                </w:p>
              </w:tc>
              <w:tc>
                <w:tcPr>
                  <w:tcW w:w="846" w:type="dxa"/>
                  <w:noWrap w:val="0"/>
                  <w:vAlign w:val="center"/>
                </w:tcPr>
                <w:p>
                  <w:pPr>
                    <w:pStyle w:val="42"/>
                    <w:spacing w:line="265" w:lineRule="exact"/>
                    <w:jc w:val="center"/>
                    <w:rPr>
                      <w:rFonts w:hint="default" w:ascii="Times New Roman" w:hAnsi="Times New Roman" w:cs="Times New Roman"/>
                      <w:color w:val="000000"/>
                      <w:spacing w:val="-1"/>
                      <w:kern w:val="0"/>
                      <w:sz w:val="21"/>
                      <w:szCs w:val="21"/>
                      <w:lang w:val="en-US" w:eastAsia="zh-CN" w:bidi="zh-CN"/>
                    </w:rPr>
                  </w:pPr>
                  <w:r>
                    <w:rPr>
                      <w:rFonts w:hint="eastAsia" w:ascii="Times New Roman" w:hAnsi="Times New Roman" w:cs="Times New Roman"/>
                      <w:color w:val="000000"/>
                      <w:spacing w:val="-1"/>
                      <w:kern w:val="0"/>
                      <w:sz w:val="21"/>
                      <w:szCs w:val="21"/>
                      <w:lang w:val="en-US" w:eastAsia="zh-CN" w:bidi="zh-CN"/>
                    </w:rPr>
                    <w:t>0.478</w:t>
                  </w:r>
                </w:p>
              </w:tc>
              <w:tc>
                <w:tcPr>
                  <w:tcW w:w="698" w:type="dxa"/>
                  <w:noWrap w:val="0"/>
                  <w:vAlign w:val="center"/>
                </w:tcPr>
                <w:p>
                  <w:pPr>
                    <w:pStyle w:val="42"/>
                    <w:spacing w:line="265" w:lineRule="exact"/>
                    <w:jc w:val="center"/>
                    <w:rPr>
                      <w:rFonts w:hint="default" w:ascii="Times New Roman" w:hAnsi="Times New Roman" w:cs="Times New Roman"/>
                      <w:color w:val="000000"/>
                      <w:spacing w:val="-1"/>
                      <w:kern w:val="0"/>
                      <w:sz w:val="21"/>
                      <w:szCs w:val="21"/>
                      <w:lang w:val="en-US" w:eastAsia="zh-CN" w:bidi="zh-CN"/>
                    </w:rPr>
                  </w:pPr>
                  <w:r>
                    <w:rPr>
                      <w:rFonts w:hint="eastAsia" w:ascii="Times New Roman" w:hAnsi="Times New Roman" w:cs="Times New Roman"/>
                      <w:color w:val="000000"/>
                      <w:spacing w:val="-1"/>
                      <w:kern w:val="0"/>
                      <w:sz w:val="21"/>
                      <w:szCs w:val="21"/>
                      <w:lang w:val="en-US" w:eastAsia="zh-CN" w:bidi="zh-CN"/>
                    </w:rPr>
                    <w:t>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929" w:type="dxa"/>
                  <w:noWrap w:val="0"/>
                  <w:vAlign w:val="center"/>
                </w:tcPr>
                <w:p>
                  <w:pPr>
                    <w:pStyle w:val="42"/>
                    <w:spacing w:before="28"/>
                    <w:ind w:left="156" w:right="149"/>
                    <w:jc w:val="center"/>
                    <w:rPr>
                      <w:sz w:val="21"/>
                      <w:szCs w:val="21"/>
                    </w:rPr>
                  </w:pPr>
                  <w:r>
                    <w:rPr>
                      <w:sz w:val="21"/>
                      <w:szCs w:val="21"/>
                    </w:rPr>
                    <w:t>合计</w:t>
                  </w:r>
                </w:p>
              </w:tc>
              <w:tc>
                <w:tcPr>
                  <w:tcW w:w="919" w:type="dxa"/>
                  <w:noWrap w:val="0"/>
                  <w:vAlign w:val="center"/>
                </w:tcPr>
                <w:p>
                  <w:pPr>
                    <w:pStyle w:val="42"/>
                    <w:spacing w:before="42"/>
                    <w:ind w:left="91" w:right="83"/>
                    <w:jc w:val="left"/>
                    <w:rPr>
                      <w:rFonts w:hint="default" w:ascii="Times New Roman" w:eastAsia="宋体"/>
                      <w:sz w:val="21"/>
                      <w:szCs w:val="21"/>
                      <w:lang w:val="en-US" w:eastAsia="zh-CN"/>
                    </w:rPr>
                  </w:pPr>
                  <w:r>
                    <w:rPr>
                      <w:rFonts w:hint="eastAsia" w:ascii="Times New Roman"/>
                      <w:sz w:val="21"/>
                      <w:szCs w:val="21"/>
                      <w:lang w:val="en-US" w:eastAsia="zh-CN"/>
                    </w:rPr>
                    <w:t>896.49</w:t>
                  </w:r>
                </w:p>
              </w:tc>
              <w:tc>
                <w:tcPr>
                  <w:tcW w:w="842" w:type="dxa"/>
                  <w:noWrap w:val="0"/>
                  <w:vAlign w:val="center"/>
                </w:tcPr>
                <w:p>
                  <w:pPr>
                    <w:pStyle w:val="42"/>
                    <w:spacing w:before="42"/>
                    <w:ind w:left="137"/>
                    <w:jc w:val="center"/>
                    <w:rPr>
                      <w:rFonts w:hint="default" w:ascii="Times New Roman" w:eastAsia="宋体"/>
                      <w:sz w:val="21"/>
                      <w:szCs w:val="21"/>
                      <w:lang w:val="en-US" w:eastAsia="zh-CN"/>
                    </w:rPr>
                  </w:pPr>
                  <w:r>
                    <w:rPr>
                      <w:rFonts w:hint="eastAsia" w:ascii="Times New Roman"/>
                      <w:sz w:val="21"/>
                      <w:szCs w:val="21"/>
                      <w:lang w:val="en-US" w:eastAsia="zh-CN"/>
                    </w:rPr>
                    <w:t>124.512</w:t>
                  </w:r>
                </w:p>
              </w:tc>
              <w:tc>
                <w:tcPr>
                  <w:tcW w:w="885" w:type="dxa"/>
                  <w:noWrap w:val="0"/>
                  <w:vAlign w:val="center"/>
                </w:tcPr>
                <w:p>
                  <w:pPr>
                    <w:pStyle w:val="42"/>
                    <w:jc w:val="center"/>
                    <w:rPr>
                      <w:rFonts w:hint="eastAsia" w:ascii="Times New Roman" w:eastAsia="宋体"/>
                      <w:sz w:val="21"/>
                      <w:szCs w:val="21"/>
                      <w:lang w:val="en-US" w:eastAsia="zh-CN"/>
                    </w:rPr>
                  </w:pPr>
                  <w:r>
                    <w:rPr>
                      <w:rFonts w:hint="eastAsia" w:ascii="Times New Roman"/>
                      <w:sz w:val="21"/>
                      <w:szCs w:val="21"/>
                      <w:lang w:val="en-US" w:eastAsia="zh-CN"/>
                    </w:rPr>
                    <w:t>/</w:t>
                  </w:r>
                </w:p>
              </w:tc>
              <w:tc>
                <w:tcPr>
                  <w:tcW w:w="2639" w:type="dxa"/>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en-US" w:eastAsia="zh-CN" w:bidi="zh-CN"/>
                    </w:rPr>
                  </w:pPr>
                  <w:r>
                    <w:rPr>
                      <w:rFonts w:hint="eastAsia" w:ascii="Times New Roman" w:hAnsi="Times New Roman" w:cs="Times New Roman"/>
                      <w:spacing w:val="-1"/>
                      <w:kern w:val="0"/>
                      <w:sz w:val="21"/>
                      <w:szCs w:val="21"/>
                      <w:lang w:val="en-US" w:eastAsia="zh-CN" w:bidi="zh-CN"/>
                    </w:rPr>
                    <w:t>/</w:t>
                  </w:r>
                </w:p>
              </w:tc>
              <w:tc>
                <w:tcPr>
                  <w:tcW w:w="846" w:type="dxa"/>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en-US" w:eastAsia="zh-CN" w:bidi="zh-CN"/>
                    </w:rPr>
                  </w:pPr>
                  <w:r>
                    <w:rPr>
                      <w:rFonts w:hint="eastAsia" w:ascii="Times New Roman" w:hAnsi="Times New Roman" w:cs="Times New Roman"/>
                      <w:spacing w:val="-1"/>
                      <w:kern w:val="0"/>
                      <w:sz w:val="21"/>
                      <w:szCs w:val="21"/>
                      <w:lang w:val="en-US" w:eastAsia="zh-CN" w:bidi="zh-CN"/>
                    </w:rPr>
                    <w:t>9.138</w:t>
                  </w:r>
                </w:p>
              </w:tc>
              <w:tc>
                <w:tcPr>
                  <w:tcW w:w="698" w:type="dxa"/>
                  <w:noWrap w:val="0"/>
                  <w:vAlign w:val="center"/>
                </w:tcPr>
                <w:p>
                  <w:pPr>
                    <w:pStyle w:val="42"/>
                    <w:spacing w:line="265" w:lineRule="exact"/>
                    <w:ind w:left="111"/>
                    <w:jc w:val="center"/>
                    <w:rPr>
                      <w:rFonts w:hint="default" w:ascii="Times New Roman" w:hAnsi="Times New Roman" w:eastAsia="宋体" w:cs="Times New Roman"/>
                      <w:spacing w:val="-1"/>
                      <w:kern w:val="0"/>
                      <w:sz w:val="21"/>
                      <w:szCs w:val="21"/>
                      <w:lang w:val="en-US" w:eastAsia="zh-CN" w:bidi="zh-CN"/>
                    </w:rPr>
                  </w:pPr>
                  <w:r>
                    <w:rPr>
                      <w:rFonts w:hint="eastAsia" w:ascii="Times New Roman" w:hAnsi="Times New Roman" w:cs="Times New Roman"/>
                      <w:spacing w:val="-1"/>
                      <w:kern w:val="0"/>
                      <w:sz w:val="21"/>
                      <w:szCs w:val="21"/>
                      <w:lang w:val="en-US" w:eastAsia="zh-CN" w:bidi="zh-CN"/>
                    </w:rPr>
                    <w:t>1.269</w:t>
                  </w:r>
                </w:p>
              </w:tc>
            </w:tr>
          </w:tbl>
          <w:p>
            <w:pPr>
              <w:adjustRightInd w:val="0"/>
              <w:snapToGrid w:val="0"/>
              <w:spacing w:line="360" w:lineRule="auto"/>
              <w:rPr>
                <w:rFonts w:hAnsiTheme="minorEastAsia" w:eastAsiaTheme="minorEastAsia"/>
                <w:color w:val="000000" w:themeColor="text1"/>
                <w:sz w:val="24"/>
                <w:szCs w:val="24"/>
                <w14:textFill>
                  <w14:solidFill>
                    <w14:schemeClr w14:val="tx1"/>
                  </w14:solidFill>
                </w14:textFill>
              </w:rPr>
            </w:pPr>
          </w:p>
          <w:p>
            <w:pPr>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2</w:t>
            </w:r>
            <w:r>
              <w:rPr>
                <w:rFonts w:hAnsiTheme="minorEastAsia" w:eastAsiaTheme="minorEastAsia"/>
                <w:b/>
                <w:color w:val="000000" w:themeColor="text1"/>
                <w:sz w:val="24"/>
                <w14:textFill>
                  <w14:solidFill>
                    <w14:schemeClr w14:val="tx1"/>
                  </w14:solidFill>
                </w14:textFill>
              </w:rPr>
              <w:t>、地表水环境影响分析</w:t>
            </w:r>
            <w:r>
              <w:rPr>
                <w:rFonts w:hint="eastAsia" w:hAnsiTheme="minorEastAsia" w:eastAsiaTheme="minorEastAsia"/>
                <w:b/>
                <w:color w:val="000000" w:themeColor="text1"/>
                <w:sz w:val="24"/>
                <w:lang w:val="en-US" w:eastAsia="zh-CN"/>
                <w14:textFill>
                  <w14:solidFill>
                    <w14:schemeClr w14:val="tx1"/>
                  </w14:solidFill>
                </w14:textFill>
              </w:rPr>
              <w:t>及措施</w:t>
            </w:r>
          </w:p>
          <w:p>
            <w:pPr>
              <w:adjustRightInd w:val="0"/>
              <w:snapToGrid w:val="0"/>
              <w:spacing w:line="360" w:lineRule="auto"/>
              <w:ind w:firstLine="480" w:firstLineChars="200"/>
              <w:rPr>
                <w:rFonts w:hAnsiTheme="minorEastAsia" w:eastAsiaTheme="minorEastAsia"/>
                <w:color w:val="auto"/>
                <w:sz w:val="24"/>
                <w:szCs w:val="24"/>
              </w:rPr>
            </w:pPr>
            <w:r>
              <w:rPr>
                <w:rFonts w:hAnsiTheme="minorEastAsia" w:eastAsiaTheme="minorEastAsia"/>
                <w:color w:val="000000" w:themeColor="text1"/>
                <w:sz w:val="24"/>
                <w:szCs w:val="24"/>
                <w14:textFill>
                  <w14:solidFill>
                    <w14:schemeClr w14:val="tx1"/>
                  </w14:solidFill>
                </w14:textFill>
              </w:rPr>
              <w:t>该矿区内大部分区域均有基岩出露，无富含水层，其</w:t>
            </w:r>
            <w:r>
              <w:rPr>
                <w:rFonts w:hAnsiTheme="minorEastAsia" w:eastAsiaTheme="minorEastAsia"/>
                <w:bCs/>
                <w:color w:val="000000" w:themeColor="text1"/>
                <w:sz w:val="24"/>
                <w:szCs w:val="24"/>
                <w14:textFill>
                  <w14:solidFill>
                    <w14:schemeClr w14:val="tx1"/>
                  </w14:solidFill>
                </w14:textFill>
              </w:rPr>
              <w:t>导、透水性较强，</w:t>
            </w:r>
            <w:r>
              <w:rPr>
                <w:rFonts w:hAnsiTheme="minorEastAsia" w:eastAsiaTheme="minorEastAsia"/>
                <w:color w:val="000000" w:themeColor="text1"/>
                <w:sz w:val="24"/>
                <w:szCs w:val="24"/>
                <w14:textFill>
                  <w14:solidFill>
                    <w14:schemeClr w14:val="tx1"/>
                  </w14:solidFill>
                </w14:textFill>
              </w:rPr>
              <w:t>储水能力较弱，其充水来源主要是大气降水。雨季采区径流水水年均产生量为</w:t>
            </w:r>
            <w:r>
              <w:rPr>
                <w:rFonts w:eastAsiaTheme="minorEastAsia"/>
                <w:color w:val="000000" w:themeColor="text1"/>
                <w14:textFill>
                  <w14:solidFill>
                    <w14:schemeClr w14:val="tx1"/>
                  </w14:solidFill>
                </w14:textFill>
              </w:rPr>
              <w:t>37567.1</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hAnsiTheme="minorEastAsia" w:eastAsiaTheme="minorEastAsia"/>
                <w:color w:val="000000" w:themeColor="text1"/>
                <w:sz w:val="24"/>
                <w:szCs w:val="24"/>
                <w14:textFill>
                  <w14:solidFill>
                    <w14:schemeClr w14:val="tx1"/>
                  </w14:solidFill>
                </w14:textFill>
              </w:rPr>
              <w:t>。评价要求：Ⅰ、工程在露天采区外缘修筑截洪沟，防止界外大气降水流入采区内；Ⅱ、在露天开采界内的终了平台上修筑排水渠，将山坡露天边坡上承接的大气降水及边坡上裂隙渗水拦截后进入沉淀池，评价要求在采场排水沟设置</w:t>
            </w:r>
            <w:r>
              <w:rPr>
                <w:rFonts w:eastAsiaTheme="minorEastAsia"/>
                <w:color w:val="000000" w:themeColor="text1"/>
                <w:sz w:val="24"/>
                <w:szCs w:val="24"/>
                <w14:textFill>
                  <w14:solidFill>
                    <w14:schemeClr w14:val="tx1"/>
                  </w14:solidFill>
                </w14:textFill>
              </w:rPr>
              <w:t>10</w:t>
            </w:r>
            <w:r>
              <w:rPr>
                <w:rFonts w:hint="eastAsia" w:eastAsiaTheme="minorEastAsia"/>
                <w:color w:val="000000" w:themeColor="text1"/>
                <w:sz w:val="24"/>
                <w:szCs w:val="24"/>
                <w14:textFill>
                  <w14:solidFill>
                    <w14:schemeClr w14:val="tx1"/>
                  </w14:solidFill>
                </w14:textFill>
              </w:rPr>
              <w:t>0</w:t>
            </w:r>
            <w:r>
              <w:rPr>
                <w:rFonts w:hint="eastAsia" w:eastAsiaTheme="minorEastAsia"/>
                <w:color w:val="000000" w:themeColor="text1"/>
                <w:sz w:val="24"/>
                <w:szCs w:val="24"/>
                <w:lang w:val="en-US" w:eastAsia="zh-CN"/>
                <w14:textFill>
                  <w14:solidFill>
                    <w14:schemeClr w14:val="tx1"/>
                  </w14:solidFill>
                </w14:textFill>
              </w:rPr>
              <w:t>0</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hAnsiTheme="minorEastAsia" w:eastAsiaTheme="minorEastAsia"/>
                <w:color w:val="000000" w:themeColor="text1"/>
                <w:sz w:val="24"/>
                <w:szCs w:val="24"/>
                <w14:textFill>
                  <w14:solidFill>
                    <w14:schemeClr w14:val="tx1"/>
                  </w14:solidFill>
                </w14:textFill>
              </w:rPr>
              <w:t>沉淀池和</w:t>
            </w:r>
            <w:r>
              <w:rPr>
                <w:rFonts w:eastAsiaTheme="minorEastAsia"/>
                <w:color w:val="000000" w:themeColor="text1"/>
                <w:sz w:val="24"/>
                <w:szCs w:val="24"/>
                <w14:textFill>
                  <w14:solidFill>
                    <w14:schemeClr w14:val="tx1"/>
                  </w14:solidFill>
                </w14:textFill>
              </w:rPr>
              <w:t>1</w:t>
            </w:r>
            <w:r>
              <w:rPr>
                <w:rFonts w:hint="eastAsia" w:eastAsiaTheme="minorEastAsia"/>
                <w:color w:val="000000" w:themeColor="text1"/>
                <w:sz w:val="24"/>
                <w:szCs w:val="24"/>
                <w14:textFill>
                  <w14:solidFill>
                    <w14:schemeClr w14:val="tx1"/>
                  </w14:solidFill>
                </w14:textFill>
              </w:rPr>
              <w:t>0</w:t>
            </w:r>
            <w:r>
              <w:rPr>
                <w:rFonts w:eastAsiaTheme="minorEastAsia"/>
                <w:color w:val="000000" w:themeColor="text1"/>
                <w:sz w:val="24"/>
                <w:szCs w:val="24"/>
                <w14:textFill>
                  <w14:solidFill>
                    <w14:schemeClr w14:val="tx1"/>
                  </w14:solidFill>
                </w14:textFill>
              </w:rPr>
              <w:t>0m</w:t>
            </w:r>
            <w:r>
              <w:rPr>
                <w:rFonts w:eastAsiaTheme="minorEastAsia"/>
                <w:color w:val="000000" w:themeColor="text1"/>
                <w:sz w:val="24"/>
                <w:szCs w:val="24"/>
                <w:vertAlign w:val="superscript"/>
                <w14:textFill>
                  <w14:solidFill>
                    <w14:schemeClr w14:val="tx1"/>
                  </w14:solidFill>
                </w14:textFill>
              </w:rPr>
              <w:t>3</w:t>
            </w:r>
            <w:r>
              <w:rPr>
                <w:rFonts w:hAnsiTheme="minorEastAsia" w:eastAsiaTheme="minorEastAsia"/>
                <w:color w:val="000000" w:themeColor="text1"/>
                <w:sz w:val="24"/>
                <w:szCs w:val="24"/>
                <w14:textFill>
                  <w14:solidFill>
                    <w14:schemeClr w14:val="tx1"/>
                  </w14:solidFill>
                </w14:textFill>
              </w:rPr>
              <w:t>蓄水池，可满足</w:t>
            </w:r>
            <w:r>
              <w:rPr>
                <w:rFonts w:hint="eastAsia" w:eastAsiaTheme="minorEastAsia"/>
                <w:color w:val="000000" w:themeColor="text1"/>
                <w:sz w:val="24"/>
                <w:szCs w:val="24"/>
                <w14:textFill>
                  <w14:solidFill>
                    <w14:schemeClr w14:val="tx1"/>
                  </w14:solidFill>
                </w14:textFill>
              </w:rPr>
              <w:t>10</w:t>
            </w:r>
            <w:r>
              <w:rPr>
                <w:rFonts w:hAnsiTheme="minorEastAsia" w:eastAsiaTheme="minorEastAsia"/>
                <w:color w:val="000000" w:themeColor="text1"/>
                <w:sz w:val="24"/>
                <w:szCs w:val="24"/>
                <w14:textFill>
                  <w14:solidFill>
                    <w14:schemeClr w14:val="tx1"/>
                  </w14:solidFill>
                </w14:textFill>
              </w:rPr>
              <w:t>天径流水的收集。雨水及边坡上裂隙渗水经沉淀后用于洒水降尘不外排，预计采矿场污染物主要为悬浮物，经沉淀后与雨水水质基本一致。本项目淋溶废水量较小，各</w:t>
            </w:r>
            <w:r>
              <w:rPr>
                <w:rFonts w:hAnsiTheme="minorEastAsia" w:eastAsiaTheme="minorEastAsia"/>
                <w:color w:val="auto"/>
                <w:sz w:val="24"/>
                <w:szCs w:val="24"/>
              </w:rPr>
              <w:t>项污染物含量较低，对地表水环境产生的影响较小。</w:t>
            </w:r>
          </w:p>
          <w:p>
            <w:pPr>
              <w:adjustRightInd w:val="0"/>
              <w:snapToGrid w:val="0"/>
              <w:spacing w:line="360" w:lineRule="auto"/>
              <w:ind w:firstLine="480" w:firstLineChars="200"/>
              <w:rPr>
                <w:rFonts w:hint="default" w:hAnsiTheme="minorEastAsia" w:eastAsiaTheme="minorEastAsia"/>
                <w:color w:val="auto"/>
                <w:sz w:val="24"/>
                <w:szCs w:val="24"/>
                <w:lang w:val="en-US" w:eastAsia="zh-CN"/>
              </w:rPr>
            </w:pPr>
            <w:r>
              <w:rPr>
                <w:rFonts w:hint="eastAsia" w:ascii="宋体" w:hAnsi="宋体" w:eastAsia="宋体" w:cs="宋体"/>
                <w:color w:val="auto"/>
                <w:sz w:val="24"/>
                <w:szCs w:val="24"/>
                <w:lang w:val="en-US" w:eastAsia="zh-CN"/>
              </w:rPr>
              <w:t>①</w:t>
            </w:r>
            <w:r>
              <w:rPr>
                <w:rFonts w:hint="eastAsia" w:hAnsiTheme="minorEastAsia" w:eastAsiaTheme="minorEastAsia"/>
                <w:color w:val="auto"/>
                <w:sz w:val="24"/>
                <w:szCs w:val="24"/>
                <w:lang w:val="en-US" w:eastAsia="zh-CN"/>
              </w:rPr>
              <w:t>项目生产加工的传送带横跨白鱼河，破碎筛分的砂石可能会掉落至白鱼河中，导致白鱼河水位下降，影响白鱼河的水质，建设单位应密封传送带，制定监督检查制度，定期维护传送带，确保输送的密封性及安全性。</w:t>
            </w:r>
          </w:p>
          <w:p>
            <w:pPr>
              <w:adjustRightInd w:val="0"/>
              <w:snapToGrid w:val="0"/>
              <w:spacing w:line="360" w:lineRule="auto"/>
              <w:ind w:firstLine="480" w:firstLineChars="200"/>
              <w:rPr>
                <w:rFonts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hAnsiTheme="minorEastAsia" w:eastAsiaTheme="minorEastAsia"/>
                <w:color w:val="000000" w:themeColor="text1"/>
                <w:sz w:val="24"/>
                <w:szCs w:val="24"/>
                <w14:textFill>
                  <w14:solidFill>
                    <w14:schemeClr w14:val="tx1"/>
                  </w14:solidFill>
                </w14:textFill>
              </w:rPr>
              <w:t>露天采场地表径流水</w:t>
            </w:r>
          </w:p>
          <w:p>
            <w:pPr>
              <w:adjustRightInd w:val="0"/>
              <w:snapToGrid w:val="0"/>
              <w:spacing w:line="360" w:lineRule="auto"/>
              <w:ind w:firstLine="480" w:firstLineChars="200"/>
              <w:rPr>
                <w:rFonts w:ascii="Times New Roman" w:hAnsi="Times New Roman" w:cs="Times New Roman"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该矿区内大部分区域均有基岩出露，无富含水层，其导、透水性较强，储水能力较弱，其充水来源主要是大</w:t>
            </w:r>
            <w:r>
              <w:rPr>
                <w:rFonts w:ascii="Times New Roman" w:cs="Times New Roman" w:hAnsiTheme="minorEastAsia" w:eastAsiaTheme="minorEastAsia"/>
                <w:color w:val="000000" w:themeColor="text1"/>
                <w:sz w:val="24"/>
                <w:szCs w:val="24"/>
                <w14:textFill>
                  <w14:solidFill>
                    <w14:schemeClr w14:val="tx1"/>
                  </w14:solidFill>
                </w14:textFill>
              </w:rPr>
              <w:t>气降水。项目所在区域年平均降水量为</w:t>
            </w:r>
            <w:r>
              <w:rPr>
                <w:rFonts w:ascii="Times New Roman" w:hAnsi="Times New Roman" w:cs="Times New Roman" w:eastAsiaTheme="minorEastAsia"/>
                <w:color w:val="000000" w:themeColor="text1"/>
                <w:sz w:val="24"/>
                <w:szCs w:val="24"/>
                <w14:textFill>
                  <w14:solidFill>
                    <w14:schemeClr w14:val="tx1"/>
                  </w14:solidFill>
                </w14:textFill>
              </w:rPr>
              <w:t>799.3mm</w:t>
            </w:r>
            <w:r>
              <w:rPr>
                <w:rFonts w:ascii="Times New Roman" w:cs="Times New Roman" w:hAnsiTheme="minorEastAsia" w:eastAsiaTheme="minorEastAsia"/>
                <w:color w:val="000000" w:themeColor="text1"/>
                <w:sz w:val="24"/>
                <w:szCs w:val="24"/>
                <w14:textFill>
                  <w14:solidFill>
                    <w14:schemeClr w14:val="tx1"/>
                  </w14:solidFill>
                </w14:textFill>
              </w:rPr>
              <w:t>，降水量年际变化明显。采区露天采场占地约</w:t>
            </w:r>
            <w:r>
              <w:rPr>
                <w:rFonts w:ascii="Times New Roman" w:hAnsi="Times New Roman" w:cs="Times New Roman" w:eastAsiaTheme="minorEastAsia"/>
                <w:color w:val="000000" w:themeColor="text1"/>
                <w:sz w:val="24"/>
                <w:szCs w:val="24"/>
                <w14:textFill>
                  <w14:solidFill>
                    <w14:schemeClr w14:val="tx1"/>
                  </w14:solidFill>
                </w14:textFill>
              </w:rPr>
              <w:t>0.47km</w:t>
            </w:r>
            <w:r>
              <w:rPr>
                <w:rFonts w:ascii="Times New Roman" w:hAnsi="Times New Roman" w:cs="Times New Roman" w:eastAsiaTheme="minorEastAsia"/>
                <w:color w:val="000000" w:themeColor="text1"/>
                <w:sz w:val="24"/>
                <w:szCs w:val="24"/>
                <w:vertAlign w:val="superscript"/>
                <w14:textFill>
                  <w14:solidFill>
                    <w14:schemeClr w14:val="tx1"/>
                  </w14:solidFill>
                </w14:textFill>
              </w:rPr>
              <w:t>2</w:t>
            </w:r>
            <w:r>
              <w:rPr>
                <w:rFonts w:ascii="Times New Roman" w:cs="Times New Roman" w:hAnsiTheme="minorEastAsia" w:eastAsiaTheme="minorEastAsia"/>
                <w:color w:val="000000" w:themeColor="text1"/>
                <w:sz w:val="24"/>
                <w:szCs w:val="24"/>
                <w14:textFill>
                  <w14:solidFill>
                    <w14:schemeClr w14:val="tx1"/>
                  </w14:solidFill>
                </w14:textFill>
              </w:rPr>
              <w:t>，按地表径流系数</w:t>
            </w:r>
            <w:r>
              <w:rPr>
                <w:rFonts w:ascii="Times New Roman" w:hAnsi="Times New Roman" w:cs="Times New Roman" w:eastAsiaTheme="minorEastAsia"/>
                <w:color w:val="000000" w:themeColor="text1"/>
                <w:sz w:val="24"/>
                <w:szCs w:val="24"/>
                <w14:textFill>
                  <w14:solidFill>
                    <w14:schemeClr w14:val="tx1"/>
                  </w14:solidFill>
                </w14:textFill>
              </w:rPr>
              <w:t>0.7</w:t>
            </w:r>
            <w:r>
              <w:rPr>
                <w:rFonts w:ascii="Times New Roman" w:cs="Times New Roman" w:hAnsiTheme="minorEastAsia" w:eastAsiaTheme="minorEastAsia"/>
                <w:color w:val="000000" w:themeColor="text1"/>
                <w:sz w:val="24"/>
                <w:szCs w:val="24"/>
                <w14:textFill>
                  <w14:solidFill>
                    <w14:schemeClr w14:val="tx1"/>
                  </w14:solidFill>
                </w14:textFill>
              </w:rPr>
              <w:t>计，采区地表径流水年均产生量为</w:t>
            </w:r>
            <w:r>
              <w:rPr>
                <w:rFonts w:ascii="Times New Roman" w:hAnsi="Times New Roman" w:cs="Times New Roman" w:eastAsiaTheme="minorEastAsia"/>
                <w:color w:val="000000" w:themeColor="text1"/>
                <w:sz w:val="24"/>
                <w:szCs w:val="24"/>
                <w14:textFill>
                  <w14:solidFill>
                    <w14:schemeClr w14:val="tx1"/>
                  </w14:solidFill>
                </w14:textFill>
              </w:rPr>
              <w:t>37567.1m</w:t>
            </w:r>
            <w:r>
              <w:rPr>
                <w:rFonts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ascii="Times New Roman" w:cs="Times New Roman" w:hAnsiTheme="minorEastAsia" w:eastAsiaTheme="minorEastAsia"/>
                <w:color w:val="000000" w:themeColor="text1"/>
                <w:sz w:val="24"/>
                <w:szCs w:val="24"/>
                <w14:textFill>
                  <w14:solidFill>
                    <w14:schemeClr w14:val="tx1"/>
                  </w14:solidFill>
                </w14:textFill>
              </w:rPr>
              <w:t>。</w:t>
            </w:r>
          </w:p>
          <w:p>
            <w:pPr>
              <w:pStyle w:val="10"/>
              <w:adjustRightInd w:val="0"/>
              <w:snapToGrid w:val="0"/>
              <w:spacing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Theme="minorEastAsia" w:eastAsiaTheme="minorEastAsia"/>
                <w:color w:val="000000" w:themeColor="text1"/>
                <w:sz w:val="24"/>
                <w:szCs w:val="24"/>
                <w14:textFill>
                  <w14:solidFill>
                    <w14:schemeClr w14:val="tx1"/>
                  </w14:solidFill>
                </w14:textFill>
              </w:rPr>
              <w:t>职工生活水</w:t>
            </w:r>
          </w:p>
          <w:p>
            <w:pPr>
              <w:pStyle w:val="47"/>
              <w:adjustRightInd w:val="0"/>
              <w:snapToGrid w:val="0"/>
              <w:ind w:firstLine="480"/>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cs="Times New Roman" w:hAnsiTheme="minorEastAsia" w:eastAsiaTheme="minorEastAsia"/>
                <w:color w:val="000000" w:themeColor="text1"/>
                <w:sz w:val="24"/>
                <w:szCs w:val="24"/>
                <w14:textFill>
                  <w14:solidFill>
                    <w14:schemeClr w14:val="tx1"/>
                  </w14:solidFill>
                </w14:textFill>
              </w:rPr>
              <w:t>本项目职工共计</w:t>
            </w:r>
            <w:r>
              <w:rPr>
                <w:rFonts w:hint="eastAsia" w:ascii="Times New Roman" w:hAnsi="Times New Roman" w:cs="Times New Roman" w:eastAsiaTheme="minorEastAsia"/>
                <w:color w:val="000000" w:themeColor="text1"/>
                <w:sz w:val="24"/>
                <w:szCs w:val="24"/>
                <w14:textFill>
                  <w14:solidFill>
                    <w14:schemeClr w14:val="tx1"/>
                  </w14:solidFill>
                </w14:textFill>
              </w:rPr>
              <w:t>15</w:t>
            </w:r>
            <w:r>
              <w:rPr>
                <w:rFonts w:ascii="Times New Roman" w:cs="Times New Roman" w:hAnsiTheme="minorEastAsia" w:eastAsiaTheme="minorEastAsia"/>
                <w:color w:val="000000" w:themeColor="text1"/>
                <w:sz w:val="24"/>
                <w:szCs w:val="24"/>
                <w14:textFill>
                  <w14:solidFill>
                    <w14:schemeClr w14:val="tx1"/>
                  </w14:solidFill>
                </w14:textFill>
              </w:rPr>
              <w:t>人，生活用水员工生活污水量为</w:t>
            </w:r>
            <w:r>
              <w:rPr>
                <w:rFonts w:ascii="Times New Roman" w:hAnsi="Times New Roman" w:cs="Times New Roman" w:eastAsiaTheme="minorEastAsia"/>
                <w:color w:val="000000" w:themeColor="text1"/>
                <w:sz w:val="24"/>
                <w:szCs w:val="24"/>
                <w14:textFill>
                  <w14:solidFill>
                    <w14:schemeClr w14:val="tx1"/>
                  </w14:solidFill>
                </w14:textFill>
              </w:rPr>
              <w:t>0.525m</w:t>
            </w:r>
            <w:r>
              <w:rPr>
                <w:rFonts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ascii="Times New Roman" w:hAnsi="Times New Roman" w:cs="Times New Roman" w:eastAsiaTheme="minorEastAsia"/>
                <w:color w:val="000000" w:themeColor="text1"/>
                <w:sz w:val="24"/>
                <w:szCs w:val="24"/>
                <w14:textFill>
                  <w14:solidFill>
                    <w14:schemeClr w14:val="tx1"/>
                  </w14:solidFill>
                </w14:textFill>
              </w:rPr>
              <w:t>/d</w:t>
            </w:r>
            <w:r>
              <w:rPr>
                <w:rFonts w:ascii="Times New Roman" w:cs="Times New Roman" w:hAnsiTheme="minorEastAsia" w:eastAsiaTheme="minorEastAsia"/>
                <w:color w:val="000000" w:themeColor="text1"/>
                <w:sz w:val="24"/>
                <w:szCs w:val="24"/>
                <w14:textFill>
                  <w14:solidFill>
                    <w14:schemeClr w14:val="tx1"/>
                  </w14:solidFill>
                </w14:textFill>
              </w:rPr>
              <w:t>（</w:t>
            </w:r>
            <w:r>
              <w:rPr>
                <w:rFonts w:ascii="Times New Roman" w:hAnsi="Times New Roman" w:cs="Times New Roman" w:eastAsiaTheme="minorEastAsia"/>
                <w:color w:val="000000" w:themeColor="text1"/>
                <w:sz w:val="24"/>
                <w:szCs w:val="24"/>
                <w14:textFill>
                  <w14:solidFill>
                    <w14:schemeClr w14:val="tx1"/>
                  </w14:solidFill>
                </w14:textFill>
              </w:rPr>
              <w:t>157.5m</w:t>
            </w:r>
            <w:r>
              <w:rPr>
                <w:rFonts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ascii="Times New Roman" w:hAnsi="Times New Roman" w:cs="Times New Roman" w:eastAsiaTheme="minorEastAsia"/>
                <w:color w:val="000000" w:themeColor="text1"/>
                <w:sz w:val="24"/>
                <w:szCs w:val="24"/>
                <w14:textFill>
                  <w14:solidFill>
                    <w14:schemeClr w14:val="tx1"/>
                  </w14:solidFill>
                </w14:textFill>
              </w:rPr>
              <w:t>/a</w:t>
            </w:r>
            <w:r>
              <w:rPr>
                <w:rFonts w:ascii="Times New Roman" w:cs="Times New Roman" w:hAnsiTheme="minorEastAsia" w:eastAsiaTheme="minorEastAsia"/>
                <w:color w:val="000000" w:themeColor="text1"/>
                <w:sz w:val="24"/>
                <w:szCs w:val="24"/>
                <w14:textFill>
                  <w14:solidFill>
                    <w14:schemeClr w14:val="tx1"/>
                  </w14:solidFill>
                </w14:textFill>
              </w:rPr>
              <w:t>）</w:t>
            </w:r>
            <w:r>
              <w:rPr>
                <w:rFonts w:hint="eastAsia" w:ascii="Times New Roman" w:cs="Times New Roman" w:hAnsiTheme="minorEastAsia" w:eastAsiaTheme="minorEastAsia"/>
                <w:color w:val="000000" w:themeColor="text1"/>
                <w:sz w:val="24"/>
                <w:szCs w:val="24"/>
                <w:lang w:eastAsia="zh-CN"/>
                <w14:textFill>
                  <w14:solidFill>
                    <w14:schemeClr w14:val="tx1"/>
                  </w14:solidFill>
                </w14:textFill>
              </w:rPr>
              <w:t>，</w:t>
            </w:r>
            <w:r>
              <w:rPr>
                <w:rFonts w:ascii="Times New Roman" w:cs="Times New Roman" w:hAnsiTheme="minorEastAsia" w:eastAsiaTheme="minorEastAsia"/>
                <w:color w:val="000000" w:themeColor="text1"/>
                <w:sz w:val="24"/>
                <w:szCs w:val="24"/>
                <w14:textFill>
                  <w14:solidFill>
                    <w14:schemeClr w14:val="tx1"/>
                  </w14:solidFill>
                </w14:textFill>
              </w:rPr>
              <w:t>生活污水经化粪池收集，定期清掏不外排。生活污水主要污染物为</w:t>
            </w:r>
            <w:r>
              <w:rPr>
                <w:rFonts w:ascii="Times New Roman" w:hAnsi="Times New Roman" w:cs="Times New Roman" w:eastAsiaTheme="minorEastAsia"/>
                <w:color w:val="000000" w:themeColor="text1"/>
                <w:sz w:val="24"/>
                <w:szCs w:val="24"/>
                <w14:textFill>
                  <w14:solidFill>
                    <w14:schemeClr w14:val="tx1"/>
                  </w14:solidFill>
                </w14:textFill>
              </w:rPr>
              <w:t>COD</w:t>
            </w:r>
            <w:r>
              <w:rPr>
                <w:rFonts w:ascii="Times New Roman" w:cs="Times New Roman" w:hAnsiTheme="minorEastAsia" w:eastAsiaTheme="minorEastAsia"/>
                <w:color w:val="000000" w:themeColor="text1"/>
                <w:sz w:val="24"/>
                <w:szCs w:val="24"/>
                <w14:textFill>
                  <w14:solidFill>
                    <w14:schemeClr w14:val="tx1"/>
                  </w14:solidFill>
                </w14:textFill>
              </w:rPr>
              <w:t>、</w:t>
            </w:r>
            <w:r>
              <w:rPr>
                <w:rFonts w:ascii="Times New Roman" w:hAnsi="Times New Roman" w:cs="Times New Roman" w:eastAsiaTheme="minorEastAsia"/>
                <w:color w:val="000000" w:themeColor="text1"/>
                <w:sz w:val="24"/>
                <w:szCs w:val="24"/>
                <w14:textFill>
                  <w14:solidFill>
                    <w14:schemeClr w14:val="tx1"/>
                  </w14:solidFill>
                </w14:textFill>
              </w:rPr>
              <w:t>BOD</w:t>
            </w:r>
            <w:r>
              <w:rPr>
                <w:rFonts w:ascii="Times New Roman" w:hAnsi="Times New Roman" w:cs="Times New Roman" w:eastAsiaTheme="minorEastAsia"/>
                <w:color w:val="000000" w:themeColor="text1"/>
                <w:sz w:val="24"/>
                <w:szCs w:val="24"/>
                <w:vertAlign w:val="subscript"/>
                <w14:textFill>
                  <w14:solidFill>
                    <w14:schemeClr w14:val="tx1"/>
                  </w14:solidFill>
                </w14:textFill>
              </w:rPr>
              <w:t>5</w:t>
            </w:r>
            <w:r>
              <w:rPr>
                <w:rFonts w:ascii="Times New Roman" w:cs="Times New Roman" w:hAnsiTheme="minorEastAsia" w:eastAsiaTheme="minorEastAsia"/>
                <w:color w:val="000000" w:themeColor="text1"/>
                <w:sz w:val="24"/>
                <w:szCs w:val="24"/>
                <w14:textFill>
                  <w14:solidFill>
                    <w14:schemeClr w14:val="tx1"/>
                  </w14:solidFill>
                </w14:textFill>
              </w:rPr>
              <w:t>、</w:t>
            </w:r>
            <w:r>
              <w:rPr>
                <w:rFonts w:ascii="Times New Roman" w:hAnsi="Times New Roman" w:cs="Times New Roman" w:eastAsiaTheme="minorEastAsia"/>
                <w:color w:val="000000" w:themeColor="text1"/>
                <w:sz w:val="24"/>
                <w:szCs w:val="24"/>
                <w14:textFill>
                  <w14:solidFill>
                    <w14:schemeClr w14:val="tx1"/>
                  </w14:solidFill>
                </w14:textFill>
              </w:rPr>
              <w:t>SS</w:t>
            </w:r>
            <w:r>
              <w:rPr>
                <w:rFonts w:ascii="Times New Roman" w:cs="Times New Roman" w:hAnsiTheme="minorEastAsia" w:eastAsiaTheme="minorEastAsia"/>
                <w:color w:val="000000" w:themeColor="text1"/>
                <w:sz w:val="24"/>
                <w:szCs w:val="24"/>
                <w14:textFill>
                  <w14:solidFill>
                    <w14:schemeClr w14:val="tx1"/>
                  </w14:solidFill>
                </w14:textFill>
              </w:rPr>
              <w:t>、</w:t>
            </w:r>
            <w:r>
              <w:rPr>
                <w:rFonts w:ascii="Times New Roman" w:hAnsi="Times New Roman" w:cs="Times New Roman" w:eastAsiaTheme="minorEastAsia"/>
                <w:color w:val="000000" w:themeColor="text1"/>
                <w:sz w:val="24"/>
                <w:szCs w:val="24"/>
                <w14:textFill>
                  <w14:solidFill>
                    <w14:schemeClr w14:val="tx1"/>
                  </w14:solidFill>
                </w14:textFill>
              </w:rPr>
              <w:t>NH</w:t>
            </w:r>
            <w:r>
              <w:rPr>
                <w:rFonts w:ascii="Times New Roman" w:hAnsi="Times New Roman" w:cs="Times New Roman" w:eastAsiaTheme="minorEastAsia"/>
                <w:color w:val="000000" w:themeColor="text1"/>
                <w:sz w:val="24"/>
                <w:szCs w:val="24"/>
                <w:vertAlign w:val="subscript"/>
                <w14:textFill>
                  <w14:solidFill>
                    <w14:schemeClr w14:val="tx1"/>
                  </w14:solidFill>
                </w14:textFill>
              </w:rPr>
              <w:t>3</w:t>
            </w:r>
            <w:r>
              <w:rPr>
                <w:rFonts w:ascii="Times New Roman" w:hAnsi="Times New Roman" w:cs="Times New Roman" w:eastAsiaTheme="minorEastAsia"/>
                <w:color w:val="000000" w:themeColor="text1"/>
                <w:sz w:val="24"/>
                <w:szCs w:val="24"/>
                <w14:textFill>
                  <w14:solidFill>
                    <w14:schemeClr w14:val="tx1"/>
                  </w14:solidFill>
                </w14:textFill>
              </w:rPr>
              <w:t>-N</w:t>
            </w:r>
            <w:r>
              <w:rPr>
                <w:rFonts w:ascii="Times New Roman" w:cs="Times New Roman" w:hAnsiTheme="minorEastAsia" w:eastAsiaTheme="minorEastAsia"/>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1</w:t>
            </w:r>
            <w:r>
              <w:rPr>
                <w:rFonts w:hAnsiTheme="minorEastAsia" w:eastAsiaTheme="minorEastAsia"/>
                <w:color w:val="000000" w:themeColor="text1"/>
                <w:sz w:val="24"/>
                <w:szCs w:val="24"/>
                <w14:textFill>
                  <w14:solidFill>
                    <w14:schemeClr w14:val="tx1"/>
                  </w14:solidFill>
                </w14:textFill>
              </w:rPr>
              <w:t>）评价等级判定</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本项目生活污水依托化粪池收集处理后清掏不外排，生产废水依托沉淀池循环利用。根据《环境影响评价技术导则地表水环境》（</w:t>
            </w:r>
            <w:r>
              <w:rPr>
                <w:rFonts w:eastAsiaTheme="minorEastAsia"/>
                <w:color w:val="000000" w:themeColor="text1"/>
                <w:sz w:val="24"/>
                <w:szCs w:val="24"/>
                <w14:textFill>
                  <w14:solidFill>
                    <w14:schemeClr w14:val="tx1"/>
                  </w14:solidFill>
                </w14:textFill>
              </w:rPr>
              <w:t>HJ2.3-2018</w:t>
            </w:r>
            <w:r>
              <w:rPr>
                <w:rFonts w:hAnsiTheme="minorEastAsia" w:eastAsiaTheme="minorEastAsia"/>
                <w:color w:val="000000" w:themeColor="text1"/>
                <w:sz w:val="24"/>
                <w:szCs w:val="24"/>
                <w14:textFill>
                  <w14:solidFill>
                    <w14:schemeClr w14:val="tx1"/>
                  </w14:solidFill>
                </w14:textFill>
              </w:rPr>
              <w:t>），项目废水排放方式为间接排放，评价等级为三级</w:t>
            </w:r>
            <w:r>
              <w:rPr>
                <w:rFonts w:eastAsiaTheme="minorEastAsia"/>
                <w:color w:val="000000" w:themeColor="text1"/>
                <w:sz w:val="24"/>
                <w:szCs w:val="24"/>
                <w14:textFill>
                  <w14:solidFill>
                    <w14:schemeClr w14:val="tx1"/>
                  </w14:solidFill>
                </w14:textFill>
              </w:rPr>
              <w:t>B</w:t>
            </w:r>
            <w:r>
              <w:rPr>
                <w:rFonts w:hAnsiTheme="minorEastAsia" w:eastAsiaTheme="minorEastAsia"/>
                <w:color w:val="000000" w:themeColor="text1"/>
                <w:sz w:val="24"/>
                <w:szCs w:val="24"/>
                <w14:textFill>
                  <w14:solidFill>
                    <w14:schemeClr w14:val="tx1"/>
                  </w14:solidFill>
                </w14:textFill>
              </w:rPr>
              <w:t>，因此本次评价仅对其依托污水处理设施的环境可行性进行分析即可。</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2</w:t>
            </w:r>
            <w:r>
              <w:rPr>
                <w:rFonts w:hAnsiTheme="minorEastAsia" w:eastAsiaTheme="minorEastAsia"/>
                <w:color w:val="000000" w:themeColor="text1"/>
                <w:sz w:val="24"/>
                <w:szCs w:val="24"/>
                <w14:textFill>
                  <w14:solidFill>
                    <w14:schemeClr w14:val="tx1"/>
                  </w14:solidFill>
                </w14:textFill>
              </w:rPr>
              <w:t>）影响分析</w:t>
            </w:r>
          </w:p>
          <w:p>
            <w:pPr>
              <w:adjustRightInd w:val="0"/>
              <w:snapToGrid w:val="0"/>
              <w:spacing w:line="360" w:lineRule="auto"/>
              <w:ind w:firstLine="240" w:firstLineChars="1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本项目生活废水主要为职工生活污水，</w:t>
            </w:r>
            <w:r>
              <w:rPr>
                <w:rFonts w:hAnsiTheme="minorEastAsia" w:eastAsiaTheme="minorEastAsia"/>
                <w:bCs/>
                <w:color w:val="000000" w:themeColor="text1"/>
                <w:sz w:val="24"/>
                <w:szCs w:val="24"/>
                <w14:textFill>
                  <w14:solidFill>
                    <w14:schemeClr w14:val="tx1"/>
                  </w14:solidFill>
                </w14:textFill>
              </w:rPr>
              <w:t>废水</w:t>
            </w:r>
            <w:r>
              <w:rPr>
                <w:rFonts w:hAnsiTheme="minorEastAsia" w:eastAsiaTheme="minorEastAsia"/>
                <w:color w:val="000000" w:themeColor="text1"/>
                <w:sz w:val="24"/>
                <w:szCs w:val="24"/>
                <w14:textFill>
                  <w14:solidFill>
                    <w14:schemeClr w14:val="tx1"/>
                  </w14:solidFill>
                </w14:textFill>
              </w:rPr>
              <w:t>产</w:t>
            </w:r>
            <w:r>
              <w:rPr>
                <w:rFonts w:hAnsiTheme="minorEastAsia" w:eastAsiaTheme="minorEastAsia"/>
                <w:color w:val="auto"/>
                <w:sz w:val="24"/>
                <w:szCs w:val="24"/>
              </w:rPr>
              <w:t>生量为</w:t>
            </w:r>
            <w:r>
              <w:rPr>
                <w:rFonts w:hint="eastAsia" w:eastAsiaTheme="minorEastAsia"/>
                <w:color w:val="auto"/>
                <w:sz w:val="24"/>
                <w:szCs w:val="24"/>
                <w:lang w:val="en-US" w:eastAsia="zh-CN"/>
              </w:rPr>
              <w:t>0.96</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/d</w:t>
            </w:r>
            <w:r>
              <w:rPr>
                <w:rFonts w:hAnsiTheme="minorEastAsia" w:eastAsiaTheme="minorEastAsia"/>
                <w:color w:val="auto"/>
                <w:sz w:val="24"/>
                <w:szCs w:val="24"/>
              </w:rPr>
              <w:t>（</w:t>
            </w:r>
            <w:r>
              <w:rPr>
                <w:rFonts w:hint="eastAsia" w:eastAsiaTheme="minorEastAsia"/>
                <w:color w:val="auto"/>
                <w:sz w:val="24"/>
                <w:szCs w:val="24"/>
                <w:lang w:val="en-US" w:eastAsia="zh-CN"/>
              </w:rPr>
              <w:t>288</w:t>
            </w:r>
            <w:r>
              <w:rPr>
                <w:rFonts w:eastAsiaTheme="minorEastAsia"/>
                <w:color w:val="auto"/>
                <w:sz w:val="24"/>
                <w:szCs w:val="24"/>
              </w:rPr>
              <w:t>m</w:t>
            </w:r>
            <w:r>
              <w:rPr>
                <w:rFonts w:eastAsiaTheme="minorEastAsia"/>
                <w:color w:val="auto"/>
                <w:sz w:val="24"/>
                <w:szCs w:val="24"/>
                <w:vertAlign w:val="superscript"/>
              </w:rPr>
              <w:t>3</w:t>
            </w:r>
            <w:r>
              <w:rPr>
                <w:rFonts w:eastAsiaTheme="minorEastAsia"/>
                <w:color w:val="auto"/>
                <w:sz w:val="24"/>
                <w:szCs w:val="24"/>
              </w:rPr>
              <w:t>/a</w:t>
            </w:r>
            <w:r>
              <w:rPr>
                <w:rFonts w:hAnsiTheme="minorEastAsia" w:eastAsiaTheme="minorEastAsia"/>
                <w:color w:val="auto"/>
                <w:sz w:val="24"/>
                <w:szCs w:val="24"/>
              </w:rPr>
              <w:t>）</w:t>
            </w:r>
            <w:r>
              <w:rPr>
                <w:rFonts w:hAnsiTheme="minorEastAsia" w:eastAsiaTheme="minorEastAsia"/>
                <w:color w:val="000000" w:themeColor="text1"/>
                <w:sz w:val="24"/>
                <w:szCs w:val="24"/>
                <w14:textFill>
                  <w14:solidFill>
                    <w14:schemeClr w14:val="tx1"/>
                  </w14:solidFill>
                </w14:textFill>
              </w:rPr>
              <w:t>，依托化粪池进行处理后定期清掏不外排，对水环境影响较小。</w:t>
            </w:r>
          </w:p>
          <w:p>
            <w:pPr>
              <w:pStyle w:val="18"/>
              <w:adjustRightInd w:val="0"/>
              <w:snapToGrid w:val="0"/>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生产废水主要为洗砂废水、抑尘用水和冲洗废水，废水成分主要为</w:t>
            </w:r>
            <w:r>
              <w:rPr>
                <w:rFonts w:eastAsiaTheme="minorEastAsia"/>
                <w:color w:val="000000" w:themeColor="text1"/>
                <w:sz w:val="24"/>
                <w:szCs w:val="24"/>
                <w14:textFill>
                  <w14:solidFill>
                    <w14:schemeClr w14:val="tx1"/>
                  </w14:solidFill>
                </w14:textFill>
              </w:rPr>
              <w:t>SS</w:t>
            </w:r>
            <w:r>
              <w:rPr>
                <w:rFonts w:hAnsiTheme="minorEastAsia" w:eastAsiaTheme="minorEastAsia"/>
                <w:color w:val="000000" w:themeColor="text1"/>
                <w:sz w:val="24"/>
                <w:szCs w:val="24"/>
                <w14:textFill>
                  <w14:solidFill>
                    <w14:schemeClr w14:val="tx1"/>
                  </w14:solidFill>
                </w14:textFill>
              </w:rPr>
              <w:t>，依托厂区沉砂池循环使用不外排。</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3</w:t>
            </w:r>
            <w:r>
              <w:rPr>
                <w:rFonts w:hAnsiTheme="minorEastAsia" w:eastAsiaTheme="minorEastAsia"/>
                <w:color w:val="000000" w:themeColor="text1"/>
                <w:sz w:val="24"/>
                <w:szCs w:val="24"/>
                <w14:textFill>
                  <w14:solidFill>
                    <w14:schemeClr w14:val="tx1"/>
                  </w14:solidFill>
                </w14:textFill>
              </w:rPr>
              <w:t>）化粪池、三级沉砂池可行性分析</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化粪池实际处理量为</w:t>
            </w:r>
            <w:r>
              <w:rPr>
                <w:rFonts w:hint="eastAsia" w:eastAsiaTheme="minorEastAsia"/>
                <w:color w:val="000000" w:themeColor="text1"/>
                <w:sz w:val="24"/>
                <w:szCs w:val="24"/>
                <w14:textFill>
                  <w14:solidFill>
                    <w14:schemeClr w14:val="tx1"/>
                  </w14:solidFill>
                </w14:textFill>
              </w:rPr>
              <w:t>8</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/d</w:t>
            </w:r>
            <w:r>
              <w:rPr>
                <w:rFonts w:hAnsiTheme="minorEastAsia" w:eastAsiaTheme="minorEastAsia"/>
                <w:color w:val="000000" w:themeColor="text1"/>
                <w:sz w:val="24"/>
                <w:szCs w:val="24"/>
                <w14:textFill>
                  <w14:solidFill>
                    <w14:schemeClr w14:val="tx1"/>
                  </w14:solidFill>
                </w14:textFill>
              </w:rPr>
              <w:t>，本项目生活污水产生</w:t>
            </w:r>
            <w:r>
              <w:rPr>
                <w:rFonts w:hAnsiTheme="minorEastAsia" w:eastAsiaTheme="minorEastAsia"/>
                <w:color w:val="auto"/>
                <w:sz w:val="24"/>
                <w:szCs w:val="24"/>
              </w:rPr>
              <w:t>量为</w:t>
            </w:r>
            <w:r>
              <w:rPr>
                <w:rFonts w:hint="eastAsia" w:eastAsiaTheme="minorEastAsia"/>
                <w:color w:val="auto"/>
                <w:sz w:val="24"/>
                <w:szCs w:val="24"/>
                <w:lang w:val="en-US" w:eastAsia="zh-CN"/>
              </w:rPr>
              <w:t>0.96</w:t>
            </w:r>
            <w:r>
              <w:rPr>
                <w:rFonts w:eastAsiaTheme="minorEastAsia"/>
                <w:color w:val="auto"/>
                <w:sz w:val="24"/>
                <w:szCs w:val="24"/>
              </w:rPr>
              <w:t>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/d</w:t>
            </w:r>
            <w:r>
              <w:rPr>
                <w:rFonts w:hAnsiTheme="minorEastAsia" w:eastAsiaTheme="minorEastAsia"/>
                <w:color w:val="000000" w:themeColor="text1"/>
                <w:sz w:val="24"/>
                <w:szCs w:val="24"/>
                <w14:textFill>
                  <w14:solidFill>
                    <w14:schemeClr w14:val="tx1"/>
                  </w14:solidFill>
                </w14:textFill>
              </w:rPr>
              <w:t>，故可接纳本项目的生活污水进行处理；并定期清掏不外排，故建设化粪池可行。</w:t>
            </w:r>
          </w:p>
          <w:p>
            <w:pPr>
              <w:adjustRightInd w:val="0"/>
              <w:snapToGrid w:val="0"/>
              <w:spacing w:line="360" w:lineRule="auto"/>
              <w:ind w:firstLine="480" w:firstLineChars="200"/>
              <w:rPr>
                <w:rFonts w:hAnsiTheme="minorEastAsia" w:eastAsiaTheme="minorEastAsia"/>
                <w:color w:val="000000" w:themeColor="text1"/>
                <w:sz w:val="24"/>
                <w:szCs w:val="24"/>
                <w14:textFill>
                  <w14:solidFill>
                    <w14:schemeClr w14:val="tx1"/>
                  </w14:solidFill>
                </w14:textFill>
              </w:rPr>
            </w:pPr>
            <w:r>
              <w:rPr>
                <w:rFonts w:hint="eastAsia" w:hAnsiTheme="minorEastAsia" w:eastAsiaTheme="minorEastAsia"/>
                <w:color w:val="000000" w:themeColor="text1"/>
                <w:sz w:val="24"/>
                <w:szCs w:val="24"/>
                <w14:textFill>
                  <w14:solidFill>
                    <w14:schemeClr w14:val="tx1"/>
                  </w14:solidFill>
                </w14:textFill>
              </w:rPr>
              <w:t>初级沉淀池500</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w:t>
            </w:r>
            <w:r>
              <w:rPr>
                <w:rFonts w:hAnsiTheme="minorEastAsia" w:eastAsiaTheme="minorEastAsia"/>
                <w:color w:val="000000" w:themeColor="text1"/>
                <w:sz w:val="24"/>
                <w:szCs w:val="24"/>
                <w14:textFill>
                  <w14:solidFill>
                    <w14:schemeClr w14:val="tx1"/>
                  </w14:solidFill>
                </w14:textFill>
              </w:rPr>
              <w:t>三级沉砂池体积为</w:t>
            </w:r>
            <w:r>
              <w:rPr>
                <w:rFonts w:hint="eastAsia" w:eastAsiaTheme="minorEastAsia"/>
                <w:color w:val="000000" w:themeColor="text1"/>
                <w:sz w:val="24"/>
                <w:szCs w:val="24"/>
                <w14:textFill>
                  <w14:solidFill>
                    <w14:schemeClr w14:val="tx1"/>
                  </w14:solidFill>
                </w14:textFill>
              </w:rPr>
              <w:t>100</w:t>
            </w:r>
            <w:r>
              <w:rPr>
                <w:rFonts w:eastAsiaTheme="minorEastAsia"/>
                <w:color w:val="000000" w:themeColor="text1"/>
                <w:sz w:val="24"/>
                <w:szCs w:val="24"/>
                <w14:textFill>
                  <w14:solidFill>
                    <w14:schemeClr w14:val="tx1"/>
                  </w14:solidFill>
                </w14:textFill>
              </w:rPr>
              <w:t>0m</w:t>
            </w:r>
            <w:r>
              <w:rPr>
                <w:rFonts w:eastAsiaTheme="minorEastAsia"/>
                <w:color w:val="000000" w:themeColor="text1"/>
                <w:sz w:val="24"/>
                <w:szCs w:val="24"/>
                <w:vertAlign w:val="superscript"/>
                <w14:textFill>
                  <w14:solidFill>
                    <w14:schemeClr w14:val="tx1"/>
                  </w14:solidFill>
                </w14:textFill>
              </w:rPr>
              <w:t>3</w:t>
            </w:r>
            <w:r>
              <w:rPr>
                <w:rFonts w:hAnsiTheme="minorEastAsia" w:eastAsiaTheme="minorEastAsia"/>
                <w:color w:val="000000" w:themeColor="text1"/>
                <w:sz w:val="24"/>
                <w:szCs w:val="24"/>
                <w14:textFill>
                  <w14:solidFill>
                    <w14:schemeClr w14:val="tx1"/>
                  </w14:solidFill>
                </w14:textFill>
              </w:rPr>
              <w:t>，本项目生产用水量为</w:t>
            </w:r>
            <w:r>
              <w:rPr>
                <w:rFonts w:hint="eastAsia" w:eastAsiaTheme="minorEastAsia"/>
                <w:color w:val="000000" w:themeColor="text1"/>
                <w:sz w:val="24"/>
                <w:szCs w:val="24"/>
                <w14:textFill>
                  <w14:solidFill>
                    <w14:schemeClr w14:val="tx1"/>
                  </w14:solidFill>
                </w14:textFill>
              </w:rPr>
              <w:t>20</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/d</w:t>
            </w:r>
            <w:r>
              <w:rPr>
                <w:rFonts w:hAnsiTheme="minorEastAsia" w:eastAsiaTheme="minorEastAsia"/>
                <w:color w:val="000000" w:themeColor="text1"/>
                <w:sz w:val="24"/>
                <w:szCs w:val="24"/>
                <w14:textFill>
                  <w14:solidFill>
                    <w14:schemeClr w14:val="tx1"/>
                  </w14:solidFill>
                </w14:textFill>
              </w:rPr>
              <w:t>，回用水量为</w:t>
            </w:r>
            <w:r>
              <w:rPr>
                <w:rFonts w:hint="eastAsia" w:eastAsiaTheme="minorEastAsia"/>
                <w:color w:val="000000" w:themeColor="text1"/>
                <w:sz w:val="24"/>
                <w:szCs w:val="24"/>
                <w14:textFill>
                  <w14:solidFill>
                    <w14:schemeClr w14:val="tx1"/>
                  </w14:solidFill>
                </w14:textFill>
              </w:rPr>
              <w:t>16</w:t>
            </w:r>
            <w:r>
              <w:rPr>
                <w:rFonts w:eastAsiaTheme="minorEastAsia"/>
                <w:color w:val="000000" w:themeColor="text1"/>
                <w:sz w:val="24"/>
                <w:szCs w:val="24"/>
                <w14:textFill>
                  <w14:solidFill>
                    <w14:schemeClr w14:val="tx1"/>
                  </w14:solidFill>
                </w14:textFill>
              </w:rPr>
              <w:t>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/d</w:t>
            </w:r>
            <w:r>
              <w:rPr>
                <w:rFonts w:hAnsiTheme="minorEastAsia" w:eastAsiaTheme="minorEastAsia"/>
                <w:color w:val="000000" w:themeColor="text1"/>
                <w:sz w:val="24"/>
                <w:szCs w:val="24"/>
                <w14:textFill>
                  <w14:solidFill>
                    <w14:schemeClr w14:val="tx1"/>
                  </w14:solidFill>
                </w14:textFill>
              </w:rPr>
              <w:t>，故可接纳本项目的生产废水；循环使用不外排，故建设沉砂池可行。</w:t>
            </w:r>
          </w:p>
          <w:p>
            <w:pPr>
              <w:pStyle w:val="18"/>
              <w:adjustRightInd w:val="0"/>
              <w:snapToGrid w:val="0"/>
              <w:spacing w:line="360" w:lineRule="auto"/>
              <w:ind w:firstLine="480"/>
              <w:rPr>
                <w:color w:val="000000" w:themeColor="text1"/>
                <w14:textFill>
                  <w14:solidFill>
                    <w14:schemeClr w14:val="tx1"/>
                  </w14:solidFill>
                </w14:textFill>
              </w:rPr>
            </w:pPr>
            <w:r>
              <w:rPr>
                <w:rFonts w:hint="eastAsia" w:hAnsiTheme="minorEastAsia" w:eastAsiaTheme="minorEastAsia"/>
                <w:bCs/>
                <w:color w:val="000000" w:themeColor="text1"/>
                <w:kern w:val="0"/>
                <w:sz w:val="24"/>
                <w:szCs w:val="20"/>
                <w14:textFill>
                  <w14:solidFill>
                    <w14:schemeClr w14:val="tx1"/>
                  </w14:solidFill>
                </w14:textFill>
              </w:rPr>
              <w:t>洗车废水二级沉淀池7.5</w:t>
            </w:r>
            <w:r>
              <w:rPr>
                <w:rFonts w:eastAsiaTheme="minorEastAsia"/>
                <w:color w:val="000000" w:themeColor="text1"/>
                <w:sz w:val="24"/>
                <w14:textFill>
                  <w14:solidFill>
                    <w14:schemeClr w14:val="tx1"/>
                  </w14:solidFill>
                </w14:textFill>
              </w:rPr>
              <w:t>m</w:t>
            </w:r>
            <w:r>
              <w:rPr>
                <w:rFonts w:eastAsiaTheme="minorEastAsia"/>
                <w:color w:val="000000" w:themeColor="text1"/>
                <w:sz w:val="24"/>
                <w:vertAlign w:val="superscript"/>
                <w14:textFill>
                  <w14:solidFill>
                    <w14:schemeClr w14:val="tx1"/>
                  </w14:solidFill>
                </w14:textFill>
              </w:rPr>
              <w:t>3</w:t>
            </w:r>
            <w:r>
              <w:rPr>
                <w:rFonts w:hint="eastAsia" w:eastAsiaTheme="minorEastAsia"/>
                <w:color w:val="000000" w:themeColor="text1"/>
                <w:sz w:val="24"/>
                <w14:textFill>
                  <w14:solidFill>
                    <w14:schemeClr w14:val="tx1"/>
                  </w14:solidFill>
                </w14:textFill>
              </w:rPr>
              <w:t>，洗车</w:t>
            </w:r>
            <w:r>
              <w:rPr>
                <w:rFonts w:hAnsiTheme="minorEastAsia" w:eastAsiaTheme="minorEastAsia"/>
                <w:bCs/>
                <w:color w:val="000000" w:themeColor="text1"/>
                <w:kern w:val="0"/>
                <w:sz w:val="24"/>
                <w:szCs w:val="20"/>
                <w14:textFill>
                  <w14:solidFill>
                    <w14:schemeClr w14:val="tx1"/>
                  </w14:solidFill>
                </w14:textFill>
              </w:rPr>
              <w:t>共需用水量为</w:t>
            </w:r>
            <w:r>
              <w:rPr>
                <w:rFonts w:hint="eastAsia" w:eastAsiaTheme="minorEastAsia"/>
                <w:bCs/>
                <w:color w:val="000000" w:themeColor="text1"/>
                <w:kern w:val="0"/>
                <w:sz w:val="24"/>
                <w:szCs w:val="20"/>
                <w:lang w:val="en-US" w:eastAsia="zh-CN"/>
                <w14:textFill>
                  <w14:solidFill>
                    <w14:schemeClr w14:val="tx1"/>
                  </w14:solidFill>
                </w14:textFill>
              </w:rPr>
              <w:t>2.75</w:t>
            </w:r>
            <w:r>
              <w:rPr>
                <w:rFonts w:eastAsiaTheme="minorEastAsia"/>
                <w:bCs/>
                <w:color w:val="000000" w:themeColor="text1"/>
                <w:kern w:val="0"/>
                <w:sz w:val="24"/>
                <w:szCs w:val="20"/>
                <w14:textFill>
                  <w14:solidFill>
                    <w14:schemeClr w14:val="tx1"/>
                  </w14:solidFill>
                </w14:textFill>
              </w:rPr>
              <w:t>m</w:t>
            </w:r>
            <w:r>
              <w:rPr>
                <w:rFonts w:eastAsiaTheme="minorEastAsia"/>
                <w:bCs/>
                <w:color w:val="000000" w:themeColor="text1"/>
                <w:kern w:val="0"/>
                <w:sz w:val="24"/>
                <w:szCs w:val="20"/>
                <w:vertAlign w:val="superscript"/>
                <w14:textFill>
                  <w14:solidFill>
                    <w14:schemeClr w14:val="tx1"/>
                  </w14:solidFill>
                </w14:textFill>
              </w:rPr>
              <w:t>3</w:t>
            </w:r>
            <w:r>
              <w:rPr>
                <w:rFonts w:eastAsiaTheme="minorEastAsia"/>
                <w:bCs/>
                <w:color w:val="000000" w:themeColor="text1"/>
                <w:kern w:val="0"/>
                <w:sz w:val="24"/>
                <w:szCs w:val="20"/>
                <w14:textFill>
                  <w14:solidFill>
                    <w14:schemeClr w14:val="tx1"/>
                  </w14:solidFill>
                </w14:textFill>
              </w:rPr>
              <w:t>/d</w:t>
            </w:r>
            <w:r>
              <w:rPr>
                <w:rFonts w:hAnsiTheme="minorEastAsia" w:eastAsiaTheme="minorEastAsia"/>
                <w:bCs/>
                <w:color w:val="000000" w:themeColor="text1"/>
                <w:kern w:val="0"/>
                <w:sz w:val="24"/>
                <w:szCs w:val="20"/>
                <w14:textFill>
                  <w14:solidFill>
                    <w14:schemeClr w14:val="tx1"/>
                  </w14:solidFill>
                </w14:textFill>
              </w:rPr>
              <w:t>，损耗用水量为</w:t>
            </w:r>
            <w:r>
              <w:rPr>
                <w:rFonts w:hint="eastAsia" w:eastAsiaTheme="minorEastAsia"/>
                <w:bCs/>
                <w:color w:val="000000" w:themeColor="text1"/>
                <w:kern w:val="0"/>
                <w:sz w:val="24"/>
                <w:szCs w:val="20"/>
                <w:lang w:val="en-US" w:eastAsia="zh-CN"/>
                <w14:textFill>
                  <w14:solidFill>
                    <w14:schemeClr w14:val="tx1"/>
                  </w14:solidFill>
                </w14:textFill>
              </w:rPr>
              <w:t>1.925</w:t>
            </w:r>
            <w:r>
              <w:rPr>
                <w:rFonts w:eastAsiaTheme="minorEastAsia"/>
                <w:bCs/>
                <w:color w:val="000000" w:themeColor="text1"/>
                <w:kern w:val="0"/>
                <w:sz w:val="24"/>
                <w:szCs w:val="20"/>
                <w14:textFill>
                  <w14:solidFill>
                    <w14:schemeClr w14:val="tx1"/>
                  </w14:solidFill>
                </w14:textFill>
              </w:rPr>
              <w:t>m</w:t>
            </w:r>
            <w:r>
              <w:rPr>
                <w:rFonts w:eastAsiaTheme="minorEastAsia"/>
                <w:bCs/>
                <w:color w:val="000000" w:themeColor="text1"/>
                <w:kern w:val="0"/>
                <w:sz w:val="24"/>
                <w:szCs w:val="20"/>
                <w:vertAlign w:val="superscript"/>
                <w14:textFill>
                  <w14:solidFill>
                    <w14:schemeClr w14:val="tx1"/>
                  </w14:solidFill>
                </w14:textFill>
              </w:rPr>
              <w:t>3</w:t>
            </w:r>
            <w:r>
              <w:rPr>
                <w:rFonts w:eastAsiaTheme="minorEastAsia"/>
                <w:bCs/>
                <w:color w:val="000000" w:themeColor="text1"/>
                <w:kern w:val="0"/>
                <w:sz w:val="24"/>
                <w:szCs w:val="20"/>
                <w14:textFill>
                  <w14:solidFill>
                    <w14:schemeClr w14:val="tx1"/>
                  </w14:solidFill>
                </w14:textFill>
              </w:rPr>
              <w:t>/d</w:t>
            </w:r>
            <w:r>
              <w:rPr>
                <w:rFonts w:hAnsiTheme="minorEastAsia" w:eastAsiaTheme="minorEastAsia"/>
                <w:bCs/>
                <w:color w:val="000000" w:themeColor="text1"/>
                <w:kern w:val="0"/>
                <w:sz w:val="24"/>
                <w:szCs w:val="20"/>
                <w14:textFill>
                  <w14:solidFill>
                    <w14:schemeClr w14:val="tx1"/>
                  </w14:solidFill>
                </w14:textFill>
              </w:rPr>
              <w:t>，沉淀后循环使用不外排</w:t>
            </w:r>
            <w:r>
              <w:rPr>
                <w:rFonts w:hint="eastAsia" w:hAnsiTheme="minorEastAsia" w:eastAsiaTheme="minorEastAsia"/>
                <w:bCs/>
                <w:color w:val="000000" w:themeColor="text1"/>
                <w:kern w:val="0"/>
                <w:sz w:val="24"/>
                <w:szCs w:val="20"/>
                <w14:textFill>
                  <w14:solidFill>
                    <w14:schemeClr w14:val="tx1"/>
                  </w14:solidFill>
                </w14:textFill>
              </w:rPr>
              <w:t>，故建设二级沉淀池可行。</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综上所述，经处理后废水对项目周边水环境产生的影响较小，采取上述废水防治措施是可行的。</w:t>
            </w:r>
          </w:p>
          <w:p>
            <w:pPr>
              <w:wordWrap w:val="0"/>
              <w:spacing w:line="360" w:lineRule="auto"/>
              <w:ind w:firstLine="480" w:firstLineChars="200"/>
              <w:rPr>
                <w:rFonts w:hint="eastAsia" w:hAnsiTheme="minorEastAsia" w:eastAsiaTheme="minorEastAsia"/>
                <w:b/>
                <w:color w:val="000000" w:themeColor="text1"/>
                <w:szCs w:val="21"/>
                <w:lang w:val="en-US" w:eastAsia="zh-CN"/>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hint="eastAsia" w:eastAsiaTheme="minorEastAsia"/>
                <w:color w:val="000000" w:themeColor="text1"/>
                <w:sz w:val="24"/>
                <w:lang w:val="en-US" w:eastAsia="zh-CN"/>
                <w14:textFill>
                  <w14:solidFill>
                    <w14:schemeClr w14:val="tx1"/>
                  </w14:solidFill>
                </w14:textFill>
              </w:rPr>
              <w:t>4</w:t>
            </w:r>
            <w:r>
              <w:rPr>
                <w:rFonts w:hAnsiTheme="minorEastAsia" w:eastAsiaTheme="minorEastAsia"/>
                <w:color w:val="000000" w:themeColor="text1"/>
                <w:sz w:val="24"/>
                <w14:textFill>
                  <w14:solidFill>
                    <w14:schemeClr w14:val="tx1"/>
                  </w14:solidFill>
                </w14:textFill>
              </w:rPr>
              <w:t>）建设项目废水污染物排放信息表。</w:t>
            </w:r>
          </w:p>
          <w:p>
            <w:pPr>
              <w:wordWrap w:val="0"/>
              <w:adjustRightInd w:val="0"/>
              <w:snapToGrid w:val="0"/>
              <w:jc w:val="center"/>
              <w:rPr>
                <w:rFonts w:eastAsiaTheme="minorEastAsia"/>
                <w:b/>
                <w:color w:val="000000" w:themeColor="text1"/>
                <w:sz w:val="24"/>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eastAsiaTheme="minorEastAsia"/>
                <w:b/>
                <w:color w:val="000000" w:themeColor="text1"/>
                <w:szCs w:val="21"/>
                <w:lang w:val="en-US" w:eastAsia="zh-CN"/>
                <w14:textFill>
                  <w14:solidFill>
                    <w14:schemeClr w14:val="tx1"/>
                  </w14:solidFill>
                </w14:textFill>
              </w:rPr>
              <w:t>29</w:t>
            </w:r>
            <w:r>
              <w:rPr>
                <w:rFonts w:hint="eastAsia" w:eastAsiaTheme="minorEastAsia"/>
                <w:b/>
                <w:color w:val="000000" w:themeColor="text1"/>
                <w:szCs w:val="21"/>
                <w14:textFill>
                  <w14:solidFill>
                    <w14:schemeClr w14:val="tx1"/>
                  </w14:solidFill>
                </w14:textFill>
              </w:rPr>
              <w:t xml:space="preserve"> </w:t>
            </w:r>
            <w:r>
              <w:rPr>
                <w:rFonts w:hAnsiTheme="minorEastAsia" w:eastAsiaTheme="minorEastAsia"/>
                <w:b/>
                <w:color w:val="000000" w:themeColor="text1"/>
                <w:szCs w:val="21"/>
                <w14:textFill>
                  <w14:solidFill>
                    <w14:schemeClr w14:val="tx1"/>
                  </w14:solidFill>
                </w14:textFill>
              </w:rPr>
              <w:t>废水类别、污染物及污染治理设施信息表</w:t>
            </w:r>
          </w:p>
          <w:tbl>
            <w:tblPr>
              <w:tblStyle w:val="19"/>
              <w:tblW w:w="80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20"/>
              <w:gridCol w:w="1087"/>
              <w:gridCol w:w="761"/>
              <w:gridCol w:w="1543"/>
              <w:gridCol w:w="1099"/>
              <w:gridCol w:w="948"/>
              <w:gridCol w:w="11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9" w:type="dxa"/>
                  <w:vMerge w:val="restart"/>
                  <w:tcBorders>
                    <w:top w:val="single" w:color="auto" w:sz="12" w:space="0"/>
                    <w:left w:val="single" w:color="auto" w:sz="12"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序号</w:t>
                  </w:r>
                </w:p>
              </w:tc>
              <w:tc>
                <w:tcPr>
                  <w:tcW w:w="720" w:type="dxa"/>
                  <w:vMerge w:val="restart"/>
                  <w:tcBorders>
                    <w:top w:val="single" w:color="auto" w:sz="12"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废水</w:t>
                  </w:r>
                </w:p>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类别</w:t>
                  </w:r>
                </w:p>
              </w:tc>
              <w:tc>
                <w:tcPr>
                  <w:tcW w:w="1087" w:type="dxa"/>
                  <w:vMerge w:val="restart"/>
                  <w:tcBorders>
                    <w:top w:val="single" w:color="auto" w:sz="12"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污染物种类</w:t>
                  </w:r>
                </w:p>
              </w:tc>
              <w:tc>
                <w:tcPr>
                  <w:tcW w:w="761" w:type="dxa"/>
                  <w:vMerge w:val="restart"/>
                  <w:tcBorders>
                    <w:top w:val="single" w:color="auto" w:sz="12"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排放去向</w:t>
                  </w:r>
                </w:p>
              </w:tc>
              <w:tc>
                <w:tcPr>
                  <w:tcW w:w="1543" w:type="dxa"/>
                  <w:vMerge w:val="restart"/>
                  <w:tcBorders>
                    <w:top w:val="single" w:color="auto" w:sz="12"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排放规律</w:t>
                  </w:r>
                </w:p>
              </w:tc>
              <w:tc>
                <w:tcPr>
                  <w:tcW w:w="3227" w:type="dxa"/>
                  <w:gridSpan w:val="3"/>
                  <w:tcBorders>
                    <w:top w:val="single" w:color="auto" w:sz="12"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污染物治理设施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99"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themeColor="text1"/>
                      <w:sz w:val="21"/>
                      <w:szCs w:val="21"/>
                      <w14:textFill>
                        <w14:solidFill>
                          <w14:schemeClr w14:val="tx1"/>
                        </w14:solidFill>
                      </w14:textFill>
                    </w:rPr>
                  </w:pPr>
                </w:p>
              </w:tc>
              <w:tc>
                <w:tcPr>
                  <w:tcW w:w="72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themeColor="text1"/>
                      <w:sz w:val="21"/>
                      <w:szCs w:val="21"/>
                      <w14:textFill>
                        <w14:solidFill>
                          <w14:schemeClr w14:val="tx1"/>
                        </w14:solidFill>
                      </w14:textFill>
                    </w:rPr>
                  </w:pPr>
                </w:p>
              </w:tc>
              <w:tc>
                <w:tcPr>
                  <w:tcW w:w="1087"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themeColor="text1"/>
                      <w:sz w:val="21"/>
                      <w:szCs w:val="21"/>
                      <w14:textFill>
                        <w14:solidFill>
                          <w14:schemeClr w14:val="tx1"/>
                        </w14:solidFill>
                      </w14:textFill>
                    </w:rPr>
                  </w:pPr>
                </w:p>
              </w:tc>
              <w:tc>
                <w:tcPr>
                  <w:tcW w:w="761"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themeColor="text1"/>
                      <w:sz w:val="21"/>
                      <w:szCs w:val="21"/>
                      <w14:textFill>
                        <w14:solidFill>
                          <w14:schemeClr w14:val="tx1"/>
                        </w14:solidFill>
                      </w14:textFill>
                    </w:rPr>
                  </w:pPr>
                </w:p>
              </w:tc>
              <w:tc>
                <w:tcPr>
                  <w:tcW w:w="1543"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themeColor="text1"/>
                      <w:sz w:val="21"/>
                      <w:szCs w:val="21"/>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污染物治理设施编号</w:t>
                  </w:r>
                </w:p>
              </w:tc>
              <w:tc>
                <w:tcPr>
                  <w:tcW w:w="94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污染物治理设施名称</w:t>
                  </w:r>
                </w:p>
              </w:tc>
              <w:tc>
                <w:tcPr>
                  <w:tcW w:w="118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污染物治理设施工艺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生活</w:t>
                  </w:r>
                </w:p>
                <w:p>
                  <w:pPr>
                    <w:wordWrap w:val="0"/>
                    <w:adjustRightInd w:val="0"/>
                    <w:snapToGrid w:val="0"/>
                    <w:jc w:val="both"/>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污水</w:t>
                  </w:r>
                </w:p>
              </w:tc>
              <w:tc>
                <w:tcPr>
                  <w:tcW w:w="1087"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COD、BOD</w:t>
                  </w:r>
                  <w:r>
                    <w:rPr>
                      <w:rFonts w:hint="default" w:ascii="Times New Roman" w:hAnsi="Times New Roman" w:eastAsia="宋体" w:cs="Times New Roman"/>
                      <w:bCs/>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bCs/>
                      <w:color w:val="000000" w:themeColor="text1"/>
                      <w:sz w:val="21"/>
                      <w:szCs w:val="21"/>
                      <w14:textFill>
                        <w14:solidFill>
                          <w14:schemeClr w14:val="tx1"/>
                        </w14:solidFill>
                      </w14:textFill>
                    </w:rPr>
                    <w:t>、SS、氨氮</w:t>
                  </w:r>
                </w:p>
              </w:tc>
              <w:tc>
                <w:tcPr>
                  <w:tcW w:w="76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不外排</w:t>
                  </w:r>
                </w:p>
              </w:tc>
              <w:tc>
                <w:tcPr>
                  <w:tcW w:w="154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left"/>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间断排放，排放期间流量不稳定，但有规</w:t>
                  </w:r>
                </w:p>
                <w:p>
                  <w:pPr>
                    <w:wordWrap w:val="0"/>
                    <w:adjustRightInd w:val="0"/>
                    <w:snapToGrid w:val="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律，且不属于非周期性规律</w:t>
                  </w:r>
                </w:p>
              </w:tc>
              <w:tc>
                <w:tcPr>
                  <w:tcW w:w="10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TW001</w:t>
                  </w:r>
                </w:p>
              </w:tc>
              <w:tc>
                <w:tcPr>
                  <w:tcW w:w="94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化粪池</w:t>
                  </w:r>
                </w:p>
              </w:tc>
              <w:tc>
                <w:tcPr>
                  <w:tcW w:w="118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一级沉淀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699" w:type="dxa"/>
                  <w:tcBorders>
                    <w:top w:val="single" w:color="auto" w:sz="4" w:space="0"/>
                    <w:left w:val="single" w:color="auto" w:sz="12"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2</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生产</w:t>
                  </w:r>
                </w:p>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污水</w:t>
                  </w:r>
                </w:p>
              </w:tc>
              <w:tc>
                <w:tcPr>
                  <w:tcW w:w="1087"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SS</w:t>
                  </w:r>
                </w:p>
              </w:tc>
              <w:tc>
                <w:tcPr>
                  <w:tcW w:w="76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不外排</w:t>
                  </w:r>
                </w:p>
              </w:tc>
              <w:tc>
                <w:tcPr>
                  <w:tcW w:w="154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间断排放，排放期间流量不稳定，但有规</w:t>
                  </w:r>
                </w:p>
                <w:p>
                  <w:pPr>
                    <w:wordWrap w:val="0"/>
                    <w:adjustRightInd w:val="0"/>
                    <w:snapToGrid w:val="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律，且不属于非周期性规律</w:t>
                  </w:r>
                </w:p>
              </w:tc>
              <w:tc>
                <w:tcPr>
                  <w:tcW w:w="10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TW002</w:t>
                  </w:r>
                </w:p>
              </w:tc>
              <w:tc>
                <w:tcPr>
                  <w:tcW w:w="94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沉砂池</w:t>
                  </w:r>
                </w:p>
              </w:tc>
              <w:tc>
                <w:tcPr>
                  <w:tcW w:w="118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left"/>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废水进入浓缩罐之后再投加絮凝剂经压滤机压滤后进入三级沉淀池沉淀，上清液循环使用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99" w:type="dxa"/>
                  <w:tcBorders>
                    <w:top w:val="single" w:color="auto" w:sz="4" w:space="0"/>
                    <w:left w:val="single" w:color="auto" w:sz="12" w:space="0"/>
                    <w:bottom w:val="single" w:color="auto" w:sz="12"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3</w:t>
                  </w:r>
                </w:p>
              </w:tc>
              <w:tc>
                <w:tcPr>
                  <w:tcW w:w="720" w:type="dxa"/>
                  <w:tcBorders>
                    <w:top w:val="single" w:color="auto" w:sz="4" w:space="0"/>
                    <w:left w:val="single" w:color="auto" w:sz="4" w:space="0"/>
                    <w:bottom w:val="single" w:color="auto" w:sz="12"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洗车废水</w:t>
                  </w:r>
                </w:p>
              </w:tc>
              <w:tc>
                <w:tcPr>
                  <w:tcW w:w="1087" w:type="dxa"/>
                  <w:tcBorders>
                    <w:top w:val="single" w:color="auto" w:sz="4" w:space="0"/>
                    <w:left w:val="single" w:color="auto" w:sz="4" w:space="0"/>
                    <w:bottom w:val="single" w:color="auto" w:sz="12"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SS</w:t>
                  </w:r>
                </w:p>
              </w:tc>
              <w:tc>
                <w:tcPr>
                  <w:tcW w:w="761" w:type="dxa"/>
                  <w:tcBorders>
                    <w:top w:val="single" w:color="auto" w:sz="4" w:space="0"/>
                    <w:left w:val="single" w:color="auto" w:sz="4" w:space="0"/>
                    <w:bottom w:val="single" w:color="auto" w:sz="12"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不外排</w:t>
                  </w:r>
                </w:p>
              </w:tc>
              <w:tc>
                <w:tcPr>
                  <w:tcW w:w="1543" w:type="dxa"/>
                  <w:tcBorders>
                    <w:top w:val="single" w:color="auto" w:sz="4" w:space="0"/>
                    <w:left w:val="single" w:color="auto" w:sz="4" w:space="0"/>
                    <w:bottom w:val="single" w:color="auto" w:sz="12" w:space="0"/>
                    <w:right w:val="single" w:color="auto" w:sz="4" w:space="0"/>
                  </w:tcBorders>
                  <w:vAlign w:val="center"/>
                </w:tcPr>
                <w:p>
                  <w:pPr>
                    <w:wordWrap w:val="0"/>
                    <w:adjustRightInd w:val="0"/>
                    <w:snapToGrid w:val="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间断排放，排放期间流量不稳定，但有规</w:t>
                  </w:r>
                </w:p>
                <w:p>
                  <w:pPr>
                    <w:wordWrap w:val="0"/>
                    <w:adjustRightInd w:val="0"/>
                    <w:snapToGrid w:val="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律，且不属于非周期性规律</w:t>
                  </w:r>
                </w:p>
              </w:tc>
              <w:tc>
                <w:tcPr>
                  <w:tcW w:w="1099" w:type="dxa"/>
                  <w:tcBorders>
                    <w:top w:val="single" w:color="auto" w:sz="4" w:space="0"/>
                    <w:left w:val="single" w:color="auto" w:sz="4" w:space="0"/>
                    <w:bottom w:val="single" w:color="auto" w:sz="12"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TW003</w:t>
                  </w:r>
                </w:p>
              </w:tc>
              <w:tc>
                <w:tcPr>
                  <w:tcW w:w="948" w:type="dxa"/>
                  <w:tcBorders>
                    <w:top w:val="single" w:color="auto" w:sz="4" w:space="0"/>
                    <w:left w:val="single" w:color="auto" w:sz="4" w:space="0"/>
                    <w:bottom w:val="single" w:color="auto" w:sz="12"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沉淀池</w:t>
                  </w:r>
                </w:p>
              </w:tc>
              <w:tc>
                <w:tcPr>
                  <w:tcW w:w="1180" w:type="dxa"/>
                  <w:tcBorders>
                    <w:top w:val="single" w:color="auto" w:sz="4" w:space="0"/>
                    <w:left w:val="single" w:color="auto" w:sz="4" w:space="0"/>
                    <w:bottom w:val="single" w:color="auto" w:sz="12" w:space="0"/>
                    <w:right w:val="single" w:color="auto" w:sz="4" w:space="0"/>
                  </w:tcBorders>
                  <w:vAlign w:val="center"/>
                </w:tcPr>
                <w:p>
                  <w:pPr>
                    <w:wordWrap w:val="0"/>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二级沉淀</w:t>
                  </w:r>
                </w:p>
              </w:tc>
            </w:tr>
          </w:tbl>
          <w:p>
            <w:pPr>
              <w:adjustRightInd w:val="0"/>
              <w:snapToGrid w:val="0"/>
              <w:spacing w:line="360" w:lineRule="auto"/>
              <w:ind w:firstLine="482" w:firstLineChars="200"/>
              <w:rPr>
                <w:rFonts w:hAnsiTheme="minorEastAsia" w:eastAsiaTheme="minorEastAsia"/>
                <w:b/>
                <w:color w:val="000000" w:themeColor="text1"/>
                <w:sz w:val="24"/>
                <w14:textFill>
                  <w14:solidFill>
                    <w14:schemeClr w14:val="tx1"/>
                  </w14:solidFill>
                </w14:textFill>
              </w:rPr>
            </w:pPr>
            <w:r>
              <w:rPr>
                <w:rFonts w:hint="eastAsia" w:hAnsiTheme="minorEastAsia" w:eastAsiaTheme="minorEastAsia"/>
                <w:b/>
                <w:color w:val="000000" w:themeColor="text1"/>
                <w:sz w:val="24"/>
                <w:lang w:val="en-US" w:eastAsia="zh-CN"/>
                <w14:textFill>
                  <w14:solidFill>
                    <w14:schemeClr w14:val="tx1"/>
                  </w14:solidFill>
                </w14:textFill>
              </w:rPr>
              <w:t>3、</w:t>
            </w:r>
            <w:r>
              <w:rPr>
                <w:rFonts w:hAnsiTheme="minorEastAsia" w:eastAsiaTheme="minorEastAsia"/>
                <w:b/>
                <w:color w:val="000000" w:themeColor="text1"/>
                <w:sz w:val="24"/>
                <w14:textFill>
                  <w14:solidFill>
                    <w14:schemeClr w14:val="tx1"/>
                  </w14:solidFill>
                </w14:textFill>
              </w:rPr>
              <w:t>地下水环境影响分析</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本项目矿区均位于当地最低侵蚀基准面以上，露天开采条件好，且露天开采中无矿坑水的产生，生产用水来自矿区内部无名河沟，职工生活用水来自桶装水，采用汽车运输至矿区，不在矿区取用地下水，因此，本项目对地下水水位及水资源量基本无影响。</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只有在雨季时，露天采场通过降雨淋溶经包气带渗透至潜水层而污染浅层地下水。一般情况下，包气带的厚度越薄，透水性越好，越容易造成潜水含水层的污染；反之，包气带的厚度越厚、透水性越差，则不容易造成潜水污染，渗透污染是导致浅层地下水污染的主要方式。矿区内潜水埋藏深度大，且矿山为石灰岩矿，重金属含量极少，所以雨季采矿场废水污染物质主要为悬浮物，经过包气带的过滤净化作用，污染成分极少，对下游地下水水质的影响很小。</w:t>
            </w:r>
          </w:p>
          <w:p>
            <w:pPr>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r>
              <w:rPr>
                <w:rFonts w:hint="eastAsia" w:hAnsiTheme="minorEastAsia" w:eastAsiaTheme="minorEastAsia"/>
                <w:b/>
                <w:color w:val="000000" w:themeColor="text1"/>
                <w:sz w:val="24"/>
                <w:lang w:val="en-US" w:eastAsia="zh-CN"/>
                <w14:textFill>
                  <w14:solidFill>
                    <w14:schemeClr w14:val="tx1"/>
                  </w14:solidFill>
                </w14:textFill>
              </w:rPr>
              <w:t>4</w:t>
            </w:r>
            <w:r>
              <w:rPr>
                <w:rFonts w:hAnsiTheme="minorEastAsia" w:eastAsiaTheme="minorEastAsia"/>
                <w:b/>
                <w:color w:val="000000" w:themeColor="text1"/>
                <w:sz w:val="24"/>
                <w14:textFill>
                  <w14:solidFill>
                    <w14:schemeClr w14:val="tx1"/>
                  </w14:solidFill>
                </w14:textFill>
              </w:rPr>
              <w:t>、声环境影响分析</w:t>
            </w:r>
            <w:r>
              <w:rPr>
                <w:rFonts w:hint="eastAsia" w:hAnsiTheme="minorEastAsia" w:eastAsiaTheme="minorEastAsia"/>
                <w:b/>
                <w:color w:val="000000" w:themeColor="text1"/>
                <w:sz w:val="24"/>
                <w:lang w:val="en-US" w:eastAsia="zh-CN"/>
                <w14:textFill>
                  <w14:solidFill>
                    <w14:schemeClr w14:val="tx1"/>
                  </w14:solidFill>
                </w14:textFill>
              </w:rPr>
              <w:t>及措施</w:t>
            </w:r>
          </w:p>
          <w:p>
            <w:pPr>
              <w:adjustRightInd w:val="0"/>
              <w:snapToGrid w:val="0"/>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（1）露天采场</w:t>
            </w:r>
          </w:p>
          <w:p>
            <w:pPr>
              <w:adjustRightInd w:val="0"/>
              <w:snapToGrid w:val="0"/>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①设备源强</w:t>
            </w:r>
          </w:p>
          <w:p>
            <w:pPr>
              <w:adjustRightInd w:val="0"/>
              <w:snapToGrid w:val="0"/>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矿山开采主要机械设备噪声源有潜孔钻机、装载机、挖掘机、矿用自卸车等，主要噪声源强见工程影响分析。</w:t>
            </w:r>
          </w:p>
          <w:p>
            <w:pPr>
              <w:adjustRightInd w:val="0"/>
              <w:snapToGrid w:val="0"/>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②预测点位置及标识</w:t>
            </w:r>
          </w:p>
          <w:p>
            <w:pPr>
              <w:adjustRightInd w:val="0"/>
              <w:snapToGrid w:val="0"/>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由于矿山采矿作业设备属于流动声源，距</w:t>
            </w:r>
            <w:r>
              <w:rPr>
                <w:rFonts w:hint="eastAsia" w:cs="Times New Roman" w:eastAsiaTheme="minorEastAsia"/>
                <w:color w:val="000000" w:themeColor="text1"/>
                <w:sz w:val="24"/>
                <w:lang w:eastAsia="zh-CN"/>
                <w14:textFill>
                  <w14:solidFill>
                    <w14:schemeClr w14:val="tx1"/>
                  </w14:solidFill>
                </w14:textFill>
              </w:rPr>
              <w:t>厂界</w:t>
            </w:r>
            <w:r>
              <w:rPr>
                <w:rFonts w:hint="default" w:ascii="Times New Roman" w:hAnsi="Times New Roman" w:cs="Times New Roman" w:eastAsiaTheme="minorEastAsia"/>
                <w:color w:val="000000" w:themeColor="text1"/>
                <w:sz w:val="24"/>
                <w14:textFill>
                  <w14:solidFill>
                    <w14:schemeClr w14:val="tx1"/>
                  </w14:solidFill>
                </w14:textFill>
              </w:rPr>
              <w:t>距离也不固定，本次环评根据露天采场所处的地理位置及周围环境情况，评价采用点声源距离衰减模式，计算了距声源不同距离处的噪声贡献值，计算结果见下表。</w:t>
            </w:r>
          </w:p>
          <w:p>
            <w:pPr>
              <w:adjustRightInd w:val="0"/>
              <w:snapToGrid w:val="0"/>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③噪声预测结果</w:t>
            </w: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eastAsiaTheme="minorEastAsia"/>
                <w:b/>
                <w:color w:val="000000" w:themeColor="text1"/>
                <w:szCs w:val="21"/>
                <w14:textFill>
                  <w14:solidFill>
                    <w14:schemeClr w14:val="tx1"/>
                  </w14:solidFill>
                </w14:textFill>
              </w:rPr>
              <w:t>3</w:t>
            </w:r>
            <w:r>
              <w:rPr>
                <w:rFonts w:hint="eastAsia" w:eastAsiaTheme="minorEastAsia"/>
                <w:b/>
                <w:color w:val="000000" w:themeColor="text1"/>
                <w:szCs w:val="21"/>
                <w:lang w:val="en-US" w:eastAsia="zh-CN"/>
                <w14:textFill>
                  <w14:solidFill>
                    <w14:schemeClr w14:val="tx1"/>
                  </w14:solidFill>
                </w14:textFill>
              </w:rPr>
              <w:t>0</w:t>
            </w:r>
            <w:r>
              <w:rPr>
                <w:rFonts w:hint="eastAsia" w:eastAsiaTheme="minorEastAsia"/>
                <w:b/>
                <w:color w:val="000000" w:themeColor="text1"/>
                <w:szCs w:val="21"/>
                <w14:textFill>
                  <w14:solidFill>
                    <w14:schemeClr w14:val="tx1"/>
                  </w14:solidFill>
                </w14:textFill>
              </w:rPr>
              <w:t xml:space="preserve"> </w:t>
            </w:r>
            <w:r>
              <w:rPr>
                <w:rFonts w:hAnsiTheme="minorEastAsia" w:eastAsiaTheme="minorEastAsia"/>
                <w:b/>
                <w:color w:val="000000" w:themeColor="text1"/>
                <w:szCs w:val="21"/>
                <w14:textFill>
                  <w14:solidFill>
                    <w14:schemeClr w14:val="tx1"/>
                  </w14:solidFill>
                </w14:textFill>
              </w:rPr>
              <w:t>主要设备噪声贡献值单位：</w:t>
            </w:r>
            <w:r>
              <w:rPr>
                <w:rFonts w:eastAsiaTheme="minorEastAsia"/>
                <w:b/>
                <w:color w:val="000000" w:themeColor="text1"/>
                <w:szCs w:val="21"/>
                <w14:textFill>
                  <w14:solidFill>
                    <w14:schemeClr w14:val="tx1"/>
                  </w14:solidFill>
                </w14:textFill>
              </w:rPr>
              <w:t>dB</w:t>
            </w:r>
            <w:r>
              <w:rPr>
                <w:rFonts w:hAnsiTheme="minorEastAsia" w:eastAsiaTheme="minorEastAsia"/>
                <w:b/>
                <w:color w:val="000000" w:themeColor="text1"/>
                <w:szCs w:val="21"/>
                <w14:textFill>
                  <w14:solidFill>
                    <w14:schemeClr w14:val="tx1"/>
                  </w14:solidFill>
                </w14:textFill>
              </w:rPr>
              <w:t>（</w:t>
            </w:r>
            <w:r>
              <w:rPr>
                <w:rFonts w:eastAsiaTheme="minorEastAsia"/>
                <w:b/>
                <w:color w:val="000000" w:themeColor="text1"/>
                <w:szCs w:val="21"/>
                <w14:textFill>
                  <w14:solidFill>
                    <w14:schemeClr w14:val="tx1"/>
                  </w14:solidFill>
                </w14:textFill>
              </w:rPr>
              <w:t>A</w:t>
            </w:r>
            <w:r>
              <w:rPr>
                <w:rFonts w:hAnsiTheme="minorEastAsia" w:eastAsiaTheme="minorEastAsia"/>
                <w:b/>
                <w:color w:val="000000" w:themeColor="text1"/>
                <w:szCs w:val="21"/>
                <w14:textFill>
                  <w14:solidFill>
                    <w14:schemeClr w14:val="tx1"/>
                  </w14:solidFill>
                </w14:textFill>
              </w:rPr>
              <w:t>）</w:t>
            </w:r>
          </w:p>
          <w:tbl>
            <w:tblPr>
              <w:tblStyle w:val="19"/>
              <w:tblW w:w="777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733"/>
              <w:gridCol w:w="744"/>
              <w:gridCol w:w="745"/>
              <w:gridCol w:w="746"/>
              <w:gridCol w:w="745"/>
              <w:gridCol w:w="744"/>
              <w:gridCol w:w="745"/>
              <w:gridCol w:w="744"/>
              <w:gridCol w:w="7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086" w:type="dxa"/>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设备</w:t>
                  </w:r>
                </w:p>
              </w:tc>
              <w:tc>
                <w:tcPr>
                  <w:tcW w:w="733"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50m</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100m</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150m</w:t>
                  </w:r>
                </w:p>
              </w:tc>
              <w:tc>
                <w:tcPr>
                  <w:tcW w:w="746" w:type="dxa"/>
                  <w:vAlign w:val="center"/>
                </w:tcPr>
                <w:p>
                  <w:pPr>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180m</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220m</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250m</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300m</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350m</w:t>
                  </w:r>
                </w:p>
              </w:tc>
              <w:tc>
                <w:tcPr>
                  <w:tcW w:w="74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500m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086" w:type="dxa"/>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切割机</w:t>
                  </w:r>
                </w:p>
              </w:tc>
              <w:tc>
                <w:tcPr>
                  <w:tcW w:w="733"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56.0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50.0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46.5</w:t>
                  </w:r>
                </w:p>
              </w:tc>
              <w:tc>
                <w:tcPr>
                  <w:tcW w:w="746" w:type="dxa"/>
                  <w:vAlign w:val="center"/>
                </w:tcPr>
                <w:p>
                  <w:pPr>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44.9</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44.0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42.0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40.5</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39.1</w:t>
                  </w:r>
                </w:p>
              </w:tc>
              <w:tc>
                <w:tcPr>
                  <w:tcW w:w="74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086" w:type="dxa"/>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挖掘机</w:t>
                  </w:r>
                </w:p>
              </w:tc>
              <w:tc>
                <w:tcPr>
                  <w:tcW w:w="733"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52.0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46.0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42.5</w:t>
                  </w:r>
                </w:p>
              </w:tc>
              <w:tc>
                <w:tcPr>
                  <w:tcW w:w="746" w:type="dxa"/>
                  <w:vAlign w:val="center"/>
                </w:tcPr>
                <w:p>
                  <w:pPr>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40.9</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40.0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38.0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36.5</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35.1</w:t>
                  </w:r>
                </w:p>
              </w:tc>
              <w:tc>
                <w:tcPr>
                  <w:tcW w:w="74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086" w:type="dxa"/>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自卸卡车</w:t>
                  </w:r>
                </w:p>
              </w:tc>
              <w:tc>
                <w:tcPr>
                  <w:tcW w:w="733"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71.0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65.0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61.5</w:t>
                  </w:r>
                </w:p>
              </w:tc>
              <w:tc>
                <w:tcPr>
                  <w:tcW w:w="746" w:type="dxa"/>
                  <w:vAlign w:val="center"/>
                </w:tcPr>
                <w:p>
                  <w:pPr>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59.9</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59.0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57.0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55.5</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54.1</w:t>
                  </w:r>
                </w:p>
              </w:tc>
              <w:tc>
                <w:tcPr>
                  <w:tcW w:w="74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086" w:type="dxa"/>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装载机</w:t>
                  </w:r>
                </w:p>
              </w:tc>
              <w:tc>
                <w:tcPr>
                  <w:tcW w:w="733"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52.0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46.0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42.5</w:t>
                  </w:r>
                </w:p>
              </w:tc>
              <w:tc>
                <w:tcPr>
                  <w:tcW w:w="746" w:type="dxa"/>
                  <w:vAlign w:val="center"/>
                </w:tcPr>
                <w:p>
                  <w:pPr>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40.9</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40.0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38.0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36.5</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35.1</w:t>
                  </w:r>
                </w:p>
              </w:tc>
              <w:tc>
                <w:tcPr>
                  <w:tcW w:w="74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086" w:type="dxa"/>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抽水泵</w:t>
                  </w:r>
                </w:p>
              </w:tc>
              <w:tc>
                <w:tcPr>
                  <w:tcW w:w="733"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54.0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48.0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44.5</w:t>
                  </w:r>
                </w:p>
              </w:tc>
              <w:tc>
                <w:tcPr>
                  <w:tcW w:w="746" w:type="dxa"/>
                  <w:vAlign w:val="center"/>
                </w:tcPr>
                <w:p>
                  <w:pPr>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42.9</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42.0</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40.0</w:t>
                  </w:r>
                </w:p>
              </w:tc>
              <w:tc>
                <w:tcPr>
                  <w:tcW w:w="745"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38.5</w:t>
                  </w:r>
                </w:p>
              </w:tc>
              <w:tc>
                <w:tcPr>
                  <w:tcW w:w="74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37.1</w:t>
                  </w:r>
                </w:p>
              </w:tc>
              <w:tc>
                <w:tcPr>
                  <w:tcW w:w="74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34.0</w:t>
                  </w:r>
                </w:p>
              </w:tc>
            </w:tr>
          </w:tbl>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可见，矿山设备噪声在昼间经</w:t>
            </w:r>
            <w:r>
              <w:rPr>
                <w:rFonts w:eastAsiaTheme="minorEastAsia"/>
                <w:color w:val="000000" w:themeColor="text1"/>
                <w:sz w:val="24"/>
                <w14:textFill>
                  <w14:solidFill>
                    <w14:schemeClr w14:val="tx1"/>
                  </w14:solidFill>
                </w14:textFill>
              </w:rPr>
              <w:t>180m</w:t>
            </w:r>
            <w:r>
              <w:rPr>
                <w:rFonts w:hAnsiTheme="minorEastAsia" w:eastAsiaTheme="minorEastAsia"/>
                <w:color w:val="000000" w:themeColor="text1"/>
                <w:sz w:val="24"/>
                <w14:textFill>
                  <w14:solidFill>
                    <w14:schemeClr w14:val="tx1"/>
                  </w14:solidFill>
                </w14:textFill>
              </w:rPr>
              <w:t>、夜间经</w:t>
            </w:r>
            <w:r>
              <w:rPr>
                <w:rFonts w:eastAsiaTheme="minorEastAsia"/>
                <w:color w:val="000000" w:themeColor="text1"/>
                <w:sz w:val="24"/>
                <w14:textFill>
                  <w14:solidFill>
                    <w14:schemeClr w14:val="tx1"/>
                  </w14:solidFill>
                </w14:textFill>
              </w:rPr>
              <w:t>500m</w:t>
            </w:r>
            <w:r>
              <w:rPr>
                <w:rFonts w:hAnsiTheme="minorEastAsia" w:eastAsiaTheme="minorEastAsia"/>
                <w:color w:val="000000" w:themeColor="text1"/>
                <w:sz w:val="24"/>
                <w14:textFill>
                  <w14:solidFill>
                    <w14:schemeClr w14:val="tx1"/>
                  </w14:solidFill>
                </w14:textFill>
              </w:rPr>
              <w:t>自然衰减后，噪声值可达到《工业企业厂界环境噪声排放标准》（</w:t>
            </w:r>
            <w:r>
              <w:rPr>
                <w:rFonts w:eastAsiaTheme="minorEastAsia"/>
                <w:color w:val="000000" w:themeColor="text1"/>
                <w:sz w:val="24"/>
                <w14:textFill>
                  <w14:solidFill>
                    <w14:schemeClr w14:val="tx1"/>
                  </w14:solidFill>
                </w14:textFill>
              </w:rPr>
              <w:t>GB12348-2008</w:t>
            </w:r>
            <w:r>
              <w:rPr>
                <w:rFonts w:hAnsiTheme="minorEastAsia" w:eastAsiaTheme="minorEastAsia"/>
                <w:color w:val="000000" w:themeColor="text1"/>
                <w:sz w:val="24"/>
                <w14:textFill>
                  <w14:solidFill>
                    <w14:schemeClr w14:val="tx1"/>
                  </w14:solidFill>
                </w14:textFill>
              </w:rPr>
              <w:t>）中</w:t>
            </w:r>
            <w:r>
              <w:rPr>
                <w:rFonts w:eastAsiaTheme="minorEastAsia"/>
                <w:color w:val="000000" w:themeColor="text1"/>
                <w:sz w:val="24"/>
                <w14:textFill>
                  <w14:solidFill>
                    <w14:schemeClr w14:val="tx1"/>
                  </w14:solidFill>
                </w14:textFill>
              </w:rPr>
              <w:t>2</w:t>
            </w:r>
            <w:r>
              <w:rPr>
                <w:rFonts w:hAnsiTheme="minorEastAsia" w:eastAsiaTheme="minorEastAsia"/>
                <w:color w:val="000000" w:themeColor="text1"/>
                <w:sz w:val="24"/>
                <w14:textFill>
                  <w14:solidFill>
                    <w14:schemeClr w14:val="tx1"/>
                  </w14:solidFill>
                </w14:textFill>
              </w:rPr>
              <w:t>类标准要求。由于采场仅在昼间作业，噪声超标距离为</w:t>
            </w:r>
            <w:r>
              <w:rPr>
                <w:rFonts w:eastAsiaTheme="minorEastAsia"/>
                <w:color w:val="000000" w:themeColor="text1"/>
                <w:sz w:val="24"/>
                <w14:textFill>
                  <w14:solidFill>
                    <w14:schemeClr w14:val="tx1"/>
                  </w14:solidFill>
                </w14:textFill>
              </w:rPr>
              <w:t>180m</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根据现场调查，距离矿区周边</w:t>
            </w:r>
            <w:r>
              <w:rPr>
                <w:rFonts w:eastAsiaTheme="minorEastAsia"/>
                <w:color w:val="000000" w:themeColor="text1"/>
                <w:sz w:val="24"/>
                <w14:textFill>
                  <w14:solidFill>
                    <w14:schemeClr w14:val="tx1"/>
                  </w14:solidFill>
                </w14:textFill>
              </w:rPr>
              <w:t>180m</w:t>
            </w:r>
            <w:r>
              <w:rPr>
                <w:rFonts w:hAnsiTheme="minorEastAsia" w:eastAsiaTheme="minorEastAsia"/>
                <w:color w:val="000000" w:themeColor="text1"/>
                <w:sz w:val="24"/>
                <w14:textFill>
                  <w14:solidFill>
                    <w14:schemeClr w14:val="tx1"/>
                  </w14:solidFill>
                </w14:textFill>
              </w:rPr>
              <w:t>范围内有零散几户居民，同时采矿区高噪声设备应合理布局，通过山体隔声和绿化带降噪使设备噪声对周边居民生活环境声影响降至标准限值以内。</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AnsiTheme="minorEastAsia" w:eastAsiaTheme="minorEastAsia"/>
                <w:color w:val="000000" w:themeColor="text1"/>
                <w:sz w:val="24"/>
                <w14:textFill>
                  <w14:solidFill>
                    <w14:schemeClr w14:val="tx1"/>
                  </w14:solidFill>
                </w14:textFill>
              </w:rPr>
              <w:t>）石料加工区</w:t>
            </w:r>
          </w:p>
          <w:p>
            <w:pPr>
              <w:adjustRightInd w:val="0"/>
              <w:snapToGrid w:val="0"/>
              <w:spacing w:line="360" w:lineRule="auto"/>
              <w:ind w:firstLine="480" w:firstLineChars="200"/>
              <w:rPr>
                <w:rFonts w:hAnsiTheme="minorEastAsia" w:eastAsiaTheme="minorEastAsia"/>
                <w:b/>
                <w:color w:val="000000" w:themeColor="text1"/>
                <w:szCs w:val="21"/>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石料加工区噪声源主要是</w:t>
            </w:r>
            <w:r>
              <w:rPr>
                <w:rFonts w:hint="eastAsia" w:hAnsiTheme="minorEastAsia" w:eastAsiaTheme="minorEastAsia"/>
                <w:color w:val="000000" w:themeColor="text1"/>
                <w:sz w:val="24"/>
                <w:lang w:eastAsia="zh-CN"/>
                <w14:textFill>
                  <w14:solidFill>
                    <w14:schemeClr w14:val="tx1"/>
                  </w14:solidFill>
                </w14:textFill>
              </w:rPr>
              <w:t>颚式破碎机</w:t>
            </w:r>
            <w:r>
              <w:rPr>
                <w:rFonts w:hAnsiTheme="minorEastAsia" w:eastAsiaTheme="minorEastAsia"/>
                <w:color w:val="000000" w:themeColor="text1"/>
                <w:sz w:val="24"/>
                <w14:textFill>
                  <w14:solidFill>
                    <w14:schemeClr w14:val="tx1"/>
                  </w14:solidFill>
                </w14:textFill>
              </w:rPr>
              <w:t>、单杠液压圆锥破、震动喂料机、制砂机等。噪声源强</w:t>
            </w:r>
            <w:r>
              <w:rPr>
                <w:rFonts w:eastAsiaTheme="minorEastAsia"/>
                <w:color w:val="000000" w:themeColor="text1"/>
                <w:sz w:val="24"/>
                <w14:textFill>
                  <w14:solidFill>
                    <w14:schemeClr w14:val="tx1"/>
                  </w14:solidFill>
                </w14:textFill>
              </w:rPr>
              <w:t>85-90dB</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A</w:t>
            </w:r>
            <w:r>
              <w:rPr>
                <w:rFonts w:hAnsiTheme="minorEastAsia" w:eastAsiaTheme="minorEastAsia"/>
                <w:color w:val="000000" w:themeColor="text1"/>
                <w:sz w:val="24"/>
                <w14:textFill>
                  <w14:solidFill>
                    <w14:schemeClr w14:val="tx1"/>
                  </w14:solidFill>
                </w14:textFill>
              </w:rPr>
              <w:t>），各设备噪声级见表</w:t>
            </w:r>
            <w:r>
              <w:rPr>
                <w:rFonts w:hint="eastAsia" w:eastAsiaTheme="minorEastAsia"/>
                <w:color w:val="000000" w:themeColor="text1"/>
                <w:sz w:val="24"/>
                <w14:textFill>
                  <w14:solidFill>
                    <w14:schemeClr w14:val="tx1"/>
                  </w14:solidFill>
                </w14:textFill>
              </w:rPr>
              <w:t>3</w:t>
            </w:r>
            <w:r>
              <w:rPr>
                <w:rFonts w:hint="eastAsia" w:eastAsiaTheme="minorEastAsia"/>
                <w:color w:val="000000" w:themeColor="text1"/>
                <w:sz w:val="24"/>
                <w:lang w:val="en-US" w:eastAsia="zh-CN"/>
                <w14:textFill>
                  <w14:solidFill>
                    <w14:schemeClr w14:val="tx1"/>
                  </w14:solidFill>
                </w14:textFill>
              </w:rPr>
              <w:t>1</w:t>
            </w:r>
            <w:r>
              <w:rPr>
                <w:rFonts w:hAnsiTheme="minorEastAsia" w:eastAsiaTheme="minorEastAsia"/>
                <w:color w:val="000000" w:themeColor="text1"/>
                <w:sz w:val="24"/>
                <w14:textFill>
                  <w14:solidFill>
                    <w14:schemeClr w14:val="tx1"/>
                  </w14:solidFill>
                </w14:textFill>
              </w:rPr>
              <w:t>。</w:t>
            </w:r>
          </w:p>
          <w:p>
            <w:pPr>
              <w:adjustRightInd w:val="0"/>
              <w:snapToGrid w:val="0"/>
              <w:jc w:val="center"/>
              <w:rPr>
                <w:rFonts w:hAnsiTheme="minorEastAsia"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hAnsiTheme="minorEastAsia" w:eastAsiaTheme="minorEastAsia"/>
                <w:b/>
                <w:color w:val="000000" w:themeColor="text1"/>
                <w:szCs w:val="21"/>
                <w:lang w:val="en-US" w:eastAsia="zh-CN"/>
                <w14:textFill>
                  <w14:solidFill>
                    <w14:schemeClr w14:val="tx1"/>
                  </w14:solidFill>
                </w14:textFill>
              </w:rPr>
              <w:t>3</w:t>
            </w:r>
            <w:r>
              <w:rPr>
                <w:rFonts w:hint="eastAsia" w:eastAsiaTheme="minorEastAsia"/>
                <w:b/>
                <w:color w:val="000000" w:themeColor="text1"/>
                <w:szCs w:val="21"/>
                <w:lang w:val="en-US" w:eastAsia="zh-CN"/>
                <w14:textFill>
                  <w14:solidFill>
                    <w14:schemeClr w14:val="tx1"/>
                  </w14:solidFill>
                </w14:textFill>
              </w:rPr>
              <w:t>1</w:t>
            </w:r>
            <w:r>
              <w:rPr>
                <w:rFonts w:hint="eastAsia" w:eastAsiaTheme="minorEastAsia"/>
                <w:b/>
                <w:color w:val="000000" w:themeColor="text1"/>
                <w:szCs w:val="21"/>
                <w14:textFill>
                  <w14:solidFill>
                    <w14:schemeClr w14:val="tx1"/>
                  </w14:solidFill>
                </w14:textFill>
              </w:rPr>
              <w:t xml:space="preserve"> </w:t>
            </w:r>
            <w:r>
              <w:rPr>
                <w:rFonts w:hAnsiTheme="minorEastAsia" w:eastAsiaTheme="minorEastAsia"/>
                <w:b/>
                <w:color w:val="000000" w:themeColor="text1"/>
                <w:szCs w:val="21"/>
                <w14:textFill>
                  <w14:solidFill>
                    <w14:schemeClr w14:val="tx1"/>
                  </w14:solidFill>
                </w14:textFill>
              </w:rPr>
              <w:t>各设备噪声级单位：</w:t>
            </w:r>
            <w:r>
              <w:rPr>
                <w:rFonts w:eastAsiaTheme="minorEastAsia"/>
                <w:b/>
                <w:color w:val="000000" w:themeColor="text1"/>
                <w:szCs w:val="21"/>
                <w14:textFill>
                  <w14:solidFill>
                    <w14:schemeClr w14:val="tx1"/>
                  </w14:solidFill>
                </w14:textFill>
              </w:rPr>
              <w:t>dB</w:t>
            </w:r>
            <w:r>
              <w:rPr>
                <w:rFonts w:hAnsiTheme="minorEastAsia" w:eastAsiaTheme="minorEastAsia"/>
                <w:b/>
                <w:color w:val="000000" w:themeColor="text1"/>
                <w:szCs w:val="21"/>
                <w14:textFill>
                  <w14:solidFill>
                    <w14:schemeClr w14:val="tx1"/>
                  </w14:solidFill>
                </w14:textFill>
              </w:rPr>
              <w:t>（</w:t>
            </w:r>
            <w:r>
              <w:rPr>
                <w:rFonts w:eastAsiaTheme="minorEastAsia"/>
                <w:b/>
                <w:color w:val="000000" w:themeColor="text1"/>
                <w:szCs w:val="21"/>
                <w14:textFill>
                  <w14:solidFill>
                    <w14:schemeClr w14:val="tx1"/>
                  </w14:solidFill>
                </w14:textFill>
              </w:rPr>
              <w:t>A</w:t>
            </w:r>
            <w:r>
              <w:rPr>
                <w:rFonts w:hAnsiTheme="minorEastAsia" w:eastAsiaTheme="minorEastAsia"/>
                <w:b/>
                <w:color w:val="000000" w:themeColor="text1"/>
                <w:szCs w:val="21"/>
                <w14:textFill>
                  <w14:solidFill>
                    <w14:schemeClr w14:val="tx1"/>
                  </w14:solidFill>
                </w14:textFill>
              </w:rPr>
              <w:t>）</w:t>
            </w:r>
          </w:p>
          <w:tbl>
            <w:tblPr>
              <w:tblStyle w:val="19"/>
              <w:tblW w:w="483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1931"/>
              <w:gridCol w:w="1341"/>
              <w:gridCol w:w="2076"/>
              <w:gridCol w:w="158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681"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序号</w:t>
                  </w:r>
                </w:p>
              </w:tc>
              <w:tc>
                <w:tcPr>
                  <w:tcW w:w="1942"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主要噪声源</w:t>
                  </w:r>
                </w:p>
              </w:tc>
              <w:tc>
                <w:tcPr>
                  <w:tcW w:w="1349"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治理前</w:t>
                  </w:r>
                </w:p>
              </w:tc>
              <w:tc>
                <w:tcPr>
                  <w:tcW w:w="2088"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噪声防治措施</w:t>
                  </w:r>
                </w:p>
              </w:tc>
              <w:tc>
                <w:tcPr>
                  <w:tcW w:w="1597"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治理后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5" w:hRule="atLeast"/>
                <w:jc w:val="center"/>
              </w:trPr>
              <w:tc>
                <w:tcPr>
                  <w:tcW w:w="681"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1</w:t>
                  </w:r>
                </w:p>
              </w:tc>
              <w:tc>
                <w:tcPr>
                  <w:tcW w:w="1942" w:type="dxa"/>
                  <w:vAlign w:val="center"/>
                </w:tcPr>
                <w:p>
                  <w:pPr>
                    <w:jc w:val="center"/>
                    <w:rPr>
                      <w:rFonts w:hAnsiTheme="minorEastAsia" w:eastAsiaTheme="minorEastAsia"/>
                      <w:color w:val="000000" w:themeColor="text1"/>
                      <w14:textFill>
                        <w14:solidFill>
                          <w14:schemeClr w14:val="tx1"/>
                        </w14:solidFill>
                      </w14:textFill>
                    </w:rPr>
                  </w:pPr>
                  <w:r>
                    <w:rPr>
                      <w:rFonts w:hint="eastAsia" w:hAnsiTheme="minorEastAsia" w:eastAsiaTheme="minorEastAsia"/>
                      <w:color w:val="000000" w:themeColor="text1"/>
                      <w:lang w:eastAsia="zh-CN"/>
                      <w14:textFill>
                        <w14:solidFill>
                          <w14:schemeClr w14:val="tx1"/>
                        </w14:solidFill>
                      </w14:textFill>
                    </w:rPr>
                    <w:t>颚式破碎机</w:t>
                  </w:r>
                </w:p>
              </w:tc>
              <w:tc>
                <w:tcPr>
                  <w:tcW w:w="1349"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85</w:t>
                  </w:r>
                </w:p>
              </w:tc>
              <w:tc>
                <w:tcPr>
                  <w:tcW w:w="2088"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hAnsiTheme="minorEastAsia" w:eastAsiaTheme="minorEastAsia"/>
                      <w:b w:val="0"/>
                      <w:bCs/>
                      <w:color w:val="000000" w:themeColor="text1"/>
                      <w:sz w:val="21"/>
                      <w:szCs w:val="21"/>
                      <w14:textFill>
                        <w14:solidFill>
                          <w14:schemeClr w14:val="tx1"/>
                        </w14:solidFill>
                      </w14:textFill>
                    </w:rPr>
                    <w:t>基础减振，密闭隔声</w:t>
                  </w:r>
                </w:p>
              </w:tc>
              <w:tc>
                <w:tcPr>
                  <w:tcW w:w="1597"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eastAsiaTheme="minorEastAsia"/>
                      <w:b w:val="0"/>
                      <w:bCs/>
                      <w:color w:val="000000" w:themeColor="text1"/>
                      <w:sz w:val="21"/>
                      <w:szCs w:val="21"/>
                      <w14:textFill>
                        <w14:solidFill>
                          <w14:schemeClr w14:val="tx1"/>
                        </w14:solidFill>
                      </w14:textFill>
                    </w:rPr>
                    <w:t>&lt;65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5" w:hRule="atLeast"/>
                <w:jc w:val="center"/>
              </w:trPr>
              <w:tc>
                <w:tcPr>
                  <w:tcW w:w="681"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2</w:t>
                  </w:r>
                </w:p>
              </w:tc>
              <w:tc>
                <w:tcPr>
                  <w:tcW w:w="1942"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单杠液压圆锥破</w:t>
                  </w:r>
                </w:p>
              </w:tc>
              <w:tc>
                <w:tcPr>
                  <w:tcW w:w="1349"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90</w:t>
                  </w:r>
                </w:p>
              </w:tc>
              <w:tc>
                <w:tcPr>
                  <w:tcW w:w="2088"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hAnsiTheme="minorEastAsia" w:eastAsiaTheme="minorEastAsia"/>
                      <w:b w:val="0"/>
                      <w:bCs/>
                      <w:color w:val="000000" w:themeColor="text1"/>
                      <w:sz w:val="21"/>
                      <w:szCs w:val="21"/>
                      <w14:textFill>
                        <w14:solidFill>
                          <w14:schemeClr w14:val="tx1"/>
                        </w14:solidFill>
                      </w14:textFill>
                    </w:rPr>
                    <w:t>基础减振，密闭隔声</w:t>
                  </w:r>
                </w:p>
              </w:tc>
              <w:tc>
                <w:tcPr>
                  <w:tcW w:w="1597"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eastAsiaTheme="minorEastAsia"/>
                      <w:b w:val="0"/>
                      <w:bCs/>
                      <w:color w:val="000000" w:themeColor="text1"/>
                      <w:sz w:val="21"/>
                      <w:szCs w:val="21"/>
                      <w14:textFill>
                        <w14:solidFill>
                          <w14:schemeClr w14:val="tx1"/>
                        </w14:solidFill>
                      </w14:textFill>
                    </w:rPr>
                    <w:t>&lt;65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5" w:hRule="atLeast"/>
                <w:jc w:val="center"/>
              </w:trPr>
              <w:tc>
                <w:tcPr>
                  <w:tcW w:w="681"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3</w:t>
                  </w:r>
                </w:p>
              </w:tc>
              <w:tc>
                <w:tcPr>
                  <w:tcW w:w="1942"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震动喂料机</w:t>
                  </w:r>
                </w:p>
              </w:tc>
              <w:tc>
                <w:tcPr>
                  <w:tcW w:w="1349"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85-90</w:t>
                  </w:r>
                </w:p>
              </w:tc>
              <w:tc>
                <w:tcPr>
                  <w:tcW w:w="2088"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hAnsiTheme="minorEastAsia" w:eastAsiaTheme="minorEastAsia"/>
                      <w:b w:val="0"/>
                      <w:bCs/>
                      <w:color w:val="000000" w:themeColor="text1"/>
                      <w:sz w:val="21"/>
                      <w:szCs w:val="21"/>
                      <w14:textFill>
                        <w14:solidFill>
                          <w14:schemeClr w14:val="tx1"/>
                        </w14:solidFill>
                      </w14:textFill>
                    </w:rPr>
                    <w:t>基础减振，密闭隔声</w:t>
                  </w:r>
                </w:p>
              </w:tc>
              <w:tc>
                <w:tcPr>
                  <w:tcW w:w="1597"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eastAsiaTheme="minorEastAsia"/>
                      <w:b w:val="0"/>
                      <w:bCs/>
                      <w:color w:val="000000" w:themeColor="text1"/>
                      <w:sz w:val="21"/>
                      <w:szCs w:val="21"/>
                      <w14:textFill>
                        <w14:solidFill>
                          <w14:schemeClr w14:val="tx1"/>
                        </w14:solidFill>
                      </w14:textFill>
                    </w:rPr>
                    <w:t>&lt;65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5" w:hRule="atLeast"/>
                <w:jc w:val="center"/>
              </w:trPr>
              <w:tc>
                <w:tcPr>
                  <w:tcW w:w="681"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4</w:t>
                  </w:r>
                </w:p>
              </w:tc>
              <w:tc>
                <w:tcPr>
                  <w:tcW w:w="1942"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震动喂料机</w:t>
                  </w:r>
                </w:p>
              </w:tc>
              <w:tc>
                <w:tcPr>
                  <w:tcW w:w="1349"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85</w:t>
                  </w:r>
                </w:p>
              </w:tc>
              <w:tc>
                <w:tcPr>
                  <w:tcW w:w="2088"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hAnsiTheme="minorEastAsia" w:eastAsiaTheme="minorEastAsia"/>
                      <w:b w:val="0"/>
                      <w:bCs/>
                      <w:color w:val="000000" w:themeColor="text1"/>
                      <w:sz w:val="21"/>
                      <w:szCs w:val="21"/>
                      <w14:textFill>
                        <w14:solidFill>
                          <w14:schemeClr w14:val="tx1"/>
                        </w14:solidFill>
                      </w14:textFill>
                    </w:rPr>
                    <w:t>基础减振，密闭隔声</w:t>
                  </w:r>
                </w:p>
              </w:tc>
              <w:tc>
                <w:tcPr>
                  <w:tcW w:w="1597"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eastAsiaTheme="minorEastAsia"/>
                      <w:b w:val="0"/>
                      <w:bCs/>
                      <w:color w:val="000000" w:themeColor="text1"/>
                      <w:sz w:val="21"/>
                      <w:szCs w:val="21"/>
                      <w14:textFill>
                        <w14:solidFill>
                          <w14:schemeClr w14:val="tx1"/>
                        </w14:solidFill>
                      </w14:textFill>
                    </w:rPr>
                    <w:t>&lt;65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53" w:hRule="atLeast"/>
                <w:jc w:val="center"/>
              </w:trPr>
              <w:tc>
                <w:tcPr>
                  <w:tcW w:w="681"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5</w:t>
                  </w:r>
                </w:p>
              </w:tc>
              <w:tc>
                <w:tcPr>
                  <w:tcW w:w="1942"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制砂机</w:t>
                  </w:r>
                </w:p>
              </w:tc>
              <w:tc>
                <w:tcPr>
                  <w:tcW w:w="1349" w:type="dxa"/>
                  <w:vAlign w:val="center"/>
                </w:tcPr>
                <w:p>
                  <w:pPr>
                    <w:adjustRightInd w:val="0"/>
                    <w:snapToGrid w:val="0"/>
                    <w:jc w:val="center"/>
                    <w:rPr>
                      <w:rFonts w:hAnsiTheme="minorEastAsia" w:eastAsiaTheme="minorEastAsia"/>
                      <w:color w:val="000000" w:themeColor="text1"/>
                      <w14:textFill>
                        <w14:solidFill>
                          <w14:schemeClr w14:val="tx1"/>
                        </w14:solidFill>
                      </w14:textFill>
                    </w:rPr>
                  </w:pPr>
                  <w:r>
                    <w:rPr>
                      <w:rFonts w:hint="eastAsia" w:hAnsiTheme="minorEastAsia" w:eastAsiaTheme="minorEastAsia"/>
                      <w:color w:val="000000" w:themeColor="text1"/>
                      <w14:textFill>
                        <w14:solidFill>
                          <w14:schemeClr w14:val="tx1"/>
                        </w14:solidFill>
                      </w14:textFill>
                    </w:rPr>
                    <w:t>85</w:t>
                  </w:r>
                </w:p>
              </w:tc>
              <w:tc>
                <w:tcPr>
                  <w:tcW w:w="2088" w:type="dxa"/>
                  <w:vAlign w:val="center"/>
                </w:tcPr>
                <w:p>
                  <w:pPr>
                    <w:jc w:val="center"/>
                    <w:rPr>
                      <w:rFonts w:eastAsiaTheme="minorEastAsia"/>
                      <w:bCs/>
                      <w:color w:val="000000" w:themeColor="text1"/>
                      <w:szCs w:val="21"/>
                      <w14:textFill>
                        <w14:solidFill>
                          <w14:schemeClr w14:val="tx1"/>
                        </w14:solidFill>
                      </w14:textFill>
                    </w:rPr>
                  </w:pPr>
                  <w:r>
                    <w:rPr>
                      <w:rFonts w:hAnsiTheme="minorEastAsia" w:eastAsiaTheme="minorEastAsia"/>
                      <w:bCs/>
                      <w:color w:val="000000" w:themeColor="text1"/>
                      <w:szCs w:val="21"/>
                      <w14:textFill>
                        <w14:solidFill>
                          <w14:schemeClr w14:val="tx1"/>
                        </w14:solidFill>
                      </w14:textFill>
                    </w:rPr>
                    <w:t>基础减振，密闭隔声</w:t>
                  </w:r>
                </w:p>
              </w:tc>
              <w:tc>
                <w:tcPr>
                  <w:tcW w:w="1597"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eastAsiaTheme="minorEastAsia"/>
                      <w:b w:val="0"/>
                      <w:bCs/>
                      <w:color w:val="000000" w:themeColor="text1"/>
                      <w:sz w:val="21"/>
                      <w:szCs w:val="21"/>
                      <w14:textFill>
                        <w14:solidFill>
                          <w14:schemeClr w14:val="tx1"/>
                        </w14:solidFill>
                      </w14:textFill>
                    </w:rPr>
                    <w:t>&lt;65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5" w:hRule="atLeast"/>
                <w:jc w:val="center"/>
              </w:trPr>
              <w:tc>
                <w:tcPr>
                  <w:tcW w:w="681" w:type="dxa"/>
                  <w:vAlign w:val="center"/>
                </w:tcPr>
                <w:p>
                  <w:pPr>
                    <w:jc w:val="center"/>
                    <w:rPr>
                      <w:rFonts w:hAnsiTheme="minorEastAsia" w:eastAsiaTheme="minorEastAsia"/>
                      <w:color w:val="000000" w:themeColor="text1"/>
                      <w14:textFill>
                        <w14:solidFill>
                          <w14:schemeClr w14:val="tx1"/>
                        </w14:solidFill>
                      </w14:textFill>
                    </w:rPr>
                  </w:pPr>
                  <w:r>
                    <w:rPr>
                      <w:rFonts w:hint="eastAsia" w:hAnsiTheme="minorEastAsia" w:eastAsiaTheme="minorEastAsia"/>
                      <w:color w:val="000000" w:themeColor="text1"/>
                      <w14:textFill>
                        <w14:solidFill>
                          <w14:schemeClr w14:val="tx1"/>
                        </w14:solidFill>
                      </w14:textFill>
                    </w:rPr>
                    <w:t>6</w:t>
                  </w:r>
                </w:p>
              </w:tc>
              <w:tc>
                <w:tcPr>
                  <w:tcW w:w="1942"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振动筛</w:t>
                  </w:r>
                </w:p>
              </w:tc>
              <w:tc>
                <w:tcPr>
                  <w:tcW w:w="1349" w:type="dxa"/>
                  <w:vAlign w:val="center"/>
                </w:tcPr>
                <w:p>
                  <w:pPr>
                    <w:adjustRightInd w:val="0"/>
                    <w:snapToGrid w:val="0"/>
                    <w:jc w:val="center"/>
                    <w:rPr>
                      <w:rFonts w:hAnsiTheme="minorEastAsia" w:eastAsiaTheme="minorEastAsia"/>
                      <w:color w:val="000000" w:themeColor="text1"/>
                      <w14:textFill>
                        <w14:solidFill>
                          <w14:schemeClr w14:val="tx1"/>
                        </w14:solidFill>
                      </w14:textFill>
                    </w:rPr>
                  </w:pPr>
                  <w:r>
                    <w:rPr>
                      <w:rFonts w:hint="eastAsia" w:hAnsiTheme="minorEastAsia" w:eastAsiaTheme="minorEastAsia"/>
                      <w:color w:val="000000" w:themeColor="text1"/>
                      <w14:textFill>
                        <w14:solidFill>
                          <w14:schemeClr w14:val="tx1"/>
                        </w14:solidFill>
                      </w14:textFill>
                    </w:rPr>
                    <w:t>85</w:t>
                  </w:r>
                </w:p>
              </w:tc>
              <w:tc>
                <w:tcPr>
                  <w:tcW w:w="2088"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hAnsiTheme="minorEastAsia" w:eastAsiaTheme="minorEastAsia"/>
                      <w:b w:val="0"/>
                      <w:bCs/>
                      <w:color w:val="000000" w:themeColor="text1"/>
                      <w:sz w:val="21"/>
                      <w:szCs w:val="21"/>
                      <w14:textFill>
                        <w14:solidFill>
                          <w14:schemeClr w14:val="tx1"/>
                        </w14:solidFill>
                      </w14:textFill>
                    </w:rPr>
                    <w:t>基础减振，密闭隔声</w:t>
                  </w:r>
                </w:p>
              </w:tc>
              <w:tc>
                <w:tcPr>
                  <w:tcW w:w="1597"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eastAsiaTheme="minorEastAsia"/>
                      <w:b w:val="0"/>
                      <w:bCs/>
                      <w:color w:val="000000" w:themeColor="text1"/>
                      <w:sz w:val="21"/>
                      <w:szCs w:val="21"/>
                      <w14:textFill>
                        <w14:solidFill>
                          <w14:schemeClr w14:val="tx1"/>
                        </w14:solidFill>
                      </w14:textFill>
                    </w:rPr>
                    <w:t>&lt;65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5" w:hRule="atLeast"/>
                <w:jc w:val="center"/>
              </w:trPr>
              <w:tc>
                <w:tcPr>
                  <w:tcW w:w="681" w:type="dxa"/>
                  <w:vAlign w:val="center"/>
                </w:tcPr>
                <w:p>
                  <w:pPr>
                    <w:jc w:val="center"/>
                    <w:rPr>
                      <w:rFonts w:hAnsiTheme="minorEastAsia" w:eastAsiaTheme="minorEastAsia"/>
                      <w:color w:val="000000" w:themeColor="text1"/>
                      <w14:textFill>
                        <w14:solidFill>
                          <w14:schemeClr w14:val="tx1"/>
                        </w14:solidFill>
                      </w14:textFill>
                    </w:rPr>
                  </w:pPr>
                  <w:r>
                    <w:rPr>
                      <w:rFonts w:hint="eastAsia" w:hAnsiTheme="minorEastAsia" w:eastAsiaTheme="minorEastAsia"/>
                      <w:color w:val="000000" w:themeColor="text1"/>
                      <w14:textFill>
                        <w14:solidFill>
                          <w14:schemeClr w14:val="tx1"/>
                        </w14:solidFill>
                      </w14:textFill>
                    </w:rPr>
                    <w:t>7</w:t>
                  </w:r>
                </w:p>
              </w:tc>
              <w:tc>
                <w:tcPr>
                  <w:tcW w:w="1942" w:type="dxa"/>
                  <w:vAlign w:val="center"/>
                </w:tcPr>
                <w:p>
                  <w:pPr>
                    <w:jc w:val="center"/>
                    <w:rPr>
                      <w:rFonts w:hAnsiTheme="minorEastAsia"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洗砂机</w:t>
                  </w:r>
                </w:p>
              </w:tc>
              <w:tc>
                <w:tcPr>
                  <w:tcW w:w="1349" w:type="dxa"/>
                  <w:vAlign w:val="center"/>
                </w:tcPr>
                <w:p>
                  <w:pPr>
                    <w:jc w:val="center"/>
                    <w:rPr>
                      <w:rFonts w:hAnsiTheme="minorEastAsia" w:eastAsiaTheme="minorEastAsia"/>
                      <w:color w:val="000000" w:themeColor="text1"/>
                      <w14:textFill>
                        <w14:solidFill>
                          <w14:schemeClr w14:val="tx1"/>
                        </w14:solidFill>
                      </w14:textFill>
                    </w:rPr>
                  </w:pPr>
                  <w:r>
                    <w:rPr>
                      <w:rFonts w:hint="eastAsia" w:hAnsiTheme="minorEastAsia" w:eastAsiaTheme="minorEastAsia"/>
                      <w:color w:val="000000" w:themeColor="text1"/>
                      <w14:textFill>
                        <w14:solidFill>
                          <w14:schemeClr w14:val="tx1"/>
                        </w14:solidFill>
                      </w14:textFill>
                    </w:rPr>
                    <w:t>85</w:t>
                  </w:r>
                </w:p>
              </w:tc>
              <w:tc>
                <w:tcPr>
                  <w:tcW w:w="2088"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hAnsiTheme="minorEastAsia" w:eastAsiaTheme="minorEastAsia"/>
                      <w:b w:val="0"/>
                      <w:bCs/>
                      <w:color w:val="000000" w:themeColor="text1"/>
                      <w:sz w:val="21"/>
                      <w:szCs w:val="21"/>
                      <w14:textFill>
                        <w14:solidFill>
                          <w14:schemeClr w14:val="tx1"/>
                        </w14:solidFill>
                      </w14:textFill>
                    </w:rPr>
                    <w:t>基础减振，密闭隔声</w:t>
                  </w:r>
                </w:p>
              </w:tc>
              <w:tc>
                <w:tcPr>
                  <w:tcW w:w="1597"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eastAsiaTheme="minorEastAsia"/>
                      <w:b w:val="0"/>
                      <w:bCs/>
                      <w:color w:val="000000" w:themeColor="text1"/>
                      <w:sz w:val="21"/>
                      <w:szCs w:val="21"/>
                      <w14:textFill>
                        <w14:solidFill>
                          <w14:schemeClr w14:val="tx1"/>
                        </w14:solidFill>
                      </w14:textFill>
                    </w:rPr>
                    <w:t>&lt;65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5" w:hRule="atLeast"/>
                <w:jc w:val="center"/>
              </w:trPr>
              <w:tc>
                <w:tcPr>
                  <w:tcW w:w="681"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w:t>
                  </w:r>
                </w:p>
              </w:tc>
              <w:tc>
                <w:tcPr>
                  <w:tcW w:w="1942" w:type="dxa"/>
                  <w:vAlign w:val="center"/>
                </w:tcPr>
                <w:p>
                  <w:pPr>
                    <w:jc w:val="center"/>
                    <w:rPr>
                      <w:rFonts w:eastAsiaTheme="minorEastAsia"/>
                      <w:color w:val="000000" w:themeColor="text1"/>
                      <w14:textFill>
                        <w14:solidFill>
                          <w14:schemeClr w14:val="tx1"/>
                        </w14:solidFill>
                      </w14:textFill>
                    </w:rPr>
                  </w:pPr>
                  <w:r>
                    <w:rPr>
                      <w:rFonts w:hAnsiTheme="minorEastAsia" w:eastAsiaTheme="minorEastAsia"/>
                      <w:color w:val="000000" w:themeColor="text1"/>
                      <w14:textFill>
                        <w14:solidFill>
                          <w14:schemeClr w14:val="tx1"/>
                        </w14:solidFill>
                      </w14:textFill>
                    </w:rPr>
                    <w:t>传送带</w:t>
                  </w:r>
                </w:p>
              </w:tc>
              <w:tc>
                <w:tcPr>
                  <w:tcW w:w="134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80</w:t>
                  </w:r>
                </w:p>
              </w:tc>
              <w:tc>
                <w:tcPr>
                  <w:tcW w:w="2088"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hAnsiTheme="minorEastAsia" w:eastAsiaTheme="minorEastAsia"/>
                      <w:b w:val="0"/>
                      <w:bCs/>
                      <w:color w:val="000000" w:themeColor="text1"/>
                      <w:sz w:val="21"/>
                      <w:szCs w:val="21"/>
                      <w14:textFill>
                        <w14:solidFill>
                          <w14:schemeClr w14:val="tx1"/>
                        </w14:solidFill>
                      </w14:textFill>
                    </w:rPr>
                    <w:t>基础减振，密闭隔声</w:t>
                  </w:r>
                </w:p>
              </w:tc>
              <w:tc>
                <w:tcPr>
                  <w:tcW w:w="1597" w:type="dxa"/>
                  <w:vAlign w:val="center"/>
                </w:tcPr>
                <w:p>
                  <w:pPr>
                    <w:pStyle w:val="51"/>
                    <w:snapToGrid w:val="0"/>
                    <w:jc w:val="center"/>
                    <w:rPr>
                      <w:rFonts w:eastAsiaTheme="minorEastAsia"/>
                      <w:b w:val="0"/>
                      <w:bCs/>
                      <w:color w:val="000000" w:themeColor="text1"/>
                      <w:sz w:val="21"/>
                      <w:szCs w:val="21"/>
                      <w14:textFill>
                        <w14:solidFill>
                          <w14:schemeClr w14:val="tx1"/>
                        </w14:solidFill>
                      </w14:textFill>
                    </w:rPr>
                  </w:pPr>
                  <w:r>
                    <w:rPr>
                      <w:rFonts w:eastAsiaTheme="minorEastAsia"/>
                      <w:b w:val="0"/>
                      <w:bCs/>
                      <w:color w:val="000000" w:themeColor="text1"/>
                      <w:sz w:val="21"/>
                      <w:szCs w:val="21"/>
                      <w14:textFill>
                        <w14:solidFill>
                          <w14:schemeClr w14:val="tx1"/>
                        </w14:solidFill>
                      </w14:textFill>
                    </w:rPr>
                    <w:t>&lt;65</w:t>
                  </w:r>
                </w:p>
              </w:tc>
            </w:tr>
          </w:tbl>
          <w:p>
            <w:pPr>
              <w:adjustRightInd w:val="0"/>
              <w:snapToGrid w:val="0"/>
              <w:spacing w:line="360" w:lineRule="auto"/>
              <w:ind w:firstLine="480" w:firstLineChars="200"/>
              <w:jc w:val="left"/>
              <w:rPr>
                <w:rFonts w:eastAsiaTheme="minorEastAsia"/>
                <w:bCs/>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①</w:t>
            </w:r>
            <w:r>
              <w:rPr>
                <w:rFonts w:hAnsiTheme="minorEastAsia" w:eastAsiaTheme="minorEastAsia"/>
                <w:bCs/>
                <w:color w:val="000000" w:themeColor="text1"/>
                <w:sz w:val="24"/>
                <w14:textFill>
                  <w14:solidFill>
                    <w14:schemeClr w14:val="tx1"/>
                  </w14:solidFill>
                </w14:textFill>
              </w:rPr>
              <w:t>预测工况</w:t>
            </w:r>
          </w:p>
          <w:p>
            <w:pPr>
              <w:adjustRightInd w:val="0"/>
              <w:snapToGrid w:val="0"/>
              <w:spacing w:line="360" w:lineRule="auto"/>
              <w:ind w:firstLine="480" w:firstLineChars="200"/>
              <w:jc w:val="left"/>
              <w:rPr>
                <w:rFonts w:eastAsiaTheme="minorEastAsia"/>
                <w:bCs/>
                <w:color w:val="000000" w:themeColor="text1"/>
                <w:sz w:val="24"/>
                <w14:textFill>
                  <w14:solidFill>
                    <w14:schemeClr w14:val="tx1"/>
                  </w14:solidFill>
                </w14:textFill>
              </w:rPr>
            </w:pPr>
            <w:r>
              <w:rPr>
                <w:rFonts w:hAnsiTheme="minorEastAsia" w:eastAsiaTheme="minorEastAsia"/>
                <w:bCs/>
                <w:color w:val="000000" w:themeColor="text1"/>
                <w:sz w:val="24"/>
                <w14:textFill>
                  <w14:solidFill>
                    <w14:schemeClr w14:val="tx1"/>
                  </w14:solidFill>
                </w14:textFill>
              </w:rPr>
              <w:t>所有产噪设备均处于正常运行工况。</w:t>
            </w:r>
          </w:p>
          <w:p>
            <w:pPr>
              <w:adjustRightInd w:val="0"/>
              <w:snapToGrid w:val="0"/>
              <w:spacing w:line="360" w:lineRule="auto"/>
              <w:ind w:firstLine="480" w:firstLineChars="200"/>
              <w:rPr>
                <w:rFonts w:eastAsiaTheme="minorEastAsia"/>
                <w:color w:val="FF0000"/>
                <w:sz w:val="24"/>
              </w:rPr>
            </w:pPr>
            <w:r>
              <w:rPr>
                <w:rFonts w:hAnsiTheme="minorEastAsia" w:eastAsiaTheme="minorEastAsia"/>
                <w:color w:val="FF0000"/>
                <w:sz w:val="24"/>
              </w:rPr>
              <w:t>②预测方法</w:t>
            </w:r>
          </w:p>
          <w:p>
            <w:pPr>
              <w:adjustRightInd w:val="0"/>
              <w:snapToGrid w:val="0"/>
              <w:spacing w:line="360" w:lineRule="auto"/>
              <w:ind w:firstLine="480" w:firstLineChars="200"/>
              <w:rPr>
                <w:rFonts w:eastAsiaTheme="minorEastAsia"/>
                <w:bCs/>
                <w:color w:val="FF0000"/>
                <w:sz w:val="24"/>
              </w:rPr>
            </w:pPr>
            <w:r>
              <w:rPr>
                <w:rFonts w:hAnsiTheme="minorEastAsia" w:eastAsiaTheme="minorEastAsia"/>
                <w:bCs/>
                <w:color w:val="FF0000"/>
                <w:sz w:val="24"/>
              </w:rPr>
              <w:t>根据《环境影响评价技术导则声环境》（</w:t>
            </w:r>
            <w:r>
              <w:rPr>
                <w:rFonts w:eastAsiaTheme="minorEastAsia"/>
                <w:bCs/>
                <w:color w:val="FF0000"/>
                <w:sz w:val="24"/>
              </w:rPr>
              <w:t>HJ2.4-20</w:t>
            </w:r>
            <w:r>
              <w:rPr>
                <w:rFonts w:hint="eastAsia" w:eastAsiaTheme="minorEastAsia"/>
                <w:bCs/>
                <w:color w:val="FF0000"/>
                <w:sz w:val="24"/>
                <w:lang w:val="en-US" w:eastAsia="zh-CN"/>
              </w:rPr>
              <w:t>21</w:t>
            </w:r>
            <w:r>
              <w:rPr>
                <w:rFonts w:hAnsiTheme="minorEastAsia" w:eastAsiaTheme="minorEastAsia"/>
                <w:bCs/>
                <w:color w:val="FF0000"/>
                <w:sz w:val="24"/>
              </w:rPr>
              <w:t>）推荐的室内声源的声传播模式，将室内声源等效为等效室外点声源，据此，室内声源传播衰减公式为：</w:t>
            </w:r>
          </w:p>
          <w:p>
            <w:pPr>
              <w:adjustRightInd w:val="0"/>
              <w:snapToGrid w:val="0"/>
              <w:spacing w:line="360" w:lineRule="auto"/>
              <w:ind w:firstLine="480" w:firstLineChars="200"/>
              <w:jc w:val="center"/>
              <w:rPr>
                <w:rFonts w:hint="eastAsia" w:eastAsiaTheme="minorEastAsia"/>
                <w:bCs/>
                <w:color w:val="FF0000"/>
                <w:sz w:val="24"/>
                <w:lang w:eastAsia="zh-CN"/>
              </w:rPr>
            </w:pPr>
            <w:r>
              <w:rPr>
                <w:rFonts w:hint="eastAsia" w:eastAsiaTheme="minorEastAsia"/>
                <w:bCs/>
                <w:color w:val="FF0000"/>
                <w:position w:val="-12"/>
                <w:sz w:val="24"/>
                <w:lang w:eastAsia="zh-CN"/>
              </w:rPr>
              <w:object>
                <v:shape id="_x0000_i1027" o:spt="75" type="#_x0000_t75" style="height:18pt;width:132.95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p>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hAnsiTheme="minorEastAsia" w:eastAsiaTheme="minorEastAsia"/>
                <w:bCs/>
                <w:color w:val="000000" w:themeColor="text1"/>
                <w:sz w:val="24"/>
                <w14:textFill>
                  <w14:solidFill>
                    <w14:schemeClr w14:val="tx1"/>
                  </w14:solidFill>
                </w14:textFill>
              </w:rPr>
              <w:t>式中：</w:t>
            </w:r>
            <w:r>
              <w:rPr>
                <w:rFonts w:eastAsiaTheme="minorEastAsia"/>
                <w:bCs/>
                <w:i/>
                <w:color w:val="000000" w:themeColor="text1"/>
                <w:sz w:val="24"/>
                <w14:textFill>
                  <w14:solidFill>
                    <w14:schemeClr w14:val="tx1"/>
                  </w14:solidFill>
                </w14:textFill>
              </w:rPr>
              <w:t>L</w:t>
            </w:r>
            <w:r>
              <w:rPr>
                <w:rFonts w:hint="eastAsia" w:eastAsiaTheme="minorEastAsia"/>
                <w:bCs/>
                <w:i/>
                <w:color w:val="000000" w:themeColor="text1"/>
                <w:sz w:val="24"/>
                <w:vertAlign w:val="subscript"/>
                <w:lang w:val="en-US" w:eastAsia="zh-CN"/>
                <w14:textFill>
                  <w14:solidFill>
                    <w14:schemeClr w14:val="tx1"/>
                  </w14:solidFill>
                </w14:textFill>
              </w:rPr>
              <w:t>A</w:t>
            </w:r>
            <w:r>
              <w:rPr>
                <w:rFonts w:eastAsiaTheme="minorEastAsia"/>
                <w:bCs/>
                <w:i/>
                <w:color w:val="000000" w:themeColor="text1"/>
                <w:sz w:val="24"/>
                <w:vertAlign w:val="subscript"/>
                <w14:textFill>
                  <w14:solidFill>
                    <w14:schemeClr w14:val="tx1"/>
                  </w14:solidFill>
                </w14:textFill>
              </w:rPr>
              <w:t>(r)</w:t>
            </w:r>
            <w:r>
              <w:rPr>
                <w:rFonts w:eastAsiaTheme="minorEastAsia"/>
                <w:bCs/>
                <w:color w:val="000000" w:themeColor="text1"/>
                <w:sz w:val="24"/>
                <w14:textFill>
                  <w14:solidFill>
                    <w14:schemeClr w14:val="tx1"/>
                  </w14:solidFill>
                </w14:textFill>
              </w:rPr>
              <w:t>—</w:t>
            </w:r>
            <w:r>
              <w:rPr>
                <w:rFonts w:hAnsiTheme="minorEastAsia" w:eastAsiaTheme="minorEastAsia"/>
                <w:bCs/>
                <w:color w:val="000000" w:themeColor="text1"/>
                <w:sz w:val="24"/>
                <w14:textFill>
                  <w14:solidFill>
                    <w14:schemeClr w14:val="tx1"/>
                  </w14:solidFill>
                </w14:textFill>
              </w:rPr>
              <w:t>距离噪声源</w:t>
            </w:r>
            <w:r>
              <w:rPr>
                <w:rFonts w:eastAsiaTheme="minorEastAsia"/>
                <w:bCs/>
                <w:i/>
                <w:color w:val="000000" w:themeColor="text1"/>
                <w:sz w:val="24"/>
                <w14:textFill>
                  <w14:solidFill>
                    <w14:schemeClr w14:val="tx1"/>
                  </w14:solidFill>
                </w14:textFill>
              </w:rPr>
              <w:t>r</w:t>
            </w:r>
            <w:r>
              <w:rPr>
                <w:rFonts w:hAnsiTheme="minorEastAsia" w:eastAsiaTheme="minorEastAsia"/>
                <w:bCs/>
                <w:color w:val="000000" w:themeColor="text1"/>
                <w:sz w:val="24"/>
                <w14:textFill>
                  <w14:solidFill>
                    <w14:schemeClr w14:val="tx1"/>
                  </w14:solidFill>
                </w14:textFill>
              </w:rPr>
              <w:t>米处的声压级，</w:t>
            </w:r>
            <w:r>
              <w:rPr>
                <w:rFonts w:eastAsiaTheme="minorEastAsia"/>
                <w:bCs/>
                <w:color w:val="000000" w:themeColor="text1"/>
                <w:sz w:val="24"/>
                <w14:textFill>
                  <w14:solidFill>
                    <w14:schemeClr w14:val="tx1"/>
                  </w14:solidFill>
                </w14:textFill>
              </w:rPr>
              <w:t>dB</w:t>
            </w:r>
            <w:r>
              <w:rPr>
                <w:rFonts w:hAnsiTheme="minorEastAsia" w:eastAsiaTheme="minorEastAsia"/>
                <w:bCs/>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A</w:t>
            </w:r>
            <w:r>
              <w:rPr>
                <w:rFonts w:hAnsiTheme="minorEastAsia" w:eastAsiaTheme="minorEastAsia"/>
                <w:bCs/>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eastAsiaTheme="minorEastAsia"/>
                <w:bCs/>
                <w:i/>
                <w:color w:val="000000" w:themeColor="text1"/>
                <w:sz w:val="24"/>
                <w14:textFill>
                  <w14:solidFill>
                    <w14:schemeClr w14:val="tx1"/>
                  </w14:solidFill>
                </w14:textFill>
              </w:rPr>
              <w:t>L</w:t>
            </w:r>
            <w:r>
              <w:rPr>
                <w:rFonts w:hint="eastAsia" w:eastAsiaTheme="minorEastAsia"/>
                <w:bCs/>
                <w:i/>
                <w:color w:val="000000" w:themeColor="text1"/>
                <w:sz w:val="24"/>
                <w:vertAlign w:val="subscript"/>
                <w:lang w:val="en-US" w:eastAsia="zh-CN"/>
                <w14:textFill>
                  <w14:solidFill>
                    <w14:schemeClr w14:val="tx1"/>
                  </w14:solidFill>
                </w14:textFill>
              </w:rPr>
              <w:t>A（r0）</w:t>
            </w:r>
            <w:r>
              <w:rPr>
                <w:rFonts w:eastAsiaTheme="minorEastAsia"/>
                <w:bCs/>
                <w:color w:val="000000" w:themeColor="text1"/>
                <w:sz w:val="24"/>
                <w14:textFill>
                  <w14:solidFill>
                    <w14:schemeClr w14:val="tx1"/>
                  </w14:solidFill>
                </w14:textFill>
              </w:rPr>
              <w:t>—</w:t>
            </w:r>
            <w:r>
              <w:rPr>
                <w:rFonts w:hAnsiTheme="minorEastAsia" w:eastAsiaTheme="minorEastAsia"/>
                <w:bCs/>
                <w:color w:val="000000" w:themeColor="text1"/>
                <w:sz w:val="24"/>
                <w14:textFill>
                  <w14:solidFill>
                    <w14:schemeClr w14:val="tx1"/>
                  </w14:solidFill>
                </w14:textFill>
              </w:rPr>
              <w:t>距离声源</w:t>
            </w:r>
            <w:r>
              <w:rPr>
                <w:rFonts w:eastAsiaTheme="minorEastAsia"/>
                <w:bCs/>
                <w:i/>
                <w:color w:val="000000" w:themeColor="text1"/>
                <w:sz w:val="24"/>
                <w14:textFill>
                  <w14:solidFill>
                    <w14:schemeClr w14:val="tx1"/>
                  </w14:solidFill>
                </w14:textFill>
              </w:rPr>
              <w:t>r</w:t>
            </w:r>
            <w:r>
              <w:rPr>
                <w:rFonts w:eastAsiaTheme="minorEastAsia"/>
                <w:bCs/>
                <w:i/>
                <w:color w:val="000000" w:themeColor="text1"/>
                <w:sz w:val="24"/>
                <w:vertAlign w:val="subscript"/>
                <w14:textFill>
                  <w14:solidFill>
                    <w14:schemeClr w14:val="tx1"/>
                  </w14:solidFill>
                </w14:textFill>
              </w:rPr>
              <w:t>0</w:t>
            </w:r>
            <w:r>
              <w:rPr>
                <w:rFonts w:hAnsiTheme="minorEastAsia" w:eastAsiaTheme="minorEastAsia"/>
                <w:bCs/>
                <w:color w:val="000000" w:themeColor="text1"/>
                <w:sz w:val="24"/>
                <w14:textFill>
                  <w14:solidFill>
                    <w14:schemeClr w14:val="tx1"/>
                  </w14:solidFill>
                </w14:textFill>
              </w:rPr>
              <w:t>处的声压级，</w:t>
            </w:r>
            <w:r>
              <w:rPr>
                <w:rFonts w:eastAsiaTheme="minorEastAsia"/>
                <w:bCs/>
                <w:color w:val="000000" w:themeColor="text1"/>
                <w:sz w:val="24"/>
                <w14:textFill>
                  <w14:solidFill>
                    <w14:schemeClr w14:val="tx1"/>
                  </w14:solidFill>
                </w14:textFill>
              </w:rPr>
              <w:t>dB</w:t>
            </w:r>
            <w:r>
              <w:rPr>
                <w:rFonts w:hAnsiTheme="minorEastAsia" w:eastAsiaTheme="minorEastAsia"/>
                <w:bCs/>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A</w:t>
            </w:r>
            <w:r>
              <w:rPr>
                <w:rFonts w:hAnsiTheme="minorEastAsia" w:eastAsiaTheme="minorEastAsia"/>
                <w:bCs/>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eastAsiaTheme="minorEastAsia"/>
                <w:bCs/>
                <w:i/>
                <w:color w:val="000000" w:themeColor="text1"/>
                <w:sz w:val="24"/>
                <w14:textFill>
                  <w14:solidFill>
                    <w14:schemeClr w14:val="tx1"/>
                  </w14:solidFill>
                </w14:textFill>
              </w:rPr>
              <w:t>r</w:t>
            </w:r>
            <w:r>
              <w:rPr>
                <w:rFonts w:eastAsiaTheme="minorEastAsia"/>
                <w:bCs/>
                <w:color w:val="000000" w:themeColor="text1"/>
                <w:sz w:val="24"/>
                <w14:textFill>
                  <w14:solidFill>
                    <w14:schemeClr w14:val="tx1"/>
                  </w14:solidFill>
                </w14:textFill>
              </w:rPr>
              <w:t>—</w:t>
            </w:r>
            <w:r>
              <w:rPr>
                <w:rFonts w:hint="eastAsia" w:eastAsiaTheme="minorEastAsia"/>
                <w:bCs/>
                <w:color w:val="000000" w:themeColor="text1"/>
                <w:sz w:val="24"/>
                <w:lang w:val="en-US" w:eastAsia="zh-CN"/>
                <w14:textFill>
                  <w14:solidFill>
                    <w14:schemeClr w14:val="tx1"/>
                  </w14:solidFill>
                </w14:textFill>
              </w:rPr>
              <w:t>噪声源</w:t>
            </w:r>
            <w:r>
              <w:rPr>
                <w:rFonts w:hAnsiTheme="minorEastAsia" w:eastAsiaTheme="minorEastAsia"/>
                <w:bCs/>
                <w:color w:val="000000" w:themeColor="text1"/>
                <w:sz w:val="24"/>
                <w14:textFill>
                  <w14:solidFill>
                    <w14:schemeClr w14:val="tx1"/>
                  </w14:solidFill>
                </w14:textFill>
              </w:rPr>
              <w:t>至</w:t>
            </w:r>
            <w:r>
              <w:rPr>
                <w:rFonts w:hint="eastAsia" w:hAnsiTheme="minorEastAsia" w:eastAsiaTheme="minorEastAsia"/>
                <w:bCs/>
                <w:color w:val="000000" w:themeColor="text1"/>
                <w:sz w:val="24"/>
                <w:lang w:val="en-US" w:eastAsia="zh-CN"/>
                <w14:textFill>
                  <w14:solidFill>
                    <w14:schemeClr w14:val="tx1"/>
                  </w14:solidFill>
                </w14:textFill>
              </w:rPr>
              <w:t>受声点</w:t>
            </w:r>
            <w:r>
              <w:rPr>
                <w:rFonts w:hAnsiTheme="minorEastAsia" w:eastAsiaTheme="minorEastAsia"/>
                <w:bCs/>
                <w:color w:val="000000" w:themeColor="text1"/>
                <w:sz w:val="24"/>
                <w14:textFill>
                  <w14:solidFill>
                    <w14:schemeClr w14:val="tx1"/>
                  </w14:solidFill>
                </w14:textFill>
              </w:rPr>
              <w:t>的距离</w:t>
            </w:r>
            <w:r>
              <w:rPr>
                <w:rFonts w:hint="eastAsia" w:hAnsiTheme="minorEastAsia" w:eastAsiaTheme="minorEastAsia"/>
                <w:bCs/>
                <w:color w:val="000000" w:themeColor="text1"/>
                <w:sz w:val="24"/>
                <w:lang w:eastAsia="zh-CN"/>
                <w14:textFill>
                  <w14:solidFill>
                    <w14:schemeClr w14:val="tx1"/>
                  </w14:solidFill>
                </w14:textFill>
              </w:rPr>
              <w:t>，</w:t>
            </w:r>
            <w:r>
              <w:rPr>
                <w:rFonts w:eastAsiaTheme="minorEastAsia"/>
                <w:bCs/>
                <w:color w:val="000000" w:themeColor="text1"/>
                <w:sz w:val="24"/>
                <w14:textFill>
                  <w14:solidFill>
                    <w14:schemeClr w14:val="tx1"/>
                  </w14:solidFill>
                </w14:textFill>
              </w:rPr>
              <w:t>m</w:t>
            </w:r>
            <w:r>
              <w:rPr>
                <w:rFonts w:hAnsiTheme="minorEastAsia" w:eastAsiaTheme="minorEastAsia"/>
                <w:bCs/>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hAnsiTheme="minorEastAsia" w:eastAsiaTheme="minorEastAsia"/>
                <w:bCs/>
                <w:color w:val="000000" w:themeColor="text1"/>
                <w:sz w:val="24"/>
                <w14:textFill>
                  <w14:solidFill>
                    <w14:schemeClr w14:val="tx1"/>
                  </w14:solidFill>
                </w14:textFill>
              </w:rPr>
              <w:t>③合成声压级</w:t>
            </w:r>
          </w:p>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hAnsiTheme="minorEastAsia" w:eastAsiaTheme="minorEastAsia"/>
                <w:bCs/>
                <w:color w:val="000000" w:themeColor="text1"/>
                <w:sz w:val="24"/>
                <w14:textFill>
                  <w14:solidFill>
                    <w14:schemeClr w14:val="tx1"/>
                  </w14:solidFill>
                </w14:textFill>
              </w:rPr>
              <w:t>在噪声源众多的情况下，某预测点的声压级为各噪声对该受声点的噪声级分贝值叠加之和。</w:t>
            </w:r>
          </w:p>
          <w:p>
            <w:pPr>
              <w:adjustRightInd w:val="0"/>
              <w:snapToGrid w:val="0"/>
              <w:spacing w:line="360" w:lineRule="auto"/>
              <w:ind w:firstLine="480" w:firstLineChars="200"/>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drawing>
                <wp:inline distT="0" distB="0" distL="0" distR="0">
                  <wp:extent cx="1466850" cy="314325"/>
                  <wp:effectExtent l="0" t="0" r="11430" b="5715"/>
                  <wp:docPr id="7" name="图片框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60"/>
                          <pic:cNvPicPr>
                            <a:picLocks noChangeAspect="1" noChangeArrowheads="1"/>
                          </pic:cNvPicPr>
                        </pic:nvPicPr>
                        <pic:blipFill>
                          <a:blip r:embed="rId19" cstate="print"/>
                          <a:srcRect/>
                          <a:stretch>
                            <a:fillRect/>
                          </a:stretch>
                        </pic:blipFill>
                        <pic:spPr>
                          <a:xfrm>
                            <a:off x="0" y="0"/>
                            <a:ext cx="1466850" cy="314325"/>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hAnsiTheme="minorEastAsia" w:eastAsiaTheme="minorEastAsia"/>
                <w:bCs/>
                <w:color w:val="000000" w:themeColor="text1"/>
                <w:sz w:val="24"/>
                <w14:textFill>
                  <w14:solidFill>
                    <w14:schemeClr w14:val="tx1"/>
                  </w14:solidFill>
                </w14:textFill>
              </w:rPr>
              <w:t>式中：</w:t>
            </w:r>
            <w:r>
              <w:rPr>
                <w:rFonts w:eastAsiaTheme="minorEastAsia"/>
                <w:bCs/>
                <w:i/>
                <w:color w:val="000000" w:themeColor="text1"/>
                <w:sz w:val="24"/>
                <w14:textFill>
                  <w14:solidFill>
                    <w14:schemeClr w14:val="tx1"/>
                  </w14:solidFill>
                </w14:textFill>
              </w:rPr>
              <w:t>L</w:t>
            </w:r>
            <w:r>
              <w:rPr>
                <w:rFonts w:eastAsiaTheme="minorEastAsia"/>
                <w:bCs/>
                <w:i/>
                <w:color w:val="000000" w:themeColor="text1"/>
                <w:sz w:val="24"/>
                <w:vertAlign w:val="subscript"/>
                <w14:textFill>
                  <w14:solidFill>
                    <w14:schemeClr w14:val="tx1"/>
                  </w14:solidFill>
                </w14:textFill>
              </w:rPr>
              <w:t>pn</w:t>
            </w:r>
            <w:r>
              <w:rPr>
                <w:rFonts w:eastAsiaTheme="minorEastAsia"/>
                <w:bCs/>
                <w:color w:val="000000" w:themeColor="text1"/>
                <w:sz w:val="24"/>
                <w14:textFill>
                  <w14:solidFill>
                    <w14:schemeClr w14:val="tx1"/>
                  </w14:solidFill>
                </w14:textFill>
              </w:rPr>
              <w:t>—</w:t>
            </w:r>
            <w:r>
              <w:rPr>
                <w:rFonts w:hAnsiTheme="minorEastAsia" w:eastAsiaTheme="minorEastAsia"/>
                <w:bCs/>
                <w:color w:val="000000" w:themeColor="text1"/>
                <w:sz w:val="24"/>
                <w14:textFill>
                  <w14:solidFill>
                    <w14:schemeClr w14:val="tx1"/>
                  </w14:solidFill>
                </w14:textFill>
              </w:rPr>
              <w:t>某预测点叠加后的总声压级，</w:t>
            </w:r>
            <w:r>
              <w:rPr>
                <w:rFonts w:eastAsiaTheme="minorEastAsia"/>
                <w:bCs/>
                <w:color w:val="000000" w:themeColor="text1"/>
                <w:sz w:val="24"/>
                <w14:textFill>
                  <w14:solidFill>
                    <w14:schemeClr w14:val="tx1"/>
                  </w14:solidFill>
                </w14:textFill>
              </w:rPr>
              <w:t>dB(A)</w:t>
            </w:r>
            <w:r>
              <w:rPr>
                <w:rFonts w:hAnsiTheme="minorEastAsia" w:eastAsiaTheme="minorEastAsia"/>
                <w:bCs/>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eastAsiaTheme="minorEastAsia"/>
                <w:bCs/>
                <w:i/>
                <w:color w:val="000000" w:themeColor="text1"/>
                <w:sz w:val="24"/>
                <w14:textFill>
                  <w14:solidFill>
                    <w14:schemeClr w14:val="tx1"/>
                  </w14:solidFill>
                </w14:textFill>
              </w:rPr>
              <w:t xml:space="preserve">      L</w:t>
            </w:r>
            <w:r>
              <w:rPr>
                <w:rFonts w:eastAsiaTheme="minorEastAsia"/>
                <w:bCs/>
                <w:i/>
                <w:color w:val="000000" w:themeColor="text1"/>
                <w:sz w:val="24"/>
                <w:vertAlign w:val="subscript"/>
                <w14:textFill>
                  <w14:solidFill>
                    <w14:schemeClr w14:val="tx1"/>
                  </w14:solidFill>
                </w14:textFill>
              </w:rPr>
              <w:t>pni</w:t>
            </w:r>
            <w:r>
              <w:rPr>
                <w:rFonts w:eastAsiaTheme="minorEastAsia"/>
                <w:bCs/>
                <w:color w:val="000000" w:themeColor="text1"/>
                <w:sz w:val="24"/>
                <w14:textFill>
                  <w14:solidFill>
                    <w14:schemeClr w14:val="tx1"/>
                  </w14:solidFill>
                </w14:textFill>
              </w:rPr>
              <w:t>—</w:t>
            </w:r>
            <w:r>
              <w:rPr>
                <w:rFonts w:eastAsiaTheme="minorEastAsia"/>
                <w:bCs/>
                <w:i/>
                <w:color w:val="000000" w:themeColor="text1"/>
                <w:sz w:val="24"/>
                <w14:textFill>
                  <w14:solidFill>
                    <w14:schemeClr w14:val="tx1"/>
                  </w14:solidFill>
                </w14:textFill>
              </w:rPr>
              <w:t>i</w:t>
            </w:r>
            <w:r>
              <w:rPr>
                <w:rFonts w:hAnsiTheme="minorEastAsia" w:eastAsiaTheme="minorEastAsia"/>
                <w:bCs/>
                <w:color w:val="000000" w:themeColor="text1"/>
                <w:sz w:val="24"/>
                <w14:textFill>
                  <w14:solidFill>
                    <w14:schemeClr w14:val="tx1"/>
                  </w14:solidFill>
                </w14:textFill>
              </w:rPr>
              <w:t>声源对某预测点的贡献声压级，</w:t>
            </w:r>
            <w:r>
              <w:rPr>
                <w:rFonts w:eastAsiaTheme="minorEastAsia"/>
                <w:bCs/>
                <w:color w:val="000000" w:themeColor="text1"/>
                <w:sz w:val="24"/>
                <w14:textFill>
                  <w14:solidFill>
                    <w14:schemeClr w14:val="tx1"/>
                  </w14:solidFill>
                </w14:textFill>
              </w:rPr>
              <w:t>dB(A)</w:t>
            </w:r>
            <w:r>
              <w:rPr>
                <w:rFonts w:hAnsiTheme="minorEastAsia" w:eastAsiaTheme="minorEastAsia"/>
                <w:bCs/>
                <w:color w:val="000000" w:themeColor="text1"/>
                <w:sz w:val="24"/>
                <w14:textFill>
                  <w14:solidFill>
                    <w14:schemeClr w14:val="tx1"/>
                  </w14:solidFill>
                </w14:textFill>
              </w:rPr>
              <w:t>。</w:t>
            </w:r>
          </w:p>
          <w:p>
            <w:pPr>
              <w:adjustRightInd w:val="0"/>
              <w:snapToGrid w:val="0"/>
              <w:spacing w:line="360" w:lineRule="auto"/>
              <w:ind w:firstLine="480" w:firstLineChars="200"/>
              <w:rPr>
                <w:rFonts w:hAnsiTheme="minorEastAsia" w:eastAsiaTheme="minorEastAsia"/>
                <w:color w:val="000000" w:themeColor="text1"/>
                <w:sz w:val="24"/>
                <w14:textFill>
                  <w14:solidFill>
                    <w14:schemeClr w14:val="tx1"/>
                  </w14:solidFill>
                </w14:textFill>
              </w:rPr>
            </w:pP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噪声控制措施</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①选用低噪声设备，提高设备安装质量；对生产设备加强保养注意润滑，对老化和性能降低的旧设备及时进行更换；</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②合理选用爆破工艺，采取控制爆破技术，采用微差爆破，降低爆破振动和噪声；</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③空压机、给料机、破碎机等设备安装减震基座，采取消声措施，必要时设置隔声屏障；</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④对接触噪声源的工作人员，采用个体防护措施，佩戴耳塞、耳罩、帽盔等；</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⑤爆破工序会产生振动和噪声，应尽可能减少装药量，选择合理的爆破参数，选择合理的微差间隔时间，使振波产生一定相位差，另其相互干扰，以减少振动强度；</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⑥运输汽车合理安排运输时间，途经村落路段应限速、禁止鸣笛。</w:t>
            </w:r>
          </w:p>
          <w:p>
            <w:pPr>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r>
              <w:rPr>
                <w:rFonts w:hAnsiTheme="minorEastAsia" w:eastAsiaTheme="minorEastAsia"/>
                <w:b/>
                <w:color w:val="000000" w:themeColor="text1"/>
                <w:sz w:val="24"/>
                <w14:textFill>
                  <w14:solidFill>
                    <w14:schemeClr w14:val="tx1"/>
                  </w14:solidFill>
                </w14:textFill>
              </w:rPr>
              <w:t>（</w:t>
            </w:r>
            <w:r>
              <w:rPr>
                <w:rFonts w:eastAsiaTheme="minorEastAsia"/>
                <w:b/>
                <w:color w:val="000000" w:themeColor="text1"/>
                <w:sz w:val="24"/>
                <w14:textFill>
                  <w14:solidFill>
                    <w14:schemeClr w14:val="tx1"/>
                  </w14:solidFill>
                </w14:textFill>
              </w:rPr>
              <w:t>4</w:t>
            </w:r>
            <w:r>
              <w:rPr>
                <w:rFonts w:hAnsiTheme="minorEastAsia" w:eastAsiaTheme="minorEastAsia"/>
                <w:b/>
                <w:color w:val="000000" w:themeColor="text1"/>
                <w:sz w:val="24"/>
                <w14:textFill>
                  <w14:solidFill>
                    <w14:schemeClr w14:val="tx1"/>
                  </w14:solidFill>
                </w14:textFill>
              </w:rPr>
              <w:t>）露天开采爆破影响分析</w:t>
            </w:r>
            <w:r>
              <w:rPr>
                <w:rFonts w:hint="eastAsia" w:hAnsiTheme="minorEastAsia" w:eastAsiaTheme="minorEastAsia"/>
                <w:b/>
                <w:color w:val="000000" w:themeColor="text1"/>
                <w:sz w:val="24"/>
                <w:lang w:val="en-US" w:eastAsia="zh-CN"/>
                <w14:textFill>
                  <w14:solidFill>
                    <w14:schemeClr w14:val="tx1"/>
                  </w14:solidFill>
                </w14:textFill>
              </w:rPr>
              <w:t>及措施</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露天开采的爆破工艺根据矿山生产规模及矿岩的物理力学性质，设计采用穿孔爆破方式进行采剥作业。采用微差爆破网路起爆，使用硝铵炸药、毫秒雷管非电起爆方式。爆破作业在昼间进行，平均间隔</w:t>
            </w:r>
            <w:r>
              <w:rPr>
                <w:rFonts w:hint="eastAsia" w:eastAsiaTheme="minorEastAsia"/>
                <w:color w:val="000000" w:themeColor="text1"/>
                <w:sz w:val="24"/>
                <w14:textFill>
                  <w14:solidFill>
                    <w14:schemeClr w14:val="tx1"/>
                  </w14:solidFill>
                </w14:textFill>
              </w:rPr>
              <w:t>2-3</w:t>
            </w:r>
            <w:r>
              <w:rPr>
                <w:rFonts w:hAnsiTheme="minorEastAsia" w:eastAsiaTheme="minorEastAsia"/>
                <w:color w:val="000000" w:themeColor="text1"/>
                <w:sz w:val="24"/>
                <w14:textFill>
                  <w14:solidFill>
                    <w14:schemeClr w14:val="tx1"/>
                  </w14:solidFill>
                </w14:textFill>
              </w:rPr>
              <w:t>天定期爆破作业</w:t>
            </w:r>
            <w:r>
              <w:rPr>
                <w:rFonts w:eastAsiaTheme="minorEastAsia"/>
                <w:color w:val="000000" w:themeColor="text1"/>
                <w:sz w:val="24"/>
                <w14:textFill>
                  <w14:solidFill>
                    <w14:schemeClr w14:val="tx1"/>
                  </w14:solidFill>
                </w14:textFill>
              </w:rPr>
              <w:t>1</w:t>
            </w:r>
            <w:r>
              <w:rPr>
                <w:rFonts w:hAnsiTheme="minorEastAsia" w:eastAsiaTheme="minorEastAsia"/>
                <w:color w:val="000000" w:themeColor="text1"/>
                <w:sz w:val="24"/>
                <w14:textFill>
                  <w14:solidFill>
                    <w14:schemeClr w14:val="tx1"/>
                  </w14:solidFill>
                </w14:textFill>
              </w:rPr>
              <w:t>次，平均每次爆破用量</w:t>
            </w:r>
            <w:r>
              <w:rPr>
                <w:rFonts w:hint="eastAsia" w:eastAsiaTheme="minorEastAsia"/>
                <w:color w:val="000000" w:themeColor="text1"/>
                <w:sz w:val="24"/>
                <w14:textFill>
                  <w14:solidFill>
                    <w14:schemeClr w14:val="tx1"/>
                  </w14:solidFill>
                </w14:textFill>
              </w:rPr>
              <w:t>200</w:t>
            </w:r>
            <w:r>
              <w:rPr>
                <w:rFonts w:eastAsiaTheme="minorEastAsia"/>
                <w:color w:val="000000" w:themeColor="text1"/>
                <w:sz w:val="24"/>
                <w14:textFill>
                  <w14:solidFill>
                    <w14:schemeClr w14:val="tx1"/>
                  </w14:solidFill>
                </w14:textFill>
              </w:rPr>
              <w:t>kg</w:t>
            </w:r>
            <w:r>
              <w:rPr>
                <w:rFonts w:hAnsiTheme="minorEastAsia" w:eastAsiaTheme="minorEastAsia"/>
                <w:color w:val="000000" w:themeColor="text1"/>
                <w:sz w:val="24"/>
                <w14:textFill>
                  <w14:solidFill>
                    <w14:schemeClr w14:val="tx1"/>
                  </w14:solidFill>
                </w14:textFill>
              </w:rPr>
              <w:t>左右，爆破的最大装药量不超过</w:t>
            </w:r>
            <w:r>
              <w:rPr>
                <w:rFonts w:hint="eastAsia" w:eastAsiaTheme="minorEastAsia"/>
                <w:color w:val="000000" w:themeColor="text1"/>
                <w:sz w:val="24"/>
                <w14:textFill>
                  <w14:solidFill>
                    <w14:schemeClr w14:val="tx1"/>
                  </w14:solidFill>
                </w14:textFill>
              </w:rPr>
              <w:t>3</w:t>
            </w:r>
            <w:r>
              <w:rPr>
                <w:rFonts w:eastAsiaTheme="minorEastAsia"/>
                <w:color w:val="000000" w:themeColor="text1"/>
                <w:sz w:val="24"/>
                <w14:textFill>
                  <w14:solidFill>
                    <w14:schemeClr w14:val="tx1"/>
                  </w14:solidFill>
                </w14:textFill>
              </w:rPr>
              <w:t>00kg</w:t>
            </w:r>
            <w:r>
              <w:rPr>
                <w:rFonts w:hAnsiTheme="minorEastAsia" w:eastAsiaTheme="minorEastAsia"/>
                <w:color w:val="000000" w:themeColor="text1"/>
                <w:sz w:val="24"/>
                <w14:textFill>
                  <w14:solidFill>
                    <w14:schemeClr w14:val="tx1"/>
                  </w14:solidFill>
                </w14:textFill>
              </w:rPr>
              <w:t>，采场爆破安全警界线为</w:t>
            </w:r>
            <w:r>
              <w:rPr>
                <w:rFonts w:hint="eastAsia" w:eastAsiaTheme="minorEastAsia"/>
                <w:color w:val="000000" w:themeColor="text1"/>
                <w:sz w:val="24"/>
                <w14:textFill>
                  <w14:solidFill>
                    <w14:schemeClr w14:val="tx1"/>
                  </w14:solidFill>
                </w14:textFill>
              </w:rPr>
              <w:t>15</w:t>
            </w:r>
            <w:r>
              <w:rPr>
                <w:rFonts w:eastAsiaTheme="minorEastAsia"/>
                <w:color w:val="000000" w:themeColor="text1"/>
                <w:sz w:val="24"/>
                <w14:textFill>
                  <w14:solidFill>
                    <w14:schemeClr w14:val="tx1"/>
                  </w14:solidFill>
                </w14:textFill>
              </w:rPr>
              <w:t>0m</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w:t>
            </w:r>
            <w:r>
              <w:rPr>
                <w:rFonts w:hAnsiTheme="minorEastAsia" w:eastAsiaTheme="minorEastAsia"/>
                <w:color w:val="000000" w:themeColor="text1"/>
                <w:sz w:val="24"/>
                <w14:textFill>
                  <w14:solidFill>
                    <w14:schemeClr w14:val="tx1"/>
                  </w14:solidFill>
                </w14:textFill>
              </w:rPr>
              <w:t>、爆破噪声环境影响分析</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①预测模式</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爆破空气冲击波主要是由压缩相引起，确定压缩相破坏作用的特征参数是冲击波波面上的超压值△</w:t>
            </w:r>
            <w:r>
              <w:rPr>
                <w:rFonts w:eastAsiaTheme="minorEastAsia"/>
                <w:color w:val="000000" w:themeColor="text1"/>
                <w:sz w:val="24"/>
                <w14:textFill>
                  <w14:solidFill>
                    <w14:schemeClr w14:val="tx1"/>
                  </w14:solidFill>
                </w14:textFill>
              </w:rPr>
              <w:t>P</w:t>
            </w:r>
            <w:r>
              <w:rPr>
                <w:rFonts w:hAnsiTheme="minorEastAsia" w:eastAsiaTheme="minorEastAsia"/>
                <w:color w:val="000000" w:themeColor="text1"/>
                <w:sz w:val="24"/>
                <w14:textFill>
                  <w14:solidFill>
                    <w14:schemeClr w14:val="tx1"/>
                  </w14:solidFill>
                </w14:textFill>
              </w:rPr>
              <w:t>，压力的大小与爆破装药量和传播距离间的关系可用下式表示：</w:t>
            </w:r>
          </w:p>
          <w:p>
            <w:pPr>
              <w:adjustRightInd w:val="0"/>
              <w:snapToGrid w:val="0"/>
              <w:spacing w:line="360" w:lineRule="auto"/>
              <w:jc w:val="center"/>
              <w:rPr>
                <w:rFonts w:eastAsiaTheme="minorEastAsia"/>
                <w:color w:val="000000" w:themeColor="text1"/>
                <w:sz w:val="24"/>
                <w14:textFill>
                  <w14:solidFill>
                    <w14:schemeClr w14:val="tx1"/>
                  </w14:solidFill>
                </w14:textFill>
              </w:rPr>
            </w:pPr>
            <w:r>
              <w:rPr>
                <w:rFonts w:eastAsiaTheme="minorEastAsia"/>
                <w:color w:val="000000" w:themeColor="text1"/>
                <w14:textFill>
                  <w14:solidFill>
                    <w14:schemeClr w14:val="tx1"/>
                  </w14:solidFill>
                </w14:textFill>
              </w:rPr>
              <w:drawing>
                <wp:inline distT="0" distB="0" distL="0" distR="0">
                  <wp:extent cx="1447800" cy="476250"/>
                  <wp:effectExtent l="0" t="0" r="0" b="11430"/>
                  <wp:docPr id="8" name="图片框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框 1061"/>
                          <pic:cNvPicPr>
                            <a:picLocks noChangeAspect="1" noChangeArrowheads="1"/>
                          </pic:cNvPicPr>
                        </pic:nvPicPr>
                        <pic:blipFill>
                          <a:blip r:embed="rId20" cstate="print"/>
                          <a:srcRect l="15109" t="7631" r="22404" b="26053"/>
                          <a:stretch>
                            <a:fillRect/>
                          </a:stretch>
                        </pic:blipFill>
                        <pic:spPr>
                          <a:xfrm>
                            <a:off x="0" y="0"/>
                            <a:ext cx="1447800" cy="476250"/>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式中：△</w:t>
            </w:r>
            <w:r>
              <w:rPr>
                <w:rFonts w:eastAsiaTheme="minorEastAsia"/>
                <w:color w:val="000000" w:themeColor="text1"/>
                <w:sz w:val="24"/>
                <w14:textFill>
                  <w14:solidFill>
                    <w14:schemeClr w14:val="tx1"/>
                  </w14:solidFill>
                </w14:textFill>
              </w:rPr>
              <w:t>P—</w:t>
            </w:r>
            <w:r>
              <w:rPr>
                <w:rFonts w:hAnsiTheme="minorEastAsia" w:eastAsiaTheme="minorEastAsia"/>
                <w:color w:val="000000" w:themeColor="text1"/>
                <w:sz w:val="24"/>
                <w14:textFill>
                  <w14:solidFill>
                    <w14:schemeClr w14:val="tx1"/>
                  </w14:solidFill>
                </w14:textFill>
              </w:rPr>
              <w:t>爆破超声压，</w:t>
            </w:r>
            <w:r>
              <w:rPr>
                <w:rFonts w:eastAsiaTheme="minorEastAsia"/>
                <w:color w:val="000000" w:themeColor="text1"/>
                <w:sz w:val="24"/>
                <w14:textFill>
                  <w14:solidFill>
                    <w14:schemeClr w14:val="tx1"/>
                  </w14:solidFill>
                </w14:textFill>
              </w:rPr>
              <w:t>Pa</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H—</w:t>
            </w:r>
            <w:r>
              <w:rPr>
                <w:rFonts w:hAnsiTheme="minorEastAsia" w:eastAsiaTheme="minorEastAsia"/>
                <w:color w:val="000000" w:themeColor="text1"/>
                <w:sz w:val="24"/>
                <w14:textFill>
                  <w14:solidFill>
                    <w14:schemeClr w14:val="tx1"/>
                  </w14:solidFill>
                </w14:textFill>
              </w:rPr>
              <w:t>与爆破场地条件有关的系数，主要取决于药包的堵塞条件和起爆方法，采场为微差爆破，取值</w:t>
            </w:r>
            <w:r>
              <w:rPr>
                <w:rFonts w:eastAsiaTheme="minorEastAsia"/>
                <w:color w:val="000000" w:themeColor="text1"/>
                <w:sz w:val="24"/>
                <w14:textFill>
                  <w14:solidFill>
                    <w14:schemeClr w14:val="tx1"/>
                  </w14:solidFill>
                </w14:textFill>
              </w:rPr>
              <w:t>1.43</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β—</w:t>
            </w:r>
            <w:r>
              <w:rPr>
                <w:rFonts w:hAnsiTheme="minorEastAsia" w:eastAsiaTheme="minorEastAsia"/>
                <w:color w:val="000000" w:themeColor="text1"/>
                <w:sz w:val="24"/>
                <w14:textFill>
                  <w14:solidFill>
                    <w14:schemeClr w14:val="tx1"/>
                  </w14:solidFill>
                </w14:textFill>
              </w:rPr>
              <w:t>空气冲击波的衰减指数，采场为延时爆破，取</w:t>
            </w:r>
            <w:r>
              <w:rPr>
                <w:rFonts w:eastAsiaTheme="minorEastAsia"/>
                <w:color w:val="000000" w:themeColor="text1"/>
                <w:sz w:val="24"/>
                <w14:textFill>
                  <w14:solidFill>
                    <w14:schemeClr w14:val="tx1"/>
                  </w14:solidFill>
                </w14:textFill>
              </w:rPr>
              <w:t>1.55</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Q—</w:t>
            </w:r>
            <w:r>
              <w:rPr>
                <w:rFonts w:hAnsiTheme="minorEastAsia" w:eastAsiaTheme="minorEastAsia"/>
                <w:color w:val="000000" w:themeColor="text1"/>
                <w:sz w:val="24"/>
                <w14:textFill>
                  <w14:solidFill>
                    <w14:schemeClr w14:val="tx1"/>
                  </w14:solidFill>
                </w14:textFill>
              </w:rPr>
              <w:t>装药量，（齐发起爆时为总装药量，延发起爆时为最大一段装药量），</w:t>
            </w:r>
            <w:r>
              <w:rPr>
                <w:rFonts w:eastAsiaTheme="minorEastAsia"/>
                <w:color w:val="000000" w:themeColor="text1"/>
                <w:sz w:val="24"/>
                <w14:textFill>
                  <w14:solidFill>
                    <w14:schemeClr w14:val="tx1"/>
                  </w14:solidFill>
                </w14:textFill>
              </w:rPr>
              <w:t>kg</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R—</w:t>
            </w:r>
            <w:r>
              <w:rPr>
                <w:rFonts w:hAnsiTheme="minorEastAsia" w:eastAsiaTheme="minorEastAsia"/>
                <w:color w:val="000000" w:themeColor="text1"/>
                <w:sz w:val="24"/>
                <w14:textFill>
                  <w14:solidFill>
                    <w14:schemeClr w14:val="tx1"/>
                  </w14:solidFill>
                </w14:textFill>
              </w:rPr>
              <w:t>爆破中心至测点的距离，</w:t>
            </w:r>
            <w:r>
              <w:rPr>
                <w:rFonts w:eastAsiaTheme="minorEastAsia"/>
                <w:color w:val="000000" w:themeColor="text1"/>
                <w:sz w:val="24"/>
                <w14:textFill>
                  <w14:solidFill>
                    <w14:schemeClr w14:val="tx1"/>
                  </w14:solidFill>
                </w14:textFill>
              </w:rPr>
              <w:t>m</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爆破空气冲击波在空气传播过程中，能量逐渐损耗，波强逐渐下降而变为噪声和亚声，用声压级表示为：</w:t>
            </w:r>
          </w:p>
          <w:p>
            <w:pPr>
              <w:adjustRightInd w:val="0"/>
              <w:snapToGrid w:val="0"/>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drawing>
                <wp:inline distT="0" distB="0" distL="0" distR="0">
                  <wp:extent cx="1171575" cy="381000"/>
                  <wp:effectExtent l="0" t="0" r="1905" b="0"/>
                  <wp:docPr id="9" name="图片框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框 1062"/>
                          <pic:cNvPicPr>
                            <a:picLocks noChangeAspect="1" noChangeArrowheads="1"/>
                          </pic:cNvPicPr>
                        </pic:nvPicPr>
                        <pic:blipFill>
                          <a:blip r:embed="rId21" cstate="print"/>
                          <a:srcRect l="11870" t="15054" r="28000" b="20430"/>
                          <a:stretch>
                            <a:fillRect/>
                          </a:stretch>
                        </pic:blipFill>
                        <pic:spPr>
                          <a:xfrm>
                            <a:off x="0" y="0"/>
                            <a:ext cx="1171575" cy="381000"/>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式中：</w:t>
            </w:r>
            <w:r>
              <w:rPr>
                <w:rFonts w:eastAsiaTheme="minorEastAsia"/>
                <w:color w:val="000000" w:themeColor="text1"/>
                <w:sz w:val="24"/>
                <w14:textFill>
                  <w14:solidFill>
                    <w14:schemeClr w14:val="tx1"/>
                  </w14:solidFill>
                </w14:textFill>
              </w:rPr>
              <w:t>Po—</w:t>
            </w:r>
            <w:r>
              <w:rPr>
                <w:rFonts w:hAnsiTheme="minorEastAsia" w:eastAsiaTheme="minorEastAsia"/>
                <w:color w:val="000000" w:themeColor="text1"/>
                <w:sz w:val="24"/>
                <w14:textFill>
                  <w14:solidFill>
                    <w14:schemeClr w14:val="tx1"/>
                  </w14:solidFill>
                </w14:textFill>
              </w:rPr>
              <w:t>参考有效声压，</w:t>
            </w:r>
            <w:r>
              <w:rPr>
                <w:rFonts w:eastAsiaTheme="minorEastAsia"/>
                <w:color w:val="000000" w:themeColor="text1"/>
                <w:sz w:val="24"/>
                <w14:textFill>
                  <w14:solidFill>
                    <w14:schemeClr w14:val="tx1"/>
                  </w14:solidFill>
                </w14:textFill>
              </w:rPr>
              <w:t>2×10</w:t>
            </w:r>
            <w:r>
              <w:rPr>
                <w:rFonts w:eastAsiaTheme="minorEastAsia"/>
                <w:color w:val="000000" w:themeColor="text1"/>
                <w:sz w:val="24"/>
                <w:vertAlign w:val="superscript"/>
                <w14:textFill>
                  <w14:solidFill>
                    <w14:schemeClr w14:val="tx1"/>
                  </w14:solidFill>
                </w14:textFill>
              </w:rPr>
              <w:t>-5</w:t>
            </w:r>
            <w:r>
              <w:rPr>
                <w:rFonts w:eastAsiaTheme="minorEastAsia"/>
                <w:color w:val="000000" w:themeColor="text1"/>
                <w:sz w:val="24"/>
                <w14:textFill>
                  <w14:solidFill>
                    <w14:schemeClr w14:val="tx1"/>
                  </w14:solidFill>
                </w14:textFill>
              </w:rPr>
              <w:t>Pa</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L—</w:t>
            </w:r>
            <w:r>
              <w:rPr>
                <w:rFonts w:hAnsiTheme="minorEastAsia" w:eastAsiaTheme="minorEastAsia"/>
                <w:color w:val="000000" w:themeColor="text1"/>
                <w:sz w:val="24"/>
                <w14:textFill>
                  <w14:solidFill>
                    <w14:schemeClr w14:val="tx1"/>
                  </w14:solidFill>
                </w14:textFill>
              </w:rPr>
              <w:t>声压级，</w:t>
            </w:r>
            <w:r>
              <w:rPr>
                <w:rFonts w:eastAsiaTheme="minorEastAsia"/>
                <w:color w:val="000000" w:themeColor="text1"/>
                <w:sz w:val="24"/>
                <w14:textFill>
                  <w14:solidFill>
                    <w14:schemeClr w14:val="tx1"/>
                  </w14:solidFill>
                </w14:textFill>
              </w:rPr>
              <w:t>dB(A)</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②预测结果</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爆破噪声的影响大小主要受爆破装药量和传播距离两个因素影响，本次评价预测最大一段爆破装药量（</w:t>
            </w:r>
            <w:r>
              <w:rPr>
                <w:rFonts w:hint="eastAsia" w:eastAsiaTheme="minorEastAsia"/>
                <w:color w:val="000000" w:themeColor="text1"/>
                <w:sz w:val="24"/>
                <w14:textFill>
                  <w14:solidFill>
                    <w14:schemeClr w14:val="tx1"/>
                  </w14:solidFill>
                </w14:textFill>
              </w:rPr>
              <w:t>300</w:t>
            </w:r>
            <w:r>
              <w:rPr>
                <w:rFonts w:eastAsiaTheme="minorEastAsia"/>
                <w:color w:val="000000" w:themeColor="text1"/>
                <w:sz w:val="24"/>
                <w14:textFill>
                  <w14:solidFill>
                    <w14:schemeClr w14:val="tx1"/>
                  </w14:solidFill>
                </w14:textFill>
              </w:rPr>
              <w:t>kg</w:t>
            </w:r>
            <w:r>
              <w:rPr>
                <w:rFonts w:hAnsiTheme="minorEastAsia" w:eastAsiaTheme="minorEastAsia"/>
                <w:color w:val="000000" w:themeColor="text1"/>
                <w:sz w:val="24"/>
                <w14:textFill>
                  <w14:solidFill>
                    <w14:schemeClr w14:val="tx1"/>
                  </w14:solidFill>
                </w14:textFill>
              </w:rPr>
              <w:t>）下不同距离处的噪声值。经计算，爆破噪声在最大一段爆破装药量下不同距离处的噪声值见表</w:t>
            </w:r>
            <w:r>
              <w:rPr>
                <w:rFonts w:hint="eastAsia" w:eastAsiaTheme="minorEastAsia"/>
                <w:color w:val="000000" w:themeColor="text1"/>
                <w:sz w:val="24"/>
                <w14:textFill>
                  <w14:solidFill>
                    <w14:schemeClr w14:val="tx1"/>
                  </w14:solidFill>
                </w14:textFill>
              </w:rPr>
              <w:t>3</w:t>
            </w:r>
            <w:r>
              <w:rPr>
                <w:rFonts w:hint="eastAsia" w:eastAsiaTheme="minorEastAsia"/>
                <w:color w:val="000000" w:themeColor="text1"/>
                <w:sz w:val="24"/>
                <w:lang w:val="en-US" w:eastAsia="zh-CN"/>
                <w14:textFill>
                  <w14:solidFill>
                    <w14:schemeClr w14:val="tx1"/>
                  </w14:solidFill>
                </w14:textFill>
              </w:rPr>
              <w:t>3</w:t>
            </w:r>
            <w:r>
              <w:rPr>
                <w:rFonts w:hAnsiTheme="minorEastAsia" w:eastAsiaTheme="minorEastAsia"/>
                <w:color w:val="000000" w:themeColor="text1"/>
                <w:sz w:val="24"/>
                <w14:textFill>
                  <w14:solidFill>
                    <w14:schemeClr w14:val="tx1"/>
                  </w14:solidFill>
                </w14:textFill>
              </w:rPr>
              <w:t>。</w:t>
            </w: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eastAsiaTheme="minorEastAsia"/>
                <w:b/>
                <w:color w:val="000000" w:themeColor="text1"/>
                <w:szCs w:val="21"/>
                <w14:textFill>
                  <w14:solidFill>
                    <w14:schemeClr w14:val="tx1"/>
                  </w14:solidFill>
                </w14:textFill>
              </w:rPr>
              <w:t>3</w:t>
            </w:r>
            <w:r>
              <w:rPr>
                <w:rFonts w:hint="eastAsia" w:eastAsiaTheme="minorEastAsia"/>
                <w:b/>
                <w:color w:val="000000" w:themeColor="text1"/>
                <w:szCs w:val="21"/>
                <w:lang w:val="en-US" w:eastAsia="zh-CN"/>
                <w14:textFill>
                  <w14:solidFill>
                    <w14:schemeClr w14:val="tx1"/>
                  </w14:solidFill>
                </w14:textFill>
              </w:rPr>
              <w:t>3</w:t>
            </w:r>
            <w:r>
              <w:rPr>
                <w:rFonts w:hint="eastAsia" w:eastAsiaTheme="minorEastAsia"/>
                <w:b/>
                <w:color w:val="000000" w:themeColor="text1"/>
                <w:szCs w:val="21"/>
                <w14:textFill>
                  <w14:solidFill>
                    <w14:schemeClr w14:val="tx1"/>
                  </w14:solidFill>
                </w14:textFill>
              </w:rPr>
              <w:t xml:space="preserve"> </w:t>
            </w:r>
            <w:r>
              <w:rPr>
                <w:rFonts w:hAnsiTheme="minorEastAsia" w:eastAsiaTheme="minorEastAsia"/>
                <w:b/>
                <w:color w:val="000000" w:themeColor="text1"/>
                <w:szCs w:val="21"/>
                <w14:textFill>
                  <w14:solidFill>
                    <w14:schemeClr w14:val="tx1"/>
                  </w14:solidFill>
                </w14:textFill>
              </w:rPr>
              <w:t>爆破噪声预测结果</w:t>
            </w:r>
          </w:p>
          <w:tbl>
            <w:tblPr>
              <w:tblStyle w:val="19"/>
              <w:tblW w:w="787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54"/>
              <w:gridCol w:w="1185"/>
              <w:gridCol w:w="1185"/>
              <w:gridCol w:w="1185"/>
              <w:gridCol w:w="1184"/>
              <w:gridCol w:w="118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954" w:type="dxa"/>
                  <w:tcBorders>
                    <w:top w:val="single" w:color="000000" w:sz="12"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距离（</w:t>
                  </w:r>
                  <w:r>
                    <w:rPr>
                      <w:rFonts w:eastAsiaTheme="minorEastAsia"/>
                      <w:color w:val="000000" w:themeColor="text1"/>
                      <w:szCs w:val="21"/>
                      <w14:textFill>
                        <w14:solidFill>
                          <w14:schemeClr w14:val="tx1"/>
                        </w14:solidFill>
                      </w14:textFill>
                    </w:rPr>
                    <w:t>m</w:t>
                  </w:r>
                  <w:r>
                    <w:rPr>
                      <w:rFonts w:hAnsiTheme="minorEastAsia" w:eastAsiaTheme="minorEastAsia"/>
                      <w:color w:val="000000" w:themeColor="text1"/>
                      <w:szCs w:val="21"/>
                      <w14:textFill>
                        <w14:solidFill>
                          <w14:schemeClr w14:val="tx1"/>
                        </w14:solidFill>
                      </w14:textFill>
                    </w:rPr>
                    <w:t>）</w:t>
                  </w:r>
                </w:p>
              </w:tc>
              <w:tc>
                <w:tcPr>
                  <w:tcW w:w="1185" w:type="dxa"/>
                  <w:tcBorders>
                    <w:top w:val="single" w:color="000000" w:sz="12"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50</w:t>
                  </w:r>
                </w:p>
              </w:tc>
              <w:tc>
                <w:tcPr>
                  <w:tcW w:w="1185" w:type="dxa"/>
                  <w:tcBorders>
                    <w:top w:val="single" w:color="000000" w:sz="12"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100</w:t>
                  </w:r>
                </w:p>
              </w:tc>
              <w:tc>
                <w:tcPr>
                  <w:tcW w:w="1185" w:type="dxa"/>
                  <w:tcBorders>
                    <w:top w:val="single" w:color="000000" w:sz="12"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150</w:t>
                  </w:r>
                </w:p>
              </w:tc>
              <w:tc>
                <w:tcPr>
                  <w:tcW w:w="1184" w:type="dxa"/>
                  <w:tcBorders>
                    <w:top w:val="single" w:color="000000" w:sz="12"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200</w:t>
                  </w:r>
                </w:p>
              </w:tc>
              <w:tc>
                <w:tcPr>
                  <w:tcW w:w="1184" w:type="dxa"/>
                  <w:tcBorders>
                    <w:top w:val="single" w:color="000000" w:sz="12" w:space="0"/>
                    <w:left w:val="single" w:color="000000" w:sz="6" w:space="0"/>
                    <w:bottom w:val="single" w:color="000000" w:sz="6" w:space="0"/>
                    <w:right w:val="single" w:color="000000" w:sz="12"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954" w:type="dxa"/>
                  <w:tcBorders>
                    <w:top w:val="single" w:color="000000" w:sz="6" w:space="0"/>
                    <w:left w:val="single" w:color="000000" w:sz="12" w:space="0"/>
                    <w:bottom w:val="single" w:color="000000" w:sz="12"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爆破噪声级</w:t>
                  </w:r>
                  <w:r>
                    <w:rPr>
                      <w:rFonts w:eastAsiaTheme="minorEastAsia"/>
                      <w:color w:val="000000" w:themeColor="text1"/>
                      <w:szCs w:val="21"/>
                      <w14:textFill>
                        <w14:solidFill>
                          <w14:schemeClr w14:val="tx1"/>
                        </w14:solidFill>
                      </w14:textFill>
                    </w:rPr>
                    <w:t>dB(A)</w:t>
                  </w:r>
                </w:p>
              </w:tc>
              <w:tc>
                <w:tcPr>
                  <w:tcW w:w="1185" w:type="dxa"/>
                  <w:tcBorders>
                    <w:top w:val="single" w:color="000000" w:sz="6" w:space="0"/>
                    <w:left w:val="single" w:color="000000" w:sz="6" w:space="0"/>
                    <w:bottom w:val="single" w:color="000000" w:sz="12"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69</w:t>
                  </w:r>
                </w:p>
              </w:tc>
              <w:tc>
                <w:tcPr>
                  <w:tcW w:w="1185" w:type="dxa"/>
                  <w:tcBorders>
                    <w:top w:val="single" w:color="000000" w:sz="6" w:space="0"/>
                    <w:left w:val="single" w:color="000000" w:sz="6" w:space="0"/>
                    <w:bottom w:val="single" w:color="000000" w:sz="12"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60</w:t>
                  </w:r>
                </w:p>
              </w:tc>
              <w:tc>
                <w:tcPr>
                  <w:tcW w:w="1185" w:type="dxa"/>
                  <w:tcBorders>
                    <w:top w:val="single" w:color="000000" w:sz="6" w:space="0"/>
                    <w:left w:val="single" w:color="000000" w:sz="6" w:space="0"/>
                    <w:bottom w:val="single" w:color="000000" w:sz="12"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55</w:t>
                  </w:r>
                </w:p>
              </w:tc>
              <w:tc>
                <w:tcPr>
                  <w:tcW w:w="1184" w:type="dxa"/>
                  <w:tcBorders>
                    <w:top w:val="single" w:color="000000" w:sz="6" w:space="0"/>
                    <w:left w:val="single" w:color="000000" w:sz="6" w:space="0"/>
                    <w:bottom w:val="single" w:color="000000" w:sz="12"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51</w:t>
                  </w:r>
                </w:p>
              </w:tc>
              <w:tc>
                <w:tcPr>
                  <w:tcW w:w="1184" w:type="dxa"/>
                  <w:tcBorders>
                    <w:top w:val="single" w:color="000000" w:sz="6" w:space="0"/>
                    <w:left w:val="single" w:color="000000" w:sz="6" w:space="0"/>
                    <w:bottom w:val="single" w:color="000000" w:sz="12" w:space="0"/>
                    <w:right w:val="single" w:color="000000" w:sz="12" w:space="0"/>
                  </w:tcBorders>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48</w:t>
                  </w:r>
                </w:p>
              </w:tc>
            </w:tr>
          </w:tbl>
          <w:p>
            <w:pPr>
              <w:adjustRightInd w:val="0"/>
              <w:snapToGrid w:val="0"/>
              <w:spacing w:line="360" w:lineRule="auto"/>
              <w:ind w:firstLine="480" w:firstLineChars="200"/>
              <w:rPr>
                <w:rFonts w:hAnsiTheme="minorEastAsia"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由上表预测结果可知，本项目矿山由于采用微差爆破工艺，爆破作业只在昼间进行，爆破噪声传播到</w:t>
            </w:r>
            <w:r>
              <w:rPr>
                <w:rFonts w:hint="eastAsia" w:eastAsiaTheme="minorEastAsia"/>
                <w:color w:val="000000" w:themeColor="text1"/>
                <w:sz w:val="24"/>
                <w14:textFill>
                  <w14:solidFill>
                    <w14:schemeClr w14:val="tx1"/>
                  </w14:solidFill>
                </w14:textFill>
              </w:rPr>
              <w:t>100</w:t>
            </w:r>
            <w:r>
              <w:rPr>
                <w:rFonts w:eastAsiaTheme="minorEastAsia"/>
                <w:color w:val="000000" w:themeColor="text1"/>
                <w:sz w:val="24"/>
                <w14:textFill>
                  <w14:solidFill>
                    <w14:schemeClr w14:val="tx1"/>
                  </w14:solidFill>
                </w14:textFill>
              </w:rPr>
              <w:t>m</w:t>
            </w:r>
            <w:r>
              <w:rPr>
                <w:rFonts w:hAnsiTheme="minorEastAsia" w:eastAsiaTheme="minorEastAsia"/>
                <w:color w:val="000000" w:themeColor="text1"/>
                <w:sz w:val="24"/>
                <w14:textFill>
                  <w14:solidFill>
                    <w14:schemeClr w14:val="tx1"/>
                  </w14:solidFill>
                </w14:textFill>
              </w:rPr>
              <w:t>处，噪声预测值为</w:t>
            </w:r>
            <w:r>
              <w:rPr>
                <w:rFonts w:hint="eastAsia" w:eastAsiaTheme="minorEastAsia"/>
                <w:color w:val="000000" w:themeColor="text1"/>
                <w:sz w:val="24"/>
                <w14:textFill>
                  <w14:solidFill>
                    <w14:schemeClr w14:val="tx1"/>
                  </w14:solidFill>
                </w14:textFill>
              </w:rPr>
              <w:t>60</w:t>
            </w:r>
            <w:r>
              <w:rPr>
                <w:rFonts w:eastAsiaTheme="minorEastAsia"/>
                <w:color w:val="000000" w:themeColor="text1"/>
                <w:sz w:val="24"/>
                <w14:textFill>
                  <w14:solidFill>
                    <w14:schemeClr w14:val="tx1"/>
                  </w14:solidFill>
                </w14:textFill>
              </w:rPr>
              <w:t>dB(A)</w:t>
            </w:r>
            <w:r>
              <w:rPr>
                <w:rFonts w:hAnsiTheme="minorEastAsia" w:eastAsiaTheme="minorEastAsia"/>
                <w:color w:val="000000" w:themeColor="text1"/>
                <w:sz w:val="24"/>
                <w14:textFill>
                  <w14:solidFill>
                    <w14:schemeClr w14:val="tx1"/>
                  </w14:solidFill>
                </w14:textFill>
              </w:rPr>
              <w:t>，因此露天采场场界</w:t>
            </w:r>
            <w:r>
              <w:rPr>
                <w:rFonts w:hint="eastAsia" w:eastAsiaTheme="minorEastAsia"/>
                <w:color w:val="000000" w:themeColor="text1"/>
                <w:sz w:val="24"/>
                <w14:textFill>
                  <w14:solidFill>
                    <w14:schemeClr w14:val="tx1"/>
                  </w14:solidFill>
                </w14:textFill>
              </w:rPr>
              <w:t>10</w:t>
            </w:r>
            <w:r>
              <w:rPr>
                <w:rFonts w:eastAsiaTheme="minorEastAsia"/>
                <w:color w:val="000000" w:themeColor="text1"/>
                <w:sz w:val="24"/>
                <w14:textFill>
                  <w14:solidFill>
                    <w14:schemeClr w14:val="tx1"/>
                  </w14:solidFill>
                </w14:textFill>
              </w:rPr>
              <w:t>0m</w:t>
            </w:r>
            <w:r>
              <w:rPr>
                <w:rFonts w:hAnsiTheme="minorEastAsia" w:eastAsiaTheme="minorEastAsia"/>
                <w:color w:val="000000" w:themeColor="text1"/>
                <w:sz w:val="24"/>
                <w14:textFill>
                  <w14:solidFill>
                    <w14:schemeClr w14:val="tx1"/>
                  </w14:solidFill>
                </w14:textFill>
              </w:rPr>
              <w:t>以外均符合《声环境质量标准》（</w:t>
            </w:r>
            <w:r>
              <w:rPr>
                <w:rFonts w:eastAsiaTheme="minorEastAsia"/>
                <w:color w:val="000000" w:themeColor="text1"/>
                <w:sz w:val="24"/>
                <w14:textFill>
                  <w14:solidFill>
                    <w14:schemeClr w14:val="tx1"/>
                  </w14:solidFill>
                </w14:textFill>
              </w:rPr>
              <w:t>GB3096-2008</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AnsiTheme="minorEastAsia" w:eastAsiaTheme="minorEastAsia"/>
                <w:color w:val="000000" w:themeColor="text1"/>
                <w:sz w:val="24"/>
                <w14:textFill>
                  <w14:solidFill>
                    <w14:schemeClr w14:val="tx1"/>
                  </w14:solidFill>
                </w14:textFill>
              </w:rPr>
              <w:t>类标准中昼间</w:t>
            </w:r>
            <w:r>
              <w:rPr>
                <w:rFonts w:eastAsiaTheme="minorEastAsia"/>
                <w:color w:val="000000" w:themeColor="text1"/>
                <w:sz w:val="24"/>
                <w14:textFill>
                  <w14:solidFill>
                    <w14:schemeClr w14:val="tx1"/>
                  </w14:solidFill>
                </w14:textFill>
              </w:rPr>
              <w:t>60dB(A)</w:t>
            </w:r>
            <w:r>
              <w:rPr>
                <w:rFonts w:hAnsiTheme="minorEastAsia" w:eastAsiaTheme="minorEastAsia"/>
                <w:color w:val="000000" w:themeColor="text1"/>
                <w:sz w:val="24"/>
                <w14:textFill>
                  <w14:solidFill>
                    <w14:schemeClr w14:val="tx1"/>
                  </w14:solidFill>
                </w14:textFill>
              </w:rPr>
              <w:t>要求。本项目距离开采界限周边</w:t>
            </w:r>
            <w:r>
              <w:rPr>
                <w:rFonts w:hint="eastAsia" w:eastAsiaTheme="minorEastAsia"/>
                <w:color w:val="000000" w:themeColor="text1"/>
                <w:sz w:val="24"/>
                <w14:textFill>
                  <w14:solidFill>
                    <w14:schemeClr w14:val="tx1"/>
                  </w14:solidFill>
                </w14:textFill>
              </w:rPr>
              <w:t>10</w:t>
            </w:r>
            <w:r>
              <w:rPr>
                <w:rFonts w:eastAsiaTheme="minorEastAsia"/>
                <w:color w:val="000000" w:themeColor="text1"/>
                <w:sz w:val="24"/>
                <w14:textFill>
                  <w14:solidFill>
                    <w14:schemeClr w14:val="tx1"/>
                  </w14:solidFill>
                </w14:textFill>
              </w:rPr>
              <w:t>0m</w:t>
            </w:r>
            <w:r>
              <w:rPr>
                <w:rFonts w:hAnsiTheme="minorEastAsia" w:eastAsiaTheme="minorEastAsia"/>
                <w:color w:val="000000" w:themeColor="text1"/>
                <w:sz w:val="24"/>
                <w14:textFill>
                  <w14:solidFill>
                    <w14:schemeClr w14:val="tx1"/>
                  </w14:solidFill>
                </w14:textFill>
              </w:rPr>
              <w:t>范围内</w:t>
            </w:r>
            <w:r>
              <w:rPr>
                <w:rFonts w:hint="eastAsia" w:hAnsiTheme="minorEastAsia" w:eastAsiaTheme="minorEastAsia"/>
                <w:color w:val="000000" w:themeColor="text1"/>
                <w:sz w:val="24"/>
                <w14:textFill>
                  <w14:solidFill>
                    <w14:schemeClr w14:val="tx1"/>
                  </w14:solidFill>
                </w14:textFill>
              </w:rPr>
              <w:t>无</w:t>
            </w:r>
            <w:r>
              <w:rPr>
                <w:rFonts w:hAnsiTheme="minorEastAsia" w:eastAsiaTheme="minorEastAsia"/>
                <w:color w:val="000000" w:themeColor="text1"/>
                <w:sz w:val="24"/>
                <w14:textFill>
                  <w14:solidFill>
                    <w14:schemeClr w14:val="tx1"/>
                  </w14:solidFill>
                </w14:textFill>
              </w:rPr>
              <w:t>居民，在严格按照操作规程及夜间禁止作业的规定下，且经过山体阻隔，噪声阻隔明显，因此，采场爆破影响较小</w:t>
            </w:r>
          </w:p>
          <w:p>
            <w:pPr>
              <w:adjustRightInd w:val="0"/>
              <w:snapToGrid w:val="0"/>
              <w:spacing w:line="360" w:lineRule="auto"/>
              <w:ind w:firstLine="480" w:firstLineChars="200"/>
              <w:rPr>
                <w:rFonts w:hAnsiTheme="minorEastAsia" w:eastAsiaTheme="minorEastAsia"/>
                <w:color w:val="000000" w:themeColor="text1"/>
                <w:sz w:val="24"/>
                <w14:textFill>
                  <w14:solidFill>
                    <w14:schemeClr w14:val="tx1"/>
                  </w14:solidFill>
                </w14:textFill>
              </w:rPr>
            </w:pPr>
            <w:r>
              <w:rPr>
                <w:rFonts w:hint="eastAsia" w:hAnsiTheme="minorEastAsia" w:eastAsiaTheme="minorEastAsia"/>
                <w:color w:val="000000" w:themeColor="text1"/>
                <w:sz w:val="24"/>
                <w14:textFill>
                  <w14:solidFill>
                    <w14:schemeClr w14:val="tx1"/>
                  </w14:solidFill>
                </w14:textFill>
              </w:rPr>
              <w:t>B、</w:t>
            </w:r>
            <w:r>
              <w:rPr>
                <w:rFonts w:hAnsiTheme="minorEastAsia" w:eastAsiaTheme="minorEastAsia"/>
                <w:color w:val="000000" w:themeColor="text1"/>
                <w:sz w:val="24"/>
                <w14:textFill>
                  <w14:solidFill>
                    <w14:schemeClr w14:val="tx1"/>
                  </w14:solidFill>
                </w14:textFill>
              </w:rPr>
              <w:t>爆破振动环境影响分析</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矿石爆破过程影响环境的除了粉尘、瞬间噪声和有害气体之外，关键是地面振动和空气冲击波。由于露天开采，场地宽阔，爆破引起的空气冲击波影响范围是有限的。</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本矿山所采用的微差爆破，是多个药包爆破时以毫秒级时间间隔控制药包，按一定顺序先后起爆的爆破技术，较之多药包齐发爆破它具有许多优点：改善破岩质量；控制爆破方向，有利于添加一次爆破量，减少爆破次数；另外，对于环境保护尤为重要的是，它能减弱爆破地震效应。这是因为先爆深孔所产生的地震波消失之前，后爆深孔又产生新的地震波，则先后产生的地震波会互相干扰，减弱地震波强度。此外，把全部深孔分组先后起爆，每组的炸药量比总药量减少很多，也减弱了地震效应。</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①爆破振动安全允许距离</w:t>
            </w:r>
          </w:p>
          <w:p>
            <w:pPr>
              <w:adjustRightInd w:val="0"/>
              <w:snapToGrid w:val="0"/>
              <w:spacing w:line="360" w:lineRule="auto"/>
              <w:jc w:val="center"/>
              <w:rPr>
                <w:rFonts w:eastAsiaTheme="minorEastAsia"/>
                <w:color w:val="000000" w:themeColor="text1"/>
                <w:sz w:val="24"/>
                <w14:textFill>
                  <w14:solidFill>
                    <w14:schemeClr w14:val="tx1"/>
                  </w14:solidFill>
                </w14:textFill>
              </w:rPr>
            </w:pPr>
            <w:r>
              <w:rPr>
                <w:rFonts w:eastAsiaTheme="minorEastAsia"/>
                <w:color w:val="000000" w:themeColor="text1"/>
                <w14:textFill>
                  <w14:solidFill>
                    <w14:schemeClr w14:val="tx1"/>
                  </w14:solidFill>
                </w14:textFill>
              </w:rPr>
              <w:drawing>
                <wp:inline distT="0" distB="0" distL="0" distR="0">
                  <wp:extent cx="1104900" cy="381000"/>
                  <wp:effectExtent l="0" t="0" r="7620" b="0"/>
                  <wp:docPr id="10" name="图片框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框 1063"/>
                          <pic:cNvPicPr>
                            <a:picLocks noChangeAspect="1" noChangeArrowheads="1"/>
                          </pic:cNvPicPr>
                        </pic:nvPicPr>
                        <pic:blipFill>
                          <a:blip r:embed="rId22" cstate="print"/>
                          <a:srcRect l="17014" t="12350" r="22812" b="22295"/>
                          <a:stretch>
                            <a:fillRect/>
                          </a:stretch>
                        </pic:blipFill>
                        <pic:spPr>
                          <a:xfrm>
                            <a:off x="0" y="0"/>
                            <a:ext cx="1104900" cy="381000"/>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式中：</w:t>
            </w:r>
            <w:r>
              <w:rPr>
                <w:rFonts w:eastAsiaTheme="minorEastAsia"/>
                <w:color w:val="000000" w:themeColor="text1"/>
                <w:sz w:val="24"/>
                <w14:textFill>
                  <w14:solidFill>
                    <w14:schemeClr w14:val="tx1"/>
                  </w14:solidFill>
                </w14:textFill>
              </w:rPr>
              <w:t>R——</w:t>
            </w:r>
            <w:r>
              <w:rPr>
                <w:rFonts w:hAnsiTheme="minorEastAsia" w:eastAsiaTheme="minorEastAsia"/>
                <w:color w:val="000000" w:themeColor="text1"/>
                <w:sz w:val="24"/>
                <w14:textFill>
                  <w14:solidFill>
                    <w14:schemeClr w14:val="tx1"/>
                  </w14:solidFill>
                </w14:textFill>
              </w:rPr>
              <w:t>爆破振动安全允许距离，</w:t>
            </w:r>
            <w:r>
              <w:rPr>
                <w:rFonts w:eastAsiaTheme="minorEastAsia"/>
                <w:color w:val="000000" w:themeColor="text1"/>
                <w:sz w:val="24"/>
                <w14:textFill>
                  <w14:solidFill>
                    <w14:schemeClr w14:val="tx1"/>
                  </w14:solidFill>
                </w14:textFill>
              </w:rPr>
              <w:t>m</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Q—— </w:t>
            </w:r>
            <w:r>
              <w:rPr>
                <w:rFonts w:hAnsiTheme="minorEastAsia" w:eastAsiaTheme="minorEastAsia"/>
                <w:color w:val="000000" w:themeColor="text1"/>
                <w:sz w:val="24"/>
                <w14:textFill>
                  <w14:solidFill>
                    <w14:schemeClr w14:val="tx1"/>
                  </w14:solidFill>
                </w14:textFill>
              </w:rPr>
              <w:t>炸药量，延时爆破为最大一段装药量，</w:t>
            </w:r>
            <w:r>
              <w:rPr>
                <w:rFonts w:eastAsiaTheme="minorEastAsia"/>
                <w:color w:val="000000" w:themeColor="text1"/>
                <w:sz w:val="24"/>
                <w14:textFill>
                  <w14:solidFill>
                    <w14:schemeClr w14:val="tx1"/>
                  </w14:solidFill>
                </w14:textFill>
              </w:rPr>
              <w:t>kg</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V——</w:t>
            </w:r>
            <w:r>
              <w:rPr>
                <w:rFonts w:hAnsiTheme="minorEastAsia" w:eastAsiaTheme="minorEastAsia"/>
                <w:color w:val="000000" w:themeColor="text1"/>
                <w:sz w:val="24"/>
                <w14:textFill>
                  <w14:solidFill>
                    <w14:schemeClr w14:val="tx1"/>
                  </w14:solidFill>
                </w14:textFill>
              </w:rPr>
              <w:t>保护对象所在地质点振动安全允许速度，单位为</w:t>
            </w:r>
            <w:r>
              <w:rPr>
                <w:rFonts w:eastAsiaTheme="minorEastAsia"/>
                <w:color w:val="000000" w:themeColor="text1"/>
                <w:sz w:val="24"/>
                <w14:textFill>
                  <w14:solidFill>
                    <w14:schemeClr w14:val="tx1"/>
                  </w14:solidFill>
                </w14:textFill>
              </w:rPr>
              <w:t>cm·s</w:t>
            </w:r>
            <w:r>
              <w:rPr>
                <w:rFonts w:eastAsiaTheme="minorEastAsia"/>
                <w:color w:val="000000" w:themeColor="text1"/>
                <w:sz w:val="24"/>
                <w:vertAlign w:val="superscript"/>
                <w14:textFill>
                  <w14:solidFill>
                    <w14:schemeClr w14:val="tx1"/>
                  </w14:solidFill>
                </w14:textFill>
              </w:rPr>
              <w:t>-1</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hAnsiTheme="minorEastAsia" w:eastAsiaTheme="minorEastAsia"/>
                <w:b/>
                <w:color w:val="000000" w:themeColor="text1"/>
                <w:szCs w:val="21"/>
                <w14:textFill>
                  <w14:solidFill>
                    <w14:schemeClr w14:val="tx1"/>
                  </w14:solidFill>
                </w14:textFill>
              </w:rPr>
            </w:pPr>
            <w:r>
              <w:rPr>
                <w:rFonts w:eastAsiaTheme="minorEastAsia"/>
                <w:color w:val="000000" w:themeColor="text1"/>
                <w:sz w:val="24"/>
                <w14:textFill>
                  <w14:solidFill>
                    <w14:schemeClr w14:val="tx1"/>
                  </w14:solidFill>
                </w14:textFill>
              </w:rPr>
              <w:t>K</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α——</w:t>
            </w:r>
            <w:r>
              <w:rPr>
                <w:rFonts w:hAnsiTheme="minorEastAsia" w:eastAsiaTheme="minorEastAsia"/>
                <w:color w:val="000000" w:themeColor="text1"/>
                <w:sz w:val="24"/>
                <w14:textFill>
                  <w14:solidFill>
                    <w14:schemeClr w14:val="tx1"/>
                  </w14:solidFill>
                </w14:textFill>
              </w:rPr>
              <w:t>与爆破点至计算保护对象间的地形、地质条件有关的系数和衰减指数。</w:t>
            </w: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eastAsiaTheme="minorEastAsia"/>
                <w:b/>
                <w:color w:val="000000" w:themeColor="text1"/>
                <w:szCs w:val="21"/>
                <w:lang w:val="en-US" w:eastAsia="zh-CN"/>
                <w14:textFill>
                  <w14:solidFill>
                    <w14:schemeClr w14:val="tx1"/>
                  </w14:solidFill>
                </w14:textFill>
              </w:rPr>
              <w:t>34</w:t>
            </w:r>
            <w:r>
              <w:rPr>
                <w:rFonts w:hAnsiTheme="minorEastAsia" w:eastAsiaTheme="minorEastAsia"/>
                <w:b/>
                <w:color w:val="000000" w:themeColor="text1"/>
                <w:szCs w:val="21"/>
                <w14:textFill>
                  <w14:solidFill>
                    <w14:schemeClr w14:val="tx1"/>
                  </w14:solidFill>
                </w14:textFill>
              </w:rPr>
              <w:t>不同岩性的</w:t>
            </w:r>
            <w:r>
              <w:rPr>
                <w:rFonts w:eastAsiaTheme="minorEastAsia"/>
                <w:b/>
                <w:color w:val="000000" w:themeColor="text1"/>
                <w:szCs w:val="21"/>
                <w14:textFill>
                  <w14:solidFill>
                    <w14:schemeClr w14:val="tx1"/>
                  </w14:solidFill>
                </w14:textFill>
              </w:rPr>
              <w:t>K</w:t>
            </w:r>
            <w:r>
              <w:rPr>
                <w:rFonts w:hAnsiTheme="minorEastAsia" w:eastAsiaTheme="minorEastAsia"/>
                <w:b/>
                <w:color w:val="000000" w:themeColor="text1"/>
                <w:szCs w:val="21"/>
                <w14:textFill>
                  <w14:solidFill>
                    <w14:schemeClr w14:val="tx1"/>
                  </w14:solidFill>
                </w14:textFill>
              </w:rPr>
              <w:t>、</w:t>
            </w:r>
            <w:r>
              <w:rPr>
                <w:rFonts w:eastAsiaTheme="minorEastAsia"/>
                <w:b/>
                <w:color w:val="000000" w:themeColor="text1"/>
                <w:szCs w:val="21"/>
                <w14:textFill>
                  <w14:solidFill>
                    <w14:schemeClr w14:val="tx1"/>
                  </w14:solidFill>
                </w14:textFill>
              </w:rPr>
              <w:t>α</w:t>
            </w:r>
            <w:r>
              <w:rPr>
                <w:rFonts w:hAnsiTheme="minorEastAsia" w:eastAsiaTheme="minorEastAsia"/>
                <w:b/>
                <w:color w:val="000000" w:themeColor="text1"/>
                <w:szCs w:val="21"/>
                <w14:textFill>
                  <w14:solidFill>
                    <w14:schemeClr w14:val="tx1"/>
                  </w14:solidFill>
                </w14:textFill>
              </w:rPr>
              <w:t>值</w:t>
            </w:r>
          </w:p>
          <w:p>
            <w:pPr>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drawing>
                <wp:inline distT="0" distB="0" distL="0" distR="0">
                  <wp:extent cx="5055870" cy="812165"/>
                  <wp:effectExtent l="0" t="0" r="3810" b="10795"/>
                  <wp:docPr id="11" name="图片框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框 1064"/>
                          <pic:cNvPicPr>
                            <a:picLocks noChangeAspect="1" noChangeArrowheads="1"/>
                          </pic:cNvPicPr>
                        </pic:nvPicPr>
                        <pic:blipFill>
                          <a:blip r:embed="rId23" cstate="print"/>
                          <a:srcRect/>
                          <a:stretch>
                            <a:fillRect/>
                          </a:stretch>
                        </pic:blipFill>
                        <pic:spPr>
                          <a:xfrm>
                            <a:off x="0" y="0"/>
                            <a:ext cx="5055870" cy="812165"/>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②爆破振动强度计算</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据爆破振动安全允许距离计算公式，变形后可计算爆破时产生的地面质点峰值振动速度：</w:t>
            </w:r>
          </w:p>
          <w:p>
            <w:pPr>
              <w:adjustRightInd w:val="0"/>
              <w:snapToGrid w:val="0"/>
              <w:spacing w:line="360" w:lineRule="auto"/>
              <w:jc w:val="center"/>
              <w:rPr>
                <w:rFonts w:eastAsiaTheme="minorEastAsia"/>
                <w:color w:val="000000" w:themeColor="text1"/>
                <w:sz w:val="24"/>
                <w14:textFill>
                  <w14:solidFill>
                    <w14:schemeClr w14:val="tx1"/>
                  </w14:solidFill>
                </w14:textFill>
              </w:rPr>
            </w:pPr>
            <w:r>
              <w:rPr>
                <w:rFonts w:eastAsiaTheme="minorEastAsia"/>
                <w:color w:val="000000" w:themeColor="text1"/>
                <w14:textFill>
                  <w14:solidFill>
                    <w14:schemeClr w14:val="tx1"/>
                  </w14:solidFill>
                </w14:textFill>
              </w:rPr>
              <w:drawing>
                <wp:inline distT="0" distB="0" distL="0" distR="0">
                  <wp:extent cx="914400" cy="390525"/>
                  <wp:effectExtent l="0" t="0" r="0" b="5715"/>
                  <wp:docPr id="12" name="图片框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框 1065"/>
                          <pic:cNvPicPr>
                            <a:picLocks noChangeAspect="1" noChangeArrowheads="1"/>
                          </pic:cNvPicPr>
                        </pic:nvPicPr>
                        <pic:blipFill>
                          <a:blip r:embed="rId24" cstate="print"/>
                          <a:srcRect l="20958" t="22571" r="24138" b="18477"/>
                          <a:stretch>
                            <a:fillRect/>
                          </a:stretch>
                        </pic:blipFill>
                        <pic:spPr>
                          <a:xfrm>
                            <a:off x="0" y="0"/>
                            <a:ext cx="914400" cy="390525"/>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式中：</w:t>
            </w:r>
            <w:r>
              <w:rPr>
                <w:rFonts w:eastAsiaTheme="minorEastAsia"/>
                <w:color w:val="000000" w:themeColor="text1"/>
                <w:sz w:val="24"/>
                <w14:textFill>
                  <w14:solidFill>
                    <w14:schemeClr w14:val="tx1"/>
                  </w14:solidFill>
                </w14:textFill>
              </w:rPr>
              <w:t>V—</w:t>
            </w:r>
            <w:r>
              <w:rPr>
                <w:rFonts w:hAnsiTheme="minorEastAsia" w:eastAsiaTheme="minorEastAsia"/>
                <w:color w:val="000000" w:themeColor="text1"/>
                <w:sz w:val="24"/>
                <w14:textFill>
                  <w14:solidFill>
                    <w14:schemeClr w14:val="tx1"/>
                  </w14:solidFill>
                </w14:textFill>
              </w:rPr>
              <w:t>地面质点振动速度，是振动强度参数，</w:t>
            </w:r>
            <w:r>
              <w:rPr>
                <w:rFonts w:eastAsiaTheme="minorEastAsia"/>
                <w:color w:val="000000" w:themeColor="text1"/>
                <w:sz w:val="24"/>
                <w14:textFill>
                  <w14:solidFill>
                    <w14:schemeClr w14:val="tx1"/>
                  </w14:solidFill>
                </w14:textFill>
              </w:rPr>
              <w:t>cm/s</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1200" w:firstLineChars="5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K—</w:t>
            </w:r>
            <w:r>
              <w:rPr>
                <w:rFonts w:hAnsiTheme="minorEastAsia" w:eastAsiaTheme="minorEastAsia"/>
                <w:color w:val="000000" w:themeColor="text1"/>
                <w:sz w:val="24"/>
                <w14:textFill>
                  <w14:solidFill>
                    <w14:schemeClr w14:val="tx1"/>
                  </w14:solidFill>
                </w14:textFill>
              </w:rPr>
              <w:t>与爆破场地条件有关的参数，主要取决于药包的堵塞条件和起爆方式，评价取</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160</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1200" w:firstLineChars="5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α—</w:t>
            </w:r>
            <w:r>
              <w:rPr>
                <w:rFonts w:hAnsiTheme="minorEastAsia" w:eastAsiaTheme="minorEastAsia"/>
                <w:color w:val="000000" w:themeColor="text1"/>
                <w:sz w:val="24"/>
                <w14:textFill>
                  <w14:solidFill>
                    <w14:schemeClr w14:val="tx1"/>
                  </w14:solidFill>
                </w14:textFill>
              </w:rPr>
              <w:t>与岩石性质有关的衰减指数，评价取</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7</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1200" w:firstLineChars="5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Q—</w:t>
            </w:r>
            <w:r>
              <w:rPr>
                <w:rFonts w:hAnsiTheme="minorEastAsia" w:eastAsiaTheme="minorEastAsia"/>
                <w:color w:val="000000" w:themeColor="text1"/>
                <w:sz w:val="24"/>
                <w14:textFill>
                  <w14:solidFill>
                    <w14:schemeClr w14:val="tx1"/>
                  </w14:solidFill>
                </w14:textFill>
              </w:rPr>
              <w:t>装药量，取最大一段装药量，</w:t>
            </w:r>
            <w:r>
              <w:rPr>
                <w:rFonts w:hint="eastAsia" w:eastAsiaTheme="minorEastAsia"/>
                <w:color w:val="000000" w:themeColor="text1"/>
                <w:sz w:val="24"/>
                <w14:textFill>
                  <w14:solidFill>
                    <w14:schemeClr w14:val="tx1"/>
                  </w14:solidFill>
                </w14:textFill>
              </w:rPr>
              <w:t>3</w:t>
            </w:r>
            <w:r>
              <w:rPr>
                <w:rFonts w:eastAsiaTheme="minorEastAsia"/>
                <w:color w:val="000000" w:themeColor="text1"/>
                <w:sz w:val="24"/>
                <w14:textFill>
                  <w14:solidFill>
                    <w14:schemeClr w14:val="tx1"/>
                  </w14:solidFill>
                </w14:textFill>
              </w:rPr>
              <w:t>00kg</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1200" w:firstLineChars="5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R—</w:t>
            </w:r>
            <w:r>
              <w:rPr>
                <w:rFonts w:hAnsiTheme="minorEastAsia" w:eastAsiaTheme="minorEastAsia"/>
                <w:color w:val="000000" w:themeColor="text1"/>
                <w:sz w:val="24"/>
                <w14:textFill>
                  <w14:solidFill>
                    <w14:schemeClr w14:val="tx1"/>
                  </w14:solidFill>
                </w14:textFill>
              </w:rPr>
              <w:t>自爆破中心到测点的水平距离，</w:t>
            </w:r>
            <w:r>
              <w:rPr>
                <w:rFonts w:eastAsiaTheme="minorEastAsia"/>
                <w:color w:val="000000" w:themeColor="text1"/>
                <w:sz w:val="24"/>
                <w14:textFill>
                  <w14:solidFill>
                    <w14:schemeClr w14:val="tx1"/>
                  </w14:solidFill>
                </w14:textFill>
              </w:rPr>
              <w:t>m</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③预测结果</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lang w:eastAsia="zh-CN"/>
                <w14:textFill>
                  <w14:solidFill>
                    <w14:schemeClr w14:val="tx1"/>
                  </w14:solidFill>
                </w14:textFill>
              </w:rPr>
              <w:t>、</w:t>
            </w:r>
            <w:r>
              <w:rPr>
                <w:rFonts w:hAnsiTheme="minorEastAsia" w:eastAsiaTheme="minorEastAsia"/>
                <w:color w:val="000000" w:themeColor="text1"/>
                <w:sz w:val="24"/>
                <w14:textFill>
                  <w14:solidFill>
                    <w14:schemeClr w14:val="tx1"/>
                  </w14:solidFill>
                </w14:textFill>
              </w:rPr>
              <w:t>爆破安全防护距离预测：</w:t>
            </w:r>
          </w:p>
          <w:p>
            <w:pPr>
              <w:adjustRightInd w:val="0"/>
              <w:snapToGrid w:val="0"/>
              <w:spacing w:line="360" w:lineRule="auto"/>
              <w:ind w:firstLine="480" w:firstLineChars="200"/>
              <w:rPr>
                <w:rFonts w:hAnsiTheme="minorEastAsia" w:eastAsiaTheme="minorEastAsia"/>
                <w:b/>
                <w:color w:val="000000" w:themeColor="text1"/>
                <w:szCs w:val="21"/>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根据《爆破安全规程》（</w:t>
            </w:r>
            <w:r>
              <w:rPr>
                <w:rFonts w:eastAsiaTheme="minorEastAsia"/>
                <w:color w:val="000000" w:themeColor="text1"/>
                <w:sz w:val="24"/>
                <w14:textFill>
                  <w14:solidFill>
                    <w14:schemeClr w14:val="tx1"/>
                  </w14:solidFill>
                </w14:textFill>
              </w:rPr>
              <w:t>GB6722-2011</w:t>
            </w:r>
            <w:r>
              <w:rPr>
                <w:rFonts w:hAnsiTheme="minorEastAsia" w:eastAsiaTheme="minorEastAsia"/>
                <w:color w:val="000000" w:themeColor="text1"/>
                <w:sz w:val="24"/>
                <w14:textFill>
                  <w14:solidFill>
                    <w14:schemeClr w14:val="tx1"/>
                  </w14:solidFill>
                </w14:textFill>
              </w:rPr>
              <w:t>），各类建筑物和构筑物的安全振动速度规定，计算得出矿区不同建筑物爆破安全防护距离如下：</w:t>
            </w: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eastAsiaTheme="minorEastAsia"/>
                <w:b/>
                <w:color w:val="000000" w:themeColor="text1"/>
                <w:szCs w:val="21"/>
                <w:lang w:val="en-US" w:eastAsia="zh-CN"/>
                <w14:textFill>
                  <w14:solidFill>
                    <w14:schemeClr w14:val="tx1"/>
                  </w14:solidFill>
                </w14:textFill>
              </w:rPr>
              <w:t>35</w:t>
            </w:r>
            <w:r>
              <w:rPr>
                <w:rFonts w:hAnsiTheme="minorEastAsia" w:eastAsiaTheme="minorEastAsia"/>
                <w:b/>
                <w:color w:val="000000" w:themeColor="text1"/>
                <w:szCs w:val="21"/>
                <w14:textFill>
                  <w14:solidFill>
                    <w14:schemeClr w14:val="tx1"/>
                  </w14:solidFill>
                </w14:textFill>
              </w:rPr>
              <w:t>最大爆破安全防护距离</w:t>
            </w:r>
          </w:p>
          <w:tbl>
            <w:tblPr>
              <w:tblStyle w:val="19"/>
              <w:tblW w:w="77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867"/>
              <w:gridCol w:w="38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3867" w:type="dxa"/>
                  <w:tcBorders>
                    <w:top w:val="single" w:color="000000" w:sz="12" w:space="0"/>
                    <w:left w:val="single" w:color="000000" w:sz="12" w:space="0"/>
                    <w:bottom w:val="single" w:color="000000" w:sz="6" w:space="0"/>
                    <w:right w:val="single" w:color="000000" w:sz="6" w:space="0"/>
                  </w:tcBorders>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建筑物类型</w:t>
                  </w:r>
                </w:p>
              </w:tc>
              <w:tc>
                <w:tcPr>
                  <w:tcW w:w="3872" w:type="dxa"/>
                  <w:tcBorders>
                    <w:top w:val="single" w:color="000000" w:sz="12" w:space="0"/>
                    <w:left w:val="single" w:color="000000" w:sz="6" w:space="0"/>
                    <w:bottom w:val="single" w:color="000000" w:sz="6" w:space="0"/>
                    <w:right w:val="single" w:color="000000" w:sz="12" w:space="0"/>
                  </w:tcBorders>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最大安全防护距离（</w:t>
                  </w:r>
                  <w:r>
                    <w:rPr>
                      <w:rFonts w:eastAsiaTheme="minorEastAsia"/>
                      <w:color w:val="000000" w:themeColor="text1"/>
                      <w:szCs w:val="21"/>
                      <w14:textFill>
                        <w14:solidFill>
                          <w14:schemeClr w14:val="tx1"/>
                        </w14:solidFill>
                      </w14:textFill>
                    </w:rPr>
                    <w:t>m</w:t>
                  </w:r>
                  <w:r>
                    <w:rPr>
                      <w:rFonts w:hAnsiTheme="minorEastAsia" w:eastAsiaTheme="minorEastAsia"/>
                      <w:color w:val="000000" w:themeColor="text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3867"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土窑洞、土坯房、毛石房屋</w:t>
                  </w:r>
                </w:p>
              </w:tc>
              <w:tc>
                <w:tcPr>
                  <w:tcW w:w="3872" w:type="dxa"/>
                  <w:tcBorders>
                    <w:top w:val="single" w:color="000000" w:sz="6" w:space="0"/>
                    <w:left w:val="single" w:color="000000" w:sz="6" w:space="0"/>
                    <w:bottom w:val="single" w:color="000000" w:sz="6" w:space="0"/>
                    <w:right w:val="single" w:color="000000" w:sz="12" w:space="0"/>
                  </w:tcBorders>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182.8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3867" w:type="dxa"/>
                  <w:tcBorders>
                    <w:top w:val="single" w:color="000000" w:sz="6" w:space="0"/>
                    <w:left w:val="single" w:color="000000" w:sz="12" w:space="0"/>
                    <w:bottom w:val="single" w:color="000000" w:sz="12" w:space="0"/>
                    <w:right w:val="single" w:color="000000" w:sz="6" w:space="0"/>
                  </w:tcBorders>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一般民用建筑</w:t>
                  </w:r>
                </w:p>
              </w:tc>
              <w:tc>
                <w:tcPr>
                  <w:tcW w:w="3872" w:type="dxa"/>
                  <w:tcBorders>
                    <w:top w:val="single" w:color="000000" w:sz="6" w:space="0"/>
                    <w:left w:val="single" w:color="000000" w:sz="6" w:space="0"/>
                    <w:bottom w:val="single" w:color="000000" w:sz="12" w:space="0"/>
                    <w:right w:val="single" w:color="000000" w:sz="12" w:space="0"/>
                  </w:tcBorders>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120.1</w:t>
                  </w:r>
                </w:p>
              </w:tc>
            </w:tr>
          </w:tbl>
          <w:p>
            <w:pPr>
              <w:adjustRightInd w:val="0"/>
              <w:snapToGrid w:val="0"/>
              <w:spacing w:line="360" w:lineRule="auto"/>
              <w:rPr>
                <w:rFonts w:eastAsiaTheme="minorEastAsia"/>
                <w:color w:val="000000" w:themeColor="text1"/>
                <w:sz w:val="24"/>
                <w14:textFill>
                  <w14:solidFill>
                    <w14:schemeClr w14:val="tx1"/>
                  </w14:solidFill>
                </w14:textFill>
              </w:rPr>
            </w:pP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B</w:t>
            </w:r>
            <w:r>
              <w:rPr>
                <w:rFonts w:hint="eastAsia" w:eastAsiaTheme="minorEastAsia"/>
                <w:color w:val="000000" w:themeColor="text1"/>
                <w:sz w:val="24"/>
                <w:lang w:eastAsia="zh-CN"/>
                <w14:textFill>
                  <w14:solidFill>
                    <w14:schemeClr w14:val="tx1"/>
                  </w14:solidFill>
                </w14:textFill>
              </w:rPr>
              <w:t>、</w:t>
            </w:r>
            <w:r>
              <w:rPr>
                <w:rFonts w:hAnsiTheme="minorEastAsia" w:eastAsiaTheme="minorEastAsia"/>
                <w:color w:val="000000" w:themeColor="text1"/>
                <w:sz w:val="24"/>
                <w14:textFill>
                  <w14:solidFill>
                    <w14:schemeClr w14:val="tx1"/>
                  </w14:solidFill>
                </w14:textFill>
              </w:rPr>
              <w:t>爆破振动强度预测</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按照最大起爆用药量</w:t>
            </w:r>
            <w:r>
              <w:rPr>
                <w:rFonts w:eastAsiaTheme="minorEastAsia"/>
                <w:color w:val="000000" w:themeColor="text1"/>
                <w:sz w:val="24"/>
                <w14:textFill>
                  <w14:solidFill>
                    <w14:schemeClr w14:val="tx1"/>
                  </w14:solidFill>
                </w14:textFill>
              </w:rPr>
              <w:t>400kg</w:t>
            </w:r>
            <w:r>
              <w:rPr>
                <w:rFonts w:hAnsiTheme="minorEastAsia" w:eastAsiaTheme="minorEastAsia"/>
                <w:color w:val="000000" w:themeColor="text1"/>
                <w:sz w:val="24"/>
                <w14:textFill>
                  <w14:solidFill>
                    <w14:schemeClr w14:val="tx1"/>
                  </w14:solidFill>
                </w14:textFill>
              </w:rPr>
              <w:t>预测，不同距离的爆破振动强度预测如下：</w:t>
            </w:r>
          </w:p>
          <w:p>
            <w:pPr>
              <w:adjustRightInd w:val="0"/>
              <w:snapToGrid w:val="0"/>
              <w:jc w:val="both"/>
              <w:rPr>
                <w:rFonts w:hAnsiTheme="minorEastAsia" w:eastAsiaTheme="minorEastAsia"/>
                <w:b/>
                <w:color w:val="000000" w:themeColor="text1"/>
                <w:szCs w:val="21"/>
                <w14:textFill>
                  <w14:solidFill>
                    <w14:schemeClr w14:val="tx1"/>
                  </w14:solidFill>
                </w14:textFill>
              </w:rPr>
            </w:pP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eastAsiaTheme="minorEastAsia"/>
                <w:b/>
                <w:color w:val="000000" w:themeColor="text1"/>
                <w:szCs w:val="21"/>
                <w:lang w:val="en-US" w:eastAsia="zh-CN"/>
                <w14:textFill>
                  <w14:solidFill>
                    <w14:schemeClr w14:val="tx1"/>
                  </w14:solidFill>
                </w14:textFill>
              </w:rPr>
              <w:t>36</w:t>
            </w:r>
            <w:r>
              <w:rPr>
                <w:rFonts w:hAnsiTheme="minorEastAsia" w:eastAsiaTheme="minorEastAsia"/>
                <w:b/>
                <w:color w:val="000000" w:themeColor="text1"/>
                <w:szCs w:val="21"/>
                <w14:textFill>
                  <w14:solidFill>
                    <w14:schemeClr w14:val="tx1"/>
                  </w14:solidFill>
                </w14:textFill>
              </w:rPr>
              <w:t>不同距离的爆破振动强度</w:t>
            </w:r>
          </w:p>
          <w:tbl>
            <w:tblPr>
              <w:tblStyle w:val="19"/>
              <w:tblW w:w="771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62"/>
              <w:gridCol w:w="2574"/>
              <w:gridCol w:w="258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562" w:type="dxa"/>
                  <w:tcBorders>
                    <w:top w:val="single" w:color="000000" w:sz="12"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预测点</w:t>
                  </w:r>
                </w:p>
              </w:tc>
              <w:tc>
                <w:tcPr>
                  <w:tcW w:w="2574" w:type="dxa"/>
                  <w:tcBorders>
                    <w:top w:val="single" w:color="000000" w:sz="12"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爆心距（</w:t>
                  </w:r>
                  <w:r>
                    <w:rPr>
                      <w:rFonts w:eastAsiaTheme="minorEastAsia"/>
                      <w:color w:val="000000" w:themeColor="text1"/>
                      <w:szCs w:val="21"/>
                      <w14:textFill>
                        <w14:solidFill>
                          <w14:schemeClr w14:val="tx1"/>
                        </w14:solidFill>
                      </w14:textFill>
                    </w:rPr>
                    <w:t>m</w:t>
                  </w:r>
                  <w:r>
                    <w:rPr>
                      <w:rFonts w:hAnsiTheme="minorEastAsia" w:eastAsiaTheme="minorEastAsia"/>
                      <w:color w:val="000000" w:themeColor="text1"/>
                      <w:szCs w:val="21"/>
                      <w14:textFill>
                        <w14:solidFill>
                          <w14:schemeClr w14:val="tx1"/>
                        </w14:solidFill>
                      </w14:textFill>
                    </w:rPr>
                    <w:t>）</w:t>
                  </w:r>
                </w:p>
              </w:tc>
              <w:tc>
                <w:tcPr>
                  <w:tcW w:w="2582" w:type="dxa"/>
                  <w:tcBorders>
                    <w:top w:val="single" w:color="000000" w:sz="12" w:space="0"/>
                    <w:left w:val="single" w:color="000000" w:sz="6" w:space="0"/>
                    <w:bottom w:val="single" w:color="000000" w:sz="6" w:space="0"/>
                    <w:right w:val="single" w:color="000000" w:sz="12" w:space="0"/>
                  </w:tcBorders>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振动速度（</w:t>
                  </w:r>
                  <w:r>
                    <w:rPr>
                      <w:rFonts w:eastAsiaTheme="minorEastAsia"/>
                      <w:color w:val="000000" w:themeColor="text1"/>
                      <w:szCs w:val="21"/>
                      <w14:textFill>
                        <w14:solidFill>
                          <w14:schemeClr w14:val="tx1"/>
                        </w14:solidFill>
                      </w14:textFill>
                    </w:rPr>
                    <w:t>cm/s</w:t>
                  </w:r>
                  <w:r>
                    <w:rPr>
                      <w:rFonts w:hAnsiTheme="minorEastAsia" w:eastAsiaTheme="minorEastAsia"/>
                      <w:color w:val="000000" w:themeColor="text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1.61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0.81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562" w:type="dxa"/>
                  <w:tcBorders>
                    <w:top w:val="single" w:color="000000" w:sz="6" w:space="0"/>
                    <w:left w:val="single" w:color="000000" w:sz="12"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9</w:t>
                  </w:r>
                </w:p>
              </w:tc>
              <w:tc>
                <w:tcPr>
                  <w:tcW w:w="257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900</w:t>
                  </w:r>
                </w:p>
              </w:tc>
              <w:tc>
                <w:tcPr>
                  <w:tcW w:w="2582" w:type="dxa"/>
                  <w:tcBorders>
                    <w:top w:val="single" w:color="000000" w:sz="6" w:space="0"/>
                    <w:left w:val="single" w:color="000000" w:sz="6" w:space="0"/>
                    <w:bottom w:val="single" w:color="000000" w:sz="6"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2562" w:type="dxa"/>
                  <w:tcBorders>
                    <w:top w:val="single" w:color="000000" w:sz="6" w:space="0"/>
                    <w:left w:val="single" w:color="000000" w:sz="12" w:space="0"/>
                    <w:bottom w:val="single" w:color="000000" w:sz="12"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w:t>
                  </w:r>
                </w:p>
              </w:tc>
              <w:tc>
                <w:tcPr>
                  <w:tcW w:w="2574" w:type="dxa"/>
                  <w:tcBorders>
                    <w:top w:val="single" w:color="000000" w:sz="6" w:space="0"/>
                    <w:left w:val="single" w:color="000000" w:sz="6" w:space="0"/>
                    <w:bottom w:val="single" w:color="000000" w:sz="12" w:space="0"/>
                    <w:right w:val="single" w:color="000000"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1000</w:t>
                  </w:r>
                </w:p>
              </w:tc>
              <w:tc>
                <w:tcPr>
                  <w:tcW w:w="2582" w:type="dxa"/>
                  <w:tcBorders>
                    <w:top w:val="single" w:color="000000" w:sz="6" w:space="0"/>
                    <w:left w:val="single" w:color="000000" w:sz="6" w:space="0"/>
                    <w:bottom w:val="single" w:color="000000" w:sz="12" w:space="0"/>
                    <w:right w:val="single" w:color="000000" w:sz="12" w:space="0"/>
                  </w:tcBorders>
                  <w:vAlign w:val="center"/>
                </w:tcPr>
                <w:p>
                  <w:pPr>
                    <w:jc w:val="center"/>
                    <w:rPr>
                      <w:rFonts w:ascii="宋体" w:hAnsi="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0.05</w:t>
                  </w:r>
                </w:p>
              </w:tc>
            </w:tr>
          </w:tbl>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现状调查可知，矿山安全爆破距离</w:t>
            </w:r>
            <w:r>
              <w:rPr>
                <w:rFonts w:hint="eastAsia" w:eastAsiaTheme="minorEastAsia"/>
                <w:color w:val="000000" w:themeColor="text1"/>
                <w:sz w:val="24"/>
                <w14:textFill>
                  <w14:solidFill>
                    <w14:schemeClr w14:val="tx1"/>
                  </w14:solidFill>
                </w14:textFill>
              </w:rPr>
              <w:t>18</w:t>
            </w:r>
            <w:r>
              <w:rPr>
                <w:rFonts w:eastAsiaTheme="minorEastAsia"/>
                <w:color w:val="000000" w:themeColor="text1"/>
                <w:sz w:val="24"/>
                <w14:textFill>
                  <w14:solidFill>
                    <w14:schemeClr w14:val="tx1"/>
                  </w14:solidFill>
                </w14:textFill>
              </w:rPr>
              <w:t>0m</w:t>
            </w:r>
            <w:r>
              <w:rPr>
                <w:rFonts w:hAnsiTheme="minorEastAsia" w:eastAsiaTheme="minorEastAsia"/>
                <w:color w:val="000000" w:themeColor="text1"/>
                <w:sz w:val="24"/>
                <w14:textFill>
                  <w14:solidFill>
                    <w14:schemeClr w14:val="tx1"/>
                  </w14:solidFill>
                </w14:textFill>
              </w:rPr>
              <w:t>范围内无居民。矿山周围居民点建筑均在矿山最大安全防护距离之外，爆破振动对矿山周围居民点建筑影响较小。</w:t>
            </w:r>
          </w:p>
          <w:p>
            <w:pPr>
              <w:pStyle w:val="9"/>
              <w:adjustRightInd w:val="0"/>
              <w:snapToGrid w:val="0"/>
              <w:spacing w:after="0" w:line="360" w:lineRule="auto"/>
              <w:ind w:left="0" w:leftChars="0" w:firstLine="482"/>
              <w:rPr>
                <w:rFonts w:eastAsiaTheme="minorEastAsia"/>
                <w:color w:val="000000" w:themeColor="text1"/>
                <w:sz w:val="21"/>
                <w14:textFill>
                  <w14:solidFill>
                    <w14:schemeClr w14:val="tx1"/>
                  </w14:solidFill>
                </w14:textFill>
              </w:rPr>
            </w:pPr>
            <w:r>
              <w:rPr>
                <w:rFonts w:hAnsiTheme="minorEastAsia" w:eastAsiaTheme="minorEastAsia"/>
                <w:color w:val="000000" w:themeColor="text1"/>
                <w14:textFill>
                  <w14:solidFill>
                    <w14:schemeClr w14:val="tx1"/>
                  </w14:solidFill>
                </w14:textFill>
              </w:rPr>
              <w:t>爆破噪声将会对矿区及周围一定范围内野生动物的活动和栖息产生一定影响，使其群落组成和数量发生一定变化。但这种影响只是引起野生动物暂时的、局部的迁移，待工程结束这种影响亦结束，因而不会使评价区野生动物物种数发生变化，其种群数量也不会发生明显变化。</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C</w:t>
            </w:r>
            <w:r>
              <w:rPr>
                <w:rFonts w:hint="eastAsia" w:eastAsiaTheme="minorEastAsia"/>
                <w:color w:val="000000" w:themeColor="text1"/>
                <w:sz w:val="24"/>
                <w:szCs w:val="24"/>
                <w:lang w:eastAsia="zh-CN"/>
                <w14:textFill>
                  <w14:solidFill>
                    <w14:schemeClr w14:val="tx1"/>
                  </w14:solidFill>
                </w14:textFill>
              </w:rPr>
              <w:t>、</w:t>
            </w:r>
            <w:r>
              <w:rPr>
                <w:rFonts w:hAnsiTheme="minorEastAsia" w:eastAsiaTheme="minorEastAsia"/>
                <w:color w:val="000000" w:themeColor="text1"/>
                <w:sz w:val="24"/>
                <w:szCs w:val="24"/>
                <w14:textFill>
                  <w14:solidFill>
                    <w14:schemeClr w14:val="tx1"/>
                  </w14:solidFill>
                </w14:textFill>
              </w:rPr>
              <w:t>爆破振动影响防治措施可行性分析</w:t>
            </w:r>
          </w:p>
          <w:p>
            <w:pPr>
              <w:pStyle w:val="6"/>
              <w:adjustRightInd w:val="0"/>
              <w:snapToGrid w:val="0"/>
              <w:spacing w:line="360" w:lineRule="auto"/>
              <w:ind w:firstLine="48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①冲击波的强度是由装药量决定的，因此在爆破时根据敏感点分布情况确定合适的装药量；</w:t>
            </w:r>
          </w:p>
          <w:p>
            <w:pPr>
              <w:pStyle w:val="6"/>
              <w:adjustRightInd w:val="0"/>
              <w:snapToGrid w:val="0"/>
              <w:spacing w:line="360" w:lineRule="auto"/>
              <w:ind w:firstLine="48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②爆破前应通知附近的居民，并选择影响最小的时段（如中午）进行爆破，爆破时间确定后不要任意变更；</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③对进出道路要实行短时间交通管制，防止发生意外交通事故；</w:t>
            </w:r>
          </w:p>
          <w:p>
            <w:pPr>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4</w:t>
            </w:r>
            <w:r>
              <w:rPr>
                <w:rFonts w:hAnsiTheme="minorEastAsia" w:eastAsiaTheme="minorEastAsia"/>
                <w:b/>
                <w:color w:val="000000" w:themeColor="text1"/>
                <w:sz w:val="24"/>
                <w14:textFill>
                  <w14:solidFill>
                    <w14:schemeClr w14:val="tx1"/>
                  </w14:solidFill>
                </w14:textFill>
              </w:rPr>
              <w:t>、固体废物环境影响评价</w:t>
            </w:r>
            <w:r>
              <w:rPr>
                <w:rFonts w:hint="eastAsia" w:hAnsiTheme="minorEastAsia" w:eastAsiaTheme="minorEastAsia"/>
                <w:b/>
                <w:color w:val="000000" w:themeColor="text1"/>
                <w:sz w:val="24"/>
                <w:lang w:val="en-US" w:eastAsia="zh-CN"/>
                <w14:textFill>
                  <w14:solidFill>
                    <w14:schemeClr w14:val="tx1"/>
                  </w14:solidFill>
                </w14:textFill>
              </w:rPr>
              <w:t>及措施</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本项目工作人员不增加，故生活垃圾产生量不增加，生活垃圾产生量为</w:t>
            </w:r>
            <w:r>
              <w:rPr>
                <w:rFonts w:hint="eastAsia" w:eastAsiaTheme="minorEastAsia"/>
                <w:color w:val="000000" w:themeColor="text1"/>
                <w:sz w:val="24"/>
                <w:lang w:val="en-US" w:eastAsia="zh-CN"/>
                <w14:textFill>
                  <w14:solidFill>
                    <w14:schemeClr w14:val="tx1"/>
                  </w14:solidFill>
                </w14:textFill>
              </w:rPr>
              <w:t>4.5</w:t>
            </w:r>
            <w:r>
              <w:rPr>
                <w:rFonts w:eastAsiaTheme="minorEastAsia"/>
                <w:color w:val="000000" w:themeColor="text1"/>
                <w:sz w:val="24"/>
                <w14:textFill>
                  <w14:solidFill>
                    <w14:schemeClr w14:val="tx1"/>
                  </w14:solidFill>
                </w14:textFill>
              </w:rPr>
              <w:t>t/a</w:t>
            </w:r>
            <w:r>
              <w:rPr>
                <w:rFonts w:hAnsiTheme="minorEastAsia" w:eastAsiaTheme="minorEastAsia"/>
                <w:color w:val="000000" w:themeColor="text1"/>
                <w:sz w:val="24"/>
                <w14:textFill>
                  <w14:solidFill>
                    <w14:schemeClr w14:val="tx1"/>
                  </w14:solidFill>
                </w14:textFill>
              </w:rPr>
              <w:t>，生活垃圾由</w:t>
            </w:r>
            <w:r>
              <w:rPr>
                <w:rFonts w:hAnsiTheme="minorEastAsia" w:eastAsiaTheme="minorEastAsia"/>
                <w:color w:val="000000" w:themeColor="text1"/>
                <w:sz w:val="24"/>
                <w:szCs w:val="24"/>
                <w14:textFill>
                  <w14:solidFill>
                    <w14:schemeClr w14:val="tx1"/>
                  </w14:solidFill>
                </w14:textFill>
              </w:rPr>
              <w:t>垃圾收集桶集中收集，定期清运至市垃圾收集点</w:t>
            </w:r>
            <w:r>
              <w:rPr>
                <w:rFonts w:hAnsiTheme="minorEastAsia" w:eastAsiaTheme="minorEastAsia"/>
                <w:color w:val="000000" w:themeColor="text1"/>
                <w:sz w:val="24"/>
                <w14:textFill>
                  <w14:solidFill>
                    <w14:schemeClr w14:val="tx1"/>
                  </w14:solidFill>
                </w14:textFill>
              </w:rPr>
              <w:t>。本项目运营期固废主要包括爆破剥离过程中产生的废弃土石、废机油</w:t>
            </w:r>
            <w:r>
              <w:rPr>
                <w:rFonts w:hint="eastAsia" w:hAnsiTheme="minorEastAsia" w:eastAsiaTheme="minorEastAsia"/>
                <w:color w:val="000000" w:themeColor="text1"/>
                <w:sz w:val="24"/>
                <w:lang w:val="en-US" w:eastAsia="zh-CN"/>
                <w14:textFill>
                  <w14:solidFill>
                    <w14:schemeClr w14:val="tx1"/>
                  </w14:solidFill>
                </w14:textFill>
              </w:rPr>
              <w:t>以及沉淀池的底泥、压滤机泥饼</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根据企业提供资料，本项目矿渣属于第Ⅰ类一般工业固体废弃物，排土场可按Ⅰ类贮存场设计。</w:t>
            </w:r>
          </w:p>
          <w:p>
            <w:pPr>
              <w:adjustRightInd w:val="0"/>
              <w:snapToGrid w:val="0"/>
              <w:spacing w:line="360" w:lineRule="auto"/>
              <w:ind w:firstLine="480" w:firstLineChars="200"/>
              <w:rPr>
                <w:rFonts w:eastAsiaTheme="minorEastAsia"/>
                <w:color w:val="000000" w:themeColor="text1"/>
                <w:kern w:val="0"/>
                <w:sz w:val="24"/>
                <w14:textFill>
                  <w14:solidFill>
                    <w14:schemeClr w14:val="tx1"/>
                  </w14:solidFill>
                </w14:textFill>
              </w:rPr>
            </w:pPr>
            <w:r>
              <w:rPr>
                <w:rFonts w:hAnsiTheme="minorEastAsia" w:eastAsiaTheme="minorEastAsia"/>
                <w:color w:val="000000" w:themeColor="text1"/>
                <w:kern w:val="0"/>
                <w:sz w:val="24"/>
                <w14:textFill>
                  <w14:solidFill>
                    <w14:schemeClr w14:val="tx1"/>
                  </w14:solidFill>
                </w14:textFill>
              </w:rPr>
              <w:t>根据矿山设计，</w:t>
            </w:r>
            <w:r>
              <w:rPr>
                <w:rFonts w:hAnsiTheme="minorEastAsia" w:eastAsiaTheme="minorEastAsia"/>
                <w:bCs/>
                <w:color w:val="000000" w:themeColor="text1"/>
                <w:kern w:val="0"/>
                <w:sz w:val="24"/>
                <w14:textFill>
                  <w14:solidFill>
                    <w14:schemeClr w14:val="tx1"/>
                  </w14:solidFill>
                </w14:textFill>
              </w:rPr>
              <w:t>该项目废土石排放总量</w:t>
            </w:r>
            <w:r>
              <w:rPr>
                <w:rFonts w:hAnsiTheme="minorEastAsia" w:eastAsiaTheme="minorEastAsia"/>
                <w:bCs/>
                <w:color w:val="FF0000"/>
                <w:kern w:val="0"/>
                <w:sz w:val="24"/>
              </w:rPr>
              <w:t>为</w:t>
            </w:r>
            <w:r>
              <w:rPr>
                <w:rFonts w:hint="eastAsia" w:eastAsiaTheme="minorEastAsia"/>
                <w:bCs/>
                <w:color w:val="FF0000"/>
                <w:kern w:val="0"/>
                <w:sz w:val="24"/>
                <w:lang w:val="en-US" w:eastAsia="zh-CN"/>
              </w:rPr>
              <w:t>1465</w:t>
            </w:r>
            <w:r>
              <w:rPr>
                <w:rFonts w:hint="eastAsia" w:eastAsiaTheme="minorEastAsia"/>
                <w:bCs/>
                <w:color w:val="FF0000"/>
                <w:kern w:val="0"/>
                <w:sz w:val="24"/>
              </w:rPr>
              <w:t>0</w:t>
            </w:r>
            <w:r>
              <w:rPr>
                <w:rFonts w:eastAsiaTheme="minorEastAsia"/>
                <w:bCs/>
                <w:color w:val="FF0000"/>
                <w:kern w:val="0"/>
                <w:sz w:val="24"/>
              </w:rPr>
              <w:t>t</w:t>
            </w:r>
            <w:r>
              <w:rPr>
                <w:rFonts w:eastAsiaTheme="minorEastAsia"/>
                <w:color w:val="FF0000"/>
                <w:kern w:val="0"/>
                <w:sz w:val="24"/>
              </w:rPr>
              <w:t>/a</w:t>
            </w:r>
            <w:r>
              <w:rPr>
                <w:rFonts w:hAnsiTheme="minorEastAsia" w:eastAsiaTheme="minorEastAsia"/>
                <w:color w:val="FF0000"/>
                <w:kern w:val="0"/>
                <w:sz w:val="24"/>
              </w:rPr>
              <w:t>，</w:t>
            </w:r>
            <w:r>
              <w:rPr>
                <w:rFonts w:hint="eastAsia" w:hAnsiTheme="minorEastAsia" w:eastAsiaTheme="minorEastAsia"/>
                <w:color w:val="auto"/>
                <w:kern w:val="0"/>
                <w:sz w:val="24"/>
                <w:lang w:val="en-US" w:eastAsia="zh-CN"/>
              </w:rPr>
              <w:t>废机</w:t>
            </w:r>
            <w:r>
              <w:rPr>
                <w:rFonts w:hint="eastAsia" w:hAnsiTheme="minorEastAsia" w:eastAsiaTheme="minorEastAsia"/>
                <w:color w:val="000000" w:themeColor="text1"/>
                <w:kern w:val="0"/>
                <w:sz w:val="24"/>
                <w:lang w:val="en-US" w:eastAsia="zh-CN"/>
                <w14:textFill>
                  <w14:solidFill>
                    <w14:schemeClr w14:val="tx1"/>
                  </w14:solidFill>
                </w14:textFill>
              </w:rPr>
              <w:t>油产生量为0.01t/a，沉淀池底泥产生量为4500t/a</w:t>
            </w:r>
            <w:r>
              <w:rPr>
                <w:rFonts w:hAnsiTheme="minorEastAsia" w:eastAsiaTheme="minorEastAsia"/>
                <w:color w:val="000000" w:themeColor="text1"/>
                <w:kern w:val="0"/>
                <w:sz w:val="24"/>
                <w14:textFill>
                  <w14:solidFill>
                    <w14:schemeClr w14:val="tx1"/>
                  </w14:solidFill>
                </w14:textFill>
              </w:rPr>
              <w:t>。</w:t>
            </w:r>
          </w:p>
          <w:p>
            <w:pPr>
              <w:adjustRightInd w:val="0"/>
              <w:snapToGrid w:val="0"/>
              <w:spacing w:line="360" w:lineRule="auto"/>
              <w:ind w:firstLine="480" w:firstLineChars="200"/>
              <w:rPr>
                <w:rFonts w:hAnsiTheme="minorEastAsia" w:eastAsiaTheme="minorEastAsia"/>
                <w:color w:val="000000" w:themeColor="text1"/>
                <w:sz w:val="24"/>
                <w14:textFill>
                  <w14:solidFill>
                    <w14:schemeClr w14:val="tx1"/>
                  </w14:solidFill>
                </w14:textFill>
              </w:rPr>
            </w:pPr>
            <w:r>
              <w:rPr>
                <w:rFonts w:hAnsiTheme="minorEastAsia" w:eastAsiaTheme="minorEastAsia"/>
                <w:color w:val="000000" w:themeColor="text1"/>
                <w:kern w:val="0"/>
                <w:sz w:val="24"/>
                <w14:textFill>
                  <w14:solidFill>
                    <w14:schemeClr w14:val="tx1"/>
                  </w14:solidFill>
                </w14:textFill>
              </w:rPr>
              <w:t>各固废</w:t>
            </w:r>
            <w:r>
              <w:rPr>
                <w:rFonts w:hAnsiTheme="minorEastAsia" w:eastAsiaTheme="minorEastAsia"/>
                <w:color w:val="000000" w:themeColor="text1"/>
                <w:sz w:val="24"/>
                <w14:textFill>
                  <w14:solidFill>
                    <w14:schemeClr w14:val="tx1"/>
                  </w14:solidFill>
                </w14:textFill>
              </w:rPr>
              <w:t>处置的具体方法如下：</w:t>
            </w:r>
          </w:p>
          <w:p>
            <w:pPr>
              <w:adjustRightInd w:val="0"/>
              <w:snapToGrid w:val="0"/>
              <w:jc w:val="center"/>
              <w:rPr>
                <w:rFonts w:eastAsiaTheme="minorEastAsia"/>
                <w:b/>
                <w:color w:val="auto"/>
                <w:szCs w:val="21"/>
              </w:rPr>
            </w:pPr>
            <w:r>
              <w:rPr>
                <w:rFonts w:hAnsiTheme="minorEastAsia" w:eastAsiaTheme="minorEastAsia"/>
                <w:b/>
                <w:color w:val="auto"/>
                <w:szCs w:val="21"/>
              </w:rPr>
              <w:t>表</w:t>
            </w:r>
            <w:r>
              <w:rPr>
                <w:rFonts w:hint="eastAsia" w:eastAsiaTheme="minorEastAsia"/>
                <w:b/>
                <w:color w:val="auto"/>
                <w:szCs w:val="21"/>
                <w:lang w:val="en-US" w:eastAsia="zh-CN"/>
              </w:rPr>
              <w:t>37</w:t>
            </w:r>
            <w:r>
              <w:rPr>
                <w:rFonts w:hint="eastAsia" w:eastAsiaTheme="minorEastAsia"/>
                <w:b/>
                <w:color w:val="auto"/>
                <w:szCs w:val="21"/>
              </w:rPr>
              <w:t xml:space="preserve">  </w:t>
            </w:r>
            <w:r>
              <w:rPr>
                <w:rFonts w:hAnsiTheme="minorEastAsia" w:eastAsiaTheme="minorEastAsia"/>
                <w:b/>
                <w:color w:val="auto"/>
                <w:szCs w:val="21"/>
              </w:rPr>
              <w:t>本项目固废处置方法</w:t>
            </w:r>
          </w:p>
          <w:tbl>
            <w:tblPr>
              <w:tblStyle w:val="19"/>
              <w:tblW w:w="7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1316"/>
              <w:gridCol w:w="689"/>
              <w:gridCol w:w="1020"/>
              <w:gridCol w:w="936"/>
              <w:gridCol w:w="1018"/>
              <w:gridCol w:w="15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304" w:type="dxa"/>
                  <w:tcBorders>
                    <w:top w:val="single" w:color="auto" w:sz="12" w:space="0"/>
                    <w:left w:val="single" w:color="auto" w:sz="12"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来源</w:t>
                  </w:r>
                </w:p>
              </w:tc>
              <w:tc>
                <w:tcPr>
                  <w:tcW w:w="1316"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污染物名称</w:t>
                  </w:r>
                </w:p>
              </w:tc>
              <w:tc>
                <w:tcPr>
                  <w:tcW w:w="689"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性质</w:t>
                  </w:r>
                </w:p>
              </w:tc>
              <w:tc>
                <w:tcPr>
                  <w:tcW w:w="1020"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废物类别</w:t>
                  </w:r>
                </w:p>
              </w:tc>
              <w:tc>
                <w:tcPr>
                  <w:tcW w:w="936"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废物代码</w:t>
                  </w:r>
                </w:p>
              </w:tc>
              <w:tc>
                <w:tcPr>
                  <w:tcW w:w="1018"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产生量</w:t>
                  </w:r>
                </w:p>
              </w:tc>
              <w:tc>
                <w:tcPr>
                  <w:tcW w:w="1593" w:type="dxa"/>
                  <w:tcBorders>
                    <w:top w:val="single" w:color="auto" w:sz="12" w:space="0"/>
                    <w:left w:val="single" w:color="auto" w:sz="6" w:space="0"/>
                    <w:bottom w:val="single" w:color="auto" w:sz="6" w:space="0"/>
                    <w:right w:val="single" w:color="auto" w:sz="12"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处理去向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304" w:type="dxa"/>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矿山爆破、剥离</w:t>
                  </w:r>
                </w:p>
              </w:tc>
              <w:tc>
                <w:tcPr>
                  <w:tcW w:w="1316"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废弃土石</w:t>
                  </w:r>
                </w:p>
              </w:tc>
              <w:tc>
                <w:tcPr>
                  <w:tcW w:w="68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一般固废</w:t>
                  </w:r>
                </w:p>
              </w:tc>
              <w:tc>
                <w:tcPr>
                  <w:tcW w:w="102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w:t>
                  </w:r>
                </w:p>
              </w:tc>
              <w:tc>
                <w:tcPr>
                  <w:tcW w:w="936"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auto"/>
                      <w:kern w:val="0"/>
                      <w:szCs w:val="21"/>
                    </w:rPr>
                  </w:pPr>
                  <w:r>
                    <w:rPr>
                      <w:rFonts w:eastAsiaTheme="minorEastAsia"/>
                      <w:color w:val="auto"/>
                      <w:kern w:val="0"/>
                      <w:szCs w:val="21"/>
                    </w:rPr>
                    <w:t>/</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auto"/>
                      <w:kern w:val="0"/>
                      <w:szCs w:val="21"/>
                      <w:highlight w:val="yellow"/>
                    </w:rPr>
                  </w:pPr>
                  <w:r>
                    <w:rPr>
                      <w:rFonts w:hint="eastAsia" w:eastAsiaTheme="minorEastAsia"/>
                      <w:color w:val="auto"/>
                      <w:kern w:val="0"/>
                      <w:szCs w:val="21"/>
                      <w:lang w:val="en-US" w:eastAsia="zh-CN"/>
                    </w:rPr>
                    <w:t>14650</w:t>
                  </w:r>
                  <w:r>
                    <w:rPr>
                      <w:rFonts w:eastAsiaTheme="minorEastAsia"/>
                      <w:color w:val="auto"/>
                      <w:kern w:val="0"/>
                      <w:szCs w:val="21"/>
                    </w:rPr>
                    <w:t>t/a</w:t>
                  </w:r>
                </w:p>
              </w:tc>
              <w:tc>
                <w:tcPr>
                  <w:tcW w:w="1593" w:type="dxa"/>
                  <w:vMerge w:val="restart"/>
                  <w:tcBorders>
                    <w:top w:val="single" w:color="auto" w:sz="6" w:space="0"/>
                    <w:left w:val="single" w:color="auto" w:sz="6" w:space="0"/>
                    <w:right w:val="single" w:color="auto" w:sz="12"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排土场堆放，后期用于矿区生态恢复使用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304" w:type="dxa"/>
                  <w:tcBorders>
                    <w:top w:val="single" w:color="auto" w:sz="6" w:space="0"/>
                    <w:left w:val="single" w:color="auto" w:sz="12" w:space="0"/>
                    <w:bottom w:val="single" w:color="auto" w:sz="6" w:space="0"/>
                    <w:right w:val="single" w:color="auto" w:sz="6" w:space="0"/>
                  </w:tcBorders>
                  <w:vAlign w:val="center"/>
                </w:tcPr>
                <w:p>
                  <w:pPr>
                    <w:jc w:val="center"/>
                    <w:rPr>
                      <w:rFonts w:hint="default"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洗砂</w:t>
                  </w:r>
                </w:p>
              </w:tc>
              <w:tc>
                <w:tcPr>
                  <w:tcW w:w="1316"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沉淀池底泥</w:t>
                  </w:r>
                </w:p>
              </w:tc>
              <w:tc>
                <w:tcPr>
                  <w:tcW w:w="68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一般固废</w:t>
                  </w:r>
                </w:p>
              </w:tc>
              <w:tc>
                <w:tcPr>
                  <w:tcW w:w="10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93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highlight w:val="yellow"/>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4500</w:t>
                  </w:r>
                  <w:r>
                    <w:rPr>
                      <w:rFonts w:eastAsiaTheme="minorEastAsia"/>
                      <w:color w:val="000000" w:themeColor="text1"/>
                      <w:kern w:val="0"/>
                      <w:szCs w:val="21"/>
                      <w14:textFill>
                        <w14:solidFill>
                          <w14:schemeClr w14:val="tx1"/>
                        </w14:solidFill>
                      </w14:textFill>
                    </w:rPr>
                    <w:t>t/a</w:t>
                  </w:r>
                </w:p>
              </w:tc>
              <w:tc>
                <w:tcPr>
                  <w:tcW w:w="1593" w:type="dxa"/>
                  <w:vMerge w:val="continue"/>
                  <w:tcBorders>
                    <w:left w:val="single" w:color="auto" w:sz="6" w:space="0"/>
                    <w:right w:val="single" w:color="auto" w:sz="12" w:space="0"/>
                  </w:tcBorders>
                  <w:vAlign w:val="center"/>
                </w:tcPr>
                <w:p>
                  <w:pPr>
                    <w:widowControl/>
                    <w:jc w:val="left"/>
                    <w:rPr>
                      <w:rFonts w:eastAsiaTheme="minorEastAsia"/>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304" w:type="dxa"/>
                  <w:tcBorders>
                    <w:top w:val="single" w:color="auto" w:sz="6" w:space="0"/>
                    <w:left w:val="single" w:color="auto" w:sz="12" w:space="0"/>
                    <w:bottom w:val="single" w:color="auto" w:sz="6" w:space="0"/>
                    <w:right w:val="single" w:color="auto" w:sz="6" w:space="0"/>
                  </w:tcBorders>
                  <w:vAlign w:val="center"/>
                </w:tcPr>
                <w:p>
                  <w:pPr>
                    <w:jc w:val="center"/>
                    <w:rPr>
                      <w:rFonts w:hint="default"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压滤机</w:t>
                  </w:r>
                </w:p>
              </w:tc>
              <w:tc>
                <w:tcPr>
                  <w:tcW w:w="1316" w:type="dxa"/>
                  <w:tcBorders>
                    <w:top w:val="single" w:color="auto" w:sz="6" w:space="0"/>
                    <w:left w:val="single" w:color="auto" w:sz="6" w:space="0"/>
                    <w:bottom w:val="single" w:color="auto" w:sz="6" w:space="0"/>
                    <w:right w:val="single" w:color="auto" w:sz="6" w:space="0"/>
                  </w:tcBorders>
                  <w:vAlign w:val="center"/>
                </w:tcPr>
                <w:p>
                  <w:pPr>
                    <w:jc w:val="center"/>
                    <w:rPr>
                      <w:rFonts w:hint="default"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压滤机泥饼</w:t>
                  </w:r>
                </w:p>
              </w:tc>
              <w:tc>
                <w:tcPr>
                  <w:tcW w:w="689" w:type="dxa"/>
                  <w:tcBorders>
                    <w:top w:val="single" w:color="auto" w:sz="6" w:space="0"/>
                    <w:left w:val="single" w:color="auto" w:sz="6" w:space="0"/>
                    <w:bottom w:val="single" w:color="auto" w:sz="6" w:space="0"/>
                    <w:right w:val="single" w:color="auto" w:sz="6" w:space="0"/>
                  </w:tcBorders>
                  <w:vAlign w:val="center"/>
                </w:tcPr>
                <w:p>
                  <w:pPr>
                    <w:jc w:val="center"/>
                    <w:rPr>
                      <w:rFonts w:hAnsiTheme="minorEastAsia"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一般固废</w:t>
                  </w:r>
                </w:p>
              </w:tc>
              <w:tc>
                <w:tcPr>
                  <w:tcW w:w="10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93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w:t>
                  </w:r>
                </w:p>
              </w:tc>
              <w:tc>
                <w:tcPr>
                  <w:tcW w:w="1593" w:type="dxa"/>
                  <w:vMerge w:val="continue"/>
                  <w:tcBorders>
                    <w:left w:val="single" w:color="auto" w:sz="6" w:space="0"/>
                    <w:bottom w:val="single" w:color="auto" w:sz="6" w:space="0"/>
                    <w:right w:val="single" w:color="auto" w:sz="12" w:space="0"/>
                  </w:tcBorders>
                  <w:vAlign w:val="center"/>
                </w:tcPr>
                <w:p>
                  <w:pPr>
                    <w:widowControl/>
                    <w:jc w:val="left"/>
                    <w:rPr>
                      <w:rFonts w:eastAsiaTheme="minorEastAsia"/>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304" w:type="dxa"/>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员工生活</w:t>
                  </w:r>
                </w:p>
              </w:tc>
              <w:tc>
                <w:tcPr>
                  <w:tcW w:w="1316"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生活垃圾</w:t>
                  </w:r>
                </w:p>
              </w:tc>
              <w:tc>
                <w:tcPr>
                  <w:tcW w:w="68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一般固废</w:t>
                  </w:r>
                </w:p>
              </w:tc>
              <w:tc>
                <w:tcPr>
                  <w:tcW w:w="10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93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color w:val="000000" w:themeColor="text1"/>
                      <w:kern w:val="0"/>
                      <w:szCs w:val="21"/>
                      <w14:textFill>
                        <w14:solidFill>
                          <w14:schemeClr w14:val="tx1"/>
                        </w14:solidFill>
                      </w14:textFill>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kern w:val="0"/>
                      <w:szCs w:val="21"/>
                      <w:highlight w:val="yellow"/>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4.5</w:t>
                  </w:r>
                  <w:r>
                    <w:rPr>
                      <w:rFonts w:eastAsiaTheme="minorEastAsia"/>
                      <w:color w:val="000000" w:themeColor="text1"/>
                      <w:kern w:val="0"/>
                      <w:szCs w:val="21"/>
                      <w14:textFill>
                        <w14:solidFill>
                          <w14:schemeClr w14:val="tx1"/>
                        </w14:solidFill>
                      </w14:textFill>
                    </w:rPr>
                    <w:t>t/a</w:t>
                  </w:r>
                </w:p>
              </w:tc>
              <w:tc>
                <w:tcPr>
                  <w:tcW w:w="1593" w:type="dxa"/>
                  <w:tcBorders>
                    <w:top w:val="single" w:color="auto" w:sz="6" w:space="0"/>
                    <w:left w:val="single" w:color="auto" w:sz="6" w:space="0"/>
                    <w:bottom w:val="single" w:color="auto" w:sz="6" w:space="0"/>
                    <w:right w:val="single" w:color="auto" w:sz="12"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由垃圾收集桶集中收集，定期清运至市垃圾收集点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1304" w:type="dxa"/>
                  <w:tcBorders>
                    <w:top w:val="single" w:color="auto" w:sz="6" w:space="0"/>
                    <w:left w:val="single" w:color="auto" w:sz="12"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设备维修</w:t>
                  </w:r>
                </w:p>
              </w:tc>
              <w:tc>
                <w:tcPr>
                  <w:tcW w:w="1316" w:type="dxa"/>
                  <w:tcBorders>
                    <w:top w:val="single" w:color="auto" w:sz="6" w:space="0"/>
                    <w:left w:val="single" w:color="auto" w:sz="6" w:space="0"/>
                    <w:bottom w:val="single" w:color="auto" w:sz="12" w:space="0"/>
                    <w:right w:val="single" w:color="auto" w:sz="6" w:space="0"/>
                  </w:tcBorders>
                  <w:vAlign w:val="center"/>
                </w:tcPr>
                <w:p>
                  <w:pPr>
                    <w:jc w:val="center"/>
                    <w:rPr>
                      <w:rFonts w:hint="eastAsia" w:eastAsiaTheme="minorEastAsia"/>
                      <w:color w:val="000000" w:themeColor="text1"/>
                      <w:kern w:val="0"/>
                      <w:szCs w:val="21"/>
                      <w:lang w:eastAsia="zh-CN"/>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废</w:t>
                  </w:r>
                  <w:r>
                    <w:rPr>
                      <w:rFonts w:hint="eastAsia" w:hAnsiTheme="minorEastAsia" w:eastAsiaTheme="minorEastAsia"/>
                      <w:color w:val="000000" w:themeColor="text1"/>
                      <w:kern w:val="0"/>
                      <w:szCs w:val="21"/>
                      <w:lang w:val="en-US" w:eastAsia="zh-CN"/>
                      <w14:textFill>
                        <w14:solidFill>
                          <w14:schemeClr w14:val="tx1"/>
                        </w14:solidFill>
                      </w14:textFill>
                    </w:rPr>
                    <w:t>机油</w:t>
                  </w:r>
                </w:p>
              </w:tc>
              <w:tc>
                <w:tcPr>
                  <w:tcW w:w="689"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危险废物</w:t>
                  </w:r>
                </w:p>
              </w:tc>
              <w:tc>
                <w:tcPr>
                  <w:tcW w:w="1020"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HW49</w:t>
                  </w:r>
                </w:p>
              </w:tc>
              <w:tc>
                <w:tcPr>
                  <w:tcW w:w="936"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900-041-49</w:t>
                  </w:r>
                </w:p>
              </w:tc>
              <w:tc>
                <w:tcPr>
                  <w:tcW w:w="1018" w:type="dxa"/>
                  <w:tcBorders>
                    <w:top w:val="single" w:color="auto" w:sz="6" w:space="0"/>
                    <w:left w:val="single" w:color="auto" w:sz="6" w:space="0"/>
                    <w:bottom w:val="single" w:color="auto" w:sz="12" w:space="0"/>
                    <w:right w:val="single" w:color="auto" w:sz="6" w:space="0"/>
                  </w:tcBorders>
                  <w:vAlign w:val="center"/>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0.01t/a</w:t>
                  </w:r>
                </w:p>
              </w:tc>
              <w:tc>
                <w:tcPr>
                  <w:tcW w:w="1593" w:type="dxa"/>
                  <w:tcBorders>
                    <w:top w:val="single" w:color="auto" w:sz="6" w:space="0"/>
                    <w:left w:val="single" w:color="auto" w:sz="6" w:space="0"/>
                    <w:bottom w:val="single" w:color="auto" w:sz="12" w:space="0"/>
                    <w:right w:val="single" w:color="auto" w:sz="12" w:space="0"/>
                  </w:tcBorders>
                  <w:vAlign w:val="center"/>
                </w:tcPr>
                <w:p>
                  <w:pPr>
                    <w:jc w:val="center"/>
                    <w:rPr>
                      <w:rFonts w:hint="default"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暂存于危废暂存间，定期交有资质单位处置。</w:t>
                  </w:r>
                </w:p>
              </w:tc>
            </w:tr>
          </w:tbl>
          <w:p>
            <w:pPr>
              <w:pStyle w:val="8"/>
              <w:spacing w:before="2" w:line="364" w:lineRule="auto"/>
              <w:ind w:right="300" w:firstLine="476" w:firstLineChars="200"/>
              <w:jc w:val="both"/>
              <w:rPr>
                <w:rFonts w:hint="eastAsia" w:ascii="Times New Roman" w:hAnsi="Times New Roman" w:eastAsia="宋体" w:cs="Times New Roman"/>
                <w:color w:val="auto"/>
                <w:spacing w:val="-1"/>
                <w:kern w:val="0"/>
                <w:sz w:val="24"/>
                <w:szCs w:val="22"/>
                <w:lang w:val="en-US" w:eastAsia="zh-CN" w:bidi="zh-CN"/>
              </w:rPr>
            </w:pPr>
            <w:r>
              <w:rPr>
                <w:rFonts w:hint="eastAsia" w:ascii="Times New Roman" w:hAnsi="Times New Roman" w:eastAsia="宋体" w:cs="Times New Roman"/>
                <w:color w:val="auto"/>
                <w:spacing w:val="-1"/>
                <w:kern w:val="0"/>
                <w:sz w:val="24"/>
                <w:szCs w:val="22"/>
                <w:lang w:val="en-US" w:eastAsia="zh-CN" w:bidi="zh-CN"/>
              </w:rPr>
              <w:t>针对以上固体废物的产生情况，本次环评提出以下处理措施：</w:t>
            </w:r>
          </w:p>
          <w:p>
            <w:pPr>
              <w:pStyle w:val="8"/>
              <w:spacing w:before="2" w:line="364" w:lineRule="auto"/>
              <w:ind w:right="300" w:firstLine="476" w:firstLineChars="200"/>
              <w:jc w:val="both"/>
              <w:rPr>
                <w:rFonts w:hint="eastAsia" w:ascii="Times New Roman" w:hAnsi="Times New Roman" w:eastAsia="宋体" w:cs="Times New Roman"/>
                <w:color w:val="auto"/>
                <w:spacing w:val="-1"/>
                <w:kern w:val="0"/>
                <w:sz w:val="24"/>
                <w:szCs w:val="22"/>
                <w:lang w:val="en-US" w:eastAsia="zh-CN" w:bidi="zh-CN"/>
              </w:rPr>
            </w:pPr>
            <w:r>
              <w:rPr>
                <w:rFonts w:hint="eastAsia" w:ascii="Times New Roman" w:hAnsi="Times New Roman" w:eastAsia="宋体" w:cs="Times New Roman"/>
                <w:color w:val="auto"/>
                <w:spacing w:val="-1"/>
                <w:kern w:val="0"/>
                <w:sz w:val="24"/>
                <w:szCs w:val="22"/>
                <w:lang w:val="en-US" w:eastAsia="zh-CN" w:bidi="zh-CN"/>
              </w:rPr>
              <w:t>本项目职工生活垃圾经垃圾桶分类收集后，由环卫部门清运处置；沉淀池底泥</w:t>
            </w:r>
            <w:r>
              <w:rPr>
                <w:rFonts w:hint="eastAsia" w:ascii="Times New Roman" w:hAnsi="Times New Roman" w:cs="Times New Roman"/>
                <w:color w:val="auto"/>
                <w:spacing w:val="-1"/>
                <w:kern w:val="0"/>
                <w:sz w:val="24"/>
                <w:szCs w:val="22"/>
                <w:lang w:val="en-US" w:eastAsia="zh-CN" w:bidi="zh-CN"/>
              </w:rPr>
              <w:t>定期清理</w:t>
            </w:r>
            <w:r>
              <w:rPr>
                <w:rFonts w:hint="eastAsia" w:ascii="Times New Roman" w:hAnsi="Times New Roman" w:eastAsia="宋体" w:cs="Times New Roman"/>
                <w:color w:val="auto"/>
                <w:spacing w:val="-1"/>
                <w:kern w:val="0"/>
                <w:sz w:val="24"/>
                <w:szCs w:val="22"/>
                <w:lang w:val="en-US" w:eastAsia="zh-CN" w:bidi="zh-CN"/>
              </w:rPr>
              <w:t>堆放至</w:t>
            </w:r>
            <w:r>
              <w:rPr>
                <w:rFonts w:hint="eastAsia" w:ascii="Times New Roman" w:hAnsi="Times New Roman" w:cs="Times New Roman"/>
                <w:color w:val="auto"/>
                <w:spacing w:val="-1"/>
                <w:kern w:val="0"/>
                <w:sz w:val="24"/>
                <w:szCs w:val="22"/>
                <w:lang w:val="en-US" w:eastAsia="zh-CN" w:bidi="zh-CN"/>
              </w:rPr>
              <w:t>排土场</w:t>
            </w:r>
            <w:r>
              <w:rPr>
                <w:rFonts w:hint="eastAsia" w:ascii="Times New Roman" w:hAnsi="Times New Roman" w:eastAsia="宋体" w:cs="Times New Roman"/>
                <w:color w:val="auto"/>
                <w:spacing w:val="-1"/>
                <w:kern w:val="0"/>
                <w:sz w:val="24"/>
                <w:szCs w:val="22"/>
                <w:lang w:val="en-US" w:eastAsia="zh-CN" w:bidi="zh-CN"/>
              </w:rPr>
              <w:t>；废机油属于危险废物分类收集，存储于危废暂存间，定期交由有资质单位回收处置。</w:t>
            </w:r>
          </w:p>
          <w:p>
            <w:pPr>
              <w:pStyle w:val="8"/>
              <w:spacing w:before="2" w:line="364" w:lineRule="auto"/>
              <w:ind w:right="300" w:firstLine="476" w:firstLineChars="200"/>
              <w:jc w:val="both"/>
              <w:rPr>
                <w:rFonts w:hint="eastAsia" w:ascii="Times New Roman" w:hAnsi="Times New Roman" w:eastAsia="宋体" w:cs="Times New Roman"/>
                <w:color w:val="auto"/>
                <w:spacing w:val="-1"/>
                <w:kern w:val="0"/>
                <w:sz w:val="24"/>
                <w:szCs w:val="22"/>
                <w:lang w:val="en-US" w:eastAsia="zh-CN" w:bidi="zh-CN"/>
              </w:rPr>
            </w:pPr>
            <w:r>
              <w:rPr>
                <w:rFonts w:hint="eastAsia" w:ascii="Times New Roman" w:hAnsi="Times New Roman" w:eastAsia="宋体" w:cs="Times New Roman"/>
                <w:color w:val="auto"/>
                <w:spacing w:val="-1"/>
                <w:kern w:val="0"/>
                <w:sz w:val="24"/>
                <w:szCs w:val="22"/>
                <w:lang w:val="en-US" w:eastAsia="zh-CN" w:bidi="zh-CN"/>
              </w:rPr>
              <w:t>针对项目产生的危险废物，环评要求建设单位建设一座15m</w:t>
            </w:r>
            <w:r>
              <w:rPr>
                <w:rFonts w:hint="eastAsia" w:ascii="Times New Roman" w:hAnsi="Times New Roman" w:eastAsia="宋体" w:cs="Times New Roman"/>
                <w:color w:val="auto"/>
                <w:spacing w:val="-1"/>
                <w:kern w:val="0"/>
                <w:sz w:val="24"/>
                <w:szCs w:val="22"/>
                <w:vertAlign w:val="superscript"/>
                <w:lang w:val="en-US" w:eastAsia="zh-CN" w:bidi="zh-CN"/>
              </w:rPr>
              <w:t>2</w:t>
            </w:r>
            <w:r>
              <w:rPr>
                <w:rFonts w:hint="eastAsia" w:ascii="Times New Roman" w:hAnsi="Times New Roman" w:eastAsia="宋体" w:cs="Times New Roman"/>
                <w:color w:val="auto"/>
                <w:spacing w:val="-1"/>
                <w:kern w:val="0"/>
                <w:sz w:val="24"/>
                <w:szCs w:val="22"/>
                <w:lang w:val="en-US" w:eastAsia="zh-CN" w:bidi="zh-CN"/>
              </w:rPr>
              <w:t>的危险废物暂存间并严格按照《危险废物贮存污染控制标准》（GB18597-2001）和《危险废物转移联单管理办法》（国家环保总局5号令）相关要求对其进行贮存及转移。评价要求危险废物暂存间必须满足以下要求：</w:t>
            </w:r>
          </w:p>
          <w:p>
            <w:pPr>
              <w:pStyle w:val="8"/>
              <w:spacing w:before="2" w:line="364" w:lineRule="auto"/>
              <w:ind w:right="300" w:firstLine="476" w:firstLineChars="20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①危险废物暂存间要防风、防雨、防晒，地面应进行硬化，并做好防渗处理；</w:t>
            </w:r>
          </w:p>
          <w:p>
            <w:pPr>
              <w:pStyle w:val="8"/>
              <w:spacing w:before="2" w:line="364" w:lineRule="auto"/>
              <w:ind w:right="300" w:firstLine="476" w:firstLineChars="20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②不能兼容的危险废物不能堆放在一起等危险废物堆放贮存要求；危险废物贮存容器应满足以下要求</w:t>
            </w:r>
            <w:r>
              <w:rPr>
                <w:rFonts w:hint="eastAsia" w:ascii="Times New Roman" w:hAnsi="Times New Roman" w:eastAsia="宋体" w:cs="Times New Roman"/>
                <w:color w:val="FF0000"/>
                <w:spacing w:val="-1"/>
                <w:kern w:val="0"/>
                <w:sz w:val="24"/>
                <w:szCs w:val="22"/>
                <w:lang w:val="en-US" w:eastAsia="zh-CN" w:bidi="zh-CN"/>
              </w:rPr>
              <w:t>：应当使用符合标准的容器盛装危险废物；装载危险废物的容器及材质要满足相应的强度要求</w:t>
            </w:r>
            <w:r>
              <w:rPr>
                <w:rFonts w:hint="eastAsia" w:cs="Times New Roman"/>
                <w:color w:val="FF0000"/>
                <w:spacing w:val="-1"/>
                <w:kern w:val="0"/>
                <w:sz w:val="24"/>
                <w:szCs w:val="22"/>
                <w:lang w:val="en-US" w:eastAsia="zh-CN" w:bidi="zh-CN"/>
              </w:rPr>
              <w:t>，并在容器底部设置防渗托盘；</w:t>
            </w:r>
            <w:r>
              <w:rPr>
                <w:rFonts w:hint="eastAsia" w:ascii="Times New Roman" w:hAnsi="Times New Roman" w:eastAsia="宋体" w:cs="Times New Roman"/>
                <w:spacing w:val="-1"/>
                <w:kern w:val="0"/>
                <w:sz w:val="24"/>
                <w:szCs w:val="22"/>
                <w:lang w:val="en-US" w:eastAsia="zh-CN" w:bidi="zh-CN"/>
              </w:rPr>
              <w:t>装载危险废物的容器必须完好无损；盛装危险废物的容器材质和衬里要与危险废物兼容（不相互反应）；</w:t>
            </w:r>
          </w:p>
          <w:p>
            <w:pPr>
              <w:pStyle w:val="8"/>
              <w:spacing w:before="2" w:line="364" w:lineRule="auto"/>
              <w:ind w:right="300" w:firstLine="476" w:firstLineChars="20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③危险废物贮存区设置危险废物贮存标志：无法装入常用容器的危险废物可用防漏胶袋等盛放。盛装危险废物的容器上必须粘贴符合《危险废物贮存污染控制标准(GB18597-2001)附录A所示的标签。</w:t>
            </w:r>
          </w:p>
          <w:p>
            <w:pPr>
              <w:pStyle w:val="8"/>
              <w:spacing w:before="2" w:line="364" w:lineRule="auto"/>
              <w:ind w:right="300" w:firstLine="476" w:firstLineChars="20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④危险废物贮存场所应设置围堰或导流沟，设计中均需采取地面硬化措施应按照危险废物贮存的防渗标准实施。</w:t>
            </w:r>
          </w:p>
          <w:p>
            <w:pPr>
              <w:pStyle w:val="8"/>
              <w:spacing w:before="2" w:line="364" w:lineRule="auto"/>
              <w:ind w:right="300" w:firstLine="476" w:firstLineChars="20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⑤危险废物外运前应进行检验，确保同相关单位预订接受的危险废物一致，并登记注册。</w:t>
            </w:r>
          </w:p>
          <w:p>
            <w:pPr>
              <w:pStyle w:val="8"/>
              <w:spacing w:before="2" w:line="364" w:lineRule="auto"/>
              <w:ind w:right="300" w:firstLine="476" w:firstLineChars="20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⑥做好危险废物情况的记录，记录上需注明危险废物的名称、来源、数量、特性和包装容器的类别、入库及出库日期、接收废物单位名称。</w:t>
            </w:r>
          </w:p>
          <w:p>
            <w:pPr>
              <w:pStyle w:val="8"/>
              <w:spacing w:before="2" w:line="364" w:lineRule="auto"/>
              <w:ind w:right="300" w:firstLine="476" w:firstLineChars="200"/>
              <w:jc w:val="both"/>
              <w:rPr>
                <w:rFonts w:hint="eastAsia" w:ascii="Times New Roman" w:hAnsi="Times New Roman" w:eastAsia="宋体" w:cs="Times New Roman"/>
                <w:spacing w:val="-1"/>
                <w:kern w:val="0"/>
                <w:sz w:val="24"/>
                <w:szCs w:val="22"/>
                <w:lang w:val="en-US" w:eastAsia="zh-CN" w:bidi="zh-CN"/>
              </w:rPr>
            </w:pPr>
            <w:r>
              <w:rPr>
                <w:rFonts w:hint="eastAsia" w:ascii="Times New Roman" w:hAnsi="Times New Roman" w:eastAsia="宋体" w:cs="Times New Roman"/>
                <w:spacing w:val="-1"/>
                <w:kern w:val="0"/>
                <w:sz w:val="24"/>
                <w:szCs w:val="22"/>
                <w:lang w:val="en-US" w:eastAsia="zh-CN" w:bidi="zh-CN"/>
              </w:rPr>
              <w:t>⑦危废暂存间内安装安全照明设施。</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通过以上处置方法，本项目固废</w:t>
            </w:r>
            <w:r>
              <w:rPr>
                <w:rFonts w:eastAsiaTheme="minorEastAsia"/>
                <w:color w:val="000000" w:themeColor="text1"/>
                <w:sz w:val="24"/>
                <w14:textFill>
                  <w14:solidFill>
                    <w14:schemeClr w14:val="tx1"/>
                  </w14:solidFill>
                </w14:textFill>
              </w:rPr>
              <w:t>100%</w:t>
            </w:r>
            <w:r>
              <w:rPr>
                <w:rFonts w:hAnsiTheme="minorEastAsia" w:eastAsiaTheme="minorEastAsia"/>
                <w:color w:val="000000" w:themeColor="text1"/>
                <w:sz w:val="24"/>
                <w14:textFill>
                  <w14:solidFill>
                    <w14:schemeClr w14:val="tx1"/>
                  </w14:solidFill>
                </w14:textFill>
              </w:rPr>
              <w:t>可得到有效、妥善处置，达到零排放，不会对环境造成不利影响。</w:t>
            </w:r>
          </w:p>
          <w:p>
            <w:pPr>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p>
          <w:p>
            <w:pPr>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5</w:t>
            </w:r>
            <w:r>
              <w:rPr>
                <w:rFonts w:hAnsiTheme="minorEastAsia" w:eastAsiaTheme="minorEastAsia"/>
                <w:b/>
                <w:color w:val="000000" w:themeColor="text1"/>
                <w:sz w:val="24"/>
                <w14:textFill>
                  <w14:solidFill>
                    <w14:schemeClr w14:val="tx1"/>
                  </w14:solidFill>
                </w14:textFill>
              </w:rPr>
              <w:t>、生态影响分析</w:t>
            </w:r>
            <w:r>
              <w:rPr>
                <w:rFonts w:hint="eastAsia" w:hAnsiTheme="minorEastAsia" w:eastAsiaTheme="minorEastAsia"/>
                <w:b/>
                <w:color w:val="000000" w:themeColor="text1"/>
                <w:sz w:val="24"/>
                <w:lang w:val="en-US" w:eastAsia="zh-CN"/>
                <w14:textFill>
                  <w14:solidFill>
                    <w14:schemeClr w14:val="tx1"/>
                  </w14:solidFill>
                </w14:textFill>
              </w:rPr>
              <w:t>及措施</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本项目用地现状为林地生态系统，矿区占地面积</w:t>
            </w:r>
            <w:r>
              <w:rPr>
                <w:rFonts w:hint="eastAsia" w:eastAsiaTheme="minorEastAsia"/>
                <w:color w:val="000000" w:themeColor="text1"/>
                <w:sz w:val="24"/>
                <w:szCs w:val="24"/>
                <w14:textFill>
                  <w14:solidFill>
                    <w14:schemeClr w14:val="tx1"/>
                  </w14:solidFill>
                </w14:textFill>
              </w:rPr>
              <w:t>0.47</w:t>
            </w:r>
            <w:r>
              <w:rPr>
                <w:rFonts w:eastAsiaTheme="minorEastAsia"/>
                <w:color w:val="000000" w:themeColor="text1"/>
                <w:sz w:val="24"/>
                <w:szCs w:val="24"/>
                <w14:textFill>
                  <w14:solidFill>
                    <w14:schemeClr w14:val="tx1"/>
                  </w14:solidFill>
                </w14:textFill>
              </w:rPr>
              <w:t>km</w:t>
            </w:r>
            <w:r>
              <w:rPr>
                <w:rFonts w:eastAsiaTheme="minorEastAsia"/>
                <w:color w:val="000000" w:themeColor="text1"/>
                <w:sz w:val="24"/>
                <w:szCs w:val="24"/>
                <w:vertAlign w:val="superscript"/>
                <w14:textFill>
                  <w14:solidFill>
                    <w14:schemeClr w14:val="tx1"/>
                  </w14:solidFill>
                </w14:textFill>
              </w:rPr>
              <w:t>2</w:t>
            </w: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2</w:t>
            </w:r>
            <w:r>
              <w:rPr>
                <w:rFonts w:hint="eastAsia" w:eastAsiaTheme="minorEastAsia"/>
                <w:color w:val="000000" w:themeColor="text1"/>
                <w:sz w:val="24"/>
                <w:szCs w:val="24"/>
                <w:lang w:val="en-US" w:eastAsia="zh-CN"/>
                <w14:textFill>
                  <w14:solidFill>
                    <w14:schemeClr w14:val="tx1"/>
                  </w14:solidFill>
                </w14:textFill>
              </w:rPr>
              <w:t>0</w:t>
            </w:r>
            <w:r>
              <w:rPr>
                <w:rFonts w:eastAsiaTheme="minorEastAsia"/>
                <w:color w:val="000000" w:themeColor="text1"/>
                <w:sz w:val="24"/>
                <w:szCs w:val="24"/>
                <w14:textFill>
                  <w14:solidFill>
                    <w14:schemeClr w14:val="tx1"/>
                  </w14:solidFill>
                </w14:textFill>
              </w:rPr>
              <w:t>km</w:t>
            </w:r>
            <w:r>
              <w:rPr>
                <w:rFonts w:eastAsiaTheme="minorEastAsia"/>
                <w:color w:val="000000" w:themeColor="text1"/>
                <w:sz w:val="24"/>
                <w:szCs w:val="24"/>
                <w:vertAlign w:val="superscript"/>
                <w14:textFill>
                  <w14:solidFill>
                    <w14:schemeClr w14:val="tx1"/>
                  </w14:solidFill>
                </w14:textFill>
              </w:rPr>
              <w:t>2</w:t>
            </w:r>
            <w:r>
              <w:rPr>
                <w:rFonts w:hAnsiTheme="minorEastAsia" w:eastAsiaTheme="minorEastAsia"/>
                <w:color w:val="000000" w:themeColor="text1"/>
                <w:sz w:val="24"/>
                <w:szCs w:val="24"/>
                <w14:textFill>
                  <w14:solidFill>
                    <w14:schemeClr w14:val="tx1"/>
                  </w14:solidFill>
                </w14:textFill>
              </w:rPr>
              <w:t>，矿区所在区域为一般区域，依据《环境影响评价技术导则</w:t>
            </w:r>
            <w:r>
              <w:rPr>
                <w:rFonts w:eastAsiaTheme="minorEastAsia"/>
                <w:color w:val="000000" w:themeColor="text1"/>
                <w:sz w:val="24"/>
                <w:szCs w:val="24"/>
                <w14:textFill>
                  <w14:solidFill>
                    <w14:schemeClr w14:val="tx1"/>
                  </w14:solidFill>
                </w14:textFill>
              </w:rPr>
              <w:t>·</w:t>
            </w:r>
            <w:r>
              <w:rPr>
                <w:rFonts w:hAnsiTheme="minorEastAsia" w:eastAsiaTheme="minorEastAsia"/>
                <w:color w:val="000000" w:themeColor="text1"/>
                <w:sz w:val="24"/>
                <w:szCs w:val="24"/>
                <w14:textFill>
                  <w14:solidFill>
                    <w14:schemeClr w14:val="tx1"/>
                  </w14:solidFill>
                </w14:textFill>
              </w:rPr>
              <w:t>生态影响》（</w:t>
            </w:r>
            <w:r>
              <w:rPr>
                <w:rFonts w:eastAsiaTheme="minorEastAsia"/>
                <w:color w:val="000000" w:themeColor="text1"/>
                <w:sz w:val="24"/>
                <w:szCs w:val="24"/>
                <w14:textFill>
                  <w14:solidFill>
                    <w14:schemeClr w14:val="tx1"/>
                  </w14:solidFill>
                </w14:textFill>
              </w:rPr>
              <w:t>HJ19-20</w:t>
            </w:r>
            <w:r>
              <w:rPr>
                <w:rFonts w:hint="eastAsia" w:eastAsiaTheme="minorEastAsia"/>
                <w:color w:val="000000" w:themeColor="text1"/>
                <w:sz w:val="24"/>
                <w:szCs w:val="24"/>
                <w:lang w:val="en-US" w:eastAsia="zh-CN"/>
                <w14:textFill>
                  <w14:solidFill>
                    <w14:schemeClr w14:val="tx1"/>
                  </w14:solidFill>
                </w14:textFill>
              </w:rPr>
              <w:t>22</w:t>
            </w:r>
            <w:r>
              <w:rPr>
                <w:rFonts w:hAnsiTheme="minorEastAsia" w:eastAsiaTheme="minorEastAsia"/>
                <w:color w:val="000000" w:themeColor="text1"/>
                <w:sz w:val="24"/>
                <w:szCs w:val="24"/>
                <w14:textFill>
                  <w14:solidFill>
                    <w14:schemeClr w14:val="tx1"/>
                  </w14:solidFill>
                </w14:textFill>
              </w:rPr>
              <w:t>）分级规定，生态评价工作等级判定为三级。</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1</w:t>
            </w:r>
            <w:r>
              <w:rPr>
                <w:rFonts w:hAnsiTheme="minorEastAsia" w:eastAsiaTheme="minorEastAsia"/>
                <w:color w:val="000000" w:themeColor="text1"/>
                <w:sz w:val="24"/>
                <w:szCs w:val="24"/>
                <w14:textFill>
                  <w14:solidFill>
                    <w14:schemeClr w14:val="tx1"/>
                  </w14:solidFill>
                </w14:textFill>
              </w:rPr>
              <w:t>）生态环境现状</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①区域生态功能区划</w:t>
            </w:r>
          </w:p>
          <w:p>
            <w:pPr>
              <w:spacing w:line="360" w:lineRule="auto"/>
              <w:ind w:firstLine="480" w:firstLineChars="200"/>
              <w:rPr>
                <w:rFonts w:hAnsiTheme="minorEastAsia" w:eastAsiaTheme="minorEastAsia"/>
                <w:color w:val="000000" w:themeColor="text1"/>
                <w:sz w:val="24"/>
                <w:szCs w:val="24"/>
                <w:lang w:val="zh-CN"/>
                <w14:textFill>
                  <w14:solidFill>
                    <w14:schemeClr w14:val="tx1"/>
                  </w14:solidFill>
                </w14:textFill>
              </w:rPr>
            </w:pPr>
            <w:r>
              <w:rPr>
                <w:rFonts w:hAnsiTheme="minorEastAsia" w:eastAsiaTheme="minorEastAsia"/>
                <w:color w:val="000000" w:themeColor="text1"/>
                <w:sz w:val="24"/>
                <w:szCs w:val="24"/>
                <w:lang w:val="zh-CN"/>
                <w14:textFill>
                  <w14:solidFill>
                    <w14:schemeClr w14:val="tx1"/>
                  </w14:solidFill>
                </w14:textFill>
              </w:rPr>
              <w:t>矿区内动植物群落的结构较简单，多为常见种类，无国家或省级保护的濒危珍稀物种。根据《陕西省生态功能区划》，项目所在区域属</w:t>
            </w:r>
            <w:r>
              <w:rPr>
                <w:rFonts w:hint="eastAsia" w:hAnsiTheme="minorEastAsia" w:eastAsiaTheme="minorEastAsia"/>
                <w:color w:val="000000" w:themeColor="text1"/>
                <w:sz w:val="24"/>
                <w:szCs w:val="24"/>
                <w:lang w:val="zh-CN"/>
                <w14:textFill>
                  <w14:solidFill>
                    <w14:schemeClr w14:val="tx1"/>
                  </w14:solidFill>
                </w14:textFill>
              </w:rPr>
              <w:t>月河盆地</w:t>
            </w:r>
            <w:r>
              <w:rPr>
                <w:rFonts w:hAnsiTheme="minorEastAsia" w:eastAsiaTheme="minorEastAsia"/>
                <w:color w:val="000000" w:themeColor="text1"/>
                <w:sz w:val="24"/>
                <w:szCs w:val="24"/>
                <w:lang w:val="zh-CN"/>
                <w14:textFill>
                  <w14:solidFill>
                    <w14:schemeClr w14:val="tx1"/>
                  </w14:solidFill>
                </w14:textFill>
              </w:rPr>
              <w:t>城镇及农业区。</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lang w:val="zh-CN"/>
                <w14:textFill>
                  <w14:solidFill>
                    <w14:schemeClr w14:val="tx1"/>
                  </w14:solidFill>
                </w14:textFill>
              </w:rPr>
              <w:t>②</w:t>
            </w:r>
            <w:r>
              <w:rPr>
                <w:rFonts w:hAnsiTheme="minorEastAsia" w:eastAsiaTheme="minorEastAsia"/>
                <w:color w:val="000000" w:themeColor="text1"/>
                <w:sz w:val="24"/>
                <w:szCs w:val="24"/>
                <w14:textFill>
                  <w14:solidFill>
                    <w14:schemeClr w14:val="tx1"/>
                  </w14:solidFill>
                </w14:textFill>
              </w:rPr>
              <w:t>土地利用类型</w:t>
            </w:r>
          </w:p>
          <w:p>
            <w:pPr>
              <w:spacing w:line="360" w:lineRule="auto"/>
              <w:ind w:firstLine="480" w:firstLineChars="200"/>
              <w:rPr>
                <w:rFonts w:hAnsiTheme="minorEastAsia"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项目占地面积</w:t>
            </w:r>
            <w:r>
              <w:rPr>
                <w:rFonts w:hint="eastAsia" w:eastAsiaTheme="minorEastAsia"/>
                <w:color w:val="000000" w:themeColor="text1"/>
                <w:sz w:val="24"/>
                <w:szCs w:val="24"/>
                <w14:textFill>
                  <w14:solidFill>
                    <w14:schemeClr w14:val="tx1"/>
                  </w14:solidFill>
                </w14:textFill>
              </w:rPr>
              <w:t>0.47</w:t>
            </w:r>
            <w:r>
              <w:rPr>
                <w:rFonts w:eastAsiaTheme="minorEastAsia"/>
                <w:color w:val="000000" w:themeColor="text1"/>
                <w:sz w:val="24"/>
                <w:szCs w:val="24"/>
                <w14:textFill>
                  <w14:solidFill>
                    <w14:schemeClr w14:val="tx1"/>
                  </w14:solidFill>
                </w14:textFill>
              </w:rPr>
              <w:t>km</w:t>
            </w:r>
            <w:r>
              <w:rPr>
                <w:rFonts w:eastAsiaTheme="minorEastAsia"/>
                <w:color w:val="000000" w:themeColor="text1"/>
                <w:sz w:val="24"/>
                <w:szCs w:val="24"/>
                <w:vertAlign w:val="superscript"/>
                <w14:textFill>
                  <w14:solidFill>
                    <w14:schemeClr w14:val="tx1"/>
                  </w14:solidFill>
                </w14:textFill>
              </w:rPr>
              <w:t>2</w:t>
            </w:r>
            <w:r>
              <w:rPr>
                <w:rFonts w:hAnsiTheme="minorEastAsia" w:eastAsiaTheme="minorEastAsia"/>
                <w:color w:val="000000" w:themeColor="text1"/>
                <w:sz w:val="24"/>
                <w:szCs w:val="24"/>
                <w14:textFill>
                  <w14:solidFill>
                    <w14:schemeClr w14:val="tx1"/>
                  </w14:solidFill>
                </w14:textFill>
              </w:rPr>
              <w:t>，土地利用类型主要为</w:t>
            </w:r>
            <w:r>
              <w:rPr>
                <w:rFonts w:hint="eastAsia" w:hAnsiTheme="minorEastAsia" w:eastAsiaTheme="minorEastAsia"/>
                <w:color w:val="000000" w:themeColor="text1"/>
                <w:sz w:val="24"/>
                <w:szCs w:val="24"/>
                <w14:textFill>
                  <w14:solidFill>
                    <w14:schemeClr w14:val="tx1"/>
                  </w14:solidFill>
                </w14:textFill>
              </w:rPr>
              <w:t>林地</w:t>
            </w:r>
            <w:r>
              <w:rPr>
                <w:rFonts w:hAnsiTheme="minorEastAsia" w:eastAsiaTheme="minorEastAsia"/>
                <w:color w:val="000000" w:themeColor="text1"/>
                <w:sz w:val="24"/>
                <w:szCs w:val="24"/>
                <w14:textFill>
                  <w14:solidFill>
                    <w14:schemeClr w14:val="tx1"/>
                  </w14:solidFill>
                </w14:textFill>
              </w:rPr>
              <w:t>等，矿区范围内</w:t>
            </w:r>
            <w:r>
              <w:rPr>
                <w:rFonts w:hint="eastAsia" w:hAnsiTheme="minorEastAsia" w:eastAsiaTheme="minorEastAsia"/>
                <w:color w:val="000000" w:themeColor="text1"/>
                <w:sz w:val="24"/>
                <w:szCs w:val="24"/>
                <w:lang w:eastAsia="zh-CN"/>
                <w14:textFill>
                  <w14:solidFill>
                    <w14:schemeClr w14:val="tx1"/>
                  </w14:solidFill>
                </w14:textFill>
              </w:rPr>
              <w:t>基本没有</w:t>
            </w:r>
            <w:r>
              <w:rPr>
                <w:rFonts w:hAnsiTheme="minorEastAsia" w:eastAsiaTheme="minorEastAsia"/>
                <w:color w:val="000000" w:themeColor="text1"/>
                <w:sz w:val="24"/>
                <w:szCs w:val="24"/>
                <w14:textFill>
                  <w14:solidFill>
                    <w14:schemeClr w14:val="tx1"/>
                  </w14:solidFill>
                </w14:textFill>
              </w:rPr>
              <w:t>保护农田。</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AnsiTheme="minorEastAsia" w:eastAsiaTheme="minorEastAsia"/>
                <w:color w:val="000000" w:themeColor="text1"/>
                <w:sz w:val="24"/>
                <w14:textFill>
                  <w14:solidFill>
                    <w14:schemeClr w14:val="tx1"/>
                  </w14:solidFill>
                </w14:textFill>
              </w:rPr>
              <w:t>）生态环境影响评价</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①地表形态影响</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开采区现有主要植被类型为林地和</w:t>
            </w:r>
            <w:r>
              <w:rPr>
                <w:rFonts w:hint="eastAsia" w:hAnsiTheme="minorEastAsia" w:eastAsiaTheme="minorEastAsia"/>
                <w:color w:val="000000" w:themeColor="text1"/>
                <w:sz w:val="24"/>
                <w:szCs w:val="24"/>
                <w14:textFill>
                  <w14:solidFill>
                    <w14:schemeClr w14:val="tx1"/>
                  </w14:solidFill>
                </w14:textFill>
              </w:rPr>
              <w:t>旱</w:t>
            </w:r>
            <w:r>
              <w:rPr>
                <w:rFonts w:hAnsiTheme="minorEastAsia" w:eastAsiaTheme="minorEastAsia"/>
                <w:color w:val="000000" w:themeColor="text1"/>
                <w:sz w:val="24"/>
                <w:szCs w:val="24"/>
                <w14:textFill>
                  <w14:solidFill>
                    <w14:schemeClr w14:val="tx1"/>
                  </w14:solidFill>
                </w14:textFill>
              </w:rPr>
              <w:t>地，矿体为山坡露天矿，排土场位于矿区附近的无名沟谷内。矿山开采后，该地区的地表形态将发生明显变化。露天开采方式，地表将被剥离，随着排土场堆放容量的增大，原有的沟道会被垫高；采石场和排土场在一定程度上改变了当地原有的地形地貌。</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矿山前期为山坡露天开采，后期转为凹陷露天采坑。山坡露天开采时，采场内的降水和裂隙水均沿地形自流排出采场，无矿坑水产生。当进入凹陷露天开采时，采场内的矿坑水经沉淀池处理后</w:t>
            </w:r>
            <w:r>
              <w:rPr>
                <w:rFonts w:hint="eastAsia" w:hAnsiTheme="minorEastAsia" w:eastAsiaTheme="minorEastAsia"/>
                <w:color w:val="000000" w:themeColor="text1"/>
                <w:sz w:val="24"/>
                <w:szCs w:val="24"/>
                <w:lang w:eastAsia="zh-CN"/>
                <w14:textFill>
                  <w14:solidFill>
                    <w14:schemeClr w14:val="tx1"/>
                  </w14:solidFill>
                </w14:textFill>
              </w:rPr>
              <w:t>用于</w:t>
            </w:r>
            <w:r>
              <w:rPr>
                <w:rFonts w:hAnsiTheme="minorEastAsia" w:eastAsiaTheme="minorEastAsia"/>
                <w:color w:val="000000" w:themeColor="text1"/>
                <w:sz w:val="24"/>
                <w:szCs w:val="24"/>
                <w14:textFill>
                  <w14:solidFill>
                    <w14:schemeClr w14:val="tx1"/>
                  </w14:solidFill>
                </w14:textFill>
              </w:rPr>
              <w:t>矿区洒水抑尘。</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②土地利用类型影响</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评价区现有土地类型主要为荒草地，其次为灌木林地，随着露天开采的推进，伴随着草地、灌木、林地的减少，采矿用地呈增加趋势。</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③生物多样性影响</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矿山生产期对植被的影响主要在于采场露天开采对原有植被的破坏，开采终了时，矿区开采范围内原有植被将全部遭到破坏。经调查，该</w:t>
            </w:r>
            <w:r>
              <w:rPr>
                <w:rFonts w:hAnsiTheme="minorEastAsia" w:eastAsiaTheme="minorEastAsia"/>
                <w:color w:val="FF0000"/>
                <w:sz w:val="24"/>
              </w:rPr>
              <w:t>项目开采区占地类型主要为</w:t>
            </w:r>
            <w:r>
              <w:rPr>
                <w:rFonts w:hint="eastAsia" w:hAnsiTheme="minorEastAsia" w:eastAsiaTheme="minorEastAsia"/>
                <w:color w:val="FF0000"/>
                <w:sz w:val="24"/>
                <w:lang w:val="en-US" w:eastAsia="zh-CN"/>
              </w:rPr>
              <w:t>灌木林地</w:t>
            </w:r>
            <w:r>
              <w:rPr>
                <w:rFonts w:hAnsiTheme="minorEastAsia" w:eastAsiaTheme="minorEastAsia"/>
                <w:color w:val="000000" w:themeColor="text1"/>
                <w:sz w:val="24"/>
                <w14:textFill>
                  <w14:solidFill>
                    <w14:schemeClr w14:val="tx1"/>
                  </w14:solidFill>
                </w14:textFill>
              </w:rPr>
              <w:t>，植物类型均为西北地区常见种，无保护野生植物，矿山开采不会对植物多样性造成影响。并且在矿山服务期满后采取相应的生态恢复，可缓解矿山开采对植被的影响，排土场受损植被可在</w:t>
            </w:r>
            <w:r>
              <w:rPr>
                <w:rFonts w:eastAsiaTheme="minorEastAsia"/>
                <w:color w:val="000000" w:themeColor="text1"/>
                <w:sz w:val="24"/>
                <w14:textFill>
                  <w14:solidFill>
                    <w14:schemeClr w14:val="tx1"/>
                  </w14:solidFill>
                </w14:textFill>
              </w:rPr>
              <w:t>3~5</w:t>
            </w:r>
            <w:r>
              <w:rPr>
                <w:rFonts w:hAnsiTheme="minorEastAsia" w:eastAsiaTheme="minorEastAsia"/>
                <w:color w:val="000000" w:themeColor="text1"/>
                <w:sz w:val="24"/>
                <w14:textFill>
                  <w14:solidFill>
                    <w14:schemeClr w14:val="tx1"/>
                  </w14:solidFill>
                </w14:textFill>
              </w:rPr>
              <w:t>年内得到有效恢复，而对露天采坑进行植被恢复后，可在一定程度补偿因矿山开采对植被的影响。</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本项目运营期主要是爆破对野生动物造成惊扰，且动物对噪声和振动较为敏感，会使它们远离生产区，选择更适宜栖息的环境。经调查，矿区范围内无国家珍贵保护物种，且多为常见的野生动物鼠、野兔等小型啮齿类野生动物，因此对动物资源的不利影响是轻微的，不需要采取特殊的保护措施，但建设和开采过程中要加强对工作人员的进行环境保护和生物多样性保护宣传教育工作，包括生物多样性的科普知识和相关法规、当地野生动物的简易识别及保护方法，严禁对野生动物滥捕滥杀，同时严禁破坏野生动物的栖息环境。</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④景观影响</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评价区所处土石山区，在植被生长季节矿权范围原为天然林草地景观，矿山开采区最终将形成台阶式开采平台，原有的山地自然景观遭到破坏，变成台阶式的人工景观，且未采取防治措施，降低了矿区原有的自然景观美学价值。矿山开采对矿区范围内的景观影响较大。对终了平台采取植被恢复绿化及其它生态恢复措施后，会缓解对景观的影响；另外矿区不在交通干线两侧的可视范围内，影响范围仅限于矿体附近，因此，矿山开采不会使区域的整体景观格局发生根本变化。</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⑤地质灾害影响</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依据项目矿产资源开发利用与保护方案，矿山采用自上而下水平分层台阶式采矿法，采场最终边坡角</w:t>
            </w:r>
            <w:r>
              <w:rPr>
                <w:rFonts w:eastAsiaTheme="minorEastAsia"/>
                <w:color w:val="000000" w:themeColor="text1"/>
                <w:sz w:val="24"/>
                <w14:textFill>
                  <w14:solidFill>
                    <w14:schemeClr w14:val="tx1"/>
                  </w14:solidFill>
                </w14:textFill>
              </w:rPr>
              <w:t>≤60°</w:t>
            </w:r>
            <w:r>
              <w:rPr>
                <w:rFonts w:hAnsiTheme="minorEastAsia" w:eastAsiaTheme="minorEastAsia"/>
                <w:color w:val="000000" w:themeColor="text1"/>
                <w:sz w:val="24"/>
                <w14:textFill>
                  <w14:solidFill>
                    <w14:schemeClr w14:val="tx1"/>
                  </w14:solidFill>
                </w14:textFill>
              </w:rPr>
              <w:t>，采场边坡稳定，露天采矿可能引发的地质灾害的可能性较小，影响较轻。</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⑥土壤影响</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矿山开挖、堆积、运输造成的粉尘污染，矿区废水、生活污水及废石淋溶水都会进入土壤环境，但本项目为建筑材料采石场，属非金属类矿，而且项目在开采过程中将对矿区废水和生活污水分别采取有效的处理措施，不会降低土壤的生产力。此外，项目设计有截排水沟和排土场系统，能够容纳项目产生的弃土，不会随意堆弃，在项目退役期对排土场进行土地复垦，进行植被恢复，能有效</w:t>
            </w:r>
            <w:r>
              <w:rPr>
                <w:rFonts w:hint="eastAsia" w:hAnsiTheme="minorEastAsia" w:eastAsiaTheme="minorEastAsia"/>
                <w:color w:val="000000" w:themeColor="text1"/>
                <w:sz w:val="24"/>
                <w:lang w:eastAsia="zh-CN"/>
                <w14:textFill>
                  <w14:solidFill>
                    <w14:schemeClr w14:val="tx1"/>
                  </w14:solidFill>
                </w14:textFill>
              </w:rPr>
              <w:t>减少</w:t>
            </w:r>
            <w:r>
              <w:rPr>
                <w:rFonts w:hAnsiTheme="minorEastAsia" w:eastAsiaTheme="minorEastAsia"/>
                <w:color w:val="000000" w:themeColor="text1"/>
                <w:sz w:val="24"/>
                <w14:textFill>
                  <w14:solidFill>
                    <w14:schemeClr w14:val="tx1"/>
                  </w14:solidFill>
                </w14:textFill>
              </w:rPr>
              <w:t>水土流失量。排土场在其工程地质勘察、设计方案、施工建设质量和后期运行管理都达到相关国家要求后，其运行可靠，对土壤环境影响较小，泥石流产生可能性不大。</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⑦退役期生态环境影响</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退役期，随着采矿活动的结束和生态环境综合整治措施的落实，生态环境将会得到逐步改善，主要体现在：露天采场、排土场采取土地复垦、生态恢复等措施后，遭到破坏的草地大部分可得到恢复，复垦后植被覆盖度和土地生产力明显增加。随着各项占地生态恢复措施的实施，矿区原有的生态系统服务功能将得到有效恢复，水土保持功能得到提高，水土流失强度大大减小，矿区生态环境将逐步改善。露天采坑的治理恢复、排土场的复垦绿化，使原有生态景观格局在一定程度上得到恢复，景观生态功能得到补偿。退役期生产设备停产，将使大气、水、声等环境要素得到恢复，基本可恢复到建设前的环境质量状况。</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3</w:t>
            </w:r>
            <w:r>
              <w:rPr>
                <w:rFonts w:hAnsiTheme="minorEastAsia" w:eastAsiaTheme="minorEastAsia"/>
                <w:color w:val="000000" w:themeColor="text1"/>
                <w:sz w:val="24"/>
                <w:szCs w:val="24"/>
                <w14:textFill>
                  <w14:solidFill>
                    <w14:schemeClr w14:val="tx1"/>
                  </w14:solidFill>
                </w14:textFill>
              </w:rPr>
              <w:t>）矿山目前生态情况</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本项目为</w:t>
            </w:r>
            <w:r>
              <w:rPr>
                <w:rFonts w:hint="eastAsia" w:hAnsiTheme="minorEastAsia" w:eastAsiaTheme="minorEastAsia"/>
                <w:color w:val="000000" w:themeColor="text1"/>
                <w:sz w:val="24"/>
                <w:szCs w:val="24"/>
                <w:lang w:val="en-US" w:eastAsia="zh-CN"/>
                <w14:textFill>
                  <w14:solidFill>
                    <w14:schemeClr w14:val="tx1"/>
                  </w14:solidFill>
                </w14:textFill>
              </w:rPr>
              <w:t>扩</w:t>
            </w:r>
            <w:r>
              <w:rPr>
                <w:rFonts w:hAnsiTheme="minorEastAsia" w:eastAsiaTheme="minorEastAsia"/>
                <w:color w:val="000000" w:themeColor="text1"/>
                <w:sz w:val="24"/>
                <w:szCs w:val="24"/>
                <w14:textFill>
                  <w14:solidFill>
                    <w14:schemeClr w14:val="tx1"/>
                  </w14:solidFill>
                </w14:textFill>
              </w:rPr>
              <w:t>建项目，经调查，矿区未遗留大的生态环境问题。</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4</w:t>
            </w:r>
            <w:r>
              <w:rPr>
                <w:rFonts w:hAnsiTheme="minorEastAsia" w:eastAsiaTheme="minorEastAsia"/>
                <w:color w:val="000000" w:themeColor="text1"/>
                <w:sz w:val="24"/>
                <w:szCs w:val="24"/>
                <w14:textFill>
                  <w14:solidFill>
                    <w14:schemeClr w14:val="tx1"/>
                  </w14:solidFill>
                </w14:textFill>
              </w:rPr>
              <w:t>）生态保护和恢复措施</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①生态环境保护与恢复治理原则</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坚持</w:t>
            </w:r>
            <w:r>
              <w:rPr>
                <w:rFonts w:eastAsiaTheme="minorEastAsia"/>
                <w:color w:val="000000" w:themeColor="text1"/>
                <w:sz w:val="24"/>
                <w:szCs w:val="24"/>
                <w14:textFill>
                  <w14:solidFill>
                    <w14:schemeClr w14:val="tx1"/>
                  </w14:solidFill>
                </w14:textFill>
              </w:rPr>
              <w:t>“</w:t>
            </w:r>
            <w:r>
              <w:rPr>
                <w:rFonts w:hAnsiTheme="minorEastAsia" w:eastAsiaTheme="minorEastAsia"/>
                <w:color w:val="000000" w:themeColor="text1"/>
                <w:sz w:val="24"/>
                <w:szCs w:val="24"/>
                <w14:textFill>
                  <w14:solidFill>
                    <w14:schemeClr w14:val="tx1"/>
                  </w14:solidFill>
                </w14:textFill>
              </w:rPr>
              <w:t>预防为主、防治结合、过程控制</w:t>
            </w:r>
            <w:r>
              <w:rPr>
                <w:rFonts w:eastAsiaTheme="minorEastAsia"/>
                <w:color w:val="000000" w:themeColor="text1"/>
                <w:sz w:val="24"/>
                <w:szCs w:val="24"/>
                <w14:textFill>
                  <w14:solidFill>
                    <w14:schemeClr w14:val="tx1"/>
                  </w14:solidFill>
                </w14:textFill>
              </w:rPr>
              <w:t>”</w:t>
            </w:r>
            <w:r>
              <w:rPr>
                <w:rFonts w:hAnsiTheme="minorEastAsia" w:eastAsiaTheme="minorEastAsia"/>
                <w:color w:val="000000" w:themeColor="text1"/>
                <w:sz w:val="24"/>
                <w:szCs w:val="24"/>
                <w14:textFill>
                  <w14:solidFill>
                    <w14:schemeClr w14:val="tx1"/>
                  </w14:solidFill>
                </w14:textFill>
              </w:rPr>
              <w:t>的原则，将矿山生态环境保护与恢复治理贯穿矿产资源开采的全过程。</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②</w:t>
            </w:r>
            <w:bookmarkStart w:id="3" w:name="_Toc17232"/>
            <w:bookmarkStart w:id="4" w:name="_Toc21943"/>
            <w:bookmarkStart w:id="5" w:name="_Toc3528"/>
            <w:bookmarkStart w:id="6" w:name="_Toc27838"/>
            <w:bookmarkStart w:id="7" w:name="_Toc469339729"/>
            <w:bookmarkStart w:id="8" w:name="_Toc28372"/>
            <w:bookmarkStart w:id="9" w:name="_Toc27605"/>
            <w:bookmarkStart w:id="10" w:name="_Toc32336"/>
            <w:bookmarkStart w:id="11" w:name="_Toc25609"/>
            <w:r>
              <w:rPr>
                <w:rFonts w:hAnsiTheme="minorEastAsia" w:eastAsiaTheme="minorEastAsia"/>
                <w:color w:val="000000" w:themeColor="text1"/>
                <w:sz w:val="24"/>
                <w:szCs w:val="24"/>
                <w14:textFill>
                  <w14:solidFill>
                    <w14:schemeClr w14:val="tx1"/>
                  </w14:solidFill>
                </w14:textFill>
              </w:rPr>
              <w:t>生态整治目标</w:t>
            </w:r>
            <w:bookmarkEnd w:id="3"/>
            <w:bookmarkEnd w:id="4"/>
            <w:bookmarkEnd w:id="5"/>
            <w:bookmarkEnd w:id="6"/>
            <w:bookmarkEnd w:id="7"/>
            <w:bookmarkEnd w:id="8"/>
            <w:bookmarkEnd w:id="9"/>
            <w:bookmarkEnd w:id="10"/>
            <w:bookmarkEnd w:id="11"/>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根据《矿山生态环境保护与污染防治技术政策》、《开发建设项目水土流失防治标准》、《矿山生态环境保护与恢复治理技术规范（试行）》（</w:t>
            </w:r>
            <w:r>
              <w:rPr>
                <w:rFonts w:eastAsiaTheme="minorEastAsia"/>
                <w:color w:val="000000" w:themeColor="text1"/>
                <w:sz w:val="24"/>
                <w:szCs w:val="24"/>
                <w14:textFill>
                  <w14:solidFill>
                    <w14:schemeClr w14:val="tx1"/>
                  </w14:solidFill>
                </w14:textFill>
              </w:rPr>
              <w:t>HJ651-2013</w:t>
            </w:r>
            <w:r>
              <w:rPr>
                <w:rFonts w:hAnsiTheme="minorEastAsia" w:eastAsiaTheme="minorEastAsia"/>
                <w:color w:val="000000" w:themeColor="text1"/>
                <w:sz w:val="24"/>
                <w:szCs w:val="24"/>
                <w14:textFill>
                  <w14:solidFill>
                    <w14:schemeClr w14:val="tx1"/>
                  </w14:solidFill>
                </w14:textFill>
              </w:rPr>
              <w:t>）中的有关要求，确定本项目生态综合整治目标如下：矿山边开采、边复垦，矿山土地复垦率＞</w:t>
            </w:r>
            <w:r>
              <w:rPr>
                <w:rFonts w:eastAsiaTheme="minorEastAsia"/>
                <w:color w:val="000000" w:themeColor="text1"/>
                <w:sz w:val="24"/>
                <w:szCs w:val="24"/>
                <w14:textFill>
                  <w14:solidFill>
                    <w14:schemeClr w14:val="tx1"/>
                  </w14:solidFill>
                </w14:textFill>
              </w:rPr>
              <w:t>85%</w:t>
            </w:r>
            <w:r>
              <w:rPr>
                <w:rFonts w:hAnsiTheme="minorEastAsia" w:eastAsiaTheme="minorEastAsia"/>
                <w:color w:val="000000" w:themeColor="text1"/>
                <w:sz w:val="24"/>
                <w:szCs w:val="24"/>
                <w14:textFill>
                  <w14:solidFill>
                    <w14:schemeClr w14:val="tx1"/>
                  </w14:solidFill>
                </w14:textFill>
              </w:rPr>
              <w:t>，复垦三年后植被成活率＞</w:t>
            </w:r>
            <w:r>
              <w:rPr>
                <w:rFonts w:eastAsiaTheme="minorEastAsia"/>
                <w:color w:val="000000" w:themeColor="text1"/>
                <w:sz w:val="24"/>
                <w:szCs w:val="24"/>
                <w14:textFill>
                  <w14:solidFill>
                    <w14:schemeClr w14:val="tx1"/>
                  </w14:solidFill>
                </w14:textFill>
              </w:rPr>
              <w:t>90%</w:t>
            </w:r>
            <w:r>
              <w:rPr>
                <w:rFonts w:hAnsiTheme="minorEastAsia" w:eastAsiaTheme="minorEastAsia"/>
                <w:color w:val="000000" w:themeColor="text1"/>
                <w:sz w:val="24"/>
                <w:szCs w:val="24"/>
                <w14:textFill>
                  <w14:solidFill>
                    <w14:schemeClr w14:val="tx1"/>
                  </w14:solidFill>
                </w14:textFill>
              </w:rPr>
              <w:t>，郁闭度＞</w:t>
            </w:r>
            <w:r>
              <w:rPr>
                <w:rFonts w:eastAsiaTheme="minorEastAsia"/>
                <w:color w:val="000000" w:themeColor="text1"/>
                <w:sz w:val="24"/>
                <w:szCs w:val="24"/>
                <w14:textFill>
                  <w14:solidFill>
                    <w14:schemeClr w14:val="tx1"/>
                  </w14:solidFill>
                </w14:textFill>
              </w:rPr>
              <w:t>0.7</w:t>
            </w:r>
            <w:r>
              <w:rPr>
                <w:rFonts w:hAnsiTheme="minorEastAsia" w:eastAsiaTheme="minorEastAsia"/>
                <w:color w:val="000000" w:themeColor="text1"/>
                <w:sz w:val="24"/>
                <w:szCs w:val="24"/>
                <w14:textFill>
                  <w14:solidFill>
                    <w14:schemeClr w14:val="tx1"/>
                  </w14:solidFill>
                </w14:textFill>
              </w:rPr>
              <w:t>，灌草盖度＞</w:t>
            </w:r>
            <w:r>
              <w:rPr>
                <w:rFonts w:eastAsiaTheme="minorEastAsia"/>
                <w:color w:val="000000" w:themeColor="text1"/>
                <w:sz w:val="24"/>
                <w:szCs w:val="24"/>
                <w14:textFill>
                  <w14:solidFill>
                    <w14:schemeClr w14:val="tx1"/>
                  </w14:solidFill>
                </w14:textFill>
              </w:rPr>
              <w:t>80%</w:t>
            </w:r>
            <w:r>
              <w:rPr>
                <w:rFonts w:hAnsiTheme="minorEastAsia" w:eastAsiaTheme="minorEastAsia"/>
                <w:color w:val="000000" w:themeColor="text1"/>
                <w:sz w:val="24"/>
                <w:szCs w:val="24"/>
                <w14:textFill>
                  <w14:solidFill>
                    <w14:schemeClr w14:val="tx1"/>
                  </w14:solidFill>
                </w14:textFill>
              </w:rPr>
              <w:t>。规范修建排土场对弃渣进行处置，拦渣率＞</w:t>
            </w:r>
            <w:r>
              <w:rPr>
                <w:rFonts w:eastAsiaTheme="minorEastAsia"/>
                <w:color w:val="000000" w:themeColor="text1"/>
                <w:sz w:val="24"/>
                <w:szCs w:val="24"/>
                <w14:textFill>
                  <w14:solidFill>
                    <w14:schemeClr w14:val="tx1"/>
                  </w14:solidFill>
                </w14:textFill>
              </w:rPr>
              <w:t>95%</w:t>
            </w:r>
            <w:r>
              <w:rPr>
                <w:rFonts w:hAnsiTheme="minorEastAsia" w:eastAsiaTheme="minorEastAsia"/>
                <w:color w:val="000000" w:themeColor="text1"/>
                <w:sz w:val="24"/>
                <w:szCs w:val="24"/>
                <w14:textFill>
                  <w14:solidFill>
                    <w14:schemeClr w14:val="tx1"/>
                  </w14:solidFill>
                </w14:textFill>
              </w:rPr>
              <w:t>，固体废弃物综合利用率＞</w:t>
            </w:r>
            <w:r>
              <w:rPr>
                <w:rFonts w:eastAsiaTheme="minorEastAsia"/>
                <w:color w:val="000000" w:themeColor="text1"/>
                <w:sz w:val="24"/>
                <w:szCs w:val="24"/>
                <w14:textFill>
                  <w14:solidFill>
                    <w14:schemeClr w14:val="tx1"/>
                  </w14:solidFill>
                </w14:textFill>
              </w:rPr>
              <w:t>70%</w:t>
            </w:r>
            <w:r>
              <w:rPr>
                <w:rFonts w:hAnsiTheme="minorEastAsia" w:eastAsiaTheme="minorEastAsia"/>
                <w:color w:val="000000" w:themeColor="text1"/>
                <w:sz w:val="24"/>
                <w:szCs w:val="24"/>
                <w14:textFill>
                  <w14:solidFill>
                    <w14:schemeClr w14:val="tx1"/>
                  </w14:solidFill>
                </w14:textFill>
              </w:rPr>
              <w:t>，排土场退役期应及时封场。</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③生态保护措施</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A</w:t>
            </w:r>
            <w:r>
              <w:rPr>
                <w:rFonts w:hAnsiTheme="minorEastAsia" w:eastAsiaTheme="minorEastAsia"/>
                <w:color w:val="000000" w:themeColor="text1"/>
                <w:sz w:val="24"/>
                <w:szCs w:val="24"/>
                <w14:textFill>
                  <w14:solidFill>
                    <w14:schemeClr w14:val="tx1"/>
                  </w14:solidFill>
                </w14:textFill>
              </w:rPr>
              <w:t>、运营期生态环境保护措施</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本项目生态环境脆弱，一旦破坏，很难或不可恢复。矿山企业应加强认识，保护矿区生态环境</w:t>
            </w:r>
            <w:r>
              <w:rPr>
                <w:rFonts w:hAnsiTheme="minorEastAsia" w:eastAsiaTheme="minorEastAsia"/>
                <w:color w:val="000000" w:themeColor="text1"/>
                <w:spacing w:val="4"/>
                <w:sz w:val="24"/>
                <w:szCs w:val="24"/>
                <w14:textFill>
                  <w14:solidFill>
                    <w14:schemeClr w14:val="tx1"/>
                  </w14:solidFill>
                </w14:textFill>
              </w:rPr>
              <w:t>，边开采边恢复，以尽量减小扰动范围</w:t>
            </w:r>
            <w:r>
              <w:rPr>
                <w:rFonts w:hAnsiTheme="minorEastAsia" w:eastAsiaTheme="minorEastAsia"/>
                <w:color w:val="000000" w:themeColor="text1"/>
                <w:sz w:val="24"/>
                <w:szCs w:val="24"/>
                <w14:textFill>
                  <w14:solidFill>
                    <w14:schemeClr w14:val="tx1"/>
                  </w14:solidFill>
                </w14:textFill>
              </w:rPr>
              <w:t>。矿山开采过程中对生态环境的破坏与影响主要表现在矿山植被破坏、废渣的随意堆放可能引发的水土流失和土壤损失，这是矿山开发中对环境影响的一个重要因素。</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矿山开采生态环境防治措施，主要包括以下几方面：</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1</w:t>
            </w:r>
            <w:r>
              <w:rPr>
                <w:rFonts w:hAnsiTheme="minorEastAsia" w:eastAsiaTheme="minorEastAsia"/>
                <w:color w:val="000000" w:themeColor="text1"/>
                <w:sz w:val="24"/>
                <w:szCs w:val="24"/>
                <w14:textFill>
                  <w14:solidFill>
                    <w14:schemeClr w14:val="tx1"/>
                  </w14:solidFill>
                </w14:textFill>
              </w:rPr>
              <w:t>）采场</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 1 \* GB3 </w:instrText>
            </w:r>
            <w:r>
              <w:rPr>
                <w:rFonts w:eastAsiaTheme="minorEastAsia"/>
                <w:color w:val="000000" w:themeColor="text1"/>
                <w:sz w:val="24"/>
                <w:szCs w:val="24"/>
                <w14:textFill>
                  <w14:solidFill>
                    <w14:schemeClr w14:val="tx1"/>
                  </w14:solidFill>
                </w14:textFill>
              </w:rPr>
              <w:fldChar w:fldCharType="separate"/>
            </w:r>
            <w:r>
              <w:rPr>
                <w:rFonts w:hAnsiTheme="minorEastAsia" w:eastAsiaTheme="minorEastAsia"/>
                <w:color w:val="000000" w:themeColor="text1"/>
                <w:sz w:val="24"/>
                <w:szCs w:val="24"/>
                <w14:textFill>
                  <w14:solidFill>
                    <w14:schemeClr w14:val="tx1"/>
                  </w14:solidFill>
                </w14:textFill>
              </w:rPr>
              <w:t>①</w:t>
            </w:r>
            <w:r>
              <w:rPr>
                <w:rFonts w:eastAsiaTheme="minorEastAsia"/>
                <w:color w:val="000000" w:themeColor="text1"/>
                <w:sz w:val="24"/>
                <w:szCs w:val="24"/>
                <w14:textFill>
                  <w14:solidFill>
                    <w14:schemeClr w14:val="tx1"/>
                  </w14:solidFill>
                </w14:textFill>
              </w:rPr>
              <w:fldChar w:fldCharType="end"/>
            </w:r>
            <w:r>
              <w:rPr>
                <w:rFonts w:hAnsiTheme="minorEastAsia" w:eastAsiaTheme="minorEastAsia"/>
                <w:color w:val="000000" w:themeColor="text1"/>
                <w:sz w:val="24"/>
                <w:szCs w:val="24"/>
                <w14:textFill>
                  <w14:solidFill>
                    <w14:schemeClr w14:val="tx1"/>
                  </w14:solidFill>
                </w14:textFill>
              </w:rPr>
              <w:t>进一步合理化矿区平面布置，矿山和其他活动必须在规定的范围内进行，采矿活动应尽量减少和控制生态环境的影响范围和程度。</w:t>
            </w:r>
          </w:p>
          <w:p>
            <w:pPr>
              <w:pStyle w:val="18"/>
              <w:spacing w:line="360" w:lineRule="auto"/>
              <w:ind w:firstLine="480"/>
              <w:rPr>
                <w:rFonts w:eastAsiaTheme="minorEastAsia"/>
                <w:color w:val="000000" w:themeColor="text1"/>
                <w:spacing w:val="4"/>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②</w:t>
            </w:r>
            <w:r>
              <w:rPr>
                <w:rFonts w:hAnsiTheme="minorEastAsia" w:eastAsiaTheme="minorEastAsia"/>
                <w:color w:val="000000" w:themeColor="text1"/>
                <w:spacing w:val="4"/>
                <w:sz w:val="24"/>
                <w:szCs w:val="24"/>
                <w14:textFill>
                  <w14:solidFill>
                    <w14:schemeClr w14:val="tx1"/>
                  </w14:solidFill>
                </w14:textFill>
              </w:rPr>
              <w:t>控制开采活动地表扰动面积，限制车辆行驶路线，减小影响范围。</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 3 \* GB3 </w:instrText>
            </w:r>
            <w:r>
              <w:rPr>
                <w:rFonts w:eastAsiaTheme="minorEastAsia"/>
                <w:color w:val="000000" w:themeColor="text1"/>
                <w:sz w:val="24"/>
                <w:szCs w:val="24"/>
                <w14:textFill>
                  <w14:solidFill>
                    <w14:schemeClr w14:val="tx1"/>
                  </w14:solidFill>
                </w14:textFill>
              </w:rPr>
              <w:fldChar w:fldCharType="separate"/>
            </w:r>
            <w:r>
              <w:rPr>
                <w:rFonts w:hAnsiTheme="minorEastAsia" w:eastAsiaTheme="minorEastAsia"/>
                <w:color w:val="000000" w:themeColor="text1"/>
                <w:sz w:val="24"/>
                <w:szCs w:val="24"/>
                <w14:textFill>
                  <w14:solidFill>
                    <w14:schemeClr w14:val="tx1"/>
                  </w14:solidFill>
                </w14:textFill>
              </w:rPr>
              <w:t>③</w:t>
            </w:r>
            <w:r>
              <w:rPr>
                <w:rFonts w:eastAsiaTheme="minorEastAsia"/>
                <w:color w:val="000000" w:themeColor="text1"/>
                <w:sz w:val="24"/>
                <w:szCs w:val="24"/>
                <w14:textFill>
                  <w14:solidFill>
                    <w14:schemeClr w14:val="tx1"/>
                  </w14:solidFill>
                </w14:textFill>
              </w:rPr>
              <w:fldChar w:fldCharType="end"/>
            </w:r>
            <w:r>
              <w:rPr>
                <w:rFonts w:hAnsiTheme="minorEastAsia" w:eastAsiaTheme="minorEastAsia"/>
                <w:color w:val="000000" w:themeColor="text1"/>
                <w:sz w:val="24"/>
                <w:szCs w:val="24"/>
                <w14:textFill>
                  <w14:solidFill>
                    <w14:schemeClr w14:val="tx1"/>
                  </w14:solidFill>
                </w14:textFill>
              </w:rPr>
              <w:t>在采场外围修建围栏并设立警示标志。</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 4 \* GB3 </w:instrText>
            </w:r>
            <w:r>
              <w:rPr>
                <w:rFonts w:eastAsiaTheme="minorEastAsia"/>
                <w:color w:val="000000" w:themeColor="text1"/>
                <w:sz w:val="24"/>
                <w:szCs w:val="24"/>
                <w14:textFill>
                  <w14:solidFill>
                    <w14:schemeClr w14:val="tx1"/>
                  </w14:solidFill>
                </w14:textFill>
              </w:rPr>
              <w:fldChar w:fldCharType="separate"/>
            </w:r>
            <w:r>
              <w:rPr>
                <w:rFonts w:hAnsiTheme="minorEastAsia" w:eastAsiaTheme="minorEastAsia"/>
                <w:color w:val="000000" w:themeColor="text1"/>
                <w:sz w:val="24"/>
                <w:szCs w:val="24"/>
                <w14:textFill>
                  <w14:solidFill>
                    <w14:schemeClr w14:val="tx1"/>
                  </w14:solidFill>
                </w14:textFill>
              </w:rPr>
              <w:t>④</w:t>
            </w:r>
            <w:r>
              <w:rPr>
                <w:rFonts w:eastAsiaTheme="minorEastAsia"/>
                <w:color w:val="000000" w:themeColor="text1"/>
                <w:sz w:val="24"/>
                <w:szCs w:val="24"/>
                <w14:textFill>
                  <w14:solidFill>
                    <w14:schemeClr w14:val="tx1"/>
                  </w14:solidFill>
                </w14:textFill>
              </w:rPr>
              <w:fldChar w:fldCharType="end"/>
            </w:r>
            <w:r>
              <w:rPr>
                <w:rFonts w:hAnsiTheme="minorEastAsia" w:eastAsiaTheme="minorEastAsia"/>
                <w:color w:val="000000" w:themeColor="text1"/>
                <w:sz w:val="24"/>
                <w:szCs w:val="24"/>
                <w14:textFill>
                  <w14:solidFill>
                    <w14:schemeClr w14:val="tx1"/>
                  </w14:solidFill>
                </w14:textFill>
              </w:rPr>
              <w:t>对露天采场已形成的平台修筑浆砌石挡土墙和排水沟。</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⑤对矿山露天采场内的平台进行表土覆盖、土地平整、土壤培肥、植树、撒播草籽等土地复垦工程。</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2</w:t>
            </w:r>
            <w:r>
              <w:rPr>
                <w:rFonts w:hAnsiTheme="minorEastAsia" w:eastAsiaTheme="minorEastAsia"/>
                <w:color w:val="000000" w:themeColor="text1"/>
                <w:sz w:val="24"/>
                <w:szCs w:val="24"/>
                <w14:textFill>
                  <w14:solidFill>
                    <w14:schemeClr w14:val="tx1"/>
                  </w14:solidFill>
                </w14:textFill>
              </w:rPr>
              <w:t>）排土场</w:t>
            </w:r>
          </w:p>
          <w:p>
            <w:pPr>
              <w:pStyle w:val="18"/>
              <w:spacing w:line="360" w:lineRule="auto"/>
              <w:ind w:firstLine="480"/>
              <w:rPr>
                <w:rFonts w:eastAsiaTheme="minorEastAsia"/>
                <w:color w:val="000000" w:themeColor="text1"/>
                <w:spacing w:val="4"/>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 1 \* GB3 </w:instrText>
            </w:r>
            <w:r>
              <w:rPr>
                <w:rFonts w:eastAsiaTheme="minorEastAsia"/>
                <w:color w:val="000000" w:themeColor="text1"/>
                <w:sz w:val="24"/>
                <w:szCs w:val="24"/>
                <w14:textFill>
                  <w14:solidFill>
                    <w14:schemeClr w14:val="tx1"/>
                  </w14:solidFill>
                </w14:textFill>
              </w:rPr>
              <w:fldChar w:fldCharType="separate"/>
            </w:r>
            <w:r>
              <w:rPr>
                <w:rFonts w:hAnsiTheme="minorEastAsia" w:eastAsiaTheme="minorEastAsia"/>
                <w:color w:val="000000" w:themeColor="text1"/>
                <w:sz w:val="24"/>
                <w:szCs w:val="24"/>
                <w14:textFill>
                  <w14:solidFill>
                    <w14:schemeClr w14:val="tx1"/>
                  </w14:solidFill>
                </w14:textFill>
              </w:rPr>
              <w:t>①</w:t>
            </w:r>
            <w:r>
              <w:rPr>
                <w:rFonts w:eastAsiaTheme="minorEastAsia"/>
                <w:color w:val="000000" w:themeColor="text1"/>
                <w:sz w:val="24"/>
                <w:szCs w:val="24"/>
                <w14:textFill>
                  <w14:solidFill>
                    <w14:schemeClr w14:val="tx1"/>
                  </w14:solidFill>
                </w14:textFill>
              </w:rPr>
              <w:fldChar w:fldCharType="end"/>
            </w:r>
            <w:r>
              <w:rPr>
                <w:rFonts w:hAnsiTheme="minorEastAsia" w:eastAsiaTheme="minorEastAsia"/>
                <w:color w:val="000000" w:themeColor="text1"/>
                <w:spacing w:val="4"/>
                <w:sz w:val="24"/>
                <w:szCs w:val="24"/>
                <w14:textFill>
                  <w14:solidFill>
                    <w14:schemeClr w14:val="tx1"/>
                  </w14:solidFill>
                </w14:textFill>
              </w:rPr>
              <w:t>废石合理有序堆放，可减少排土场占地面积。</w:t>
            </w:r>
          </w:p>
          <w:p>
            <w:pPr>
              <w:pStyle w:val="18"/>
              <w:spacing w:line="360" w:lineRule="auto"/>
              <w:ind w:firstLine="480"/>
              <w:rPr>
                <w:rFonts w:eastAsiaTheme="minorEastAsia"/>
                <w:color w:val="000000" w:themeColor="text1"/>
                <w:spacing w:val="4"/>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②</w:t>
            </w:r>
            <w:r>
              <w:rPr>
                <w:rFonts w:hAnsiTheme="minorEastAsia" w:eastAsiaTheme="minorEastAsia"/>
                <w:color w:val="000000" w:themeColor="text1"/>
                <w:spacing w:val="4"/>
                <w:sz w:val="24"/>
                <w:szCs w:val="24"/>
                <w14:textFill>
                  <w14:solidFill>
                    <w14:schemeClr w14:val="tx1"/>
                  </w14:solidFill>
                </w14:textFill>
              </w:rPr>
              <w:t>合理安排岩土排弃次序，将有利于植被恢复的岩土排放在上部。</w:t>
            </w:r>
          </w:p>
          <w:p>
            <w:pPr>
              <w:pStyle w:val="18"/>
              <w:spacing w:line="360" w:lineRule="auto"/>
              <w:ind w:firstLine="480"/>
              <w:rPr>
                <w:rFonts w:eastAsiaTheme="minorEastAsia"/>
                <w:color w:val="000000" w:themeColor="text1"/>
                <w:spacing w:val="4"/>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 3 \* GB3 </w:instrText>
            </w:r>
            <w:r>
              <w:rPr>
                <w:rFonts w:eastAsiaTheme="minorEastAsia"/>
                <w:color w:val="000000" w:themeColor="text1"/>
                <w:sz w:val="24"/>
                <w:szCs w:val="24"/>
                <w14:textFill>
                  <w14:solidFill>
                    <w14:schemeClr w14:val="tx1"/>
                  </w14:solidFill>
                </w14:textFill>
              </w:rPr>
              <w:fldChar w:fldCharType="separate"/>
            </w:r>
            <w:r>
              <w:rPr>
                <w:rFonts w:hAnsiTheme="minorEastAsia" w:eastAsiaTheme="minorEastAsia"/>
                <w:color w:val="000000" w:themeColor="text1"/>
                <w:sz w:val="24"/>
                <w:szCs w:val="24"/>
                <w14:textFill>
                  <w14:solidFill>
                    <w14:schemeClr w14:val="tx1"/>
                  </w14:solidFill>
                </w14:textFill>
              </w:rPr>
              <w:t>③</w:t>
            </w:r>
            <w:r>
              <w:rPr>
                <w:rFonts w:eastAsiaTheme="minorEastAsia"/>
                <w:color w:val="000000" w:themeColor="text1"/>
                <w:sz w:val="24"/>
                <w:szCs w:val="24"/>
                <w14:textFill>
                  <w14:solidFill>
                    <w14:schemeClr w14:val="tx1"/>
                  </w14:solidFill>
                </w14:textFill>
              </w:rPr>
              <w:fldChar w:fldCharType="end"/>
            </w:r>
            <w:r>
              <w:rPr>
                <w:rFonts w:hAnsiTheme="minorEastAsia" w:eastAsiaTheme="minorEastAsia"/>
                <w:color w:val="000000" w:themeColor="text1"/>
                <w:spacing w:val="4"/>
                <w:sz w:val="24"/>
                <w:szCs w:val="24"/>
                <w14:textFill>
                  <w14:solidFill>
                    <w14:schemeClr w14:val="tx1"/>
                  </w14:solidFill>
                </w14:textFill>
              </w:rPr>
              <w:t>排土场采取围挡措施</w:t>
            </w:r>
            <w:r>
              <w:rPr>
                <w:rFonts w:hint="eastAsia" w:hAnsiTheme="minorEastAsia" w:eastAsiaTheme="minorEastAsia"/>
                <w:color w:val="000000" w:themeColor="text1"/>
                <w:spacing w:val="4"/>
                <w:sz w:val="24"/>
                <w:szCs w:val="24"/>
                <w:lang w:eastAsia="zh-CN"/>
                <w14:textFill>
                  <w14:solidFill>
                    <w14:schemeClr w14:val="tx1"/>
                  </w14:solidFill>
                </w14:textFill>
              </w:rPr>
              <w:t>，</w:t>
            </w:r>
            <w:r>
              <w:rPr>
                <w:rFonts w:hint="eastAsia" w:hAnsiTheme="minorEastAsia" w:eastAsiaTheme="minorEastAsia"/>
                <w:color w:val="000000" w:themeColor="text1"/>
                <w:spacing w:val="4"/>
                <w:sz w:val="24"/>
                <w:szCs w:val="24"/>
                <w:lang w:val="en-US" w:eastAsia="zh-CN"/>
                <w14:textFill>
                  <w14:solidFill>
                    <w14:schemeClr w14:val="tx1"/>
                  </w14:solidFill>
                </w14:textFill>
              </w:rPr>
              <w:t>修建拦渣坝</w:t>
            </w:r>
            <w:r>
              <w:rPr>
                <w:rFonts w:hAnsiTheme="minorEastAsia" w:eastAsiaTheme="minorEastAsia"/>
                <w:color w:val="000000" w:themeColor="text1"/>
                <w:spacing w:val="4"/>
                <w:sz w:val="24"/>
                <w:szCs w:val="24"/>
                <w14:textFill>
                  <w14:solidFill>
                    <w14:schemeClr w14:val="tx1"/>
                  </w14:solidFill>
                </w14:textFill>
              </w:rPr>
              <w:t>。</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 4 \* GB3 </w:instrText>
            </w:r>
            <w:r>
              <w:rPr>
                <w:rFonts w:eastAsiaTheme="minorEastAsia"/>
                <w:color w:val="000000" w:themeColor="text1"/>
                <w:sz w:val="24"/>
                <w:szCs w:val="24"/>
                <w14:textFill>
                  <w14:solidFill>
                    <w14:schemeClr w14:val="tx1"/>
                  </w14:solidFill>
                </w14:textFill>
              </w:rPr>
              <w:fldChar w:fldCharType="separate"/>
            </w:r>
            <w:r>
              <w:rPr>
                <w:rFonts w:hAnsiTheme="minorEastAsia" w:eastAsiaTheme="minorEastAsia"/>
                <w:color w:val="000000" w:themeColor="text1"/>
                <w:sz w:val="24"/>
                <w:szCs w:val="24"/>
                <w14:textFill>
                  <w14:solidFill>
                    <w14:schemeClr w14:val="tx1"/>
                  </w14:solidFill>
                </w14:textFill>
              </w:rPr>
              <w:t>④</w:t>
            </w:r>
            <w:r>
              <w:rPr>
                <w:rFonts w:eastAsiaTheme="minorEastAsia"/>
                <w:color w:val="000000" w:themeColor="text1"/>
                <w:sz w:val="24"/>
                <w:szCs w:val="24"/>
                <w14:textFill>
                  <w14:solidFill>
                    <w14:schemeClr w14:val="tx1"/>
                  </w14:solidFill>
                </w14:textFill>
              </w:rPr>
              <w:fldChar w:fldCharType="end"/>
            </w:r>
            <w:r>
              <w:rPr>
                <w:rFonts w:hAnsiTheme="minorEastAsia" w:eastAsiaTheme="minorEastAsia"/>
                <w:color w:val="000000" w:themeColor="text1"/>
                <w:sz w:val="24"/>
                <w:szCs w:val="24"/>
                <w14:textFill>
                  <w14:solidFill>
                    <w14:schemeClr w14:val="tx1"/>
                  </w14:solidFill>
                </w14:textFill>
              </w:rPr>
              <w:t>排土场周围修建</w:t>
            </w:r>
            <w:r>
              <w:rPr>
                <w:rFonts w:hint="eastAsia" w:hAnsiTheme="minorEastAsia" w:eastAsiaTheme="minorEastAsia"/>
                <w:color w:val="000000" w:themeColor="text1"/>
                <w:sz w:val="24"/>
                <w:szCs w:val="24"/>
                <w:lang w:val="en-US" w:eastAsia="zh-CN"/>
                <w14:textFill>
                  <w14:solidFill>
                    <w14:schemeClr w14:val="tx1"/>
                  </w14:solidFill>
                </w14:textFill>
              </w:rPr>
              <w:t>导流渠</w:t>
            </w:r>
            <w:r>
              <w:rPr>
                <w:rFonts w:hint="eastAsia" w:hAnsiTheme="minorEastAsia" w:eastAsiaTheme="minorEastAsia"/>
                <w:color w:val="000000" w:themeColor="text1"/>
                <w:sz w:val="24"/>
                <w:szCs w:val="24"/>
                <w:lang w:eastAsia="zh-CN"/>
                <w14:textFill>
                  <w14:solidFill>
                    <w14:schemeClr w14:val="tx1"/>
                  </w14:solidFill>
                </w14:textFill>
              </w:rPr>
              <w:t>，</w:t>
            </w:r>
            <w:r>
              <w:rPr>
                <w:rFonts w:hint="eastAsia" w:hAnsiTheme="minorEastAsia" w:eastAsiaTheme="minorEastAsia"/>
                <w:color w:val="000000" w:themeColor="text1"/>
                <w:sz w:val="24"/>
                <w:szCs w:val="24"/>
                <w:lang w:val="en-US" w:eastAsia="zh-CN"/>
                <w14:textFill>
                  <w14:solidFill>
                    <w14:schemeClr w14:val="tx1"/>
                  </w14:solidFill>
                </w14:textFill>
              </w:rPr>
              <w:t>上方修建截水沟</w:t>
            </w:r>
            <w:r>
              <w:rPr>
                <w:rFonts w:hAnsiTheme="minorEastAsia" w:eastAsiaTheme="minorEastAsia"/>
                <w:color w:val="000000" w:themeColor="text1"/>
                <w:sz w:val="24"/>
                <w:szCs w:val="24"/>
                <w14:textFill>
                  <w14:solidFill>
                    <w14:schemeClr w14:val="tx1"/>
                  </w14:solidFill>
                </w14:textFill>
              </w:rPr>
              <w:t>。</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3</w:t>
            </w:r>
            <w:r>
              <w:rPr>
                <w:rFonts w:hAnsiTheme="minorEastAsia" w:eastAsiaTheme="minorEastAsia"/>
                <w:color w:val="000000" w:themeColor="text1"/>
                <w:sz w:val="24"/>
                <w:szCs w:val="24"/>
                <w14:textFill>
                  <w14:solidFill>
                    <w14:schemeClr w14:val="tx1"/>
                  </w14:solidFill>
                </w14:textFill>
              </w:rPr>
              <w:t>）矿山道路</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 1 \* GB3 </w:instrText>
            </w:r>
            <w:r>
              <w:rPr>
                <w:rFonts w:eastAsiaTheme="minorEastAsia"/>
                <w:color w:val="000000" w:themeColor="text1"/>
                <w:sz w:val="24"/>
                <w:szCs w:val="24"/>
                <w14:textFill>
                  <w14:solidFill>
                    <w14:schemeClr w14:val="tx1"/>
                  </w14:solidFill>
                </w14:textFill>
              </w:rPr>
              <w:fldChar w:fldCharType="separate"/>
            </w:r>
            <w:r>
              <w:rPr>
                <w:rFonts w:hAnsiTheme="minorEastAsia" w:eastAsiaTheme="minorEastAsia"/>
                <w:color w:val="000000" w:themeColor="text1"/>
                <w:sz w:val="24"/>
                <w:szCs w:val="24"/>
                <w14:textFill>
                  <w14:solidFill>
                    <w14:schemeClr w14:val="tx1"/>
                  </w14:solidFill>
                </w14:textFill>
              </w:rPr>
              <w:t>①</w:t>
            </w:r>
            <w:r>
              <w:rPr>
                <w:rFonts w:eastAsiaTheme="minorEastAsia"/>
                <w:color w:val="000000" w:themeColor="text1"/>
                <w:sz w:val="24"/>
                <w:szCs w:val="24"/>
                <w14:textFill>
                  <w14:solidFill>
                    <w14:schemeClr w14:val="tx1"/>
                  </w14:solidFill>
                </w14:textFill>
              </w:rPr>
              <w:fldChar w:fldCharType="end"/>
            </w:r>
            <w:r>
              <w:rPr>
                <w:rFonts w:hAnsiTheme="minorEastAsia" w:eastAsiaTheme="minorEastAsia"/>
                <w:color w:val="000000" w:themeColor="text1"/>
                <w:sz w:val="24"/>
                <w:szCs w:val="24"/>
                <w14:textFill>
                  <w14:solidFill>
                    <w14:schemeClr w14:val="tx1"/>
                  </w14:solidFill>
                </w14:textFill>
              </w:rPr>
              <w:t>加强对矿区道路的边坡防护，道路导排水沟必须完善，减少水土流失。</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②运输车辆必须科学装载，严禁超载，车辆必须覆盖，防止运送物料沿途洒落，占压道路沿线植被。</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 3 \* GB3 </w:instrText>
            </w:r>
            <w:r>
              <w:rPr>
                <w:rFonts w:eastAsiaTheme="minorEastAsia"/>
                <w:color w:val="000000" w:themeColor="text1"/>
                <w:sz w:val="24"/>
                <w:szCs w:val="24"/>
                <w14:textFill>
                  <w14:solidFill>
                    <w14:schemeClr w14:val="tx1"/>
                  </w14:solidFill>
                </w14:textFill>
              </w:rPr>
              <w:fldChar w:fldCharType="separate"/>
            </w:r>
            <w:r>
              <w:rPr>
                <w:rFonts w:hAnsiTheme="minorEastAsia" w:eastAsiaTheme="minorEastAsia"/>
                <w:color w:val="000000" w:themeColor="text1"/>
                <w:sz w:val="24"/>
                <w:szCs w:val="24"/>
                <w14:textFill>
                  <w14:solidFill>
                    <w14:schemeClr w14:val="tx1"/>
                  </w14:solidFill>
                </w14:textFill>
              </w:rPr>
              <w:t>③</w:t>
            </w:r>
            <w:r>
              <w:rPr>
                <w:rFonts w:eastAsiaTheme="minorEastAsia"/>
                <w:color w:val="000000" w:themeColor="text1"/>
                <w:sz w:val="24"/>
                <w:szCs w:val="24"/>
                <w14:textFill>
                  <w14:solidFill>
                    <w14:schemeClr w14:val="tx1"/>
                  </w14:solidFill>
                </w14:textFill>
              </w:rPr>
              <w:fldChar w:fldCharType="end"/>
            </w:r>
            <w:r>
              <w:rPr>
                <w:rFonts w:hAnsiTheme="minorEastAsia" w:eastAsiaTheme="minorEastAsia"/>
                <w:color w:val="000000" w:themeColor="text1"/>
                <w:sz w:val="24"/>
                <w:szCs w:val="24"/>
                <w14:textFill>
                  <w14:solidFill>
                    <w14:schemeClr w14:val="tx1"/>
                  </w14:solidFill>
                </w14:textFill>
              </w:rPr>
              <w:t>矿山运矿道路两侧沿线植树绿化。</w:t>
            </w:r>
          </w:p>
          <w:p>
            <w:pPr>
              <w:pStyle w:val="18"/>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B</w:t>
            </w:r>
            <w:r>
              <w:rPr>
                <w:rFonts w:hAnsiTheme="minorEastAsia" w:eastAsiaTheme="minorEastAsia"/>
                <w:color w:val="000000" w:themeColor="text1"/>
                <w:sz w:val="24"/>
                <w:szCs w:val="24"/>
                <w14:textFill>
                  <w14:solidFill>
                    <w14:schemeClr w14:val="tx1"/>
                  </w14:solidFill>
                </w14:textFill>
              </w:rPr>
              <w:t>、闭矿期生态环境恢复措施</w:t>
            </w:r>
          </w:p>
          <w:p>
            <w:pPr>
              <w:pStyle w:val="52"/>
              <w:spacing w:line="360" w:lineRule="auto"/>
              <w:ind w:firstLine="566" w:firstLineChars="236"/>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辉绿岩场服务期满闭矿后，主要环境</w:t>
            </w:r>
            <w:r>
              <w:rPr>
                <w:rFonts w:hint="eastAsia" w:cs="Times New Roman" w:eastAsiaTheme="minorEastAsia"/>
                <w:color w:val="000000" w:themeColor="text1"/>
                <w:lang w:val="en-US" w:eastAsia="zh-CN"/>
                <w14:textFill>
                  <w14:solidFill>
                    <w14:schemeClr w14:val="tx1"/>
                  </w14:solidFill>
                </w14:textFill>
              </w:rPr>
              <w:t>保护</w:t>
            </w:r>
            <w:r>
              <w:rPr>
                <w:rFonts w:hint="default" w:ascii="Times New Roman" w:hAnsi="Times New Roman" w:cs="Times New Roman" w:eastAsiaTheme="minorEastAsia"/>
                <w:color w:val="000000" w:themeColor="text1"/>
                <w:lang w:val="en-US" w:eastAsia="zh-CN"/>
                <w14:textFill>
                  <w14:solidFill>
                    <w14:schemeClr w14:val="tx1"/>
                  </w14:solidFill>
                </w14:textFill>
              </w:rPr>
              <w:t>工作为环境功能的恢复，</w:t>
            </w:r>
            <w:r>
              <w:rPr>
                <w:rFonts w:hint="eastAsia" w:cs="Times New Roman" w:eastAsiaTheme="minorEastAsia"/>
                <w:color w:val="000000" w:themeColor="text1"/>
                <w:lang w:val="en-US" w:eastAsia="zh-CN"/>
                <w14:textFill>
                  <w14:solidFill>
                    <w14:schemeClr w14:val="tx1"/>
                  </w14:solidFill>
                </w14:textFill>
              </w:rPr>
              <w:t>具体</w:t>
            </w:r>
            <w:r>
              <w:rPr>
                <w:rFonts w:hint="default" w:ascii="Times New Roman" w:hAnsi="Times New Roman" w:cs="Times New Roman" w:eastAsiaTheme="minorEastAsia"/>
                <w:color w:val="000000" w:themeColor="text1"/>
                <w:lang w:val="en-US" w:eastAsia="zh-CN"/>
                <w14:textFill>
                  <w14:solidFill>
                    <w14:schemeClr w14:val="tx1"/>
                  </w14:solidFill>
                </w14:textFill>
              </w:rPr>
              <w:t>恢复措施如下：</w:t>
            </w:r>
          </w:p>
          <w:p>
            <w:pPr>
              <w:pStyle w:val="52"/>
              <w:spacing w:line="360" w:lineRule="auto"/>
              <w:ind w:firstLine="566" w:firstLineChars="236"/>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（1）拆除地面建设和设施，对于部分较有利用价值的建筑可交付当地村民使用，减少资源的浪费。对建设压覆的土地进行复垦，恢复生态功能。</w:t>
            </w:r>
          </w:p>
          <w:p>
            <w:pPr>
              <w:pStyle w:val="52"/>
              <w:spacing w:line="360" w:lineRule="auto"/>
              <w:ind w:firstLine="566" w:firstLineChars="236"/>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2）辉绿岩场生态恢复的核心是土地复垦和植被恢复。辉绿岩矿露天开采生态环境的影响很大，为遏制水土流失，同时保护、恢复、补偿生态系统，保障水土资源持续利用，建设单位应编制生态环境保护计划及水土保持方案，采取积极可靠的生态环境保护措施，采用预防措施和治理措施相结合、工程措施和生物措施相结合的方法，把对生态环境的影响减至最低限度。根据辉绿岩矿场土地复垦的生态学基本原理，本项目闭矿期土地复垦可遵循以下</w:t>
            </w:r>
            <w:r>
              <w:rPr>
                <w:rFonts w:hint="eastAsia" w:cs="Times New Roman" w:eastAsiaTheme="minorEastAsia"/>
                <w:color w:val="000000" w:themeColor="text1"/>
                <w:lang w:val="en-US" w:eastAsia="zh-CN"/>
                <w14:textFill>
                  <w14:solidFill>
                    <w14:schemeClr w14:val="tx1"/>
                  </w14:solidFill>
                </w14:textFill>
              </w:rPr>
              <w:t>几个</w:t>
            </w:r>
            <w:r>
              <w:rPr>
                <w:rFonts w:hint="default" w:ascii="Times New Roman" w:hAnsi="Times New Roman" w:cs="Times New Roman" w:eastAsiaTheme="minorEastAsia"/>
                <w:color w:val="000000" w:themeColor="text1"/>
                <w:lang w:val="en-US" w:eastAsia="zh-CN"/>
                <w14:textFill>
                  <w14:solidFill>
                    <w14:schemeClr w14:val="tx1"/>
                  </w14:solidFill>
                </w14:textFill>
              </w:rPr>
              <w:t>方面开展工作，以加速生态演替的过程。</w:t>
            </w:r>
          </w:p>
          <w:p>
            <w:pPr>
              <w:pStyle w:val="52"/>
              <w:spacing w:line="360" w:lineRule="auto"/>
              <w:ind w:firstLine="566" w:firstLineChars="236"/>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①项目严格按照辉绿岩场地质环境恢复治理与土地复垦方案进行生态恢复及土地复垦。对形成凹陷的采坑进行回填，回填至与周围地表平齐，底部平台播撒黄豆复垦为旱地，开采台阶种植桉树，边坡</w:t>
            </w:r>
            <w:r>
              <w:rPr>
                <w:rFonts w:hint="eastAsia" w:cs="Times New Roman" w:eastAsiaTheme="minorEastAsia"/>
                <w:color w:val="000000" w:themeColor="text1"/>
                <w:lang w:val="en-US" w:eastAsia="zh-CN"/>
                <w14:textFill>
                  <w14:solidFill>
                    <w14:schemeClr w14:val="tx1"/>
                  </w14:solidFill>
                </w14:textFill>
              </w:rPr>
              <w:t>播撒</w:t>
            </w:r>
            <w:r>
              <w:rPr>
                <w:rFonts w:hint="default" w:ascii="Times New Roman" w:hAnsi="Times New Roman" w:cs="Times New Roman" w:eastAsiaTheme="minorEastAsia"/>
                <w:color w:val="000000" w:themeColor="text1"/>
                <w:lang w:val="en-US" w:eastAsia="zh-CN"/>
                <w14:textFill>
                  <w14:solidFill>
                    <w14:schemeClr w14:val="tx1"/>
                  </w14:solidFill>
                </w14:textFill>
              </w:rPr>
              <w:t>草籽，恢复地形地貌和地表植破。</w:t>
            </w:r>
          </w:p>
          <w:p>
            <w:pPr>
              <w:pStyle w:val="52"/>
              <w:spacing w:line="360" w:lineRule="auto"/>
              <w:ind w:firstLine="566" w:firstLineChars="236"/>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②采取措施进行土壤基质改良，并辅之一定的水肥措施，加快土壤培肥速度；土壤改良到一定程度后，发展多种作物与耐旱树种，因地制宜的综合利用。</w:t>
            </w:r>
          </w:p>
          <w:p>
            <w:pPr>
              <w:pStyle w:val="52"/>
              <w:spacing w:line="360" w:lineRule="auto"/>
              <w:ind w:firstLine="566" w:firstLineChars="236"/>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③服务期满后应暂时保留矿区排水沟及沉淀池以减轻水土流失影响。</w:t>
            </w:r>
          </w:p>
          <w:p>
            <w:pPr>
              <w:pStyle w:val="52"/>
              <w:spacing w:line="360" w:lineRule="auto"/>
              <w:ind w:firstLine="566" w:firstLineChars="236"/>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④</w:t>
            </w:r>
            <w:r>
              <w:rPr>
                <w:rFonts w:hint="default" w:ascii="Times New Roman" w:hAnsi="Times New Roman" w:cs="Times New Roman" w:eastAsiaTheme="minorEastAsia"/>
                <w:color w:val="000000" w:themeColor="text1"/>
                <w:lang w:val="en-US" w:eastAsia="zh-CN"/>
                <w14:textFill>
                  <w14:solidFill>
                    <w14:schemeClr w14:val="tx1"/>
                  </w14:solidFill>
                </w14:textFill>
              </w:rPr>
              <w:t>制定辉绿岩场生态恢复计划。</w:t>
            </w:r>
          </w:p>
          <w:p>
            <w:pPr>
              <w:pStyle w:val="52"/>
              <w:spacing w:line="360" w:lineRule="auto"/>
              <w:ind w:firstLine="566" w:firstLineChars="236"/>
              <w:rPr>
                <w:rFonts w:hint="default" w:ascii="Times New Roman" w:cs="Times New Roman" w:hAnsiTheme="minorEastAsia"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(3）辉绿岩场服务期满闭矿后，无污水、大气污染物、固体废物、生产噪声等环境影响因素产生，运营期对环境产生的影响将逐渐消失，露天采矿造成的采场内水环境、大气环境、声环境、生态环境的破坏将由强转弱，最终形成新的</w:t>
            </w:r>
            <w:r>
              <w:rPr>
                <w:rFonts w:hint="default" w:ascii="Times New Roman" w:cs="Times New Roman" w:hAnsiTheme="minorEastAsia" w:eastAsiaTheme="minorEastAsia"/>
                <w:color w:val="000000" w:themeColor="text1"/>
                <w:lang w:val="en-US" w:eastAsia="zh-CN"/>
                <w14:textFill>
                  <w14:solidFill>
                    <w14:schemeClr w14:val="tx1"/>
                  </w14:solidFill>
                </w14:textFill>
              </w:rPr>
              <w:t>生态平衡。</w:t>
            </w:r>
          </w:p>
          <w:p>
            <w:pPr>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6</w:t>
            </w:r>
            <w:r>
              <w:rPr>
                <w:rFonts w:hAnsiTheme="minorEastAsia" w:eastAsiaTheme="minorEastAsia"/>
                <w:b/>
                <w:color w:val="000000" w:themeColor="text1"/>
                <w:sz w:val="24"/>
                <w14:textFill>
                  <w14:solidFill>
                    <w14:schemeClr w14:val="tx1"/>
                  </w14:solidFill>
                </w14:textFill>
              </w:rPr>
              <w:t>、环境风险性影响分析</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AnsiTheme="minorEastAsia" w:eastAsiaTheme="minorEastAsia"/>
                <w:color w:val="000000" w:themeColor="text1"/>
                <w:sz w:val="24"/>
                <w14:textFill>
                  <w14:solidFill>
                    <w14:schemeClr w14:val="tx1"/>
                  </w14:solidFill>
                </w14:textFill>
              </w:rPr>
              <w:t>）重大危险源辨识</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本项目不设爆破器材库，该项目所用爆破物品由</w:t>
            </w:r>
            <w:r>
              <w:rPr>
                <w:rFonts w:hint="eastAsia" w:hAnsiTheme="minorEastAsia" w:eastAsiaTheme="minorEastAsia"/>
                <w:color w:val="000000" w:themeColor="text1"/>
                <w:sz w:val="24"/>
                <w14:textFill>
                  <w14:solidFill>
                    <w14:schemeClr w14:val="tx1"/>
                  </w14:solidFill>
                </w14:textFill>
              </w:rPr>
              <w:t>安康</w:t>
            </w:r>
            <w:r>
              <w:rPr>
                <w:rFonts w:hAnsiTheme="minorEastAsia" w:eastAsiaTheme="minorEastAsia"/>
                <w:color w:val="000000" w:themeColor="text1"/>
                <w:sz w:val="24"/>
                <w14:textFill>
                  <w14:solidFill>
                    <w14:schemeClr w14:val="tx1"/>
                  </w14:solidFill>
                </w14:textFill>
              </w:rPr>
              <w:t>恒泰爆破有限公司根据企业当天所需用量负责运至爆破作业现场，剩余爆破器材由</w:t>
            </w:r>
            <w:r>
              <w:rPr>
                <w:rFonts w:hint="eastAsia" w:hAnsiTheme="minorEastAsia" w:eastAsiaTheme="minorEastAsia"/>
                <w:color w:val="000000" w:themeColor="text1"/>
                <w:sz w:val="24"/>
                <w14:textFill>
                  <w14:solidFill>
                    <w14:schemeClr w14:val="tx1"/>
                  </w14:solidFill>
                </w14:textFill>
              </w:rPr>
              <w:t>安康</w:t>
            </w:r>
            <w:r>
              <w:rPr>
                <w:rFonts w:hAnsiTheme="minorEastAsia" w:eastAsiaTheme="minorEastAsia"/>
                <w:color w:val="000000" w:themeColor="text1"/>
                <w:sz w:val="24"/>
                <w14:textFill>
                  <w14:solidFill>
                    <w14:schemeClr w14:val="tx1"/>
                  </w14:solidFill>
                </w14:textFill>
              </w:rPr>
              <w:t>恒泰爆破有限公司当天统一收回。本项目风险源主要为露天采场、排土场。露天采场、排土场不涉及《危险化学品重大危险源辨识》（</w:t>
            </w:r>
            <w:r>
              <w:rPr>
                <w:rFonts w:eastAsiaTheme="minorEastAsia"/>
                <w:color w:val="000000" w:themeColor="text1"/>
                <w:sz w:val="24"/>
                <w14:textFill>
                  <w14:solidFill>
                    <w14:schemeClr w14:val="tx1"/>
                  </w14:solidFill>
                </w14:textFill>
              </w:rPr>
              <w:t>GB18218-20</w:t>
            </w:r>
            <w:r>
              <w:rPr>
                <w:rFonts w:hint="eastAsia" w:eastAsiaTheme="minorEastAsia"/>
                <w:color w:val="000000" w:themeColor="text1"/>
                <w:sz w:val="24"/>
                <w:lang w:val="en-US" w:eastAsia="zh-CN"/>
                <w14:textFill>
                  <w14:solidFill>
                    <w14:schemeClr w14:val="tx1"/>
                  </w14:solidFill>
                </w14:textFill>
              </w:rPr>
              <w:t>18</w:t>
            </w:r>
            <w:r>
              <w:rPr>
                <w:rFonts w:hAnsiTheme="minorEastAsia" w:eastAsiaTheme="minorEastAsia"/>
                <w:color w:val="000000" w:themeColor="text1"/>
                <w:sz w:val="24"/>
                <w14:textFill>
                  <w14:solidFill>
                    <w14:schemeClr w14:val="tx1"/>
                  </w14:solidFill>
                </w14:textFill>
              </w:rPr>
              <w:t>）中所列举的各种危险物质。不属于《关于开展重大危险源监督管理工作的指导意见》（安监管协调字【</w:t>
            </w:r>
            <w:r>
              <w:rPr>
                <w:rFonts w:eastAsiaTheme="minorEastAsia"/>
                <w:color w:val="000000" w:themeColor="text1"/>
                <w:sz w:val="24"/>
                <w14:textFill>
                  <w14:solidFill>
                    <w14:schemeClr w14:val="tx1"/>
                  </w14:solidFill>
                </w14:textFill>
              </w:rPr>
              <w:t>2004</w:t>
            </w: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56</w:t>
            </w:r>
            <w:r>
              <w:rPr>
                <w:rFonts w:hAnsiTheme="minorEastAsia" w:eastAsiaTheme="minorEastAsia"/>
                <w:color w:val="000000" w:themeColor="text1"/>
                <w:sz w:val="24"/>
                <w14:textFill>
                  <w14:solidFill>
                    <w14:schemeClr w14:val="tx1"/>
                  </w14:solidFill>
                </w14:textFill>
              </w:rPr>
              <w:t>号）中所列举的项目，因此露天采场、排土场和细料堆场建成后均不构成重大危险源。经现场调查，评价区内无自然保护区、风景名胜区等需要特殊保护的敏感区。</w:t>
            </w:r>
          </w:p>
          <w:p>
            <w:pPr>
              <w:spacing w:line="360" w:lineRule="auto"/>
              <w:ind w:firstLine="482"/>
              <w:rPr>
                <w:rFonts w:eastAsiaTheme="minorEastAsia"/>
                <w:b/>
                <w:bCs/>
                <w:color w:val="000000" w:themeColor="text1"/>
                <w:sz w:val="24"/>
                <w14:textFill>
                  <w14:solidFill>
                    <w14:schemeClr w14:val="tx1"/>
                  </w14:solidFill>
                </w14:textFill>
              </w:rPr>
            </w:pPr>
            <w:r>
              <w:rPr>
                <w:rFonts w:hint="eastAsia" w:hAnsiTheme="minorEastAsia" w:eastAsiaTheme="minorEastAsia"/>
                <w:b/>
                <w:bCs/>
                <w:color w:val="000000" w:themeColor="text1"/>
                <w:sz w:val="24"/>
                <w14:textFill>
                  <w14:solidFill>
                    <w14:schemeClr w14:val="tx1"/>
                  </w14:solidFill>
                </w14:textFill>
              </w:rPr>
              <w:t>7</w:t>
            </w:r>
            <w:r>
              <w:rPr>
                <w:rFonts w:hAnsiTheme="minorEastAsia" w:eastAsiaTheme="minorEastAsia"/>
                <w:b/>
                <w:bCs/>
                <w:color w:val="000000" w:themeColor="text1"/>
                <w:sz w:val="24"/>
                <w14:textFill>
                  <w14:solidFill>
                    <w14:schemeClr w14:val="tx1"/>
                  </w14:solidFill>
                </w14:textFill>
              </w:rPr>
              <w:t>、环境风险评估</w:t>
            </w:r>
          </w:p>
          <w:p>
            <w:pPr>
              <w:autoSpaceDE w:val="0"/>
              <w:autoSpaceDN w:val="0"/>
              <w:spacing w:line="360" w:lineRule="auto"/>
              <w:ind w:firstLine="480" w:firstLineChars="200"/>
              <w:jc w:val="left"/>
              <w:rPr>
                <w:rFonts w:eastAsiaTheme="minorEastAsia"/>
                <w:color w:val="000000" w:themeColor="text1"/>
                <w:kern w:val="0"/>
                <w:sz w:val="24"/>
                <w14:textFill>
                  <w14:solidFill>
                    <w14:schemeClr w14:val="tx1"/>
                  </w14:solidFill>
                </w14:textFill>
              </w:rPr>
            </w:pPr>
            <w:r>
              <w:rPr>
                <w:rFonts w:hAnsiTheme="minor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1</w:t>
            </w:r>
            <w:r>
              <w:rPr>
                <w:rFonts w:hAnsiTheme="minorEastAsia" w:eastAsiaTheme="minorEastAsia"/>
                <w:color w:val="000000" w:themeColor="text1"/>
                <w:kern w:val="0"/>
                <w:sz w:val="24"/>
                <w14:textFill>
                  <w14:solidFill>
                    <w14:schemeClr w14:val="tx1"/>
                  </w14:solidFill>
                </w14:textFill>
              </w:rPr>
              <w:t>）评价依据</w:t>
            </w:r>
          </w:p>
          <w:p>
            <w:pPr>
              <w:pStyle w:val="47"/>
              <w:adjustRightInd w:val="0"/>
              <w:snapToGrid w:val="0"/>
              <w:ind w:firstLine="482" w:firstLineChars="0"/>
              <w:rPr>
                <w:rFonts w:ascii="Times New Roman" w:hAnsi="Times New Roman" w:cs="Times New Roman" w:eastAsiaTheme="minorEastAsia"/>
                <w:bCs/>
                <w:color w:val="000000" w:themeColor="text1"/>
                <w14:textFill>
                  <w14:solidFill>
                    <w14:schemeClr w14:val="tx1"/>
                  </w14:solidFill>
                </w14:textFill>
              </w:rPr>
            </w:pPr>
            <w:r>
              <w:rPr>
                <w:rFonts w:ascii="Times New Roman" w:cs="Times New Roman" w:hAnsiTheme="minorEastAsia" w:eastAsiaTheme="minorEastAsia"/>
                <w:color w:val="000000" w:themeColor="text1"/>
                <w14:textFill>
                  <w14:solidFill>
                    <w14:schemeClr w14:val="tx1"/>
                  </w14:solidFill>
                </w14:textFill>
              </w:rPr>
              <w:t>本项目矿区不设爆破器材临时存放点。爆破作业由</w:t>
            </w:r>
            <w:r>
              <w:rPr>
                <w:rFonts w:hint="eastAsia" w:hAnsiTheme="minorEastAsia" w:eastAsiaTheme="minorEastAsia"/>
                <w:color w:val="000000" w:themeColor="text1"/>
                <w14:textFill>
                  <w14:solidFill>
                    <w14:schemeClr w14:val="tx1"/>
                  </w14:solidFill>
                </w14:textFill>
              </w:rPr>
              <w:t>安康</w:t>
            </w:r>
            <w:r>
              <w:rPr>
                <w:rFonts w:hAnsiTheme="minorEastAsia" w:eastAsiaTheme="minorEastAsia"/>
                <w:color w:val="000000" w:themeColor="text1"/>
                <w14:textFill>
                  <w14:solidFill>
                    <w14:schemeClr w14:val="tx1"/>
                  </w14:solidFill>
                </w14:textFill>
              </w:rPr>
              <w:t>恒泰爆破服务有限公司</w:t>
            </w:r>
            <w:r>
              <w:rPr>
                <w:rFonts w:ascii="Times New Roman" w:cs="Times New Roman" w:hAnsiTheme="minorEastAsia" w:eastAsiaTheme="minorEastAsia"/>
                <w:color w:val="000000" w:themeColor="text1"/>
                <w14:textFill>
                  <w14:solidFill>
                    <w14:schemeClr w14:val="tx1"/>
                  </w14:solidFill>
                </w14:textFill>
              </w:rPr>
              <w:t>负责，本项目爆破最大用药量为</w:t>
            </w:r>
            <w:r>
              <w:rPr>
                <w:rFonts w:ascii="Times New Roman" w:hAnsi="Times New Roman" w:cs="Times New Roman" w:eastAsiaTheme="minorEastAsia"/>
                <w:color w:val="000000" w:themeColor="text1"/>
                <w14:textFill>
                  <w14:solidFill>
                    <w14:schemeClr w14:val="tx1"/>
                  </w14:solidFill>
                </w14:textFill>
              </w:rPr>
              <w:t>0.</w:t>
            </w:r>
            <w:r>
              <w:rPr>
                <w:rFonts w:hint="eastAsia" w:ascii="Times New Roman" w:hAnsi="Times New Roman" w:cs="Times New Roman" w:eastAsiaTheme="minorEastAsia"/>
                <w:color w:val="000000" w:themeColor="text1"/>
                <w14:textFill>
                  <w14:solidFill>
                    <w14:schemeClr w14:val="tx1"/>
                  </w14:solidFill>
                </w14:textFill>
              </w:rPr>
              <w:t>3</w:t>
            </w:r>
            <w:r>
              <w:rPr>
                <w:rFonts w:ascii="Times New Roman" w:hAnsi="Times New Roman" w:cs="Times New Roman" w:eastAsiaTheme="minorEastAsia"/>
                <w:color w:val="000000" w:themeColor="text1"/>
                <w14:textFill>
                  <w14:solidFill>
                    <w14:schemeClr w14:val="tx1"/>
                  </w14:solidFill>
                </w14:textFill>
              </w:rPr>
              <w:t>t/</w:t>
            </w:r>
            <w:r>
              <w:rPr>
                <w:rFonts w:ascii="Times New Roman" w:cs="Times New Roman" w:hAnsiTheme="minorEastAsia" w:eastAsiaTheme="minorEastAsia"/>
                <w:color w:val="000000" w:themeColor="text1"/>
                <w14:textFill>
                  <w14:solidFill>
                    <w14:schemeClr w14:val="tx1"/>
                  </w14:solidFill>
                </w14:textFill>
              </w:rPr>
              <w:t>次，本项目按照爆破最大用药量进行风险评估，</w:t>
            </w:r>
            <w:r>
              <w:rPr>
                <w:rFonts w:ascii="Times New Roman" w:cs="Times New Roman" w:hAnsiTheme="minorEastAsia" w:eastAsiaTheme="minorEastAsia"/>
                <w:bCs/>
                <w:color w:val="000000" w:themeColor="text1"/>
                <w14:textFill>
                  <w14:solidFill>
                    <w14:schemeClr w14:val="tx1"/>
                  </w14:solidFill>
                </w14:textFill>
              </w:rPr>
              <w:t>本项目设备、车辆维修时会产生少量的废机油，</w:t>
            </w:r>
            <w:r>
              <w:rPr>
                <w:rFonts w:ascii="Times New Roman" w:cs="Times New Roman" w:hAnsiTheme="minorEastAsia" w:eastAsiaTheme="minorEastAsia"/>
                <w:color w:val="000000" w:themeColor="text1"/>
                <w:spacing w:val="-3"/>
                <w14:textFill>
                  <w14:solidFill>
                    <w14:schemeClr w14:val="tx1"/>
                  </w14:solidFill>
                </w14:textFill>
              </w:rPr>
              <w:t>产生量约为</w:t>
            </w:r>
            <w:r>
              <w:rPr>
                <w:rFonts w:ascii="Times New Roman" w:hAnsi="Times New Roman" w:cs="Times New Roman" w:eastAsiaTheme="minorEastAsia"/>
                <w:color w:val="auto"/>
                <w:spacing w:val="-3"/>
              </w:rPr>
              <w:t>0.01t/a</w:t>
            </w:r>
            <w:r>
              <w:rPr>
                <w:rFonts w:ascii="Times New Roman" w:cs="Times New Roman" w:hAnsiTheme="minorEastAsia" w:eastAsiaTheme="minorEastAsia"/>
                <w:color w:val="auto"/>
                <w:spacing w:val="-3"/>
              </w:rPr>
              <w:t>。</w:t>
            </w:r>
            <w:r>
              <w:rPr>
                <w:rFonts w:ascii="Times New Roman" w:cs="Times New Roman" w:hAnsiTheme="minorEastAsia" w:eastAsiaTheme="minorEastAsia"/>
                <w:bCs/>
                <w:color w:val="000000" w:themeColor="text1"/>
                <w14:textFill>
                  <w14:solidFill>
                    <w14:schemeClr w14:val="tx1"/>
                  </w14:solidFill>
                </w14:textFill>
              </w:rPr>
              <w:t>拟由设备厂商对设备进行专业维修后对其做回收处理，不在厂区内存放。</w:t>
            </w:r>
          </w:p>
          <w:p>
            <w:pPr>
              <w:spacing w:line="360" w:lineRule="auto"/>
              <w:ind w:firstLine="480" w:firstLineChars="200"/>
              <w:rPr>
                <w:rFonts w:eastAsiaTheme="minorEastAsia"/>
                <w:color w:val="000000" w:themeColor="text1"/>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建设项目</w:t>
            </w:r>
            <w:r>
              <w:rPr>
                <w:rFonts w:eastAsiaTheme="minorEastAsia"/>
                <w:color w:val="000000" w:themeColor="text1"/>
                <w:sz w:val="24"/>
                <w14:textFill>
                  <w14:solidFill>
                    <w14:schemeClr w14:val="tx1"/>
                  </w14:solidFill>
                </w14:textFill>
              </w:rPr>
              <w:t>Q</w:t>
            </w:r>
            <w:r>
              <w:rPr>
                <w:rFonts w:hAnsiTheme="minorEastAsia" w:eastAsiaTheme="minorEastAsia"/>
                <w:color w:val="000000" w:themeColor="text1"/>
                <w:sz w:val="24"/>
                <w14:textFill>
                  <w14:solidFill>
                    <w14:schemeClr w14:val="tx1"/>
                  </w14:solidFill>
                </w14:textFill>
              </w:rPr>
              <w:t>值确定表见表</w:t>
            </w:r>
            <w:r>
              <w:rPr>
                <w:rFonts w:hint="eastAsia" w:eastAsiaTheme="minorEastAsia"/>
                <w:color w:val="000000" w:themeColor="text1"/>
                <w:sz w:val="24"/>
                <w:lang w:val="en-US" w:eastAsia="zh-CN"/>
                <w14:textFill>
                  <w14:solidFill>
                    <w14:schemeClr w14:val="tx1"/>
                  </w14:solidFill>
                </w14:textFill>
              </w:rPr>
              <w:t>38</w:t>
            </w:r>
            <w:r>
              <w:rPr>
                <w:rFonts w:hAnsiTheme="minorEastAsia" w:eastAsiaTheme="minorEastAsia"/>
                <w:color w:val="000000" w:themeColor="text1"/>
                <w:sz w:val="24"/>
                <w14:textFill>
                  <w14:solidFill>
                    <w14:schemeClr w14:val="tx1"/>
                  </w14:solidFill>
                </w14:textFill>
              </w:rPr>
              <w:t>。</w:t>
            </w:r>
          </w:p>
          <w:p>
            <w:pPr>
              <w:tabs>
                <w:tab w:val="left" w:pos="3030"/>
              </w:tabs>
              <w:spacing w:line="360" w:lineRule="auto"/>
              <w:jc w:val="center"/>
              <w:rPr>
                <w:rFonts w:eastAsiaTheme="minorEastAsia"/>
                <w:b/>
                <w:bCs/>
                <w:color w:val="000000" w:themeColor="text1"/>
                <w:sz w:val="21"/>
                <w:szCs w:val="21"/>
                <w14:textFill>
                  <w14:solidFill>
                    <w14:schemeClr w14:val="tx1"/>
                  </w14:solidFill>
                </w14:textFill>
              </w:rPr>
            </w:pPr>
            <w:r>
              <w:rPr>
                <w:rFonts w:hAnsiTheme="minorEastAsia" w:eastAsiaTheme="minorEastAsia"/>
                <w:b/>
                <w:bCs/>
                <w:color w:val="000000" w:themeColor="text1"/>
                <w:sz w:val="21"/>
                <w:szCs w:val="21"/>
                <w14:textFill>
                  <w14:solidFill>
                    <w14:schemeClr w14:val="tx1"/>
                  </w14:solidFill>
                </w14:textFill>
              </w:rPr>
              <w:t>表</w:t>
            </w:r>
            <w:r>
              <w:rPr>
                <w:rFonts w:hint="eastAsia" w:eastAsiaTheme="minorEastAsia"/>
                <w:b/>
                <w:bCs/>
                <w:color w:val="000000" w:themeColor="text1"/>
                <w:sz w:val="21"/>
                <w:szCs w:val="21"/>
                <w:lang w:val="en-US" w:eastAsia="zh-CN"/>
                <w14:textFill>
                  <w14:solidFill>
                    <w14:schemeClr w14:val="tx1"/>
                  </w14:solidFill>
                </w14:textFill>
              </w:rPr>
              <w:t>38</w:t>
            </w:r>
            <w:r>
              <w:rPr>
                <w:rFonts w:hint="eastAsia" w:eastAsiaTheme="minorEastAsia"/>
                <w:b/>
                <w:bCs/>
                <w:color w:val="000000" w:themeColor="text1"/>
                <w:sz w:val="21"/>
                <w:szCs w:val="21"/>
                <w14:textFill>
                  <w14:solidFill>
                    <w14:schemeClr w14:val="tx1"/>
                  </w14:solidFill>
                </w14:textFill>
              </w:rPr>
              <w:t xml:space="preserve"> </w:t>
            </w:r>
            <w:r>
              <w:rPr>
                <w:rFonts w:hAnsiTheme="minorEastAsia" w:eastAsiaTheme="minorEastAsia"/>
                <w:b/>
                <w:bCs/>
                <w:color w:val="000000" w:themeColor="text1"/>
                <w:sz w:val="21"/>
                <w:szCs w:val="21"/>
                <w14:textFill>
                  <w14:solidFill>
                    <w14:schemeClr w14:val="tx1"/>
                  </w14:solidFill>
                </w14:textFill>
              </w:rPr>
              <w:t>建设项目</w:t>
            </w:r>
            <w:r>
              <w:rPr>
                <w:rFonts w:eastAsiaTheme="minorEastAsia"/>
                <w:b/>
                <w:bCs/>
                <w:color w:val="000000" w:themeColor="text1"/>
                <w:sz w:val="21"/>
                <w:szCs w:val="21"/>
                <w14:textFill>
                  <w14:solidFill>
                    <w14:schemeClr w14:val="tx1"/>
                  </w14:solidFill>
                </w14:textFill>
              </w:rPr>
              <w:t>Q</w:t>
            </w:r>
            <w:r>
              <w:rPr>
                <w:rFonts w:hAnsiTheme="minorEastAsia" w:eastAsiaTheme="minorEastAsia"/>
                <w:b/>
                <w:bCs/>
                <w:color w:val="000000" w:themeColor="text1"/>
                <w:sz w:val="21"/>
                <w:szCs w:val="21"/>
                <w14:textFill>
                  <w14:solidFill>
                    <w14:schemeClr w14:val="tx1"/>
                  </w14:solidFill>
                </w14:textFill>
              </w:rPr>
              <w:t>值确定表</w:t>
            </w:r>
          </w:p>
          <w:tbl>
            <w:tblPr>
              <w:tblStyle w:val="19"/>
              <w:tblW w:w="7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16"/>
              <w:gridCol w:w="1775"/>
              <w:gridCol w:w="1460"/>
              <w:gridCol w:w="973"/>
              <w:gridCol w:w="1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00" w:type="dxa"/>
                  <w:tcBorders>
                    <w:top w:val="single" w:color="auto" w:sz="12" w:space="0"/>
                    <w:left w:val="single" w:color="auto" w:sz="12" w:space="0"/>
                    <w:bottom w:val="single" w:color="auto" w:sz="6" w:space="0"/>
                    <w:right w:val="single" w:color="auto" w:sz="6" w:space="0"/>
                  </w:tcBorders>
                  <w:vAlign w:val="center"/>
                </w:tcPr>
                <w:p>
                  <w:pPr>
                    <w:pStyle w:val="53"/>
                    <w:jc w:val="center"/>
                    <w:rPr>
                      <w:rFonts w:eastAsiaTheme="minorEastAsia"/>
                      <w:color w:val="000000" w:themeColor="text1"/>
                      <w:kern w:val="2"/>
                      <w:sz w:val="21"/>
                      <w:szCs w:val="21"/>
                      <w14:textFill>
                        <w14:solidFill>
                          <w14:schemeClr w14:val="tx1"/>
                        </w14:solidFill>
                      </w14:textFill>
                    </w:rPr>
                  </w:pPr>
                  <w:r>
                    <w:rPr>
                      <w:rFonts w:hAnsiTheme="minorEastAsia" w:eastAsiaTheme="minorEastAsia"/>
                      <w:color w:val="000000" w:themeColor="text1"/>
                      <w:kern w:val="2"/>
                      <w:sz w:val="21"/>
                      <w:szCs w:val="21"/>
                      <w14:textFill>
                        <w14:solidFill>
                          <w14:schemeClr w14:val="tx1"/>
                        </w14:solidFill>
                      </w14:textFill>
                    </w:rPr>
                    <w:t>序号</w:t>
                  </w:r>
                </w:p>
              </w:tc>
              <w:tc>
                <w:tcPr>
                  <w:tcW w:w="1216" w:type="dxa"/>
                  <w:tcBorders>
                    <w:top w:val="single" w:color="auto" w:sz="12" w:space="0"/>
                    <w:left w:val="single" w:color="auto" w:sz="6" w:space="0"/>
                    <w:bottom w:val="single" w:color="auto" w:sz="6" w:space="0"/>
                    <w:right w:val="single" w:color="auto" w:sz="6" w:space="0"/>
                  </w:tcBorders>
                  <w:vAlign w:val="center"/>
                </w:tcPr>
                <w:p>
                  <w:pPr>
                    <w:pStyle w:val="53"/>
                    <w:jc w:val="center"/>
                    <w:rPr>
                      <w:rFonts w:eastAsiaTheme="minorEastAsia"/>
                      <w:color w:val="000000" w:themeColor="text1"/>
                      <w:kern w:val="2"/>
                      <w:sz w:val="21"/>
                      <w:szCs w:val="21"/>
                      <w14:textFill>
                        <w14:solidFill>
                          <w14:schemeClr w14:val="tx1"/>
                        </w14:solidFill>
                      </w14:textFill>
                    </w:rPr>
                  </w:pPr>
                  <w:r>
                    <w:rPr>
                      <w:rFonts w:hAnsiTheme="minorEastAsia" w:eastAsiaTheme="minorEastAsia"/>
                      <w:color w:val="000000" w:themeColor="text1"/>
                      <w:kern w:val="2"/>
                      <w:sz w:val="21"/>
                      <w:szCs w:val="21"/>
                      <w14:textFill>
                        <w14:solidFill>
                          <w14:schemeClr w14:val="tx1"/>
                        </w14:solidFill>
                      </w14:textFill>
                    </w:rPr>
                    <w:t>危险物质名称</w:t>
                  </w:r>
                </w:p>
              </w:tc>
              <w:tc>
                <w:tcPr>
                  <w:tcW w:w="1775" w:type="dxa"/>
                  <w:tcBorders>
                    <w:top w:val="single" w:color="auto" w:sz="12" w:space="0"/>
                    <w:left w:val="single" w:color="auto" w:sz="6" w:space="0"/>
                    <w:bottom w:val="single" w:color="auto" w:sz="6" w:space="0"/>
                    <w:right w:val="single" w:color="auto" w:sz="6" w:space="0"/>
                  </w:tcBorders>
                  <w:vAlign w:val="center"/>
                </w:tcPr>
                <w:p>
                  <w:pPr>
                    <w:pStyle w:val="53"/>
                    <w:jc w:val="center"/>
                    <w:rPr>
                      <w:rFonts w:eastAsiaTheme="minorEastAsia"/>
                      <w:color w:val="000000" w:themeColor="text1"/>
                      <w:kern w:val="2"/>
                      <w:sz w:val="21"/>
                      <w:szCs w:val="21"/>
                      <w14:textFill>
                        <w14:solidFill>
                          <w14:schemeClr w14:val="tx1"/>
                        </w14:solidFill>
                      </w14:textFill>
                    </w:rPr>
                  </w:pPr>
                  <w:r>
                    <w:rPr>
                      <w:rFonts w:eastAsiaTheme="minorEastAsia"/>
                      <w:color w:val="000000" w:themeColor="text1"/>
                      <w:kern w:val="2"/>
                      <w:sz w:val="21"/>
                      <w:szCs w:val="21"/>
                      <w14:textFill>
                        <w14:solidFill>
                          <w14:schemeClr w14:val="tx1"/>
                        </w14:solidFill>
                      </w14:textFill>
                    </w:rPr>
                    <w:t>CAS</w:t>
                  </w:r>
                  <w:r>
                    <w:rPr>
                      <w:rFonts w:hAnsiTheme="minorEastAsia" w:eastAsiaTheme="minorEastAsia"/>
                      <w:color w:val="000000" w:themeColor="text1"/>
                      <w:kern w:val="2"/>
                      <w:sz w:val="21"/>
                      <w:szCs w:val="21"/>
                      <w14:textFill>
                        <w14:solidFill>
                          <w14:schemeClr w14:val="tx1"/>
                        </w14:solidFill>
                      </w14:textFill>
                    </w:rPr>
                    <w:t>号</w:t>
                  </w:r>
                  <w:r>
                    <w:rPr>
                      <w:rFonts w:eastAsiaTheme="minorEastAsia"/>
                      <w:color w:val="000000" w:themeColor="text1"/>
                      <w:kern w:val="2"/>
                      <w:sz w:val="21"/>
                      <w:szCs w:val="21"/>
                      <w14:textFill>
                        <w14:solidFill>
                          <w14:schemeClr w14:val="tx1"/>
                        </w14:solidFill>
                      </w14:textFill>
                    </w:rPr>
                    <w:t>/</w:t>
                  </w:r>
                  <w:r>
                    <w:rPr>
                      <w:rFonts w:hAnsiTheme="minorEastAsia" w:eastAsiaTheme="minorEastAsia"/>
                      <w:color w:val="000000" w:themeColor="text1"/>
                      <w:kern w:val="2"/>
                      <w:sz w:val="21"/>
                      <w:szCs w:val="21"/>
                      <w14:textFill>
                        <w14:solidFill>
                          <w14:schemeClr w14:val="tx1"/>
                        </w14:solidFill>
                      </w14:textFill>
                    </w:rPr>
                    <w:t>废物代码</w:t>
                  </w:r>
                </w:p>
              </w:tc>
              <w:tc>
                <w:tcPr>
                  <w:tcW w:w="1460" w:type="dxa"/>
                  <w:tcBorders>
                    <w:top w:val="single" w:color="auto" w:sz="12" w:space="0"/>
                    <w:left w:val="single" w:color="auto" w:sz="6" w:space="0"/>
                    <w:bottom w:val="single" w:color="auto" w:sz="6" w:space="0"/>
                    <w:right w:val="single" w:color="auto" w:sz="6" w:space="0"/>
                  </w:tcBorders>
                  <w:vAlign w:val="center"/>
                </w:tcPr>
                <w:p>
                  <w:pPr>
                    <w:pStyle w:val="53"/>
                    <w:jc w:val="center"/>
                    <w:rPr>
                      <w:rFonts w:eastAsiaTheme="minorEastAsia"/>
                      <w:color w:val="000000" w:themeColor="text1"/>
                      <w:kern w:val="2"/>
                      <w:sz w:val="21"/>
                      <w:szCs w:val="21"/>
                      <w14:textFill>
                        <w14:solidFill>
                          <w14:schemeClr w14:val="tx1"/>
                        </w14:solidFill>
                      </w14:textFill>
                    </w:rPr>
                  </w:pPr>
                  <w:r>
                    <w:rPr>
                      <w:rFonts w:hAnsiTheme="minorEastAsia" w:eastAsiaTheme="minorEastAsia"/>
                      <w:color w:val="000000" w:themeColor="text1"/>
                      <w:kern w:val="2"/>
                      <w:sz w:val="21"/>
                      <w:szCs w:val="21"/>
                      <w14:textFill>
                        <w14:solidFill>
                          <w14:schemeClr w14:val="tx1"/>
                        </w14:solidFill>
                      </w14:textFill>
                    </w:rPr>
                    <w:t>最大存在总量</w:t>
                  </w:r>
                  <w:r>
                    <w:rPr>
                      <w:rFonts w:eastAsiaTheme="minorEastAsia"/>
                      <w:color w:val="000000" w:themeColor="text1"/>
                      <w:kern w:val="2"/>
                      <w:sz w:val="21"/>
                      <w:szCs w:val="21"/>
                      <w14:textFill>
                        <w14:solidFill>
                          <w14:schemeClr w14:val="tx1"/>
                        </w14:solidFill>
                      </w14:textFill>
                    </w:rPr>
                    <w:t>q</w:t>
                  </w:r>
                  <w:r>
                    <w:rPr>
                      <w:rFonts w:eastAsiaTheme="minorEastAsia"/>
                      <w:color w:val="000000" w:themeColor="text1"/>
                      <w:kern w:val="2"/>
                      <w:sz w:val="21"/>
                      <w:szCs w:val="21"/>
                      <w:vertAlign w:val="subscript"/>
                      <w14:textFill>
                        <w14:solidFill>
                          <w14:schemeClr w14:val="tx1"/>
                        </w14:solidFill>
                      </w14:textFill>
                    </w:rPr>
                    <w:t>n</w:t>
                  </w:r>
                  <w:r>
                    <w:rPr>
                      <w:rFonts w:eastAsiaTheme="minorEastAsia"/>
                      <w:color w:val="000000" w:themeColor="text1"/>
                      <w:kern w:val="2"/>
                      <w:sz w:val="21"/>
                      <w:szCs w:val="21"/>
                      <w14:textFill>
                        <w14:solidFill>
                          <w14:schemeClr w14:val="tx1"/>
                        </w14:solidFill>
                      </w14:textFill>
                    </w:rPr>
                    <w:t>/t</w:t>
                  </w:r>
                </w:p>
              </w:tc>
              <w:tc>
                <w:tcPr>
                  <w:tcW w:w="973" w:type="dxa"/>
                  <w:tcBorders>
                    <w:top w:val="single" w:color="auto" w:sz="12" w:space="0"/>
                    <w:left w:val="single" w:color="auto" w:sz="6" w:space="0"/>
                    <w:bottom w:val="single" w:color="auto" w:sz="6" w:space="0"/>
                    <w:right w:val="single" w:color="auto" w:sz="6" w:space="0"/>
                  </w:tcBorders>
                  <w:vAlign w:val="center"/>
                </w:tcPr>
                <w:p>
                  <w:pPr>
                    <w:pStyle w:val="53"/>
                    <w:jc w:val="center"/>
                    <w:rPr>
                      <w:rFonts w:eastAsiaTheme="minorEastAsia"/>
                      <w:color w:val="000000" w:themeColor="text1"/>
                      <w:kern w:val="2"/>
                      <w:sz w:val="21"/>
                      <w:szCs w:val="21"/>
                      <w14:textFill>
                        <w14:solidFill>
                          <w14:schemeClr w14:val="tx1"/>
                        </w14:solidFill>
                      </w14:textFill>
                    </w:rPr>
                  </w:pPr>
                  <w:r>
                    <w:rPr>
                      <w:rFonts w:hAnsiTheme="minorEastAsia" w:eastAsiaTheme="minorEastAsia"/>
                      <w:color w:val="000000" w:themeColor="text1"/>
                      <w:kern w:val="2"/>
                      <w:sz w:val="21"/>
                      <w:szCs w:val="21"/>
                      <w14:textFill>
                        <w14:solidFill>
                          <w14:schemeClr w14:val="tx1"/>
                        </w14:solidFill>
                      </w14:textFill>
                    </w:rPr>
                    <w:t>临界量</w:t>
                  </w:r>
                  <w:r>
                    <w:rPr>
                      <w:rFonts w:eastAsiaTheme="minorEastAsia"/>
                      <w:color w:val="000000" w:themeColor="text1"/>
                      <w:kern w:val="2"/>
                      <w:sz w:val="21"/>
                      <w:szCs w:val="21"/>
                      <w14:textFill>
                        <w14:solidFill>
                          <w14:schemeClr w14:val="tx1"/>
                        </w14:solidFill>
                      </w14:textFill>
                    </w:rPr>
                    <w:t>Q</w:t>
                  </w:r>
                  <w:r>
                    <w:rPr>
                      <w:rFonts w:eastAsiaTheme="minorEastAsia"/>
                      <w:color w:val="000000" w:themeColor="text1"/>
                      <w:kern w:val="2"/>
                      <w:sz w:val="21"/>
                      <w:szCs w:val="21"/>
                      <w:vertAlign w:val="subscript"/>
                      <w14:textFill>
                        <w14:solidFill>
                          <w14:schemeClr w14:val="tx1"/>
                        </w14:solidFill>
                      </w14:textFill>
                    </w:rPr>
                    <w:t>n</w:t>
                  </w:r>
                  <w:r>
                    <w:rPr>
                      <w:rFonts w:eastAsiaTheme="minorEastAsia"/>
                      <w:color w:val="000000" w:themeColor="text1"/>
                      <w:kern w:val="2"/>
                      <w:sz w:val="21"/>
                      <w:szCs w:val="21"/>
                      <w14:textFill>
                        <w14:solidFill>
                          <w14:schemeClr w14:val="tx1"/>
                        </w14:solidFill>
                      </w14:textFill>
                    </w:rPr>
                    <w:t>/t</w:t>
                  </w:r>
                </w:p>
              </w:tc>
              <w:tc>
                <w:tcPr>
                  <w:tcW w:w="1773" w:type="dxa"/>
                  <w:tcBorders>
                    <w:top w:val="single" w:color="auto" w:sz="12" w:space="0"/>
                    <w:left w:val="single" w:color="auto" w:sz="6" w:space="0"/>
                    <w:bottom w:val="single" w:color="auto" w:sz="6" w:space="0"/>
                    <w:right w:val="single" w:color="auto" w:sz="12" w:space="0"/>
                  </w:tcBorders>
                  <w:vAlign w:val="center"/>
                </w:tcPr>
                <w:p>
                  <w:pPr>
                    <w:pStyle w:val="53"/>
                    <w:jc w:val="center"/>
                    <w:rPr>
                      <w:rFonts w:eastAsiaTheme="minorEastAsia"/>
                      <w:color w:val="000000" w:themeColor="text1"/>
                      <w:kern w:val="2"/>
                      <w:sz w:val="21"/>
                      <w:szCs w:val="21"/>
                      <w14:textFill>
                        <w14:solidFill>
                          <w14:schemeClr w14:val="tx1"/>
                        </w14:solidFill>
                      </w14:textFill>
                    </w:rPr>
                  </w:pPr>
                  <w:r>
                    <w:rPr>
                      <w:rFonts w:hAnsiTheme="minorEastAsia" w:eastAsiaTheme="minorEastAsia"/>
                      <w:color w:val="000000" w:themeColor="text1"/>
                      <w:kern w:val="2"/>
                      <w:sz w:val="21"/>
                      <w:szCs w:val="21"/>
                      <w14:textFill>
                        <w14:solidFill>
                          <w14:schemeClr w14:val="tx1"/>
                        </w14:solidFill>
                      </w14:textFill>
                    </w:rPr>
                    <w:t>该种危险物质</w:t>
                  </w:r>
                  <w:r>
                    <w:rPr>
                      <w:rFonts w:eastAsiaTheme="minorEastAsia"/>
                      <w:color w:val="000000" w:themeColor="text1"/>
                      <w:kern w:val="2"/>
                      <w:sz w:val="21"/>
                      <w:szCs w:val="21"/>
                      <w14:textFill>
                        <w14:solidFill>
                          <w14:schemeClr w14:val="tx1"/>
                        </w14:solidFill>
                      </w14:textFill>
                    </w:rPr>
                    <w:t>Q</w:t>
                  </w:r>
                  <w:r>
                    <w:rPr>
                      <w:rFonts w:hAnsiTheme="minorEastAsia" w:eastAsiaTheme="minorEastAsia"/>
                      <w:color w:val="000000" w:themeColor="text1"/>
                      <w:kern w:val="2"/>
                      <w:sz w:val="21"/>
                      <w:szCs w:val="21"/>
                      <w14:textFill>
                        <w14:solidFill>
                          <w14:schemeClr w14:val="tx1"/>
                        </w14:solidFill>
                      </w14:textFill>
                    </w:rPr>
                    <w:t>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600" w:type="dxa"/>
                  <w:tcBorders>
                    <w:top w:val="single" w:color="auto" w:sz="6" w:space="0"/>
                    <w:left w:val="single" w:color="auto" w:sz="12" w:space="0"/>
                    <w:bottom w:val="single" w:color="auto" w:sz="6" w:space="0"/>
                    <w:right w:val="single" w:color="auto" w:sz="6" w:space="0"/>
                  </w:tcBorders>
                  <w:vAlign w:val="center"/>
                </w:tcPr>
                <w:p>
                  <w:pPr>
                    <w:autoSpaceDE w:val="0"/>
                    <w:autoSpaceDN w:val="0"/>
                    <w:ind w:left="8" w:leftChars="4" w:right="9"/>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21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8" w:leftChars="4" w:right="9"/>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硝酸铵</w:t>
                  </w:r>
                </w:p>
              </w:tc>
              <w:tc>
                <w:tcPr>
                  <w:tcW w:w="1775"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szCs w:val="21"/>
                      <w14:textFill>
                        <w14:solidFill>
                          <w14:schemeClr w14:val="tx1"/>
                        </w14:solidFill>
                      </w14:textFill>
                    </w:rPr>
                  </w:pPr>
                  <w:r>
                    <w:fldChar w:fldCharType="begin"/>
                  </w:r>
                  <w:r>
                    <w:instrText xml:space="preserve"> HYPERLINK "https://www.chemsrc.com/baike/401914.html" \t "_blank" </w:instrText>
                  </w:r>
                  <w:r>
                    <w:fldChar w:fldCharType="separate"/>
                  </w:r>
                  <w:r>
                    <w:rPr>
                      <w:rFonts w:hint="eastAsia" w:eastAsiaTheme="minorEastAsia"/>
                      <w:color w:val="000000" w:themeColor="text1"/>
                      <w:szCs w:val="21"/>
                      <w14:textFill>
                        <w14:solidFill>
                          <w14:schemeClr w14:val="tx1"/>
                        </w14:solidFill>
                      </w14:textFill>
                    </w:rPr>
                    <w:t>6484-52-2</w:t>
                  </w:r>
                  <w:r>
                    <w:rPr>
                      <w:rFonts w:hint="eastAsia" w:eastAsiaTheme="minorEastAsia"/>
                      <w:color w:val="000000" w:themeColor="text1"/>
                      <w:szCs w:val="21"/>
                      <w14:textFill>
                        <w14:solidFill>
                          <w14:schemeClr w14:val="tx1"/>
                        </w14:solidFill>
                      </w14:textFill>
                    </w:rPr>
                    <w:fldChar w:fldCharType="end"/>
                  </w:r>
                </w:p>
              </w:tc>
              <w:tc>
                <w:tcPr>
                  <w:tcW w:w="1460"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w:t>
                  </w:r>
                  <w:r>
                    <w:rPr>
                      <w:rFonts w:hint="eastAsia" w:eastAsiaTheme="minorEastAsia"/>
                      <w:color w:val="000000" w:themeColor="text1"/>
                      <w:szCs w:val="21"/>
                      <w14:textFill>
                        <w14:solidFill>
                          <w14:schemeClr w14:val="tx1"/>
                        </w14:solidFill>
                      </w14:textFill>
                    </w:rPr>
                    <w:t>3</w:t>
                  </w:r>
                </w:p>
              </w:tc>
              <w:tc>
                <w:tcPr>
                  <w:tcW w:w="973"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p>
              </w:tc>
              <w:tc>
                <w:tcPr>
                  <w:tcW w:w="1773" w:type="dxa"/>
                  <w:tcBorders>
                    <w:top w:val="single" w:color="auto" w:sz="6" w:space="0"/>
                    <w:left w:val="single" w:color="auto" w:sz="6" w:space="0"/>
                    <w:bottom w:val="single" w:color="auto" w:sz="6" w:space="0"/>
                    <w:right w:val="single" w:color="auto" w:sz="12"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w:t>
                  </w:r>
                  <w:r>
                    <w:rPr>
                      <w:rFonts w:hint="eastAsia" w:eastAsiaTheme="minorEastAsia"/>
                      <w:color w:val="000000" w:themeColor="text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6024" w:type="dxa"/>
                  <w:gridSpan w:val="5"/>
                  <w:tcBorders>
                    <w:top w:val="single" w:color="auto" w:sz="6" w:space="0"/>
                    <w:left w:val="single" w:color="auto" w:sz="12" w:space="0"/>
                    <w:bottom w:val="single" w:color="auto" w:sz="12" w:space="0"/>
                    <w:right w:val="single" w:color="auto" w:sz="6" w:space="0"/>
                  </w:tcBorders>
                  <w:vAlign w:val="center"/>
                </w:tcPr>
                <w:p>
                  <w:pPr>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项目</w:t>
                  </w:r>
                  <w:r>
                    <w:rPr>
                      <w:rFonts w:eastAsiaTheme="minorEastAsia"/>
                      <w:color w:val="000000" w:themeColor="text1"/>
                      <w:szCs w:val="21"/>
                      <w14:textFill>
                        <w14:solidFill>
                          <w14:schemeClr w14:val="tx1"/>
                        </w14:solidFill>
                      </w14:textFill>
                    </w:rPr>
                    <w:t>Q</w:t>
                  </w:r>
                  <w:r>
                    <w:rPr>
                      <w:rFonts w:hAnsiTheme="minorEastAsia" w:eastAsiaTheme="minorEastAsia"/>
                      <w:color w:val="000000" w:themeColor="text1"/>
                      <w:szCs w:val="21"/>
                      <w14:textFill>
                        <w14:solidFill>
                          <w14:schemeClr w14:val="tx1"/>
                        </w14:solidFill>
                      </w14:textFill>
                    </w:rPr>
                    <w:t>值</w:t>
                  </w:r>
                  <w:r>
                    <w:rPr>
                      <w:rFonts w:eastAsiaTheme="minorEastAsia"/>
                      <w:color w:val="000000" w:themeColor="text1"/>
                      <w:szCs w:val="21"/>
                      <w14:textFill>
                        <w14:solidFill>
                          <w14:schemeClr w14:val="tx1"/>
                        </w14:solidFill>
                      </w14:textFill>
                    </w:rPr>
                    <w:t>∑</w:t>
                  </w:r>
                </w:p>
              </w:tc>
              <w:tc>
                <w:tcPr>
                  <w:tcW w:w="1773" w:type="dxa"/>
                  <w:tcBorders>
                    <w:top w:val="single" w:color="auto" w:sz="6" w:space="0"/>
                    <w:left w:val="single" w:color="auto" w:sz="6" w:space="0"/>
                    <w:bottom w:val="single" w:color="auto" w:sz="12" w:space="0"/>
                    <w:right w:val="single" w:color="auto" w:sz="12" w:space="0"/>
                  </w:tcBorders>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w:t>
                  </w:r>
                  <w:r>
                    <w:rPr>
                      <w:rFonts w:hint="eastAsia" w:eastAsiaTheme="minorEastAsia"/>
                      <w:color w:val="000000" w:themeColor="text1"/>
                      <w:szCs w:val="21"/>
                      <w14:textFill>
                        <w14:solidFill>
                          <w14:schemeClr w14:val="tx1"/>
                        </w14:solidFill>
                      </w14:textFill>
                    </w:rPr>
                    <w:t>6</w:t>
                  </w:r>
                </w:p>
              </w:tc>
            </w:tr>
          </w:tbl>
          <w:p>
            <w:pPr>
              <w:autoSpaceDE w:val="0"/>
              <w:autoSpaceDN w:val="0"/>
              <w:spacing w:line="360" w:lineRule="auto"/>
              <w:ind w:firstLine="480" w:firstLineChars="200"/>
              <w:jc w:val="left"/>
              <w:rPr>
                <w:rFonts w:eastAsiaTheme="minorEastAsia"/>
                <w:color w:val="000000" w:themeColor="text1"/>
                <w:kern w:val="0"/>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由表可知，本项目</w:t>
            </w:r>
            <w:r>
              <w:rPr>
                <w:rFonts w:eastAsiaTheme="minorEastAsia"/>
                <w:color w:val="000000" w:themeColor="text1"/>
                <w:sz w:val="24"/>
                <w14:textFill>
                  <w14:solidFill>
                    <w14:schemeClr w14:val="tx1"/>
                  </w14:solidFill>
                </w14:textFill>
              </w:rPr>
              <w:t>Q</w:t>
            </w:r>
            <w:r>
              <w:rPr>
                <w:rFonts w:hAnsiTheme="minorEastAsia" w:eastAsiaTheme="minorEastAsia"/>
                <w:color w:val="000000" w:themeColor="text1"/>
                <w:sz w:val="24"/>
                <w14:textFill>
                  <w14:solidFill>
                    <w14:schemeClr w14:val="tx1"/>
                  </w14:solidFill>
                </w14:textFill>
              </w:rPr>
              <w:t>值</w:t>
            </w:r>
            <w:r>
              <w:rPr>
                <w:rFonts w:eastAsiaTheme="minorEastAsia"/>
                <w:color w:val="000000" w:themeColor="text1"/>
                <w:sz w:val="24"/>
                <w14:textFill>
                  <w14:solidFill>
                    <w14:schemeClr w14:val="tx1"/>
                  </w14:solidFill>
                </w14:textFill>
              </w:rPr>
              <w:t>∑</w:t>
            </w:r>
            <w:r>
              <w:rPr>
                <w:rFonts w:hAnsiTheme="minorEastAsia" w:eastAsiaTheme="minorEastAsia"/>
                <w:color w:val="000000" w:themeColor="text1"/>
                <w:sz w:val="24"/>
                <w14:textFill>
                  <w14:solidFill>
                    <w14:schemeClr w14:val="tx1"/>
                  </w14:solidFill>
                </w14:textFill>
              </w:rPr>
              <w:t>小于</w:t>
            </w:r>
            <w:r>
              <w:rPr>
                <w:rFonts w:eastAsiaTheme="minorEastAsia"/>
                <w:color w:val="000000" w:themeColor="text1"/>
                <w:sz w:val="24"/>
                <w14:textFill>
                  <w14:solidFill>
                    <w14:schemeClr w14:val="tx1"/>
                  </w14:solidFill>
                </w14:textFill>
              </w:rPr>
              <w:t>1</w:t>
            </w:r>
            <w:r>
              <w:rPr>
                <w:rFonts w:hAnsiTheme="minorEastAsia" w:eastAsiaTheme="minorEastAsia"/>
                <w:color w:val="000000" w:themeColor="text1"/>
                <w:sz w:val="24"/>
                <w14:textFill>
                  <w14:solidFill>
                    <w14:schemeClr w14:val="tx1"/>
                  </w14:solidFill>
                </w14:textFill>
              </w:rPr>
              <w:t>，该项目环境风险潜势为Ⅰ，根据</w:t>
            </w:r>
            <w:r>
              <w:rPr>
                <w:rFonts w:hAnsiTheme="minorEastAsia" w:eastAsiaTheme="minorEastAsia"/>
                <w:color w:val="000000" w:themeColor="text1"/>
                <w:kern w:val="0"/>
                <w:sz w:val="24"/>
                <w14:textFill>
                  <w14:solidFill>
                    <w14:schemeClr w14:val="tx1"/>
                  </w14:solidFill>
                </w14:textFill>
              </w:rPr>
              <w:t>《建设项目环境风险评价技术导则》（</w:t>
            </w:r>
            <w:r>
              <w:rPr>
                <w:rFonts w:eastAsiaTheme="minorEastAsia"/>
                <w:color w:val="000000" w:themeColor="text1"/>
                <w:kern w:val="0"/>
                <w:sz w:val="24"/>
                <w14:textFill>
                  <w14:solidFill>
                    <w14:schemeClr w14:val="tx1"/>
                  </w14:solidFill>
                </w14:textFill>
              </w:rPr>
              <w:t>HJ169-2018</w:t>
            </w:r>
            <w:r>
              <w:rPr>
                <w:rFonts w:hAnsiTheme="minorEastAsia" w:eastAsiaTheme="minorEastAsia"/>
                <w:color w:val="000000" w:themeColor="text1"/>
                <w:kern w:val="0"/>
                <w:sz w:val="24"/>
                <w14:textFill>
                  <w14:solidFill>
                    <w14:schemeClr w14:val="tx1"/>
                  </w14:solidFill>
                </w14:textFill>
              </w:rPr>
              <w:t>），风险潜势为</w:t>
            </w:r>
            <w:r>
              <w:rPr>
                <w:rFonts w:hAnsiTheme="minorEastAsia" w:eastAsiaTheme="minorEastAsia"/>
                <w:color w:val="000000" w:themeColor="text1"/>
                <w:sz w:val="24"/>
                <w14:textFill>
                  <w14:solidFill>
                    <w14:schemeClr w14:val="tx1"/>
                  </w14:solidFill>
                </w14:textFill>
              </w:rPr>
              <w:t>Ⅰ，可开展简单分析。</w:t>
            </w:r>
          </w:p>
          <w:p>
            <w:pPr>
              <w:autoSpaceDE w:val="0"/>
              <w:autoSpaceDN w:val="0"/>
              <w:spacing w:line="360" w:lineRule="auto"/>
              <w:ind w:firstLine="480" w:firstLineChars="200"/>
              <w:jc w:val="left"/>
              <w:rPr>
                <w:rFonts w:eastAsiaTheme="minorEastAsia"/>
                <w:color w:val="000000" w:themeColor="text1"/>
                <w:kern w:val="0"/>
                <w:sz w:val="24"/>
                <w14:textFill>
                  <w14:solidFill>
                    <w14:schemeClr w14:val="tx1"/>
                  </w14:solidFill>
                </w14:textFill>
              </w:rPr>
            </w:pPr>
            <w:r>
              <w:rPr>
                <w:rFonts w:hAnsiTheme="minor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2</w:t>
            </w:r>
            <w:r>
              <w:rPr>
                <w:rFonts w:hAnsiTheme="minorEastAsia" w:eastAsiaTheme="minorEastAsia"/>
                <w:color w:val="000000" w:themeColor="text1"/>
                <w:kern w:val="0"/>
                <w:sz w:val="24"/>
                <w14:textFill>
                  <w14:solidFill>
                    <w14:schemeClr w14:val="tx1"/>
                  </w14:solidFill>
                </w14:textFill>
              </w:rPr>
              <w:t>）环境敏感目标概况</w:t>
            </w:r>
          </w:p>
          <w:p>
            <w:pPr>
              <w:autoSpaceDE w:val="0"/>
              <w:autoSpaceDN w:val="0"/>
              <w:spacing w:line="360" w:lineRule="auto"/>
              <w:ind w:firstLine="480" w:firstLineChars="200"/>
              <w:jc w:val="left"/>
              <w:rPr>
                <w:rFonts w:eastAsiaTheme="minorEastAsia"/>
                <w:color w:val="000000" w:themeColor="text1"/>
                <w:kern w:val="0"/>
                <w:sz w:val="24"/>
                <w14:textFill>
                  <w14:solidFill>
                    <w14:schemeClr w14:val="tx1"/>
                  </w14:solidFill>
                </w14:textFill>
              </w:rPr>
            </w:pPr>
            <w:r>
              <w:rPr>
                <w:rFonts w:hAnsiTheme="minorEastAsia" w:eastAsiaTheme="minorEastAsia"/>
                <w:color w:val="000000" w:themeColor="text1"/>
                <w:kern w:val="0"/>
                <w:sz w:val="24"/>
                <w14:textFill>
                  <w14:solidFill>
                    <w14:schemeClr w14:val="tx1"/>
                  </w14:solidFill>
                </w14:textFill>
              </w:rPr>
              <w:t>项目周围主要环境敏感目标为项目西侧方向</w:t>
            </w:r>
            <w:r>
              <w:rPr>
                <w:rFonts w:hint="eastAsia" w:eastAsiaTheme="minorEastAsia"/>
                <w:color w:val="000000" w:themeColor="text1"/>
                <w:kern w:val="0"/>
                <w:sz w:val="24"/>
                <w14:textFill>
                  <w14:solidFill>
                    <w14:schemeClr w14:val="tx1"/>
                  </w14:solidFill>
                </w14:textFill>
              </w:rPr>
              <w:t>20</w:t>
            </w:r>
            <w:r>
              <w:rPr>
                <w:rFonts w:eastAsiaTheme="minorEastAsia"/>
                <w:color w:val="000000" w:themeColor="text1"/>
                <w:kern w:val="0"/>
                <w:sz w:val="24"/>
                <w14:textFill>
                  <w14:solidFill>
                    <w14:schemeClr w14:val="tx1"/>
                  </w14:solidFill>
                </w14:textFill>
              </w:rPr>
              <w:t>0m</w:t>
            </w:r>
            <w:r>
              <w:rPr>
                <w:rFonts w:hAnsiTheme="minorEastAsia" w:eastAsiaTheme="minorEastAsia"/>
                <w:color w:val="000000" w:themeColor="text1"/>
                <w:kern w:val="0"/>
                <w:sz w:val="24"/>
                <w14:textFill>
                  <w14:solidFill>
                    <w14:schemeClr w14:val="tx1"/>
                  </w14:solidFill>
                </w14:textFill>
              </w:rPr>
              <w:t>处的</w:t>
            </w:r>
            <w:r>
              <w:rPr>
                <w:rFonts w:hint="eastAsia" w:hAnsiTheme="minorEastAsia" w:eastAsiaTheme="minorEastAsia"/>
                <w:color w:val="000000" w:themeColor="text1"/>
                <w:kern w:val="0"/>
                <w:sz w:val="24"/>
                <w14:textFill>
                  <w14:solidFill>
                    <w14:schemeClr w14:val="tx1"/>
                  </w14:solidFill>
                </w14:textFill>
              </w:rPr>
              <w:t>散户</w:t>
            </w:r>
            <w:r>
              <w:rPr>
                <w:rFonts w:hAnsiTheme="minorEastAsia" w:eastAsiaTheme="minorEastAsia"/>
                <w:color w:val="000000" w:themeColor="text1"/>
                <w:kern w:val="0"/>
                <w:sz w:val="24"/>
                <w14:textFill>
                  <w14:solidFill>
                    <w14:schemeClr w14:val="tx1"/>
                  </w14:solidFill>
                </w14:textFill>
              </w:rPr>
              <w:t>居民，距离较远。</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AnsiTheme="minorEastAsia" w:eastAsiaTheme="minorEastAsia"/>
                <w:color w:val="000000" w:themeColor="text1"/>
                <w:sz w:val="24"/>
                <w14:textFill>
                  <w14:solidFill>
                    <w14:schemeClr w14:val="tx1"/>
                  </w14:solidFill>
                </w14:textFill>
              </w:rPr>
              <w:t>）环境风险分析</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开采为山坡露天水平开采，若采场边坡发生滑坡，对采场内会形成安全威胁。若遇暴雨，会对下游沟道生态环境造成破坏。现状调查，露天采场下游无居民点，由于露天采场边坡滑坡时，一般仅为表面松动岩石，滑坡量不会太大，岩石量主要在采场内，对外环境影响小，对下游居民人身安全影响较小。</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为防止采场滑坡，采场开采应严格按照开采设计要求，合理设置开采边坡坡度。露天矿山不构成重大危险源，在采取安全预评价报告中提出的安全对策措施后，风险可控，可以达到安全生产的要求。</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本项目设有排土场，由于山坡本身的坡度，使堆积物存在下滑的可能，一旦遇到长期降雨，堆置物经水浸泡</w:t>
            </w:r>
            <w:r>
              <w:rPr>
                <w:rFonts w:hint="eastAsia" w:hAnsiTheme="minorEastAsia" w:eastAsiaTheme="minorEastAsia"/>
                <w:color w:val="000000" w:themeColor="text1"/>
                <w:sz w:val="24"/>
                <w:lang w:eastAsia="zh-CN"/>
                <w14:textFill>
                  <w14:solidFill>
                    <w14:schemeClr w14:val="tx1"/>
                  </w14:solidFill>
                </w14:textFill>
              </w:rPr>
              <w:t>达到饱和</w:t>
            </w:r>
            <w:r>
              <w:rPr>
                <w:rFonts w:hAnsiTheme="minorEastAsia" w:eastAsiaTheme="minorEastAsia"/>
                <w:color w:val="000000" w:themeColor="text1"/>
                <w:sz w:val="24"/>
                <w14:textFill>
                  <w14:solidFill>
                    <w14:schemeClr w14:val="tx1"/>
                  </w14:solidFill>
                </w14:textFill>
              </w:rPr>
              <w:t>之后，接触面的摩擦力由于水的作用，加之堆积物经水浸泡后重量的增加而减小，可能出现下滑力大于摩擦力的现象，存在排土场滑塌的可能；若突降暴雨，水流湍急，山洪冲击排土场，可造成排土场拦渣坝滑塌。</w:t>
            </w:r>
          </w:p>
          <w:p>
            <w:pPr>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发生事故后首先是排土场内废渣产生滑坡，废渣堆积在沟道中形成堰塞湖，然后上游积水不断增多，最终在积水压力下，推动废渣下泄形成泥石流，而一旦形成泥石流，将对下游沟道生态环境和居民点产生影响。</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为防止雨水径流进入贮存场，避免渗滤液量增加而影响地下水和地面水体水质，在排土场下</w:t>
            </w:r>
            <w:r>
              <w:rPr>
                <w:rFonts w:hint="eastAsia" w:hAnsiTheme="minorEastAsia" w:eastAsiaTheme="minorEastAsia"/>
                <w:color w:val="000000" w:themeColor="text1"/>
                <w:sz w:val="24"/>
                <w:szCs w:val="24"/>
                <w:lang w:val="en-US" w:eastAsia="zh-CN"/>
                <w14:textFill>
                  <w14:solidFill>
                    <w14:schemeClr w14:val="tx1"/>
                  </w14:solidFill>
                </w14:textFill>
              </w:rPr>
              <w:t>方建设拦渣坝</w:t>
            </w:r>
            <w:r>
              <w:rPr>
                <w:rFonts w:hAnsiTheme="minorEastAsia" w:eastAsiaTheme="minorEastAsia"/>
                <w:color w:val="000000" w:themeColor="text1"/>
                <w:sz w:val="24"/>
                <w:szCs w:val="24"/>
                <w14:textFill>
                  <w14:solidFill>
                    <w14:schemeClr w14:val="tx1"/>
                  </w14:solidFill>
                </w14:textFill>
              </w:rPr>
              <w:t>，周围设置截排水沟，将上游地表径流和汇水导至排土场下游，防止长期浸水后淋溶液对水环境和土壤环境产生不利影响。</w:t>
            </w:r>
          </w:p>
          <w:p>
            <w:pPr>
              <w:spacing w:line="360" w:lineRule="auto"/>
              <w:ind w:firstLine="480" w:firstLineChars="200"/>
              <w:rPr>
                <w:rFonts w:hAnsiTheme="minorEastAsia" w:eastAsiaTheme="minorEastAsia"/>
                <w:b/>
                <w:bCs/>
                <w:color w:val="000000" w:themeColor="text1"/>
                <w:szCs w:val="21"/>
                <w14:textFill>
                  <w14:solidFill>
                    <w14:schemeClr w14:val="tx1"/>
                  </w14:solidFill>
                </w14:textFill>
              </w:rPr>
            </w:pPr>
            <w:r>
              <w:rPr>
                <w:rFonts w:hAnsiTheme="minorEastAsia" w:eastAsiaTheme="minorEastAsia"/>
                <w:color w:val="000000" w:themeColor="text1"/>
                <w:sz w:val="24"/>
                <w14:textFill>
                  <w14:solidFill>
                    <w14:schemeClr w14:val="tx1"/>
                  </w14:solidFill>
                </w14:textFill>
              </w:rPr>
              <w:t>综上，本项目露天采场和排土场均不属于重大危险源，排土场储存物质为一般毒性物质。露天采场边坡发生滑坡，对采场内会形成安全威胁，对下游居民人身安全影响较小。排土场发生溃坝事故，对影响范围内植被破坏较小，对下游居民影响也较小。在采取有效的安全和环境风险防范措施的前提下，项目事故风险在可接受范</w:t>
            </w:r>
            <w:r>
              <w:rPr>
                <w:rFonts w:hAnsiTheme="minorEastAsia" w:eastAsiaTheme="minorEastAsia"/>
                <w:color w:val="000000" w:themeColor="text1"/>
                <w:kern w:val="0"/>
                <w:sz w:val="24"/>
                <w:szCs w:val="24"/>
                <w14:textFill>
                  <w14:solidFill>
                    <w14:schemeClr w14:val="tx1"/>
                  </w14:solidFill>
                </w14:textFill>
              </w:rPr>
              <w:t>围内。</w:t>
            </w:r>
          </w:p>
          <w:p>
            <w:pPr>
              <w:spacing w:beforeLines="50"/>
              <w:jc w:val="center"/>
              <w:rPr>
                <w:rFonts w:eastAsiaTheme="minorEastAsia"/>
                <w:b/>
                <w:bCs/>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表</w:t>
            </w:r>
            <w:r>
              <w:rPr>
                <w:rFonts w:hint="eastAsia" w:eastAsiaTheme="minorEastAsia"/>
                <w:b/>
                <w:bCs/>
                <w:color w:val="000000" w:themeColor="text1"/>
                <w:szCs w:val="21"/>
                <w:lang w:val="en-US" w:eastAsia="zh-CN"/>
                <w14:textFill>
                  <w14:solidFill>
                    <w14:schemeClr w14:val="tx1"/>
                  </w14:solidFill>
                </w14:textFill>
              </w:rPr>
              <w:t>39</w:t>
            </w:r>
            <w:r>
              <w:rPr>
                <w:rFonts w:hAnsiTheme="minorEastAsia" w:eastAsiaTheme="minorEastAsia"/>
                <w:b/>
                <w:bCs/>
                <w:color w:val="000000" w:themeColor="text1"/>
                <w:szCs w:val="21"/>
                <w14:textFill>
                  <w14:solidFill>
                    <w14:schemeClr w14:val="tx1"/>
                  </w14:solidFill>
                </w14:textFill>
              </w:rPr>
              <w:t>建设项目环境风险简单分析内容表</w:t>
            </w:r>
          </w:p>
          <w:tbl>
            <w:tblPr>
              <w:tblStyle w:val="19"/>
              <w:tblW w:w="7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69"/>
              <w:gridCol w:w="1432"/>
              <w:gridCol w:w="1377"/>
              <w:gridCol w:w="1096"/>
              <w:gridCol w:w="12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26"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建设项目名称</w:t>
                  </w:r>
                </w:p>
              </w:tc>
              <w:tc>
                <w:tcPr>
                  <w:tcW w:w="6373" w:type="dxa"/>
                  <w:gridSpan w:val="5"/>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安康市汉滨区梅子铺天宇采石场石门子辉绿岩项目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建设地点</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（陕西）省</w:t>
                  </w:r>
                </w:p>
              </w:tc>
              <w:tc>
                <w:tcPr>
                  <w:tcW w:w="14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w:t>
                  </w:r>
                  <w:r>
                    <w:rPr>
                      <w:rFonts w:hint="eastAsia" w:hAnsiTheme="minorEastAsia" w:eastAsiaTheme="minorEastAsia"/>
                      <w:color w:val="000000" w:themeColor="text1"/>
                      <w:szCs w:val="21"/>
                      <w14:textFill>
                        <w14:solidFill>
                          <w14:schemeClr w14:val="tx1"/>
                        </w14:solidFill>
                      </w14:textFill>
                    </w:rPr>
                    <w:t>安康</w:t>
                  </w:r>
                  <w:r>
                    <w:rPr>
                      <w:rFonts w:hAnsiTheme="minorEastAsia" w:eastAsiaTheme="minorEastAsia"/>
                      <w:color w:val="000000" w:themeColor="text1"/>
                      <w:szCs w:val="21"/>
                      <w14:textFill>
                        <w14:solidFill>
                          <w14:schemeClr w14:val="tx1"/>
                        </w14:solidFill>
                      </w14:textFill>
                    </w:rPr>
                    <w:t>）市</w:t>
                  </w:r>
                </w:p>
              </w:tc>
              <w:tc>
                <w:tcPr>
                  <w:tcW w:w="13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w:t>
                  </w:r>
                  <w:r>
                    <w:rPr>
                      <w:rFonts w:hint="eastAsia" w:eastAsiaTheme="minorEastAsia"/>
                      <w:color w:val="000000" w:themeColor="text1"/>
                      <w:szCs w:val="21"/>
                      <w14:textFill>
                        <w14:solidFill>
                          <w14:schemeClr w14:val="tx1"/>
                        </w14:solidFill>
                      </w14:textFill>
                    </w:rPr>
                    <w:t>汉滨</w:t>
                  </w:r>
                  <w:r>
                    <w:rPr>
                      <w:rFonts w:hAnsiTheme="minorEastAsia" w:eastAsiaTheme="minorEastAsia"/>
                      <w:color w:val="000000" w:themeColor="text1"/>
                      <w:szCs w:val="21"/>
                      <w14:textFill>
                        <w14:solidFill>
                          <w14:schemeClr w14:val="tx1"/>
                        </w14:solidFill>
                      </w14:textFill>
                    </w:rPr>
                    <w:t>）区</w:t>
                  </w: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梅子铺镇</w:t>
                  </w:r>
                </w:p>
              </w:tc>
              <w:tc>
                <w:tcPr>
                  <w:tcW w:w="1299"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奎星村三组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2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地理坐标</w:t>
                  </w:r>
                </w:p>
              </w:tc>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经度</w:t>
                  </w:r>
                </w:p>
              </w:tc>
              <w:tc>
                <w:tcPr>
                  <w:tcW w:w="14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108.728482</w:t>
                  </w:r>
                </w:p>
              </w:tc>
              <w:tc>
                <w:tcPr>
                  <w:tcW w:w="13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纬度</w:t>
                  </w:r>
                </w:p>
              </w:tc>
              <w:tc>
                <w:tcPr>
                  <w:tcW w:w="2395"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32.807715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主要危险物质及分布</w:t>
                  </w:r>
                </w:p>
              </w:tc>
              <w:tc>
                <w:tcPr>
                  <w:tcW w:w="6373" w:type="dxa"/>
                  <w:gridSpan w:val="5"/>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矿山爆破日，矿区</w:t>
                  </w:r>
                  <w:r>
                    <w:rPr>
                      <w:rFonts w:eastAsiaTheme="minorEastAsia"/>
                      <w:color w:val="000000" w:themeColor="text1"/>
                      <w:szCs w:val="21"/>
                      <w14:textFill>
                        <w14:solidFill>
                          <w14:schemeClr w14:val="tx1"/>
                        </w14:solidFill>
                      </w14:textFill>
                    </w:rPr>
                    <w:t>0.</w:t>
                  </w:r>
                  <w:r>
                    <w:rPr>
                      <w:rFonts w:hint="eastAsia" w:eastAsiaTheme="minorEastAsia"/>
                      <w:color w:val="000000" w:themeColor="text1"/>
                      <w:szCs w:val="21"/>
                      <w14:textFill>
                        <w14:solidFill>
                          <w14:schemeClr w14:val="tx1"/>
                        </w14:solidFill>
                      </w14:textFill>
                    </w:rPr>
                    <w:t>3T乳化炸药（主要含量硝酸铵）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2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环境影响途径及危害后果（大气、地表水、地下水等）</w:t>
                  </w:r>
                </w:p>
              </w:tc>
              <w:tc>
                <w:tcPr>
                  <w:tcW w:w="6373" w:type="dxa"/>
                  <w:gridSpan w:val="5"/>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发生爆炸，会对土壤、地下水环境造成影响；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52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风险防范措施要求</w:t>
                  </w:r>
                </w:p>
              </w:tc>
              <w:tc>
                <w:tcPr>
                  <w:tcW w:w="6373"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①严格按照《民爆条例》、《爆破安全操作规程》、《安全生产法》进行爆破作业</w:t>
                  </w:r>
                </w:p>
                <w:p>
                  <w:pPr>
                    <w:autoSpaceDE w:val="0"/>
                    <w:autoSpaceDN w:val="0"/>
                    <w:adjustRightInd w:val="0"/>
                    <w:snapToGrid w:val="0"/>
                    <w:jc w:val="left"/>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②</w:t>
                  </w:r>
                  <w:r>
                    <w:rPr>
                      <w:rFonts w:hAnsiTheme="minorEastAsia" w:eastAsiaTheme="minorEastAsia"/>
                      <w:color w:val="000000" w:themeColor="text1"/>
                      <w:kern w:val="0"/>
                      <w:szCs w:val="21"/>
                      <w14:textFill>
                        <w14:solidFill>
                          <w14:schemeClr w14:val="tx1"/>
                        </w14:solidFill>
                      </w14:textFill>
                    </w:rPr>
                    <w:t>确保各项措施切实可行，并保证治理设施正常运行</w:t>
                  </w:r>
                  <w:r>
                    <w:rPr>
                      <w:rFonts w:hint="eastAsia" w:hAnsiTheme="minorEastAsia" w:eastAsiaTheme="minorEastAsia"/>
                      <w:color w:val="000000" w:themeColor="text1"/>
                      <w:kern w:val="0"/>
                      <w:szCs w:val="21"/>
                      <w:lang w:eastAsia="zh-CN"/>
                      <w14:textFill>
                        <w14:solidFill>
                          <w14:schemeClr w14:val="tx1"/>
                        </w14:solidFill>
                      </w14:textFill>
                    </w:rPr>
                    <w:t>，</w:t>
                  </w:r>
                  <w:r>
                    <w:rPr>
                      <w:rFonts w:hAnsiTheme="minorEastAsia" w:eastAsiaTheme="minorEastAsia"/>
                      <w:color w:val="000000" w:themeColor="text1"/>
                      <w:kern w:val="0"/>
                      <w:szCs w:val="21"/>
                      <w14:textFill>
                        <w14:solidFill>
                          <w14:schemeClr w14:val="tx1"/>
                        </w14:solidFill>
                      </w14:textFill>
                    </w:rPr>
                    <w:t>定期检查和维修设施，及时发现问题及时解决，使事故发生率降至最低。</w:t>
                  </w:r>
                </w:p>
                <w:p>
                  <w:pPr>
                    <w:adjustRightInd w:val="0"/>
                    <w:snapToGrid w:val="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③根据国家相关要求制定突发环境风险</w:t>
                  </w:r>
                  <w:r>
                    <w:rPr>
                      <w:rFonts w:hint="eastAsia" w:hAnsiTheme="minorEastAsia" w:eastAsiaTheme="minorEastAsia"/>
                      <w:color w:val="000000" w:themeColor="text1"/>
                      <w:szCs w:val="21"/>
                      <w:lang w:val="en-US" w:eastAsia="zh-CN"/>
                      <w14:textFill>
                        <w14:solidFill>
                          <w14:schemeClr w14:val="tx1"/>
                        </w14:solidFill>
                      </w14:textFill>
                    </w:rPr>
                    <w:t>事件</w:t>
                  </w:r>
                  <w:r>
                    <w:rPr>
                      <w:rFonts w:hAnsiTheme="minorEastAsia" w:eastAsiaTheme="minorEastAsia"/>
                      <w:color w:val="000000" w:themeColor="text1"/>
                      <w:szCs w:val="21"/>
                      <w14:textFill>
                        <w14:solidFill>
                          <w14:schemeClr w14:val="tx1"/>
                        </w14:solidFill>
                      </w14:textFill>
                    </w:rPr>
                    <w:t>应急预案，定期进行演习。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899" w:type="dxa"/>
                  <w:gridSpan w:val="6"/>
                  <w:tcBorders>
                    <w:top w:val="single" w:color="auto" w:sz="4" w:space="0"/>
                    <w:left w:val="single" w:color="auto" w:sz="12" w:space="0"/>
                    <w:bottom w:val="single" w:color="auto" w:sz="12" w:space="0"/>
                    <w:right w:val="single" w:color="auto" w:sz="12" w:space="0"/>
                  </w:tcBorders>
                  <w:vAlign w:val="center"/>
                </w:tcPr>
                <w:p>
                  <w:pPr>
                    <w:adjustRightInd w:val="0"/>
                    <w:snapToGrid w:val="0"/>
                    <w:jc w:val="left"/>
                    <w:rPr>
                      <w:rFonts w:eastAsiaTheme="minorEastAsia"/>
                      <w:color w:val="000000" w:themeColor="text1"/>
                      <w:szCs w:val="24"/>
                      <w14:textFill>
                        <w14:solidFill>
                          <w14:schemeClr w14:val="tx1"/>
                        </w14:solidFill>
                      </w14:textFill>
                    </w:rPr>
                  </w:pPr>
                  <w:r>
                    <w:rPr>
                      <w:rFonts w:hAnsiTheme="minorEastAsia" w:eastAsiaTheme="minorEastAsia"/>
                      <w:color w:val="000000" w:themeColor="text1"/>
                      <w14:textFill>
                        <w14:solidFill>
                          <w14:schemeClr w14:val="tx1"/>
                        </w14:solidFill>
                      </w14:textFill>
                    </w:rPr>
                    <w:t>填表说明（列出项目相关信息及评价说明）：</w:t>
                  </w:r>
                </w:p>
                <w:p>
                  <w:pPr>
                    <w:pStyle w:val="4"/>
                    <w:spacing w:before="0" w:after="0" w:line="240" w:lineRule="auto"/>
                    <w:ind w:firstLine="420" w:firstLineChars="200"/>
                    <w:jc w:val="left"/>
                    <w:rPr>
                      <w:rFonts w:ascii="Times New Roman" w:hAnsi="Times New Roman" w:eastAsiaTheme="minorEastAsia"/>
                      <w:color w:val="000000" w:themeColor="text1"/>
                      <w14:textFill>
                        <w14:solidFill>
                          <w14:schemeClr w14:val="tx1"/>
                        </w14:solidFill>
                      </w14:textFill>
                    </w:rPr>
                  </w:pPr>
                  <w:r>
                    <w:rPr>
                      <w:rFonts w:ascii="Times New Roman" w:hAnsiTheme="minorEastAsia" w:eastAsiaTheme="minorEastAsia"/>
                      <w:b w:val="0"/>
                      <w:bCs w:val="0"/>
                      <w:color w:val="000000" w:themeColor="text1"/>
                      <w:sz w:val="21"/>
                      <w:szCs w:val="21"/>
                      <w14:textFill>
                        <w14:solidFill>
                          <w14:schemeClr w14:val="tx1"/>
                        </w14:solidFill>
                      </w14:textFill>
                    </w:rPr>
                    <w:t>本项目发生风险事故的概率极小，发生危害也不大，建议公司制定严格的操作规程，对工人进行风险教育，并制定完善的</w:t>
                  </w:r>
                  <w:r>
                    <w:rPr>
                      <w:rFonts w:hint="eastAsia" w:ascii="Times New Roman" w:hAnsiTheme="minorEastAsia" w:eastAsiaTheme="minorEastAsia"/>
                      <w:b w:val="0"/>
                      <w:bCs w:val="0"/>
                      <w:color w:val="000000" w:themeColor="text1"/>
                      <w:sz w:val="21"/>
                      <w:szCs w:val="21"/>
                      <w:lang w:val="en-US" w:eastAsia="zh-CN"/>
                      <w14:textFill>
                        <w14:solidFill>
                          <w14:schemeClr w14:val="tx1"/>
                        </w14:solidFill>
                      </w14:textFill>
                    </w:rPr>
                    <w:t>突发环境事件</w:t>
                  </w:r>
                  <w:r>
                    <w:rPr>
                      <w:rFonts w:ascii="Times New Roman" w:hAnsiTheme="minorEastAsia" w:eastAsiaTheme="minorEastAsia"/>
                      <w:b w:val="0"/>
                      <w:bCs w:val="0"/>
                      <w:color w:val="000000" w:themeColor="text1"/>
                      <w:sz w:val="21"/>
                      <w:szCs w:val="21"/>
                      <w14:textFill>
                        <w14:solidFill>
                          <w14:schemeClr w14:val="tx1"/>
                        </w14:solidFill>
                      </w14:textFill>
                    </w:rPr>
                    <w:t>应急预案，组织定期演习。因此，通过采取一系列的预防、应急和减缓措施后，本项目的风险</w:t>
                  </w:r>
                  <w:r>
                    <w:rPr>
                      <w:rFonts w:hint="eastAsia" w:ascii="Times New Roman" w:hAnsiTheme="minorEastAsia" w:eastAsiaTheme="minorEastAsia"/>
                      <w:b w:val="0"/>
                      <w:bCs w:val="0"/>
                      <w:color w:val="000000" w:themeColor="text1"/>
                      <w:sz w:val="21"/>
                      <w:szCs w:val="21"/>
                      <w:lang w:val="en-US" w:eastAsia="zh-CN"/>
                      <w14:textFill>
                        <w14:solidFill>
                          <w14:schemeClr w14:val="tx1"/>
                        </w14:solidFill>
                      </w14:textFill>
                    </w:rPr>
                    <w:t>事件</w:t>
                  </w:r>
                  <w:r>
                    <w:rPr>
                      <w:rFonts w:ascii="Times New Roman" w:hAnsiTheme="minorEastAsia" w:eastAsiaTheme="minorEastAsia"/>
                      <w:b w:val="0"/>
                      <w:bCs w:val="0"/>
                      <w:color w:val="000000" w:themeColor="text1"/>
                      <w:sz w:val="21"/>
                      <w:szCs w:val="21"/>
                      <w14:textFill>
                        <w14:solidFill>
                          <w14:schemeClr w14:val="tx1"/>
                        </w14:solidFill>
                      </w14:textFill>
                    </w:rPr>
                    <w:t>及对周围环境的影响可以减少到最小。</w:t>
                  </w:r>
                </w:p>
              </w:tc>
            </w:tr>
          </w:tbl>
          <w:p>
            <w:pPr>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8</w:t>
            </w:r>
            <w:r>
              <w:rPr>
                <w:rFonts w:hAnsiTheme="minorEastAsia" w:eastAsiaTheme="minorEastAsia"/>
                <w:b/>
                <w:color w:val="000000" w:themeColor="text1"/>
                <w:sz w:val="24"/>
                <w14:textFill>
                  <w14:solidFill>
                    <w14:schemeClr w14:val="tx1"/>
                  </w14:solidFill>
                </w14:textFill>
              </w:rPr>
              <w:t>、矿山闭矿期对环境的影响分析</w:t>
            </w:r>
          </w:p>
          <w:p>
            <w:pPr>
              <w:pStyle w:val="5"/>
              <w:adjustRightInd w:val="0"/>
              <w:snapToGrid w:val="0"/>
              <w:spacing w:before="0" w:after="0" w:line="360" w:lineRule="auto"/>
              <w:ind w:firstLine="480" w:firstLineChars="200"/>
              <w:rPr>
                <w:rFonts w:eastAsiaTheme="minorEastAsia"/>
                <w:b w:val="0"/>
                <w:color w:val="000000" w:themeColor="text1"/>
                <w:sz w:val="24"/>
                <w:szCs w:val="24"/>
                <w14:textFill>
                  <w14:solidFill>
                    <w14:schemeClr w14:val="tx1"/>
                  </w14:solidFill>
                </w14:textFill>
              </w:rPr>
            </w:pPr>
            <w:bookmarkStart w:id="12" w:name="_Toc535846024"/>
            <w:bookmarkStart w:id="13" w:name="_Toc2158949"/>
            <w:bookmarkStart w:id="14" w:name="_Toc2158990"/>
            <w:r>
              <w:rPr>
                <w:rFonts w:hAnsiTheme="minorEastAsia" w:eastAsiaTheme="minorEastAsia"/>
                <w:b w:val="0"/>
                <w:color w:val="000000" w:themeColor="text1"/>
                <w:sz w:val="24"/>
                <w:szCs w:val="24"/>
                <w14:textFill>
                  <w14:solidFill>
                    <w14:schemeClr w14:val="tx1"/>
                  </w14:solidFill>
                </w14:textFill>
              </w:rPr>
              <w:t>①水环境影响分析</w:t>
            </w:r>
            <w:bookmarkEnd w:id="12"/>
            <w:bookmarkEnd w:id="13"/>
            <w:bookmarkEnd w:id="14"/>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露天矿闭矿后，将会形成短时间内的地表裸露，地表大气降水将形成地表径流，其水质与地表降水自然径流水质差异不大，另外，</w:t>
            </w:r>
            <w:r>
              <w:rPr>
                <w:rFonts w:hAnsiTheme="minorEastAsia" w:eastAsiaTheme="minorEastAsia"/>
                <w:color w:val="000000" w:themeColor="text1"/>
                <w:sz w:val="24"/>
                <w:szCs w:val="24"/>
                <w14:textFill>
                  <w14:solidFill>
                    <w14:schemeClr w14:val="tx1"/>
                  </w14:solidFill>
                </w14:textFill>
              </w:rPr>
              <w:t>闭矿后，地下水位将只受天然条件的影响，因此，在这种条件下，闭矿期对地下水水位没有影响</w:t>
            </w:r>
            <w:r>
              <w:rPr>
                <w:rFonts w:hAnsiTheme="minorEastAsia" w:eastAsiaTheme="minorEastAsia"/>
                <w:color w:val="000000" w:themeColor="text1"/>
                <w:kern w:val="0"/>
                <w:position w:val="-1"/>
                <w:sz w:val="24"/>
                <w:szCs w:val="24"/>
                <w14:textFill>
                  <w14:solidFill>
                    <w14:schemeClr w14:val="tx1"/>
                  </w14:solidFill>
                </w14:textFill>
              </w:rPr>
              <w:t>。</w:t>
            </w:r>
          </w:p>
          <w:p>
            <w:pPr>
              <w:pStyle w:val="5"/>
              <w:adjustRightInd w:val="0"/>
              <w:snapToGrid w:val="0"/>
              <w:spacing w:before="0" w:after="0" w:line="360" w:lineRule="auto"/>
              <w:ind w:firstLine="480" w:firstLineChars="200"/>
              <w:rPr>
                <w:rFonts w:eastAsiaTheme="minorEastAsia"/>
                <w:b w:val="0"/>
                <w:color w:val="000000" w:themeColor="text1"/>
                <w:sz w:val="24"/>
                <w:szCs w:val="24"/>
                <w14:textFill>
                  <w14:solidFill>
                    <w14:schemeClr w14:val="tx1"/>
                  </w14:solidFill>
                </w14:textFill>
              </w:rPr>
            </w:pPr>
            <w:bookmarkStart w:id="15" w:name="_Toc2158950"/>
            <w:bookmarkStart w:id="16" w:name="_Toc535846025"/>
            <w:bookmarkStart w:id="17" w:name="_Toc2158991"/>
            <w:r>
              <w:rPr>
                <w:rFonts w:hAnsiTheme="minorEastAsia" w:eastAsiaTheme="minorEastAsia"/>
                <w:b w:val="0"/>
                <w:color w:val="000000" w:themeColor="text1"/>
                <w:sz w:val="24"/>
                <w:szCs w:val="24"/>
                <w14:textFill>
                  <w14:solidFill>
                    <w14:schemeClr w14:val="tx1"/>
                  </w14:solidFill>
                </w14:textFill>
              </w:rPr>
              <w:t>②噪声环境影响分析</w:t>
            </w:r>
            <w:bookmarkEnd w:id="15"/>
            <w:bookmarkEnd w:id="16"/>
            <w:bookmarkEnd w:id="17"/>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工程闭矿期采矿区、工业场地等均无采掘设备及加工设备，环境噪声将有所降低，并逐渐恢复到本底值。</w:t>
            </w:r>
          </w:p>
          <w:p>
            <w:pPr>
              <w:pStyle w:val="5"/>
              <w:adjustRightInd w:val="0"/>
              <w:snapToGrid w:val="0"/>
              <w:spacing w:before="0" w:after="0" w:line="360" w:lineRule="auto"/>
              <w:ind w:firstLine="480" w:firstLineChars="200"/>
              <w:rPr>
                <w:rFonts w:eastAsiaTheme="minorEastAsia"/>
                <w:b w:val="0"/>
                <w:color w:val="000000" w:themeColor="text1"/>
                <w:sz w:val="24"/>
                <w:szCs w:val="24"/>
                <w14:textFill>
                  <w14:solidFill>
                    <w14:schemeClr w14:val="tx1"/>
                  </w14:solidFill>
                </w14:textFill>
              </w:rPr>
            </w:pPr>
            <w:bookmarkStart w:id="18" w:name="_Toc535846026"/>
            <w:bookmarkStart w:id="19" w:name="_Toc2158951"/>
            <w:bookmarkStart w:id="20" w:name="_Toc2158992"/>
            <w:r>
              <w:rPr>
                <w:rFonts w:hAnsiTheme="minorEastAsia" w:eastAsiaTheme="minorEastAsia"/>
                <w:b w:val="0"/>
                <w:color w:val="000000" w:themeColor="text1"/>
                <w:sz w:val="24"/>
                <w:szCs w:val="24"/>
                <w14:textFill>
                  <w14:solidFill>
                    <w14:schemeClr w14:val="tx1"/>
                  </w14:solidFill>
                </w14:textFill>
              </w:rPr>
              <w:t>③固体废物环境影响分析</w:t>
            </w:r>
            <w:bookmarkEnd w:id="18"/>
            <w:bookmarkEnd w:id="19"/>
            <w:bookmarkEnd w:id="20"/>
          </w:p>
          <w:p>
            <w:pPr>
              <w:adjustRightInd w:val="0"/>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建设单位购买跟矿区相同类型的土壤进行闭矿期开采工作面降进行复垦和生态恢复，因此，闭矿期后固体废物对周围环境的影响甚微。</w:t>
            </w:r>
          </w:p>
          <w:p>
            <w:pPr>
              <w:pStyle w:val="5"/>
              <w:adjustRightInd w:val="0"/>
              <w:snapToGrid w:val="0"/>
              <w:spacing w:before="0" w:after="0" w:line="360" w:lineRule="auto"/>
              <w:ind w:firstLine="480" w:firstLineChars="200"/>
              <w:rPr>
                <w:rFonts w:eastAsiaTheme="minorEastAsia"/>
                <w:b w:val="0"/>
                <w:color w:val="000000" w:themeColor="text1"/>
                <w:sz w:val="24"/>
                <w:szCs w:val="24"/>
                <w14:textFill>
                  <w14:solidFill>
                    <w14:schemeClr w14:val="tx1"/>
                  </w14:solidFill>
                </w14:textFill>
              </w:rPr>
            </w:pPr>
            <w:bookmarkStart w:id="21" w:name="_Toc535846027"/>
            <w:bookmarkStart w:id="22" w:name="_Toc2158993"/>
            <w:bookmarkStart w:id="23" w:name="_Toc2158952"/>
            <w:r>
              <w:rPr>
                <w:rFonts w:hAnsiTheme="minorEastAsia" w:eastAsiaTheme="minorEastAsia"/>
                <w:b w:val="0"/>
                <w:color w:val="000000" w:themeColor="text1"/>
                <w:sz w:val="24"/>
                <w:szCs w:val="24"/>
                <w14:textFill>
                  <w14:solidFill>
                    <w14:schemeClr w14:val="tx1"/>
                  </w14:solidFill>
                </w14:textFill>
              </w:rPr>
              <w:t>④生态环境影响分析</w:t>
            </w:r>
            <w:bookmarkEnd w:id="21"/>
            <w:bookmarkEnd w:id="22"/>
            <w:bookmarkEnd w:id="23"/>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szCs w:val="24"/>
                <w14:textFill>
                  <w14:solidFill>
                    <w14:schemeClr w14:val="tx1"/>
                  </w14:solidFill>
                </w14:textFill>
              </w:rPr>
              <w:t>闭矿期的矿区景观格局与运营后期是一致的，由于人为因素的干扰，减少了景观的异质性，导致景观格局破坏程度增加，对生态过程会产生一定的负面作用，评价要求在矿山开采设计初期应制定生态恢复方案，在营运过程中采取边开采边治理措施，确保土地复垦规划、水土保持工程和生物措施的逐步实施，采取各项措施后，矿区生态环境将逐步得到改善和恢复。</w:t>
            </w:r>
          </w:p>
          <w:p>
            <w:pPr>
              <w:pStyle w:val="18"/>
              <w:ind w:firstLine="480"/>
              <w:rPr>
                <w:rFonts w:eastAsiaTheme="minorEastAsia"/>
                <w:color w:val="000000" w:themeColor="text1"/>
                <w:sz w:val="24"/>
                <w14:textFill>
                  <w14:solidFill>
                    <w14:schemeClr w14:val="tx1"/>
                  </w14:solidFill>
                </w14:textFill>
              </w:rPr>
            </w:pPr>
            <w:r>
              <w:rPr>
                <w:rFonts w:hAnsiTheme="minorEastAsia" w:eastAsiaTheme="minorEastAsia"/>
                <w:color w:val="000000" w:themeColor="text1"/>
                <w:sz w:val="24"/>
                <w14:textFill>
                  <w14:solidFill>
                    <w14:schemeClr w14:val="tx1"/>
                  </w14:solidFill>
                </w14:textFill>
              </w:rPr>
              <w:t>采区生态恢复工艺流程图见图</w:t>
            </w:r>
            <w:r>
              <w:rPr>
                <w:rFonts w:hint="eastAsia" w:eastAsiaTheme="minorEastAsia"/>
                <w:color w:val="000000" w:themeColor="text1"/>
                <w:sz w:val="24"/>
                <w14:textFill>
                  <w14:solidFill>
                    <w14:schemeClr w14:val="tx1"/>
                  </w14:solidFill>
                </w14:textFill>
              </w:rPr>
              <w:t>4</w:t>
            </w:r>
            <w:r>
              <w:rPr>
                <w:rFonts w:hAnsiTheme="minorEastAsia" w:eastAsiaTheme="minorEastAsia"/>
                <w:color w:val="000000" w:themeColor="text1"/>
                <w:sz w:val="24"/>
                <w14:textFill>
                  <w14:solidFill>
                    <w14:schemeClr w14:val="tx1"/>
                  </w14:solidFill>
                </w14:textFill>
              </w:rPr>
              <w:t>。</w:t>
            </w:r>
          </w:p>
          <w:p>
            <w:pPr>
              <w:adjustRightInd w:val="0"/>
              <w:snapToGrid w:val="0"/>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4208145</wp:posOffset>
                      </wp:positionH>
                      <wp:positionV relativeFrom="paragraph">
                        <wp:posOffset>218440</wp:posOffset>
                      </wp:positionV>
                      <wp:extent cx="687705" cy="297180"/>
                      <wp:effectExtent l="4445" t="4445" r="8890" b="18415"/>
                      <wp:wrapNone/>
                      <wp:docPr id="14" name="Text Box 6762"/>
                      <wp:cNvGraphicFramePr/>
                      <a:graphic xmlns:a="http://schemas.openxmlformats.org/drawingml/2006/main">
                        <a:graphicData uri="http://schemas.microsoft.com/office/word/2010/wordprocessingShape">
                          <wps:wsp>
                            <wps:cNvSpPr txBox="1"/>
                            <wps:spPr>
                              <a:xfrm>
                                <a:off x="0" y="0"/>
                                <a:ext cx="6877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植被恢复</w:t>
                                  </w:r>
                                </w:p>
                              </w:txbxContent>
                            </wps:txbx>
                            <wps:bodyPr lIns="36068" tIns="36068" rIns="36068" bIns="36068" upright="1"/>
                          </wps:wsp>
                        </a:graphicData>
                      </a:graphic>
                    </wp:anchor>
                  </w:drawing>
                </mc:Choice>
                <mc:Fallback>
                  <w:pict>
                    <v:shape id="Text Box 6762" o:spid="_x0000_s1026" o:spt="202" type="#_x0000_t202" style="position:absolute;left:0pt;margin-left:331.35pt;margin-top:17.2pt;height:23.4pt;width:54.15pt;z-index:251665408;mso-width-relative:page;mso-height-relative:page;" fillcolor="#FFFFFF" filled="t" stroked="t" coordsize="21600,21600" o:gfxdata="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IVZ91gAAAAkBAAAPAAAAAAAA&#10;AAEAIAAAACIAAABkcnMvZG93bnJldi54bWxQSwECFAAUAAAACACHTuJA/CnfcxQCAABsBAAADgAA&#10;AAAAAAABACAAAAAlAQAAZHJzL2Uyb0RvYy54bWxQSwUGAAAAAAYABgBZAQAAqwUAAAAA&#10;">
                      <v:fill on="t" focussize="0,0"/>
                      <v:stroke color="#000000" joinstyle="miter"/>
                      <v:imagedata o:title=""/>
                      <o:lock v:ext="edit" aspectratio="f"/>
                      <v:textbox inset="2.84pt,2.84pt,2.84pt,2.84pt">
                        <w:txbxContent>
                          <w:p>
                            <w:pPr>
                              <w:rPr>
                                <w:szCs w:val="21"/>
                              </w:rPr>
                            </w:pPr>
                            <w:r>
                              <w:rPr>
                                <w:rFonts w:hint="eastAsia"/>
                                <w:szCs w:val="21"/>
                              </w:rPr>
                              <w:t>植被恢复</w:t>
                            </w:r>
                          </w:p>
                        </w:txbxContent>
                      </v:textbox>
                    </v:shap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3420745</wp:posOffset>
                      </wp:positionH>
                      <wp:positionV relativeFrom="paragraph">
                        <wp:posOffset>205740</wp:posOffset>
                      </wp:positionV>
                      <wp:extent cx="371475" cy="297180"/>
                      <wp:effectExtent l="4445" t="4445" r="5080" b="18415"/>
                      <wp:wrapNone/>
                      <wp:docPr id="13" name="Text Box 6761"/>
                      <wp:cNvGraphicFramePr/>
                      <a:graphic xmlns:a="http://schemas.openxmlformats.org/drawingml/2006/main">
                        <a:graphicData uri="http://schemas.microsoft.com/office/word/2010/wordprocessingShape">
                          <wps:wsp>
                            <wps:cNvSpPr txBox="1"/>
                            <wps:spPr>
                              <a:xfrm>
                                <a:off x="0" y="0"/>
                                <a:ext cx="371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整平</w:t>
                                  </w:r>
                                </w:p>
                              </w:txbxContent>
                            </wps:txbx>
                            <wps:bodyPr lIns="36068" tIns="36068" rIns="36068" bIns="36068" upright="1"/>
                          </wps:wsp>
                        </a:graphicData>
                      </a:graphic>
                    </wp:anchor>
                  </w:drawing>
                </mc:Choice>
                <mc:Fallback>
                  <w:pict>
                    <v:shape id="Text Box 6761" o:spid="_x0000_s1026" o:spt="202" type="#_x0000_t202" style="position:absolute;left:0pt;margin-left:269.35pt;margin-top:16.2pt;height:23.4pt;width:29.25pt;z-index:251664384;mso-width-relative:page;mso-height-relative:page;" fillcolor="#FFFFFF" filled="t" stroked="t" coordsize="21600,21600" o:gfxdata="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QQs59cAAAAJAQAADwAAAAAA&#10;AAABACAAAAAiAAAAZHJzL2Rvd25yZXYueG1sUEsBAhQAFAAAAAgAh07iQKe1c00UAgAAbAQAAA4A&#10;AAAAAAAAAQAgAAAAJgEAAGRycy9lMm9Eb2MueG1sUEsFBgAAAAAGAAYAWQEAAKwFAAAAAA==&#10;">
                      <v:fill on="t" focussize="0,0"/>
                      <v:stroke color="#000000" joinstyle="miter"/>
                      <v:imagedata o:title=""/>
                      <o:lock v:ext="edit" aspectratio="f"/>
                      <v:textbox inset="2.84pt,2.84pt,2.84pt,2.84pt">
                        <w:txbxContent>
                          <w:p>
                            <w:pPr>
                              <w:rPr>
                                <w:szCs w:val="21"/>
                              </w:rPr>
                            </w:pPr>
                            <w:r>
                              <w:rPr>
                                <w:rFonts w:hint="eastAsia"/>
                                <w:szCs w:val="21"/>
                              </w:rPr>
                              <w:t>整平</w:t>
                            </w:r>
                          </w:p>
                        </w:txbxContent>
                      </v:textbox>
                    </v:shap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2626995</wp:posOffset>
                      </wp:positionH>
                      <wp:positionV relativeFrom="paragraph">
                        <wp:posOffset>212090</wp:posOffset>
                      </wp:positionV>
                      <wp:extent cx="371475" cy="297180"/>
                      <wp:effectExtent l="4445" t="4445" r="5080" b="18415"/>
                      <wp:wrapNone/>
                      <wp:docPr id="5" name="Text Box 6760"/>
                      <wp:cNvGraphicFramePr/>
                      <a:graphic xmlns:a="http://schemas.openxmlformats.org/drawingml/2006/main">
                        <a:graphicData uri="http://schemas.microsoft.com/office/word/2010/wordprocessingShape">
                          <wps:wsp>
                            <wps:cNvSpPr txBox="1"/>
                            <wps:spPr>
                              <a:xfrm>
                                <a:off x="0" y="0"/>
                                <a:ext cx="371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覆土</w:t>
                                  </w:r>
                                </w:p>
                              </w:txbxContent>
                            </wps:txbx>
                            <wps:bodyPr lIns="36068" tIns="36068" rIns="36068" bIns="36068" upright="1"/>
                          </wps:wsp>
                        </a:graphicData>
                      </a:graphic>
                    </wp:anchor>
                  </w:drawing>
                </mc:Choice>
                <mc:Fallback>
                  <w:pict>
                    <v:shape id="Text Box 6760" o:spid="_x0000_s1026" o:spt="202" type="#_x0000_t202" style="position:absolute;left:0pt;margin-left:206.85pt;margin-top:16.7pt;height:23.4pt;width:29.25pt;z-index:251663360;mso-width-relative:page;mso-height-relative:page;" fillcolor="#FFFFFF" filled="t" stroked="t" coordsize="21600,21600" o:gfxdata="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dDWLUAAAACQEAAA8AAAAAAAAAAQAg&#10;AAAAIgAAAGRycy9kb3ducmV2LnhtbFBLAQIUABQAAAAIAIdO4kDMBgO9EgIAAGsEAAAOAAAAAAAA&#10;AAEAIAAAACMBAABkcnMvZTJvRG9jLnhtbFBLBQYAAAAABgAGAFkBAACnBQAAAAA=&#10;">
                      <v:fill on="t" focussize="0,0"/>
                      <v:stroke color="#000000" joinstyle="miter"/>
                      <v:imagedata o:title=""/>
                      <o:lock v:ext="edit" aspectratio="f"/>
                      <v:textbox inset="2.84pt,2.84pt,2.84pt,2.84pt">
                        <w:txbxContent>
                          <w:p>
                            <w:pPr>
                              <w:rPr>
                                <w:szCs w:val="21"/>
                              </w:rPr>
                            </w:pPr>
                            <w:r>
                              <w:rPr>
                                <w:rFonts w:hint="eastAsia"/>
                                <w:szCs w:val="21"/>
                              </w:rPr>
                              <w:t>覆土</w:t>
                            </w:r>
                          </w:p>
                        </w:txbxContent>
                      </v:textbox>
                    </v:shap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1820545</wp:posOffset>
                      </wp:positionH>
                      <wp:positionV relativeFrom="paragraph">
                        <wp:posOffset>205740</wp:posOffset>
                      </wp:positionV>
                      <wp:extent cx="371475" cy="297180"/>
                      <wp:effectExtent l="4445" t="4445" r="5080" b="18415"/>
                      <wp:wrapNone/>
                      <wp:docPr id="4" name="Text Box 6759"/>
                      <wp:cNvGraphicFramePr/>
                      <a:graphic xmlns:a="http://schemas.openxmlformats.org/drawingml/2006/main">
                        <a:graphicData uri="http://schemas.microsoft.com/office/word/2010/wordprocessingShape">
                          <wps:wsp>
                            <wps:cNvSpPr txBox="1"/>
                            <wps:spPr>
                              <a:xfrm>
                                <a:off x="0" y="0"/>
                                <a:ext cx="371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平整</w:t>
                                  </w:r>
                                </w:p>
                              </w:txbxContent>
                            </wps:txbx>
                            <wps:bodyPr lIns="36068" tIns="36068" rIns="36068" bIns="36068" upright="1"/>
                          </wps:wsp>
                        </a:graphicData>
                      </a:graphic>
                    </wp:anchor>
                  </w:drawing>
                </mc:Choice>
                <mc:Fallback>
                  <w:pict>
                    <v:shape id="Text Box 6759" o:spid="_x0000_s1026" o:spt="202" type="#_x0000_t202" style="position:absolute;left:0pt;margin-left:143.35pt;margin-top:16.2pt;height:23.4pt;width:29.25pt;z-index:251662336;mso-width-relative:page;mso-height-relative:page;" fillcolor="#FFFFFF" filled="t" stroked="t" coordsize="21600,21600" o:gfxdata="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LCqZ1gAAAAkBAAAPAAAAAAAA&#10;AAEAIAAAACIAAABkcnMvZG93bnJldi54bWxQSwECFAAUAAAACACHTuJAvab52RQCAABrBAAADgAA&#10;AAAAAAABACAAAAAlAQAAZHJzL2Uyb0RvYy54bWxQSwUGAAAAAAYABgBZAQAAqwUAAAAA&#10;">
                      <v:fill on="t" focussize="0,0"/>
                      <v:stroke color="#000000" joinstyle="miter"/>
                      <v:imagedata o:title=""/>
                      <o:lock v:ext="edit" aspectratio="f"/>
                      <v:textbox inset="2.84pt,2.84pt,2.84pt,2.84pt">
                        <w:txbxContent>
                          <w:p>
                            <w:pPr>
                              <w:rPr>
                                <w:szCs w:val="21"/>
                              </w:rPr>
                            </w:pPr>
                            <w:r>
                              <w:rPr>
                                <w:rFonts w:hint="eastAsia"/>
                                <w:szCs w:val="21"/>
                              </w:rPr>
                              <w:t>平整</w:t>
                            </w:r>
                          </w:p>
                        </w:txbxContent>
                      </v:textbox>
                    </v:shap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1040765</wp:posOffset>
                      </wp:positionH>
                      <wp:positionV relativeFrom="paragraph">
                        <wp:posOffset>215265</wp:posOffset>
                      </wp:positionV>
                      <wp:extent cx="371475" cy="297180"/>
                      <wp:effectExtent l="4445" t="4445" r="5080" b="18415"/>
                      <wp:wrapNone/>
                      <wp:docPr id="3" name="Text Box 6758"/>
                      <wp:cNvGraphicFramePr/>
                      <a:graphic xmlns:a="http://schemas.openxmlformats.org/drawingml/2006/main">
                        <a:graphicData uri="http://schemas.microsoft.com/office/word/2010/wordprocessingShape">
                          <wps:wsp>
                            <wps:cNvSpPr txBox="1"/>
                            <wps:spPr>
                              <a:xfrm>
                                <a:off x="0" y="0"/>
                                <a:ext cx="371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填沟</w:t>
                                  </w:r>
                                </w:p>
                              </w:txbxContent>
                            </wps:txbx>
                            <wps:bodyPr lIns="36068" tIns="36068" rIns="36068" bIns="36068" upright="1"/>
                          </wps:wsp>
                        </a:graphicData>
                      </a:graphic>
                    </wp:anchor>
                  </w:drawing>
                </mc:Choice>
                <mc:Fallback>
                  <w:pict>
                    <v:shape id="Text Box 6758" o:spid="_x0000_s1026" o:spt="202" type="#_x0000_t202" style="position:absolute;left:0pt;margin-left:81.95pt;margin-top:16.95pt;height:23.4pt;width:29.25pt;z-index:251661312;mso-width-relative:page;mso-height-relative:page;" fillcolor="#FFFFFF" filled="t" stroked="t" coordsize="21600,21600" o:gfxdata="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MVRF1gAAAAkBAAAPAAAAAAAA&#10;AAEAIAAAACIAAABkcnMvZG93bnJldi54bWxQSwECFAAUAAAACACHTuJAWNofEBQCAABrBAAADgAA&#10;AAAAAAABACAAAAAlAQAAZHJzL2Uyb0RvYy54bWxQSwUGAAAAAAYABgBZAQAAqwUAAAAA&#10;">
                      <v:fill on="t" focussize="0,0"/>
                      <v:stroke color="#000000" joinstyle="miter"/>
                      <v:imagedata o:title=""/>
                      <o:lock v:ext="edit" aspectratio="f"/>
                      <v:textbox inset="2.84pt,2.84pt,2.84pt,2.84pt">
                        <w:txbxContent>
                          <w:p>
                            <w:pPr>
                              <w:rPr>
                                <w:szCs w:val="21"/>
                              </w:rPr>
                            </w:pPr>
                            <w:r>
                              <w:rPr>
                                <w:rFonts w:hint="eastAsia"/>
                                <w:szCs w:val="21"/>
                              </w:rPr>
                              <w:t>填沟</w:t>
                            </w:r>
                          </w:p>
                        </w:txbxContent>
                      </v:textbox>
                    </v:shap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220345</wp:posOffset>
                      </wp:positionH>
                      <wp:positionV relativeFrom="paragraph">
                        <wp:posOffset>231140</wp:posOffset>
                      </wp:positionV>
                      <wp:extent cx="371475" cy="297180"/>
                      <wp:effectExtent l="4445" t="4445" r="5080" b="18415"/>
                      <wp:wrapNone/>
                      <wp:docPr id="2" name="Text Box 6757"/>
                      <wp:cNvGraphicFramePr/>
                      <a:graphic xmlns:a="http://schemas.openxmlformats.org/drawingml/2006/main">
                        <a:graphicData uri="http://schemas.microsoft.com/office/word/2010/wordprocessingShape">
                          <wps:wsp>
                            <wps:cNvSpPr txBox="1"/>
                            <wps:spPr>
                              <a:xfrm>
                                <a:off x="0" y="0"/>
                                <a:ext cx="371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剥岩</w:t>
                                  </w:r>
                                </w:p>
                              </w:txbxContent>
                            </wps:txbx>
                            <wps:bodyPr lIns="36068" tIns="36068" rIns="36068" bIns="36068" upright="1"/>
                          </wps:wsp>
                        </a:graphicData>
                      </a:graphic>
                    </wp:anchor>
                  </w:drawing>
                </mc:Choice>
                <mc:Fallback>
                  <w:pict>
                    <v:shape id="Text Box 6757" o:spid="_x0000_s1026" o:spt="202" type="#_x0000_t202" style="position:absolute;left:0pt;margin-left:17.35pt;margin-top:18.2pt;height:23.4pt;width:29.25pt;z-index:251660288;mso-width-relative:page;mso-height-relative:page;" fillcolor="#FFFFFF" filled="t" stroked="t" coordsize="21600,21600" o:gfxdata="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HbMR0wAAAAcBAAAPAAAAAAAAAAEA&#10;IAAAACIAAABkcnMvZG93bnJldi54bWxQSwECFAAUAAAACACHTuJAVIrfbhQCAABrBAAADgAAAAAA&#10;AAABACAAAAAiAQAAZHJzL2Uyb0RvYy54bWxQSwUGAAAAAAYABgBZAQAAqAUAAAAA&#10;">
                      <v:fill on="t" focussize="0,0"/>
                      <v:stroke color="#000000" joinstyle="miter"/>
                      <v:imagedata o:title=""/>
                      <o:lock v:ext="edit" aspectratio="f"/>
                      <v:textbox inset="2.84pt,2.84pt,2.84pt,2.84pt">
                        <w:txbxContent>
                          <w:p>
                            <w:pPr>
                              <w:rPr>
                                <w:szCs w:val="21"/>
                              </w:rPr>
                            </w:pPr>
                            <w:r>
                              <w:rPr>
                                <w:rFonts w:hint="eastAsia"/>
                                <w:szCs w:val="21"/>
                              </w:rPr>
                              <w:t>剥岩</w:t>
                            </w:r>
                          </w:p>
                        </w:txbxContent>
                      </v:textbox>
                    </v:shape>
                  </w:pict>
                </mc:Fallback>
              </mc:AlternateContent>
            </w:r>
          </w:p>
          <w:p>
            <w:pPr>
              <w:spacing w:line="360" w:lineRule="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3830320</wp:posOffset>
                      </wp:positionH>
                      <wp:positionV relativeFrom="paragraph">
                        <wp:posOffset>76200</wp:posOffset>
                      </wp:positionV>
                      <wp:extent cx="342900" cy="635"/>
                      <wp:effectExtent l="0" t="37465" r="7620" b="38100"/>
                      <wp:wrapNone/>
                      <wp:docPr id="19" name="Line 6769"/>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769" o:spid="_x0000_s1026" o:spt="20" style="position:absolute;left:0pt;margin-left:301.6pt;margin-top:6pt;height:0.05pt;width:27pt;z-index:251670528;mso-width-relative:page;mso-height-relative:page;" filled="f" stroked="t" coordsize="21600,21600" o:gfxdata="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yj4RdgA&#10;AAAJAQAADwAAAAAAAAABACAAAAAiAAAAZHJzL2Rvd25yZXYueG1sUEsBAhQAFAAAAAgAh07iQFgM&#10;TEDmAQAA4gMAAA4AAAAAAAAAAQAgAAAAJwEAAGRycy9lMm9Eb2MueG1sUEsFBgAAAAAGAAYAWQEA&#10;AH8FAAAAAA==&#10;">
                      <v:fill on="f" focussize="0,0"/>
                      <v:stroke color="#000000" joinstyle="round" endarrow="block"/>
                      <v:imagedata o:title=""/>
                      <o:lock v:ext="edit" aspectratio="f"/>
                    </v:lin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3030220</wp:posOffset>
                      </wp:positionH>
                      <wp:positionV relativeFrom="paragraph">
                        <wp:posOffset>76835</wp:posOffset>
                      </wp:positionV>
                      <wp:extent cx="342900" cy="635"/>
                      <wp:effectExtent l="0" t="37465" r="7620" b="38100"/>
                      <wp:wrapNone/>
                      <wp:docPr id="18" name="Line 6768"/>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768" o:spid="_x0000_s1026" o:spt="20" style="position:absolute;left:0pt;margin-left:238.6pt;margin-top:6.05pt;height:0.05pt;width:27pt;z-index:251669504;mso-width-relative:page;mso-height-relative:page;" filled="f" stroked="t" coordsize="21600,21600" o:gfxdata="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34ljbZ&#10;AAAACQEAAA8AAAAAAAAAAQAgAAAAIgAAAGRycy9kb3ducmV2LnhtbFBLAQIUABQAAAAIAIdO4kDo&#10;K5Cc5gEAAOIDAAAOAAAAAAAAAAEAIAAAACgBAABkcnMvZTJvRG9jLnhtbFBLBQYAAAAABgAGAFkB&#10;AACABQAAAAA=&#10;">
                      <v:fill on="f" focussize="0,0"/>
                      <v:stroke color="#000000" joinstyle="round" endarrow="block"/>
                      <v:imagedata o:title=""/>
                      <o:lock v:ext="edit" aspectratio="f"/>
                    </v:lin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64135</wp:posOffset>
                      </wp:positionV>
                      <wp:extent cx="342900" cy="635"/>
                      <wp:effectExtent l="0" t="37465" r="7620" b="38100"/>
                      <wp:wrapNone/>
                      <wp:docPr id="17" name="Line 6767"/>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767" o:spid="_x0000_s1026" o:spt="20" style="position:absolute;left:0pt;margin-left:174.6pt;margin-top:5.05pt;height:0.05pt;width:27pt;z-index:251668480;mso-width-relative:page;mso-height-relative:page;" filled="f" stroked="t" coordsize="21600,21600" o:gfxdata="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L+mtgA&#10;AAAJAQAADwAAAAAAAAABACAAAAAiAAAAZHJzL2Rvd25yZXYueG1sUEsBAhQAFAAAAAgAh07iQP71&#10;Q7fmAQAA4gMAAA4AAAAAAAAAAQAgAAAAJwEAAGRycy9lMm9Eb2MueG1sUEsFBgAAAAAGAAYAWQEA&#10;AH8FAAAAAA==&#10;">
                      <v:fill on="f" focussize="0,0"/>
                      <v:stroke color="#000000" joinstyle="round" endarrow="block"/>
                      <v:imagedata o:title=""/>
                      <o:lock v:ext="edit" aspectratio="f"/>
                    </v:lin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1430020</wp:posOffset>
                      </wp:positionH>
                      <wp:positionV relativeFrom="paragraph">
                        <wp:posOffset>76835</wp:posOffset>
                      </wp:positionV>
                      <wp:extent cx="342900" cy="635"/>
                      <wp:effectExtent l="0" t="37465" r="7620" b="38100"/>
                      <wp:wrapNone/>
                      <wp:docPr id="16" name="Line 6766"/>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766" o:spid="_x0000_s1026" o:spt="20" style="position:absolute;left:0pt;margin-left:112.6pt;margin-top:6.05pt;height:0.05pt;width:27pt;z-index:251667456;mso-width-relative:page;mso-height-relative:page;" filled="f" stroked="t" coordsize="21600,21600" o:gfxdata="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EPRstgA&#10;AAAJAQAADwAAAAAAAAABACAAAAAiAAAAZHJzL2Rvd25yZXYueG1sUEsBAhQAFAAAAAgAh07iQE7S&#10;n2vmAQAA4gMAAA4AAAAAAAAAAQAgAAAAJwEAAGRycy9lMm9Eb2MueG1sUEsFBgAAAAAGAAYAWQEA&#10;AH8FAAAAAA==&#10;">
                      <v:fill on="f" focussize="0,0"/>
                      <v:stroke color="#000000" joinstyle="round" endarrow="block"/>
                      <v:imagedata o:title=""/>
                      <o:lock v:ext="edit" aspectratio="f"/>
                    </v:line>
                  </w:pict>
                </mc:Fallback>
              </mc:AlternateContent>
            </w: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639445</wp:posOffset>
                      </wp:positionH>
                      <wp:positionV relativeFrom="paragraph">
                        <wp:posOffset>81915</wp:posOffset>
                      </wp:positionV>
                      <wp:extent cx="342900" cy="635"/>
                      <wp:effectExtent l="0" t="37465" r="7620" b="38100"/>
                      <wp:wrapNone/>
                      <wp:docPr id="15" name="Line 6765"/>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765" o:spid="_x0000_s1026" o:spt="20" style="position:absolute;left:0pt;margin-left:50.35pt;margin-top:6.45pt;height:0.05pt;width:27pt;z-index:251666432;mso-width-relative:page;mso-height-relative:page;" filled="f" stroked="t" coordsize="21600,21600" o:gfxdata="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ucHS&#10;2AAAAAkBAAAPAAAAAAAAAAEAIAAAACIAAABkcnMvZG93bnJldi54bWxQSwECFAAUAAAACACHTuJA&#10;37yK1egBAADiAwAADgAAAAAAAAABACAAAAAnAQAAZHJzL2Uyb0RvYy54bWxQSwUGAAAAAAYABgBZ&#10;AQAAgQUAAAAA&#10;">
                      <v:fill on="f" focussize="0,0"/>
                      <v:stroke color="#000000" joinstyle="round" endarrow="block"/>
                      <v:imagedata o:title=""/>
                      <o:lock v:ext="edit" aspectratio="f"/>
                    </v:line>
                  </w:pict>
                </mc:Fallback>
              </mc:AlternateContent>
            </w:r>
          </w:p>
          <w:p>
            <w:pPr>
              <w:pStyle w:val="48"/>
              <w:spacing w:line="360" w:lineRule="auto"/>
              <w:ind w:firstLine="48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168910</wp:posOffset>
                      </wp:positionH>
                      <wp:positionV relativeFrom="paragraph">
                        <wp:posOffset>5080</wp:posOffset>
                      </wp:positionV>
                      <wp:extent cx="4874895" cy="297180"/>
                      <wp:effectExtent l="0" t="0" r="0" b="0"/>
                      <wp:wrapNone/>
                      <wp:docPr id="20" name="Text Box 6773"/>
                      <wp:cNvGraphicFramePr/>
                      <a:graphic xmlns:a="http://schemas.openxmlformats.org/drawingml/2006/main">
                        <a:graphicData uri="http://schemas.microsoft.com/office/word/2010/wordprocessingShape">
                          <wps:wsp>
                            <wps:cNvSpPr txBox="1"/>
                            <wps:spPr>
                              <a:xfrm>
                                <a:off x="0" y="0"/>
                                <a:ext cx="4874895" cy="297180"/>
                              </a:xfrm>
                              <a:prstGeom prst="rect">
                                <a:avLst/>
                              </a:prstGeom>
                              <a:noFill/>
                              <a:ln>
                                <a:noFill/>
                              </a:ln>
                            </wps:spPr>
                            <wps:txbx>
                              <w:txbxContent>
                                <w:p>
                                  <w:pPr>
                                    <w:ind w:firstLine="316" w:firstLineChars="150"/>
                                    <w:jc w:val="center"/>
                                    <w:rPr>
                                      <w:b/>
                                      <w:szCs w:val="21"/>
                                    </w:rPr>
                                  </w:pPr>
                                  <w:r>
                                    <w:rPr>
                                      <w:b/>
                                      <w:szCs w:val="21"/>
                                    </w:rPr>
                                    <w:t>图</w:t>
                                  </w:r>
                                  <w:r>
                                    <w:rPr>
                                      <w:rFonts w:hint="eastAsia"/>
                                      <w:b/>
                                      <w:szCs w:val="21"/>
                                    </w:rPr>
                                    <w:t>4</w:t>
                                  </w:r>
                                  <w:r>
                                    <w:rPr>
                                      <w:b/>
                                      <w:szCs w:val="21"/>
                                    </w:rPr>
                                    <w:t xml:space="preserve"> 采区生态恢复工艺流程图</w:t>
                                  </w:r>
                                </w:p>
                              </w:txbxContent>
                            </wps:txbx>
                            <wps:bodyPr lIns="0" tIns="36068" rIns="0" bIns="36068" upright="1"/>
                          </wps:wsp>
                        </a:graphicData>
                      </a:graphic>
                    </wp:anchor>
                  </w:drawing>
                </mc:Choice>
                <mc:Fallback>
                  <w:pict>
                    <v:shape id="Text Box 6773" o:spid="_x0000_s1026" o:spt="202" type="#_x0000_t202" style="position:absolute;left:0pt;margin-left:13.3pt;margin-top:0.4pt;height:23.4pt;width:383.85pt;z-index:251671552;mso-width-relative:page;mso-height-relative:page;" filled="f" stroked="f" coordsize="21600,21600" o:gfxdata="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7DtLP1wAAAAYBAAAPAAAAAAAAAAEAIAAAACIAAABkcnMvZG93bnJldi54bWxQSwECFAAUAAAA&#10;CACHTuJA1P5AK7YBAAB9AwAADgAAAAAAAAABACAAAAAmAQAAZHJzL2Uyb0RvYy54bWxQSwUGAAAA&#10;AAYABgBZAQAATgUAAAAA&#10;">
                      <v:fill on="f" focussize="0,0"/>
                      <v:stroke on="f"/>
                      <v:imagedata o:title=""/>
                      <o:lock v:ext="edit" aspectratio="f"/>
                      <v:textbox inset="0mm,2.84pt,0mm,2.84pt">
                        <w:txbxContent>
                          <w:p>
                            <w:pPr>
                              <w:ind w:firstLine="316" w:firstLineChars="150"/>
                              <w:jc w:val="center"/>
                              <w:rPr>
                                <w:b/>
                                <w:szCs w:val="21"/>
                              </w:rPr>
                            </w:pPr>
                            <w:r>
                              <w:rPr>
                                <w:b/>
                                <w:szCs w:val="21"/>
                              </w:rPr>
                              <w:t>图</w:t>
                            </w:r>
                            <w:r>
                              <w:rPr>
                                <w:rFonts w:hint="eastAsia"/>
                                <w:b/>
                                <w:szCs w:val="21"/>
                              </w:rPr>
                              <w:t>4</w:t>
                            </w:r>
                            <w:r>
                              <w:rPr>
                                <w:b/>
                                <w:szCs w:val="21"/>
                              </w:rPr>
                              <w:t xml:space="preserve"> 采区生态恢复工艺流程图</w:t>
                            </w:r>
                          </w:p>
                        </w:txbxContent>
                      </v:textbox>
                    </v:shape>
                  </w:pict>
                </mc:Fallback>
              </mc:AlternateContent>
            </w:r>
          </w:p>
          <w:p>
            <w:pPr>
              <w:autoSpaceDE w:val="0"/>
              <w:autoSpaceDN w:val="0"/>
              <w:adjustRightInd w:val="0"/>
              <w:snapToGrid w:val="0"/>
              <w:spacing w:line="360" w:lineRule="auto"/>
              <w:ind w:firstLine="458" w:firstLineChars="191"/>
              <w:jc w:val="left"/>
              <w:rPr>
                <w:rFonts w:hAnsiTheme="minorEastAsia" w:eastAsiaTheme="minorEastAsia"/>
                <w:color w:val="auto"/>
                <w:sz w:val="24"/>
              </w:rPr>
            </w:pPr>
            <w:r>
              <w:rPr>
                <w:rFonts w:hAnsiTheme="minorEastAsia" w:eastAsiaTheme="minorEastAsia"/>
                <w:color w:val="000000" w:themeColor="text1"/>
                <w:sz w:val="24"/>
                <w14:textFill>
                  <w14:solidFill>
                    <w14:schemeClr w14:val="tx1"/>
                  </w14:solidFill>
                </w14:textFill>
              </w:rPr>
              <w:t>总之，矿山在衰竭后期至报废后的时段，与生产期相比，对自然环境和社会环境的影响因素及影响程度均经历从量变到质变的过程，只要能较</w:t>
            </w:r>
            <w:r>
              <w:rPr>
                <w:rFonts w:hint="eastAsia" w:hAnsiTheme="minorEastAsia" w:eastAsiaTheme="minorEastAsia"/>
                <w:color w:val="000000" w:themeColor="text1"/>
                <w:sz w:val="24"/>
                <w:lang w:eastAsia="zh-CN"/>
                <w14:textFill>
                  <w14:solidFill>
                    <w14:schemeClr w14:val="tx1"/>
                  </w14:solidFill>
                </w14:textFill>
              </w:rPr>
              <w:t>准确的预见</w:t>
            </w:r>
            <w:r>
              <w:rPr>
                <w:rFonts w:hAnsiTheme="minorEastAsia" w:eastAsiaTheme="minorEastAsia"/>
                <w:color w:val="000000" w:themeColor="text1"/>
                <w:sz w:val="24"/>
                <w14:textFill>
                  <w14:solidFill>
                    <w14:schemeClr w14:val="tx1"/>
                  </w14:solidFill>
                </w14:textFill>
              </w:rPr>
              <w:t>与量化这些环境问题并采取积极的对策，即可避免一系列的社会与环境</w:t>
            </w:r>
            <w:r>
              <w:rPr>
                <w:rFonts w:hAnsiTheme="minorEastAsia" w:eastAsiaTheme="minorEastAsia"/>
                <w:color w:val="auto"/>
                <w:sz w:val="24"/>
              </w:rPr>
              <w:t>负面影响，使区域发展趋于正常化。</w:t>
            </w:r>
          </w:p>
          <w:p>
            <w:pPr>
              <w:wordWrap w:val="0"/>
              <w:adjustRightInd w:val="0"/>
              <w:snapToGrid w:val="0"/>
              <w:spacing w:line="360" w:lineRule="auto"/>
              <w:ind w:firstLine="482" w:firstLineChars="200"/>
              <w:rPr>
                <w:rFonts w:eastAsiaTheme="minorEastAsia"/>
                <w:b/>
                <w:color w:val="auto"/>
                <w:sz w:val="24"/>
              </w:rPr>
            </w:pPr>
            <w:r>
              <w:rPr>
                <w:rFonts w:hint="eastAsia" w:eastAsiaTheme="minorEastAsia"/>
                <w:b/>
                <w:color w:val="auto"/>
                <w:sz w:val="24"/>
              </w:rPr>
              <w:t>9</w:t>
            </w:r>
            <w:r>
              <w:rPr>
                <w:rFonts w:hAnsiTheme="minorEastAsia" w:eastAsiaTheme="minorEastAsia"/>
                <w:b/>
                <w:color w:val="auto"/>
                <w:sz w:val="24"/>
              </w:rPr>
              <w:t>、污染源排放清单</w:t>
            </w:r>
          </w:p>
          <w:p>
            <w:pPr>
              <w:wordWrap w:val="0"/>
              <w:adjustRightInd w:val="0"/>
              <w:snapToGrid w:val="0"/>
              <w:spacing w:line="360" w:lineRule="auto"/>
              <w:ind w:firstLine="480" w:firstLineChars="200"/>
              <w:rPr>
                <w:color w:val="auto"/>
              </w:rPr>
            </w:pPr>
            <w:r>
              <w:rPr>
                <w:rFonts w:hAnsiTheme="minorEastAsia" w:eastAsiaTheme="minorEastAsia"/>
                <w:color w:val="auto"/>
                <w:sz w:val="24"/>
              </w:rPr>
              <w:t>污染源排放清单见表</w:t>
            </w:r>
            <w:r>
              <w:rPr>
                <w:rFonts w:hint="eastAsia" w:eastAsiaTheme="minorEastAsia"/>
                <w:color w:val="auto"/>
                <w:sz w:val="24"/>
              </w:rPr>
              <w:t>4</w:t>
            </w:r>
            <w:r>
              <w:rPr>
                <w:rFonts w:hint="eastAsia" w:eastAsiaTheme="minorEastAsia"/>
                <w:color w:val="auto"/>
                <w:sz w:val="24"/>
                <w:lang w:val="en-US" w:eastAsia="zh-CN"/>
              </w:rPr>
              <w:t>0</w:t>
            </w:r>
            <w:r>
              <w:rPr>
                <w:rFonts w:hAnsiTheme="minorEastAsia" w:eastAsiaTheme="minorEastAsia"/>
                <w:color w:val="auto"/>
                <w:sz w:val="24"/>
              </w:rPr>
              <w:t>。</w:t>
            </w:r>
          </w:p>
          <w:p>
            <w:pPr>
              <w:pStyle w:val="18"/>
              <w:adjustRightInd w:val="0"/>
              <w:snapToGrid w:val="0"/>
              <w:ind w:firstLine="0" w:firstLineChars="0"/>
              <w:jc w:val="center"/>
              <w:rPr>
                <w:rFonts w:eastAsiaTheme="minorEastAsia"/>
                <w:b/>
                <w:bCs/>
                <w:color w:val="auto"/>
                <w:szCs w:val="21"/>
              </w:rPr>
            </w:pPr>
            <w:r>
              <w:rPr>
                <w:rFonts w:hAnsiTheme="minorEastAsia" w:eastAsiaTheme="minorEastAsia"/>
                <w:b/>
                <w:bCs/>
                <w:color w:val="auto"/>
                <w:szCs w:val="21"/>
              </w:rPr>
              <w:t>表</w:t>
            </w:r>
            <w:r>
              <w:rPr>
                <w:rFonts w:hint="eastAsia" w:eastAsiaTheme="minorEastAsia"/>
                <w:b/>
                <w:bCs/>
                <w:color w:val="auto"/>
                <w:szCs w:val="21"/>
              </w:rPr>
              <w:t>4</w:t>
            </w:r>
            <w:r>
              <w:rPr>
                <w:rFonts w:hint="eastAsia" w:eastAsiaTheme="minorEastAsia"/>
                <w:b/>
                <w:bCs/>
                <w:color w:val="auto"/>
                <w:szCs w:val="21"/>
                <w:lang w:val="en-US" w:eastAsia="zh-CN"/>
              </w:rPr>
              <w:t>0</w:t>
            </w:r>
            <w:r>
              <w:rPr>
                <w:rFonts w:hAnsiTheme="minorEastAsia" w:eastAsiaTheme="minorEastAsia"/>
                <w:b/>
                <w:bCs/>
                <w:color w:val="auto"/>
                <w:szCs w:val="21"/>
              </w:rPr>
              <w:t>项目污染源排放清单一览表</w:t>
            </w:r>
          </w:p>
          <w:tbl>
            <w:tblPr>
              <w:tblStyle w:val="19"/>
              <w:tblW w:w="7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8"/>
              <w:gridCol w:w="956"/>
              <w:gridCol w:w="937"/>
              <w:gridCol w:w="740"/>
              <w:gridCol w:w="1586"/>
              <w:gridCol w:w="1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0" w:type="dxa"/>
                  <w:vMerge w:val="restart"/>
                  <w:vAlign w:val="center"/>
                </w:tcPr>
                <w:p>
                  <w:pPr>
                    <w:adjustRightInd w:val="0"/>
                    <w:snapToGrid w:val="0"/>
                    <w:jc w:val="center"/>
                    <w:rPr>
                      <w:rFonts w:hint="default" w:ascii="Times New Roman" w:hAnsi="Times New Roman" w:eastAsia="宋体" w:cs="Times New Roman"/>
                      <w:b/>
                      <w:snapToGrid w:val="0"/>
                      <w:color w:val="000000" w:themeColor="text1"/>
                      <w:kern w:val="0"/>
                      <w:szCs w:val="21"/>
                      <w14:textFill>
                        <w14:solidFill>
                          <w14:schemeClr w14:val="tx1"/>
                        </w14:solidFill>
                      </w14:textFill>
                    </w:rPr>
                  </w:pPr>
                  <w:r>
                    <w:rPr>
                      <w:rFonts w:hint="default" w:ascii="Times New Roman" w:hAnsi="Times New Roman" w:eastAsia="宋体" w:cs="Times New Roman"/>
                      <w:b/>
                      <w:snapToGrid w:val="0"/>
                      <w:color w:val="000000" w:themeColor="text1"/>
                      <w:kern w:val="0"/>
                      <w:szCs w:val="21"/>
                      <w14:textFill>
                        <w14:solidFill>
                          <w14:schemeClr w14:val="tx1"/>
                        </w14:solidFill>
                      </w14:textFill>
                    </w:rPr>
                    <w:t>污染类别</w:t>
                  </w:r>
                </w:p>
              </w:tc>
              <w:tc>
                <w:tcPr>
                  <w:tcW w:w="1158" w:type="dxa"/>
                  <w:vMerge w:val="restart"/>
                  <w:vAlign w:val="center"/>
                </w:tcPr>
                <w:p>
                  <w:pPr>
                    <w:adjustRightInd w:val="0"/>
                    <w:snapToGrid w:val="0"/>
                    <w:jc w:val="center"/>
                    <w:rPr>
                      <w:rFonts w:hint="default" w:ascii="Times New Roman" w:hAnsi="Times New Roman" w:eastAsia="宋体" w:cs="Times New Roman"/>
                      <w:b/>
                      <w:color w:val="000000" w:themeColor="text1"/>
                      <w:kern w:val="0"/>
                      <w:szCs w:val="21"/>
                      <w14:textFill>
                        <w14:solidFill>
                          <w14:schemeClr w14:val="tx1"/>
                        </w14:solidFill>
                      </w14:textFill>
                    </w:rPr>
                  </w:pPr>
                  <w:r>
                    <w:rPr>
                      <w:rFonts w:hint="default" w:ascii="Times New Roman" w:hAnsi="Times New Roman" w:eastAsia="宋体" w:cs="Times New Roman"/>
                      <w:b/>
                      <w:snapToGrid w:val="0"/>
                      <w:color w:val="000000" w:themeColor="text1"/>
                      <w:kern w:val="0"/>
                      <w:szCs w:val="21"/>
                      <w14:textFill>
                        <w14:solidFill>
                          <w14:schemeClr w14:val="tx1"/>
                        </w14:solidFill>
                      </w14:textFill>
                    </w:rPr>
                    <w:t>污染源</w:t>
                  </w:r>
                </w:p>
              </w:tc>
              <w:tc>
                <w:tcPr>
                  <w:tcW w:w="956" w:type="dxa"/>
                  <w:vMerge w:val="restart"/>
                  <w:vAlign w:val="center"/>
                </w:tcPr>
                <w:p>
                  <w:pPr>
                    <w:adjustRightInd w:val="0"/>
                    <w:snapToGrid w:val="0"/>
                    <w:jc w:val="center"/>
                    <w:rPr>
                      <w:rFonts w:hint="default" w:ascii="Times New Roman" w:hAnsi="Times New Roman" w:eastAsia="宋体" w:cs="Times New Roman"/>
                      <w:b/>
                      <w:snapToGrid w:val="0"/>
                      <w:color w:val="000000" w:themeColor="text1"/>
                      <w:kern w:val="0"/>
                      <w:szCs w:val="21"/>
                      <w14:textFill>
                        <w14:solidFill>
                          <w14:schemeClr w14:val="tx1"/>
                        </w14:solidFill>
                      </w14:textFill>
                    </w:rPr>
                  </w:pPr>
                  <w:r>
                    <w:rPr>
                      <w:rFonts w:hint="default" w:ascii="Times New Roman" w:hAnsi="Times New Roman" w:eastAsia="宋体" w:cs="Times New Roman"/>
                      <w:b/>
                      <w:snapToGrid w:val="0"/>
                      <w:color w:val="000000" w:themeColor="text1"/>
                      <w:kern w:val="0"/>
                      <w:szCs w:val="21"/>
                      <w14:textFill>
                        <w14:solidFill>
                          <w14:schemeClr w14:val="tx1"/>
                        </w14:solidFill>
                      </w14:textFill>
                    </w:rPr>
                    <w:t>污染物</w:t>
                  </w:r>
                </w:p>
              </w:tc>
              <w:tc>
                <w:tcPr>
                  <w:tcW w:w="1677" w:type="dxa"/>
                  <w:gridSpan w:val="2"/>
                </w:tcPr>
                <w:p>
                  <w:pPr>
                    <w:adjustRightInd w:val="0"/>
                    <w:snapToGrid w:val="0"/>
                    <w:jc w:val="center"/>
                    <w:rPr>
                      <w:rFonts w:hint="default" w:ascii="Times New Roman" w:hAnsi="Times New Roman" w:eastAsia="宋体" w:cs="Times New Roman"/>
                      <w:b/>
                      <w:snapToGrid w:val="0"/>
                      <w:color w:val="000000" w:themeColor="text1"/>
                      <w:kern w:val="0"/>
                      <w:szCs w:val="21"/>
                      <w14:textFill>
                        <w14:solidFill>
                          <w14:schemeClr w14:val="tx1"/>
                        </w14:solidFill>
                      </w14:textFill>
                    </w:rPr>
                  </w:pPr>
                  <w:r>
                    <w:rPr>
                      <w:rFonts w:hint="default" w:ascii="Times New Roman" w:hAnsi="Times New Roman" w:eastAsia="宋体" w:cs="Times New Roman"/>
                      <w:b/>
                      <w:snapToGrid w:val="0"/>
                      <w:color w:val="000000" w:themeColor="text1"/>
                      <w:kern w:val="0"/>
                      <w:szCs w:val="21"/>
                      <w14:textFill>
                        <w14:solidFill>
                          <w14:schemeClr w14:val="tx1"/>
                        </w14:solidFill>
                      </w14:textFill>
                    </w:rPr>
                    <w:t>污染物排放清单</w:t>
                  </w:r>
                </w:p>
              </w:tc>
              <w:tc>
                <w:tcPr>
                  <w:tcW w:w="1586" w:type="dxa"/>
                  <w:vMerge w:val="restart"/>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snapToGrid w:val="0"/>
                      <w:color w:val="000000" w:themeColor="text1"/>
                      <w:kern w:val="0"/>
                      <w:szCs w:val="21"/>
                      <w14:textFill>
                        <w14:solidFill>
                          <w14:schemeClr w14:val="tx1"/>
                        </w14:solidFill>
                      </w14:textFill>
                    </w:rPr>
                    <w:t>拟采取的环境保护措施</w:t>
                  </w:r>
                </w:p>
              </w:tc>
              <w:tc>
                <w:tcPr>
                  <w:tcW w:w="1891" w:type="dxa"/>
                  <w:vMerge w:val="restart"/>
                  <w:vAlign w:val="center"/>
                </w:tcPr>
                <w:p>
                  <w:pPr>
                    <w:keepNext/>
                    <w:widowControl/>
                    <w:wordWrap w:val="0"/>
                    <w:topLinePunct/>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snapToGrid w:val="0"/>
                      <w:color w:val="000000" w:themeColor="text1"/>
                      <w:kern w:val="0"/>
                      <w:szCs w:val="21"/>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90" w:type="dxa"/>
                  <w:vMerge w:val="continue"/>
                  <w:vAlign w:val="center"/>
                </w:tcPr>
                <w:p>
                  <w:pPr>
                    <w:keepNext/>
                    <w:keepLines/>
                    <w:adjustRightInd w:val="0"/>
                    <w:snapToGrid w:val="0"/>
                    <w:spacing w:before="340" w:after="330" w:line="578" w:lineRule="auto"/>
                    <w:jc w:val="center"/>
                    <w:outlineLvl w:val="0"/>
                    <w:rPr>
                      <w:rFonts w:hint="default" w:ascii="Times New Roman" w:hAnsi="Times New Roman" w:eastAsia="宋体" w:cs="Times New Roman"/>
                      <w:b/>
                      <w:snapToGrid w:val="0"/>
                      <w:color w:val="000000" w:themeColor="text1"/>
                      <w:kern w:val="0"/>
                      <w:szCs w:val="21"/>
                      <w14:textFill>
                        <w14:solidFill>
                          <w14:schemeClr w14:val="tx1"/>
                        </w14:solidFill>
                      </w14:textFill>
                    </w:rPr>
                  </w:pPr>
                </w:p>
              </w:tc>
              <w:tc>
                <w:tcPr>
                  <w:tcW w:w="1158" w:type="dxa"/>
                  <w:vMerge w:val="continue"/>
                  <w:vAlign w:val="center"/>
                </w:tcPr>
                <w:p>
                  <w:pPr>
                    <w:keepNext/>
                    <w:keepLines/>
                    <w:adjustRightInd w:val="0"/>
                    <w:snapToGrid w:val="0"/>
                    <w:spacing w:before="340" w:after="330" w:line="578" w:lineRule="auto"/>
                    <w:jc w:val="center"/>
                    <w:outlineLvl w:val="0"/>
                    <w:rPr>
                      <w:rFonts w:hint="default" w:ascii="Times New Roman" w:hAnsi="Times New Roman" w:eastAsia="宋体" w:cs="Times New Roman"/>
                      <w:b/>
                      <w:color w:val="000000" w:themeColor="text1"/>
                      <w:kern w:val="0"/>
                      <w:szCs w:val="21"/>
                      <w14:textFill>
                        <w14:solidFill>
                          <w14:schemeClr w14:val="tx1"/>
                        </w14:solidFill>
                      </w14:textFill>
                    </w:rPr>
                  </w:pPr>
                </w:p>
              </w:tc>
              <w:tc>
                <w:tcPr>
                  <w:tcW w:w="956" w:type="dxa"/>
                  <w:vMerge w:val="continue"/>
                  <w:vAlign w:val="center"/>
                </w:tcPr>
                <w:p>
                  <w:pPr>
                    <w:keepNext/>
                    <w:keepLines/>
                    <w:adjustRightInd w:val="0"/>
                    <w:snapToGrid w:val="0"/>
                    <w:spacing w:before="340" w:after="330" w:line="578" w:lineRule="auto"/>
                    <w:jc w:val="center"/>
                    <w:outlineLvl w:val="0"/>
                    <w:rPr>
                      <w:rFonts w:hint="default" w:ascii="Times New Roman" w:hAnsi="Times New Roman" w:eastAsia="宋体" w:cs="Times New Roman"/>
                      <w:b/>
                      <w:snapToGrid w:val="0"/>
                      <w:color w:val="000000" w:themeColor="text1"/>
                      <w:kern w:val="0"/>
                      <w:szCs w:val="21"/>
                      <w14:textFill>
                        <w14:solidFill>
                          <w14:schemeClr w14:val="tx1"/>
                        </w14:solidFill>
                      </w14:textFill>
                    </w:rPr>
                  </w:pPr>
                </w:p>
              </w:tc>
              <w:tc>
                <w:tcPr>
                  <w:tcW w:w="937" w:type="dxa"/>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w:t>
                  </w:r>
                </w:p>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浓度</w:t>
                  </w:r>
                  <w:r>
                    <w:rPr>
                      <w:rFonts w:hint="default" w:ascii="Times New Roman" w:hAnsi="Times New Roman" w:eastAsia="宋体" w:cs="Times New Roman"/>
                      <w:color w:val="000000" w:themeColor="text1"/>
                      <w:kern w:val="0"/>
                      <w:szCs w:val="21"/>
                      <w14:textFill>
                        <w14:solidFill>
                          <w14:schemeClr w14:val="tx1"/>
                        </w14:solidFill>
                      </w14:textFill>
                    </w:rPr>
                    <w:t>mg/m</w:t>
                  </w:r>
                  <w:r>
                    <w:rPr>
                      <w:rFonts w:hint="default" w:ascii="Times New Roman" w:hAnsi="Times New Roman" w:eastAsia="宋体" w:cs="Times New Roman"/>
                      <w:color w:val="000000" w:themeColor="text1"/>
                      <w:kern w:val="0"/>
                      <w:szCs w:val="21"/>
                      <w:vertAlign w:val="superscript"/>
                      <w14:textFill>
                        <w14:solidFill>
                          <w14:schemeClr w14:val="tx1"/>
                        </w14:solidFill>
                      </w14:textFill>
                    </w:rPr>
                    <w:t>3</w:t>
                  </w:r>
                </w:p>
              </w:tc>
              <w:tc>
                <w:tcPr>
                  <w:tcW w:w="740" w:type="dxa"/>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排放量t/a</w:t>
                  </w:r>
                </w:p>
              </w:tc>
              <w:tc>
                <w:tcPr>
                  <w:tcW w:w="1586" w:type="dxa"/>
                  <w:vMerge w:val="continue"/>
                  <w:vAlign w:val="center"/>
                </w:tcPr>
                <w:p>
                  <w:pPr>
                    <w:keepNext/>
                    <w:keepLines/>
                    <w:adjustRightInd w:val="0"/>
                    <w:snapToGrid w:val="0"/>
                    <w:spacing w:before="340" w:after="330" w:line="578" w:lineRule="auto"/>
                    <w:jc w:val="center"/>
                    <w:outlineLvl w:val="0"/>
                    <w:rPr>
                      <w:rFonts w:hint="default" w:ascii="Times New Roman" w:hAnsi="Times New Roman" w:eastAsia="宋体" w:cs="Times New Roman"/>
                      <w:color w:val="000000" w:themeColor="text1"/>
                      <w:szCs w:val="21"/>
                      <w14:textFill>
                        <w14:solidFill>
                          <w14:schemeClr w14:val="tx1"/>
                        </w14:solidFill>
                      </w14:textFill>
                    </w:rPr>
                  </w:pPr>
                </w:p>
              </w:tc>
              <w:tc>
                <w:tcPr>
                  <w:tcW w:w="1891" w:type="dxa"/>
                  <w:vMerge w:val="continue"/>
                  <w:vAlign w:val="center"/>
                </w:tcPr>
                <w:p>
                  <w:pPr>
                    <w:keepNext/>
                    <w:keepLines/>
                    <w:widowControl/>
                    <w:wordWrap w:val="0"/>
                    <w:topLinePunct/>
                    <w:adjustRightInd w:val="0"/>
                    <w:snapToGrid w:val="0"/>
                    <w:spacing w:before="340" w:after="330" w:line="578" w:lineRule="auto"/>
                    <w:jc w:val="left"/>
                    <w:outlineLvl w:val="0"/>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90" w:type="dxa"/>
                  <w:vMerge w:val="restart"/>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废气</w:t>
                  </w:r>
                </w:p>
              </w:tc>
              <w:tc>
                <w:tcPr>
                  <w:tcW w:w="1158" w:type="dxa"/>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破碎筛分</w:t>
                  </w:r>
                </w:p>
              </w:tc>
              <w:tc>
                <w:tcPr>
                  <w:tcW w:w="956" w:type="dxa"/>
                  <w:vAlign w:val="center"/>
                </w:tcPr>
                <w:p>
                  <w:pPr>
                    <w:keepNext/>
                    <w:keepLines/>
                    <w:adjustRightInd w:val="0"/>
                    <w:snapToGrid w:val="0"/>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颗粒物</w:t>
                  </w:r>
                </w:p>
              </w:tc>
              <w:tc>
                <w:tcPr>
                  <w:tcW w:w="93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w:t>
                  </w:r>
                </w:p>
              </w:tc>
              <w:tc>
                <w:tcPr>
                  <w:tcW w:w="740" w:type="dxa"/>
                  <w:vAlign w:val="center"/>
                </w:tcPr>
                <w:p>
                  <w:pPr>
                    <w:adjustRightInd w:val="0"/>
                    <w:snapToGrid w:val="0"/>
                    <w:jc w:val="center"/>
                    <w:rPr>
                      <w:rFonts w:hint="default"/>
                      <w:lang w:val="en-US" w:eastAsia="zh-CN"/>
                    </w:rPr>
                  </w:pPr>
                  <w:r>
                    <w:rPr>
                      <w:rFonts w:hint="eastAsia"/>
                      <w:lang w:val="en-US" w:eastAsia="zh-CN"/>
                    </w:rPr>
                    <w:t>2.16</w:t>
                  </w:r>
                </w:p>
              </w:tc>
              <w:tc>
                <w:tcPr>
                  <w:tcW w:w="1586"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全封闭车间，顶部设置喷淋装置</w:t>
                  </w:r>
                </w:p>
              </w:tc>
              <w:tc>
                <w:tcPr>
                  <w:tcW w:w="1891" w:type="dxa"/>
                  <w:vMerge w:val="restart"/>
                  <w:vAlign w:val="center"/>
                </w:tcPr>
                <w:p>
                  <w:pPr>
                    <w:keepNext/>
                    <w:widowControl/>
                    <w:wordWrap w:val="0"/>
                    <w:topLinePunct/>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vAlign w:val="center"/>
                </w:tcPr>
                <w:p>
                  <w:pPr>
                    <w:keepNext/>
                    <w:keepLines/>
                    <w:adjustRightInd w:val="0"/>
                    <w:snapToGrid w:val="0"/>
                    <w:spacing w:before="340" w:after="330" w:line="578" w:lineRule="auto"/>
                    <w:jc w:val="center"/>
                    <w:outlineLvl w:val="0"/>
                    <w:rPr>
                      <w:rFonts w:hint="default" w:ascii="Times New Roman" w:hAnsi="Times New Roman" w:eastAsia="宋体" w:cs="Times New Roman"/>
                      <w:snapToGrid w:val="0"/>
                      <w:color w:val="000000" w:themeColor="text1"/>
                      <w:kern w:val="0"/>
                      <w:szCs w:val="21"/>
                      <w14:textFill>
                        <w14:solidFill>
                          <w14:schemeClr w14:val="tx1"/>
                        </w14:solidFill>
                      </w14:textFill>
                    </w:rPr>
                  </w:pPr>
                </w:p>
              </w:tc>
              <w:tc>
                <w:tcPr>
                  <w:tcW w:w="1158" w:type="dxa"/>
                  <w:vAlign w:val="center"/>
                </w:tcPr>
                <w:p>
                  <w:pPr>
                    <w:adjustRightInd w:val="0"/>
                    <w:snapToGri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原料卸料、投料</w:t>
                  </w:r>
                </w:p>
              </w:tc>
              <w:tc>
                <w:tcPr>
                  <w:tcW w:w="956" w:type="dxa"/>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颗粒物</w:t>
                  </w:r>
                </w:p>
              </w:tc>
              <w:tc>
                <w:tcPr>
                  <w:tcW w:w="93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740"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6.5</w:t>
                  </w:r>
                </w:p>
              </w:tc>
              <w:tc>
                <w:tcPr>
                  <w:tcW w:w="1586"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原料洒水抑尘、苫盖防尘网</w:t>
                  </w:r>
                </w:p>
              </w:tc>
              <w:tc>
                <w:tcPr>
                  <w:tcW w:w="1891" w:type="dxa"/>
                  <w:vMerge w:val="continue"/>
                  <w:vAlign w:val="center"/>
                </w:tcPr>
                <w:p>
                  <w:pPr>
                    <w:keepNext/>
                    <w:keepLines/>
                    <w:wordWrap w:val="0"/>
                    <w:topLinePunct/>
                    <w:adjustRightInd w:val="0"/>
                    <w:snapToGrid w:val="0"/>
                    <w:spacing w:before="340" w:after="330" w:line="578" w:lineRule="auto"/>
                    <w:jc w:val="center"/>
                    <w:outlineLvl w:val="0"/>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vAlign w:val="center"/>
                </w:tcPr>
                <w:p>
                  <w:pPr>
                    <w:keepNext/>
                    <w:keepLines/>
                    <w:adjustRightInd w:val="0"/>
                    <w:snapToGrid w:val="0"/>
                    <w:spacing w:before="340" w:after="330" w:line="578" w:lineRule="auto"/>
                    <w:jc w:val="center"/>
                    <w:outlineLvl w:val="0"/>
                    <w:rPr>
                      <w:rFonts w:hint="default" w:ascii="Times New Roman" w:hAnsi="Times New Roman" w:eastAsia="宋体" w:cs="Times New Roman"/>
                      <w:snapToGrid w:val="0"/>
                      <w:color w:val="000000" w:themeColor="text1"/>
                      <w:kern w:val="0"/>
                      <w:szCs w:val="21"/>
                      <w14:textFill>
                        <w14:solidFill>
                          <w14:schemeClr w14:val="tx1"/>
                        </w14:solidFill>
                      </w14:textFill>
                    </w:rPr>
                  </w:pPr>
                </w:p>
              </w:tc>
              <w:tc>
                <w:tcPr>
                  <w:tcW w:w="1158" w:type="dxa"/>
                  <w:vAlign w:val="center"/>
                </w:tcPr>
                <w:p>
                  <w:pPr>
                    <w:adjustRightInd w:val="0"/>
                    <w:snapToGrid w:val="0"/>
                    <w:rPr>
                      <w:rFonts w:hint="default"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道路运输</w:t>
                  </w:r>
                </w:p>
              </w:tc>
              <w:tc>
                <w:tcPr>
                  <w:tcW w:w="956" w:type="dxa"/>
                  <w:vAlign w:val="center"/>
                </w:tcPr>
                <w:p>
                  <w:pPr>
                    <w:adjustRightInd w:val="0"/>
                    <w:snapToGrid w:val="0"/>
                    <w:jc w:val="cente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eastAsia" w:cs="Times New Roman"/>
                      <w:snapToGrid w:val="0"/>
                      <w:color w:val="000000" w:themeColor="text1"/>
                      <w:kern w:val="0"/>
                      <w:szCs w:val="21"/>
                      <w:lang w:val="en-US" w:eastAsia="zh-CN"/>
                      <w14:textFill>
                        <w14:solidFill>
                          <w14:schemeClr w14:val="tx1"/>
                        </w14:solidFill>
                      </w14:textFill>
                    </w:rPr>
                    <w:t>颗粒物</w:t>
                  </w:r>
                </w:p>
              </w:tc>
              <w:tc>
                <w:tcPr>
                  <w:tcW w:w="9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740"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0.478</w:t>
                  </w:r>
                </w:p>
              </w:tc>
              <w:tc>
                <w:tcPr>
                  <w:tcW w:w="1586" w:type="dxa"/>
                  <w:vAlign w:val="center"/>
                </w:tcPr>
                <w:p>
                  <w:pPr>
                    <w:adjustRightInd w:val="0"/>
                    <w:snapToGrid w:val="0"/>
                    <w:jc w:val="center"/>
                    <w:rPr>
                      <w:rFonts w:hint="default"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道路洒水，运输车辆加盖篷布，限速行驶</w:t>
                  </w:r>
                </w:p>
              </w:tc>
              <w:tc>
                <w:tcPr>
                  <w:tcW w:w="1891" w:type="dxa"/>
                  <w:vMerge w:val="continue"/>
                  <w:vAlign w:val="center"/>
                </w:tcPr>
                <w:p>
                  <w:pPr>
                    <w:keepNext/>
                    <w:keepLines/>
                    <w:wordWrap w:val="0"/>
                    <w:topLinePunct/>
                    <w:adjustRightInd w:val="0"/>
                    <w:snapToGrid w:val="0"/>
                    <w:spacing w:before="340" w:after="330" w:line="578" w:lineRule="auto"/>
                    <w:jc w:val="center"/>
                    <w:outlineLvl w:val="0"/>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90" w:type="dxa"/>
                  <w:vMerge w:val="restart"/>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废水</w:t>
                  </w:r>
                </w:p>
              </w:tc>
              <w:tc>
                <w:tcPr>
                  <w:tcW w:w="1158"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生活污水</w:t>
                  </w:r>
                </w:p>
              </w:tc>
              <w:tc>
                <w:tcPr>
                  <w:tcW w:w="956"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COD</w:t>
                  </w:r>
                </w:p>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BOD</w:t>
                  </w:r>
                  <w:r>
                    <w:rPr>
                      <w:rFonts w:hint="default" w:ascii="Times New Roman" w:hAnsi="Times New Roman" w:eastAsia="宋体" w:cs="Times New Roman"/>
                      <w:snapToGrid w:val="0"/>
                      <w:color w:val="000000" w:themeColor="text1"/>
                      <w:kern w:val="0"/>
                      <w:szCs w:val="21"/>
                      <w:vertAlign w:val="subscript"/>
                      <w14:textFill>
                        <w14:solidFill>
                          <w14:schemeClr w14:val="tx1"/>
                        </w14:solidFill>
                      </w14:textFill>
                    </w:rPr>
                    <w:t>5</w:t>
                  </w:r>
                </w:p>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SS</w:t>
                  </w:r>
                </w:p>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氨氮</w:t>
                  </w:r>
                </w:p>
              </w:tc>
              <w:tc>
                <w:tcPr>
                  <w:tcW w:w="937" w:type="dxa"/>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740" w:type="dxa"/>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1586" w:type="dxa"/>
                  <w:vAlign w:val="center"/>
                </w:tcPr>
                <w:p>
                  <w:pP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依托厂区化粪池</w:t>
                  </w:r>
                </w:p>
              </w:tc>
              <w:tc>
                <w:tcPr>
                  <w:tcW w:w="1891" w:type="dxa"/>
                  <w:vAlign w:val="center"/>
                </w:tcPr>
                <w:p>
                  <w:pPr>
                    <w:keepNext/>
                    <w:wordWrap w:val="0"/>
                    <w:topLinePunct/>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定期清掏不外排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90" w:type="dxa"/>
                  <w:vMerge w:val="continue"/>
                  <w:vAlign w:val="center"/>
                </w:tcPr>
                <w:p>
                  <w:pPr>
                    <w:keepNext/>
                    <w:keepLines/>
                    <w:adjustRightInd w:val="0"/>
                    <w:snapToGrid w:val="0"/>
                    <w:spacing w:before="340" w:after="330" w:line="578" w:lineRule="auto"/>
                    <w:jc w:val="center"/>
                    <w:outlineLvl w:val="0"/>
                    <w:rPr>
                      <w:rFonts w:hint="default" w:ascii="Times New Roman" w:hAnsi="Times New Roman" w:eastAsia="宋体" w:cs="Times New Roman"/>
                      <w:snapToGrid w:val="0"/>
                      <w:color w:val="000000" w:themeColor="text1"/>
                      <w:kern w:val="0"/>
                      <w:szCs w:val="21"/>
                      <w14:textFill>
                        <w14:solidFill>
                          <w14:schemeClr w14:val="tx1"/>
                        </w14:solidFill>
                      </w14:textFill>
                    </w:rPr>
                  </w:pPr>
                </w:p>
              </w:tc>
              <w:tc>
                <w:tcPr>
                  <w:tcW w:w="1158"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生产废水</w:t>
                  </w:r>
                </w:p>
              </w:tc>
              <w:tc>
                <w:tcPr>
                  <w:tcW w:w="956"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w:t>
                  </w:r>
                </w:p>
              </w:tc>
              <w:tc>
                <w:tcPr>
                  <w:tcW w:w="93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w:t>
                  </w:r>
                </w:p>
              </w:tc>
              <w:tc>
                <w:tcPr>
                  <w:tcW w:w="740"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w:t>
                  </w:r>
                </w:p>
              </w:tc>
              <w:tc>
                <w:tcPr>
                  <w:tcW w:w="1586" w:type="dxa"/>
                  <w:vAlign w:val="center"/>
                </w:tcPr>
                <w:p>
                  <w:pP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沉淀池</w:t>
                  </w:r>
                </w:p>
              </w:tc>
              <w:tc>
                <w:tcPr>
                  <w:tcW w:w="1891" w:type="dxa"/>
                  <w:vAlign w:val="center"/>
                </w:tcPr>
                <w:p>
                  <w:pPr>
                    <w:keepNext/>
                    <w:wordWrap w:val="0"/>
                    <w:topLinePunct/>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不</w:t>
                  </w:r>
                  <w:r>
                    <w:rPr>
                      <w:rFonts w:hint="eastAsia" w:cs="Times New Roman"/>
                      <w:color w:val="000000" w:themeColor="text1"/>
                      <w:kern w:val="0"/>
                      <w:szCs w:val="21"/>
                      <w:lang w:val="en-US" w:eastAsia="zh-CN"/>
                      <w14:textFill>
                        <w14:solidFill>
                          <w14:schemeClr w14:val="tx1"/>
                        </w14:solidFill>
                      </w14:textFill>
                    </w:rPr>
                    <w:t>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90"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噪声</w:t>
                  </w:r>
                </w:p>
              </w:tc>
              <w:tc>
                <w:tcPr>
                  <w:tcW w:w="1158"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生产车间</w:t>
                  </w:r>
                </w:p>
              </w:tc>
              <w:tc>
                <w:tcPr>
                  <w:tcW w:w="956"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噪声</w:t>
                  </w:r>
                </w:p>
              </w:tc>
              <w:tc>
                <w:tcPr>
                  <w:tcW w:w="93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740"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1586"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基础减震、隔声</w:t>
                  </w:r>
                </w:p>
              </w:tc>
              <w:tc>
                <w:tcPr>
                  <w:tcW w:w="1891" w:type="dxa"/>
                  <w:vAlign w:val="center"/>
                </w:tcPr>
                <w:p>
                  <w:pPr>
                    <w:keepNext/>
                    <w:wordWrap w:val="0"/>
                    <w:topLinePunct/>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《工业企业厂界环境声排放标准》（GB12348-2008）2类区标准要求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vMerge w:val="restart"/>
                  <w:vAlign w:val="center"/>
                </w:tcPr>
                <w:p>
                  <w:pPr>
                    <w:wordWrap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14:textFill>
                        <w14:solidFill>
                          <w14:schemeClr w14:val="tx1"/>
                        </w14:solidFill>
                      </w14:textFill>
                    </w:rPr>
                    <w:t>固废</w:t>
                  </w:r>
                </w:p>
              </w:tc>
              <w:tc>
                <w:tcPr>
                  <w:tcW w:w="1158" w:type="dxa"/>
                  <w:vAlign w:val="center"/>
                </w:tcPr>
                <w:p>
                  <w:pPr>
                    <w:wordWrap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办公生活</w:t>
                  </w:r>
                </w:p>
              </w:tc>
              <w:tc>
                <w:tcPr>
                  <w:tcW w:w="956" w:type="dxa"/>
                  <w:vAlign w:val="center"/>
                </w:tcPr>
                <w:p>
                  <w:pPr>
                    <w:wordWrap w:val="0"/>
                    <w:autoSpaceDE w:val="0"/>
                    <w:autoSpaceDN w:val="0"/>
                    <w:adjustRightIn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生活</w:t>
                  </w:r>
                </w:p>
                <w:p>
                  <w:pPr>
                    <w:wordWrap w:val="0"/>
                    <w:autoSpaceDE w:val="0"/>
                    <w:autoSpaceDN w:val="0"/>
                    <w:adjustRightIn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垃圾</w:t>
                  </w:r>
                </w:p>
              </w:tc>
              <w:tc>
                <w:tcPr>
                  <w:tcW w:w="937" w:type="dxa"/>
                  <w:vAlign w:val="center"/>
                </w:tcPr>
                <w:p>
                  <w:pPr>
                    <w:wordWrap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740" w:type="dxa"/>
                  <w:vAlign w:val="center"/>
                </w:tcPr>
                <w:p>
                  <w:pPr>
                    <w:wordWrap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1586" w:type="dxa"/>
                  <w:vAlign w:val="center"/>
                </w:tcPr>
                <w:p>
                  <w:pPr>
                    <w:wordWrap w:val="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垃圾桶</w:t>
                  </w:r>
                </w:p>
              </w:tc>
              <w:tc>
                <w:tcPr>
                  <w:tcW w:w="1891" w:type="dxa"/>
                  <w:vMerge w:val="restart"/>
                  <w:vAlign w:val="center"/>
                </w:tcPr>
                <w:p>
                  <w:pPr>
                    <w:wordWrap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《一般工业固体废物贮存、处置场污染控制标准》（GB18599-2001）及2013年修改单中有关规定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0" w:type="dxa"/>
                  <w:vMerge w:val="continue"/>
                  <w:vAlign w:val="center"/>
                </w:tcPr>
                <w:p>
                  <w:pPr>
                    <w:keepNext/>
                    <w:keepLines/>
                    <w:wordWrap w:val="0"/>
                    <w:spacing w:before="340" w:after="330" w:line="578" w:lineRule="auto"/>
                    <w:jc w:val="center"/>
                    <w:outlineLvl w:val="0"/>
                    <w:rPr>
                      <w:rFonts w:hint="default" w:ascii="Times New Roman" w:hAnsi="Times New Roman" w:eastAsia="宋体" w:cs="Times New Roman"/>
                      <w:snapToGrid w:val="0"/>
                      <w:color w:val="000000" w:themeColor="text1"/>
                      <w:kern w:val="0"/>
                      <w:szCs w:val="21"/>
                      <w14:textFill>
                        <w14:solidFill>
                          <w14:schemeClr w14:val="tx1"/>
                        </w14:solidFill>
                      </w14:textFill>
                    </w:rPr>
                  </w:pPr>
                </w:p>
              </w:tc>
              <w:tc>
                <w:tcPr>
                  <w:tcW w:w="1158" w:type="dxa"/>
                  <w:vMerge w:val="restart"/>
                  <w:vAlign w:val="center"/>
                </w:tcPr>
                <w:p>
                  <w:pPr>
                    <w:wordWrap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生产工序</w:t>
                  </w:r>
                </w:p>
              </w:tc>
              <w:tc>
                <w:tcPr>
                  <w:tcW w:w="956" w:type="dxa"/>
                  <w:vAlign w:val="center"/>
                </w:tcPr>
                <w:p>
                  <w:pPr>
                    <w:wordWrap w:val="0"/>
                    <w:autoSpaceDE w:val="0"/>
                    <w:autoSpaceDN w:val="0"/>
                    <w:adjustRightIn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废弃土石</w:t>
                  </w:r>
                </w:p>
              </w:tc>
              <w:tc>
                <w:tcPr>
                  <w:tcW w:w="937" w:type="dxa"/>
                  <w:vAlign w:val="center"/>
                </w:tcPr>
                <w:p>
                  <w:pPr>
                    <w:wordWrap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740" w:type="dxa"/>
                  <w:vAlign w:val="center"/>
                </w:tcPr>
                <w:p>
                  <w:pPr>
                    <w:wordWrap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1586" w:type="dxa"/>
                  <w:vMerge w:val="restart"/>
                  <w:vAlign w:val="center"/>
                </w:tcPr>
                <w:p>
                  <w:pPr>
                    <w:wordWrap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堆放至排土场</w:t>
                  </w:r>
                </w:p>
              </w:tc>
              <w:tc>
                <w:tcPr>
                  <w:tcW w:w="1891" w:type="dxa"/>
                  <w:vMerge w:val="continue"/>
                  <w:vAlign w:val="center"/>
                </w:tcPr>
                <w:p>
                  <w:pPr>
                    <w:keepNext/>
                    <w:keepLines/>
                    <w:wordWrap w:val="0"/>
                    <w:spacing w:before="340" w:after="330" w:line="578" w:lineRule="auto"/>
                    <w:jc w:val="center"/>
                    <w:outlineLvl w:val="0"/>
                    <w:rPr>
                      <w:rFonts w:hint="default" w:ascii="Times New Roman" w:hAnsi="Times New Roman" w:eastAsia="宋体" w:cs="Times New Roman"/>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0" w:type="dxa"/>
                  <w:vMerge w:val="continue"/>
                  <w:vAlign w:val="center"/>
                </w:tcPr>
                <w:p>
                  <w:pPr>
                    <w:keepNext/>
                    <w:keepLines/>
                    <w:wordWrap w:val="0"/>
                    <w:spacing w:before="340" w:after="330" w:line="578" w:lineRule="auto"/>
                    <w:jc w:val="center"/>
                    <w:outlineLvl w:val="0"/>
                    <w:rPr>
                      <w:rFonts w:hint="default" w:ascii="Times New Roman" w:hAnsi="Times New Roman" w:eastAsia="宋体" w:cs="Times New Roman"/>
                      <w:snapToGrid w:val="0"/>
                      <w:color w:val="000000" w:themeColor="text1"/>
                      <w:kern w:val="0"/>
                      <w:szCs w:val="21"/>
                      <w14:textFill>
                        <w14:solidFill>
                          <w14:schemeClr w14:val="tx1"/>
                        </w14:solidFill>
                      </w14:textFill>
                    </w:rPr>
                  </w:pPr>
                </w:p>
              </w:tc>
              <w:tc>
                <w:tcPr>
                  <w:tcW w:w="1158" w:type="dxa"/>
                  <w:vMerge w:val="continue"/>
                  <w:vAlign w:val="center"/>
                </w:tcPr>
                <w:p>
                  <w:pPr>
                    <w:wordWrap w:val="0"/>
                    <w:jc w:val="center"/>
                    <w:rPr>
                      <w:rFonts w:hint="default" w:ascii="Times New Roman" w:hAnsi="Times New Roman" w:eastAsia="宋体" w:cs="Times New Roman"/>
                      <w:color w:val="000000" w:themeColor="text1"/>
                      <w:kern w:val="0"/>
                      <w:szCs w:val="21"/>
                      <w14:textFill>
                        <w14:solidFill>
                          <w14:schemeClr w14:val="tx1"/>
                        </w14:solidFill>
                      </w14:textFill>
                    </w:rPr>
                  </w:pPr>
                </w:p>
              </w:tc>
              <w:tc>
                <w:tcPr>
                  <w:tcW w:w="956" w:type="dxa"/>
                  <w:vAlign w:val="center"/>
                </w:tcPr>
                <w:p>
                  <w:pPr>
                    <w:wordWrap w:val="0"/>
                    <w:autoSpaceDE w:val="0"/>
                    <w:autoSpaceDN w:val="0"/>
                    <w:adjustRightInd w:val="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沉淀池底泥</w:t>
                  </w:r>
                </w:p>
              </w:tc>
              <w:tc>
                <w:tcPr>
                  <w:tcW w:w="937" w:type="dxa"/>
                  <w:vAlign w:val="center"/>
                </w:tcPr>
                <w:p>
                  <w:pPr>
                    <w:wordWrap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740" w:type="dxa"/>
                  <w:vAlign w:val="center"/>
                </w:tcPr>
                <w:p>
                  <w:pPr>
                    <w:wordWrap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6" w:type="dxa"/>
                  <w:vMerge w:val="continue"/>
                  <w:vAlign w:val="center"/>
                </w:tcPr>
                <w:p>
                  <w:pPr>
                    <w:wordWrap w:val="0"/>
                    <w:jc w:val="center"/>
                    <w:rPr>
                      <w:rFonts w:hint="default" w:ascii="Times New Roman" w:hAnsi="Times New Roman" w:eastAsia="宋体" w:cs="Times New Roman"/>
                      <w:color w:val="000000" w:themeColor="text1"/>
                      <w:kern w:val="0"/>
                      <w:szCs w:val="21"/>
                      <w14:textFill>
                        <w14:solidFill>
                          <w14:schemeClr w14:val="tx1"/>
                        </w14:solidFill>
                      </w14:textFill>
                    </w:rPr>
                  </w:pPr>
                </w:p>
              </w:tc>
              <w:tc>
                <w:tcPr>
                  <w:tcW w:w="1891" w:type="dxa"/>
                  <w:vMerge w:val="continue"/>
                  <w:vAlign w:val="center"/>
                </w:tcPr>
                <w:p>
                  <w:pPr>
                    <w:keepNext/>
                    <w:keepLines/>
                    <w:wordWrap w:val="0"/>
                    <w:spacing w:before="340" w:after="330" w:line="578" w:lineRule="auto"/>
                    <w:jc w:val="center"/>
                    <w:outlineLvl w:val="0"/>
                    <w:rPr>
                      <w:rFonts w:hint="default" w:ascii="Times New Roman" w:hAnsi="Times New Roman" w:eastAsia="宋体" w:cs="Times New Roman"/>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690" w:type="dxa"/>
                  <w:vMerge w:val="continue"/>
                  <w:vAlign w:val="center"/>
                </w:tcPr>
                <w:p>
                  <w:pPr>
                    <w:keepNext/>
                    <w:keepLines/>
                    <w:wordWrap w:val="0"/>
                    <w:spacing w:before="340" w:after="330" w:line="578" w:lineRule="auto"/>
                    <w:jc w:val="center"/>
                    <w:outlineLvl w:val="0"/>
                    <w:rPr>
                      <w:rFonts w:hint="default" w:ascii="Times New Roman" w:hAnsi="Times New Roman" w:eastAsia="宋体" w:cs="Times New Roman"/>
                      <w:snapToGrid w:val="0"/>
                      <w:color w:val="000000" w:themeColor="text1"/>
                      <w:kern w:val="0"/>
                      <w:szCs w:val="21"/>
                      <w14:textFill>
                        <w14:solidFill>
                          <w14:schemeClr w14:val="tx1"/>
                        </w14:solidFill>
                      </w14:textFill>
                    </w:rPr>
                  </w:pPr>
                </w:p>
              </w:tc>
              <w:tc>
                <w:tcPr>
                  <w:tcW w:w="1158" w:type="dxa"/>
                  <w:vMerge w:val="continue"/>
                  <w:vAlign w:val="center"/>
                </w:tcPr>
                <w:p>
                  <w:pPr>
                    <w:wordWrap w:val="0"/>
                    <w:jc w:val="center"/>
                    <w:rPr>
                      <w:rFonts w:hint="default" w:ascii="Times New Roman" w:hAnsi="Times New Roman" w:eastAsia="宋体" w:cs="Times New Roman"/>
                      <w:color w:val="000000" w:themeColor="text1"/>
                      <w:kern w:val="0"/>
                      <w:szCs w:val="21"/>
                      <w14:textFill>
                        <w14:solidFill>
                          <w14:schemeClr w14:val="tx1"/>
                        </w14:solidFill>
                      </w14:textFill>
                    </w:rPr>
                  </w:pPr>
                </w:p>
              </w:tc>
              <w:tc>
                <w:tcPr>
                  <w:tcW w:w="956" w:type="dxa"/>
                  <w:vAlign w:val="center"/>
                </w:tcPr>
                <w:p>
                  <w:pPr>
                    <w:wordWrap w:val="0"/>
                    <w:autoSpaceDE w:val="0"/>
                    <w:autoSpaceDN w:val="0"/>
                    <w:adjustRightInd w:val="0"/>
                    <w:jc w:val="center"/>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eastAsia="宋体" w:cs="Times New Roman"/>
                      <w:color w:val="000000" w:themeColor="text1"/>
                      <w:kern w:val="0"/>
                      <w14:textFill>
                        <w14:solidFill>
                          <w14:schemeClr w14:val="tx1"/>
                        </w14:solidFill>
                      </w14:textFill>
                    </w:rPr>
                    <w:t>废</w:t>
                  </w:r>
                  <w:r>
                    <w:rPr>
                      <w:rFonts w:hint="eastAsia" w:cs="Times New Roman"/>
                      <w:color w:val="000000" w:themeColor="text1"/>
                      <w:kern w:val="0"/>
                      <w:lang w:val="en-US" w:eastAsia="zh-CN"/>
                      <w14:textFill>
                        <w14:solidFill>
                          <w14:schemeClr w14:val="tx1"/>
                        </w14:solidFill>
                      </w14:textFill>
                    </w:rPr>
                    <w:t>机油</w:t>
                  </w:r>
                </w:p>
              </w:tc>
              <w:tc>
                <w:tcPr>
                  <w:tcW w:w="937" w:type="dxa"/>
                  <w:vAlign w:val="center"/>
                </w:tcPr>
                <w:p>
                  <w:pPr>
                    <w:wordWrap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740" w:type="dxa"/>
                  <w:vAlign w:val="center"/>
                </w:tcPr>
                <w:p>
                  <w:pPr>
                    <w:wordWrap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p>
              </w:tc>
              <w:tc>
                <w:tcPr>
                  <w:tcW w:w="1586" w:type="dxa"/>
                  <w:vAlign w:val="center"/>
                </w:tcPr>
                <w:p>
                  <w:pPr>
                    <w:wordWrap w:val="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暂存于危废暂存间，定期交由资质单位处置</w:t>
                  </w:r>
                </w:p>
              </w:tc>
              <w:tc>
                <w:tcPr>
                  <w:tcW w:w="1891" w:type="dxa"/>
                  <w:vAlign w:val="center"/>
                </w:tcPr>
                <w:p>
                  <w:pPr>
                    <w:keepNext/>
                    <w:keepLines/>
                    <w:wordWrap w:val="0"/>
                    <w:jc w:val="center"/>
                    <w:outlineLvl w:val="0"/>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《危险废物贮存污染控制标准》（GB18597-2001）及修改单</w:t>
                  </w:r>
                </w:p>
              </w:tc>
            </w:tr>
          </w:tbl>
          <w:p>
            <w:pPr>
              <w:wordWrap w:val="0"/>
              <w:adjustRightInd w:val="0"/>
              <w:snapToGrid w:val="0"/>
              <w:spacing w:line="360" w:lineRule="auto"/>
              <w:ind w:firstLine="482" w:firstLineChars="200"/>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10、</w:t>
            </w:r>
            <w:r>
              <w:rPr>
                <w:rFonts w:eastAsiaTheme="minorEastAsia"/>
                <w:b/>
                <w:color w:val="000000" w:themeColor="text1"/>
                <w:sz w:val="24"/>
                <w14:textFill>
                  <w14:solidFill>
                    <w14:schemeClr w14:val="tx1"/>
                  </w14:solidFill>
                </w14:textFill>
              </w:rPr>
              <w:t>环境管理监测计划</w:t>
            </w:r>
          </w:p>
          <w:p>
            <w:pPr>
              <w:spacing w:line="520" w:lineRule="exact"/>
              <w:ind w:firstLine="480" w:firstLineChars="200"/>
              <w:rPr>
                <w:rFonts w:eastAsiaTheme="minorEastAsia"/>
                <w:color w:val="000000" w:themeColor="text1"/>
                <w:kern w:val="0"/>
                <w:sz w:val="24"/>
                <w:szCs w:val="20"/>
                <w14:textFill>
                  <w14:solidFill>
                    <w14:schemeClr w14:val="tx1"/>
                  </w14:solidFill>
                </w14:textFill>
              </w:rPr>
            </w:pPr>
            <w:r>
              <w:rPr>
                <w:rFonts w:hAnsiTheme="minorEastAsia" w:eastAsiaTheme="minorEastAsia"/>
                <w:color w:val="000000" w:themeColor="text1"/>
                <w:kern w:val="0"/>
                <w:sz w:val="24"/>
                <w:szCs w:val="20"/>
                <w14:textFill>
                  <w14:solidFill>
                    <w14:schemeClr w14:val="tx1"/>
                  </w14:solidFill>
                </w14:textFill>
              </w:rPr>
              <w:t>建设项目在施工期、营运期将对环境产生一定的影响，因此建设单位应在加强环境管理的同时，定期进行环境监测，以便及时了解工程在不同时期的环境影响，采取相应措施，消除不利因素，减轻污染，以实现预定的环保目标。</w:t>
            </w:r>
          </w:p>
          <w:p>
            <w:pPr>
              <w:spacing w:line="520" w:lineRule="exact"/>
              <w:ind w:firstLine="480" w:firstLineChars="200"/>
              <w:rPr>
                <w:rFonts w:eastAsiaTheme="minorEastAsia"/>
                <w:color w:val="000000" w:themeColor="text1"/>
                <w:kern w:val="0"/>
                <w:sz w:val="24"/>
                <w:szCs w:val="20"/>
                <w14:textFill>
                  <w14:solidFill>
                    <w14:schemeClr w14:val="tx1"/>
                  </w14:solidFill>
                </w14:textFill>
              </w:rPr>
            </w:pPr>
            <w:r>
              <w:rPr>
                <w:rFonts w:hAnsiTheme="minorEastAsia" w:eastAsiaTheme="minorEastAsia"/>
                <w:color w:val="000000" w:themeColor="text1"/>
                <w:kern w:val="0"/>
                <w:sz w:val="24"/>
                <w:szCs w:val="20"/>
                <w14:textFill>
                  <w14:solidFill>
                    <w14:schemeClr w14:val="tx1"/>
                  </w14:solidFill>
                </w14:textFill>
              </w:rPr>
              <w:t>按照《建设项目环境保护管理设计规定》等有关要求，项目在建设和生产同时，应建立符合工厂实际的环境管理机构和各项规章制度，规范企业形象，提高员工环保意识，大力推行清洁生产、节能降耗、减污增效，走资源化、环境保护与社会经济协调发展的可持续道路。</w:t>
            </w:r>
          </w:p>
          <w:p>
            <w:pPr>
              <w:adjustRightInd w:val="0"/>
              <w:spacing w:line="360" w:lineRule="auto"/>
              <w:ind w:firstLine="482" w:firstLineChars="200"/>
              <w:jc w:val="left"/>
              <w:rPr>
                <w:rFonts w:eastAsiaTheme="minorEastAsia"/>
                <w:b/>
                <w:color w:val="000000" w:themeColor="text1"/>
                <w:kern w:val="0"/>
                <w:sz w:val="24"/>
                <w:szCs w:val="20"/>
                <w14:textFill>
                  <w14:solidFill>
                    <w14:schemeClr w14:val="tx1"/>
                  </w14:solidFill>
                </w14:textFill>
              </w:rPr>
            </w:pPr>
            <w:r>
              <w:rPr>
                <w:rFonts w:hint="eastAsia" w:eastAsiaTheme="minorEastAsia"/>
                <w:b/>
                <w:color w:val="000000" w:themeColor="text1"/>
                <w:kern w:val="0"/>
                <w:sz w:val="24"/>
                <w:szCs w:val="20"/>
                <w14:textFill>
                  <w14:solidFill>
                    <w14:schemeClr w14:val="tx1"/>
                  </w14:solidFill>
                </w14:textFill>
              </w:rPr>
              <w:t>（1）</w:t>
            </w:r>
            <w:r>
              <w:rPr>
                <w:rFonts w:hAnsiTheme="minorEastAsia" w:eastAsiaTheme="minorEastAsia"/>
                <w:b/>
                <w:color w:val="000000" w:themeColor="text1"/>
                <w:kern w:val="0"/>
                <w:sz w:val="24"/>
                <w:szCs w:val="20"/>
                <w14:textFill>
                  <w14:solidFill>
                    <w14:schemeClr w14:val="tx1"/>
                  </w14:solidFill>
                </w14:textFill>
              </w:rPr>
              <w:t>环境管理计划</w:t>
            </w:r>
          </w:p>
          <w:p>
            <w:pPr>
              <w:adjustRightInd w:val="0"/>
              <w:spacing w:line="360" w:lineRule="auto"/>
              <w:ind w:firstLine="480" w:firstLineChars="200"/>
              <w:jc w:val="left"/>
              <w:rPr>
                <w:rFonts w:eastAsiaTheme="minorEastAsia"/>
                <w:snapToGrid w:val="0"/>
                <w:color w:val="000000" w:themeColor="text1"/>
                <w:kern w:val="0"/>
                <w:sz w:val="24"/>
                <w14:textFill>
                  <w14:solidFill>
                    <w14:schemeClr w14:val="tx1"/>
                  </w14:solidFill>
                </w14:textFill>
              </w:rPr>
            </w:pPr>
            <w:r>
              <w:rPr>
                <w:rFonts w:hAnsiTheme="minorEastAsia" w:eastAsiaTheme="minorEastAsia"/>
                <w:snapToGrid w:val="0"/>
                <w:color w:val="000000" w:themeColor="text1"/>
                <w:kern w:val="0"/>
                <w:sz w:val="24"/>
                <w14:textFill>
                  <w14:solidFill>
                    <w14:schemeClr w14:val="tx1"/>
                  </w14:solidFill>
                </w14:textFill>
              </w:rPr>
              <w:t>本项目的污染物排放水平与厂区环境管理水平密切相关，因此在采取环境保护工程措施和生态保护措施的同时，必须加强环境管理。</w:t>
            </w:r>
          </w:p>
          <w:p>
            <w:pPr>
              <w:adjustRightInd w:val="0"/>
              <w:spacing w:line="360" w:lineRule="auto"/>
              <w:ind w:firstLine="480" w:firstLineChars="200"/>
              <w:jc w:val="left"/>
              <w:rPr>
                <w:rFonts w:eastAsiaTheme="minorEastAsia"/>
                <w:snapToGrid w:val="0"/>
                <w:color w:val="000000" w:themeColor="text1"/>
                <w:kern w:val="0"/>
                <w:sz w:val="24"/>
                <w14:textFill>
                  <w14:solidFill>
                    <w14:schemeClr w14:val="tx1"/>
                  </w14:solidFill>
                </w14:textFill>
              </w:rPr>
            </w:pPr>
            <w:r>
              <w:rPr>
                <w:rFonts w:hAnsiTheme="minorEastAsia" w:eastAsiaTheme="minorEastAsia"/>
                <w:snapToGrid w:val="0"/>
                <w:color w:val="000000" w:themeColor="text1"/>
                <w:kern w:val="0"/>
                <w:sz w:val="24"/>
                <w14:textFill>
                  <w14:solidFill>
                    <w14:schemeClr w14:val="tx1"/>
                  </w14:solidFill>
                </w14:textFill>
              </w:rPr>
              <w:t>①贯彻执行国家和地方各项环保方针、政策和法规，将环境指标纳入生产计划指标，建立企业内部的环境保护机构、制订与其相适应的管理规章制度及细则；</w:t>
            </w:r>
          </w:p>
          <w:p>
            <w:pPr>
              <w:adjustRightInd w:val="0"/>
              <w:spacing w:line="360" w:lineRule="auto"/>
              <w:ind w:firstLine="480" w:firstLineChars="200"/>
              <w:jc w:val="left"/>
              <w:rPr>
                <w:rFonts w:eastAsiaTheme="minorEastAsia"/>
                <w:snapToGrid w:val="0"/>
                <w:color w:val="000000" w:themeColor="text1"/>
                <w:kern w:val="0"/>
                <w:sz w:val="24"/>
                <w14:textFill>
                  <w14:solidFill>
                    <w14:schemeClr w14:val="tx1"/>
                  </w14:solidFill>
                </w14:textFill>
              </w:rPr>
            </w:pPr>
            <w:r>
              <w:rPr>
                <w:rFonts w:hAnsiTheme="minorEastAsia" w:eastAsiaTheme="minorEastAsia"/>
                <w:snapToGrid w:val="0"/>
                <w:color w:val="000000" w:themeColor="text1"/>
                <w:kern w:val="0"/>
                <w:sz w:val="24"/>
                <w14:textFill>
                  <w14:solidFill>
                    <w14:schemeClr w14:val="tx1"/>
                  </w14:solidFill>
                </w14:textFill>
              </w:rPr>
              <w:t>②加强对生产人员的环保教育，包括业务能力、操作技术、环保管理知识的教育，以增强他们的环保意识，提高管理水平；</w:t>
            </w:r>
          </w:p>
          <w:p>
            <w:pPr>
              <w:adjustRightInd w:val="0"/>
              <w:spacing w:line="360" w:lineRule="auto"/>
              <w:ind w:firstLine="480" w:firstLineChars="200"/>
              <w:jc w:val="left"/>
              <w:rPr>
                <w:rFonts w:eastAsiaTheme="minorEastAsia"/>
                <w:snapToGrid w:val="0"/>
                <w:color w:val="000000" w:themeColor="text1"/>
                <w:kern w:val="0"/>
                <w:sz w:val="24"/>
                <w14:textFill>
                  <w14:solidFill>
                    <w14:schemeClr w14:val="tx1"/>
                  </w14:solidFill>
                </w14:textFill>
              </w:rPr>
            </w:pPr>
            <w:r>
              <w:rPr>
                <w:rFonts w:hAnsiTheme="minorEastAsia" w:eastAsiaTheme="minorEastAsia"/>
                <w:snapToGrid w:val="0"/>
                <w:color w:val="000000" w:themeColor="text1"/>
                <w:kern w:val="0"/>
                <w:sz w:val="24"/>
                <w14:textFill>
                  <w14:solidFill>
                    <w14:schemeClr w14:val="tx1"/>
                  </w14:solidFill>
                </w14:textFill>
              </w:rPr>
              <w:t>③建立全厂设备维护、维修制度，定期检查各设备运行情况，杜绝事故发生。</w:t>
            </w:r>
          </w:p>
          <w:p>
            <w:pPr>
              <w:adjustRightInd w:val="0"/>
              <w:spacing w:line="360" w:lineRule="auto"/>
              <w:ind w:firstLine="480" w:firstLineChars="200"/>
              <w:jc w:val="left"/>
              <w:rPr>
                <w:rFonts w:eastAsiaTheme="minorEastAsia"/>
                <w:snapToGrid w:val="0"/>
                <w:color w:val="000000" w:themeColor="text1"/>
                <w:kern w:val="0"/>
                <w:sz w:val="24"/>
                <w14:textFill>
                  <w14:solidFill>
                    <w14:schemeClr w14:val="tx1"/>
                  </w14:solidFill>
                </w14:textFill>
              </w:rPr>
            </w:pPr>
            <w:r>
              <w:rPr>
                <w:rFonts w:hAnsiTheme="minorEastAsia" w:eastAsiaTheme="minorEastAsia"/>
                <w:snapToGrid w:val="0"/>
                <w:color w:val="000000" w:themeColor="text1"/>
                <w:kern w:val="0"/>
                <w:sz w:val="24"/>
                <w14:textFill>
                  <w14:solidFill>
                    <w14:schemeClr w14:val="tx1"/>
                  </w14:solidFill>
                </w14:textFill>
              </w:rPr>
              <w:t>④应按规范进行台账记录，主要内容包括生产信息、原辅材料使用情况、污染防治设施运行记录、监测数据等。</w:t>
            </w:r>
          </w:p>
          <w:p>
            <w:pPr>
              <w:adjustRightInd w:val="0"/>
              <w:spacing w:line="360" w:lineRule="auto"/>
              <w:ind w:firstLine="480" w:firstLineChars="200"/>
              <w:jc w:val="left"/>
              <w:rPr>
                <w:rFonts w:eastAsiaTheme="minorEastAsia"/>
                <w:snapToGrid w:val="0"/>
                <w:color w:val="000000" w:themeColor="text1"/>
                <w:kern w:val="0"/>
                <w:sz w:val="24"/>
                <w14:textFill>
                  <w14:solidFill>
                    <w14:schemeClr w14:val="tx1"/>
                  </w14:solidFill>
                </w14:textFill>
              </w:rPr>
            </w:pPr>
            <w:r>
              <w:rPr>
                <w:rFonts w:hAnsiTheme="minorEastAsia" w:eastAsiaTheme="minorEastAsia"/>
                <w:snapToGrid w:val="0"/>
                <w:color w:val="000000" w:themeColor="text1"/>
                <w:kern w:val="0"/>
                <w:sz w:val="24"/>
                <w14:textFill>
                  <w14:solidFill>
                    <w14:schemeClr w14:val="tx1"/>
                  </w14:solidFill>
                </w14:textFill>
              </w:rPr>
              <w:t>⑤定期在国家排污许可证管理信息平台填报信息，编制排污许可证执行报告，及时报送有核发权的环境保护主管部门并公开，执行报告主要内容包括生产信息、污染防治设施运行情况、污染物按证排放情况等。</w:t>
            </w:r>
          </w:p>
          <w:p>
            <w:pPr>
              <w:wordWrap w:val="0"/>
              <w:spacing w:line="360" w:lineRule="auto"/>
              <w:ind w:firstLine="482" w:firstLineChars="200"/>
              <w:jc w:val="left"/>
              <w:rPr>
                <w:rFonts w:eastAsiaTheme="minorEastAsia"/>
                <w:b/>
                <w:snapToGrid w:val="0"/>
                <w:color w:val="000000" w:themeColor="text1"/>
                <w:kern w:val="0"/>
                <w:sz w:val="24"/>
                <w14:textFill>
                  <w14:solidFill>
                    <w14:schemeClr w14:val="tx1"/>
                  </w14:solidFill>
                </w14:textFill>
              </w:rPr>
            </w:pPr>
            <w:r>
              <w:rPr>
                <w:rFonts w:hint="eastAsia" w:eastAsiaTheme="minorEastAsia"/>
                <w:b/>
                <w:snapToGrid w:val="0"/>
                <w:color w:val="000000" w:themeColor="text1"/>
                <w:kern w:val="0"/>
                <w:sz w:val="24"/>
                <w14:textFill>
                  <w14:solidFill>
                    <w14:schemeClr w14:val="tx1"/>
                  </w14:solidFill>
                </w14:textFill>
              </w:rPr>
              <w:t>（2）</w:t>
            </w:r>
            <w:r>
              <w:rPr>
                <w:rFonts w:hAnsiTheme="minorEastAsia" w:eastAsiaTheme="minorEastAsia"/>
                <w:b/>
                <w:snapToGrid w:val="0"/>
                <w:color w:val="000000" w:themeColor="text1"/>
                <w:kern w:val="0"/>
                <w:sz w:val="24"/>
                <w14:textFill>
                  <w14:solidFill>
                    <w14:schemeClr w14:val="tx1"/>
                  </w14:solidFill>
                </w14:textFill>
              </w:rPr>
              <w:t>环境监测计划</w:t>
            </w:r>
          </w:p>
          <w:p>
            <w:pPr>
              <w:wordWrap w:val="0"/>
              <w:spacing w:line="360" w:lineRule="auto"/>
              <w:ind w:firstLine="480" w:firstLineChars="200"/>
              <w:jc w:val="left"/>
              <w:rPr>
                <w:rFonts w:hAnsiTheme="minorEastAsia" w:eastAsiaTheme="minorEastAsia"/>
                <w:b/>
                <w:color w:val="000000" w:themeColor="text1"/>
                <w:szCs w:val="21"/>
                <w14:textFill>
                  <w14:solidFill>
                    <w14:schemeClr w14:val="tx1"/>
                  </w14:solidFill>
                </w14:textFill>
              </w:rPr>
            </w:pPr>
            <w:r>
              <w:rPr>
                <w:rFonts w:hAnsiTheme="minorEastAsia" w:eastAsiaTheme="minorEastAsia"/>
                <w:snapToGrid w:val="0"/>
                <w:color w:val="000000" w:themeColor="text1"/>
                <w:kern w:val="0"/>
                <w:sz w:val="24"/>
                <w14:textFill>
                  <w14:solidFill>
                    <w14:schemeClr w14:val="tx1"/>
                  </w14:solidFill>
                </w14:textFill>
              </w:rPr>
              <w:t>在运营期应对污染源按排污许可证规定的监测点位、监测因子、监测频次和相关监测技术规范开展自行监测并公开。项目污染源与环境监测计划表</w:t>
            </w:r>
            <w:r>
              <w:rPr>
                <w:rFonts w:hAnsiTheme="minorEastAsia" w:eastAsiaTheme="minorEastAsia"/>
                <w:color w:val="000000" w:themeColor="text1"/>
                <w:kern w:val="0"/>
                <w:sz w:val="24"/>
                <w14:textFill>
                  <w14:solidFill>
                    <w14:schemeClr w14:val="tx1"/>
                  </w14:solidFill>
                </w14:textFill>
              </w:rPr>
              <w:t>见表</w:t>
            </w:r>
            <w:r>
              <w:rPr>
                <w:rFonts w:hint="eastAsia" w:eastAsiaTheme="minorEastAsia"/>
                <w:color w:val="000000" w:themeColor="text1"/>
                <w:kern w:val="0"/>
                <w:sz w:val="24"/>
                <w14:textFill>
                  <w14:solidFill>
                    <w14:schemeClr w14:val="tx1"/>
                  </w14:solidFill>
                </w14:textFill>
              </w:rPr>
              <w:t>4</w:t>
            </w:r>
            <w:r>
              <w:rPr>
                <w:rFonts w:hint="eastAsia" w:eastAsiaTheme="minorEastAsia"/>
                <w:color w:val="000000" w:themeColor="text1"/>
                <w:kern w:val="0"/>
                <w:sz w:val="24"/>
                <w:lang w:val="en-US" w:eastAsia="zh-CN"/>
                <w14:textFill>
                  <w14:solidFill>
                    <w14:schemeClr w14:val="tx1"/>
                  </w14:solidFill>
                </w14:textFill>
              </w:rPr>
              <w:t>1</w:t>
            </w:r>
            <w:r>
              <w:rPr>
                <w:rFonts w:hAnsiTheme="minorEastAsia" w:eastAsiaTheme="minorEastAsia"/>
                <w:color w:val="000000" w:themeColor="text1"/>
                <w:kern w:val="0"/>
                <w:sz w:val="24"/>
                <w14:textFill>
                  <w14:solidFill>
                    <w14:schemeClr w14:val="tx1"/>
                  </w14:solidFill>
                </w14:textFill>
              </w:rPr>
              <w:t>。</w:t>
            </w:r>
          </w:p>
          <w:p>
            <w:pPr>
              <w:wordWrap w:val="0"/>
              <w:spacing w:line="360" w:lineRule="auto"/>
              <w:ind w:firstLine="422" w:firstLineChars="20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表</w:t>
            </w:r>
            <w:r>
              <w:rPr>
                <w:rFonts w:hint="eastAsia" w:eastAsiaTheme="minorEastAsia"/>
                <w:b/>
                <w:color w:val="000000" w:themeColor="text1"/>
                <w:szCs w:val="21"/>
                <w14:textFill>
                  <w14:solidFill>
                    <w14:schemeClr w14:val="tx1"/>
                  </w14:solidFill>
                </w14:textFill>
              </w:rPr>
              <w:t>4</w:t>
            </w:r>
            <w:r>
              <w:rPr>
                <w:rFonts w:hint="eastAsia" w:eastAsiaTheme="minorEastAsia"/>
                <w:b/>
                <w:color w:val="000000" w:themeColor="text1"/>
                <w:szCs w:val="21"/>
                <w:lang w:val="en-US" w:eastAsia="zh-CN"/>
                <w14:textFill>
                  <w14:solidFill>
                    <w14:schemeClr w14:val="tx1"/>
                  </w14:solidFill>
                </w14:textFill>
              </w:rPr>
              <w:t>1</w:t>
            </w:r>
            <w:r>
              <w:rPr>
                <w:rFonts w:hAnsiTheme="minorEastAsia" w:eastAsiaTheme="minorEastAsia"/>
                <w:b/>
                <w:color w:val="000000" w:themeColor="text1"/>
                <w:szCs w:val="21"/>
                <w14:textFill>
                  <w14:solidFill>
                    <w14:schemeClr w14:val="tx1"/>
                  </w14:solidFill>
                </w14:textFill>
              </w:rPr>
              <w:t>环境监测计划一览表</w:t>
            </w:r>
          </w:p>
          <w:tbl>
            <w:tblPr>
              <w:tblStyle w:val="19"/>
              <w:tblW w:w="78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947"/>
              <w:gridCol w:w="830"/>
              <w:gridCol w:w="648"/>
              <w:gridCol w:w="1349"/>
              <w:gridCol w:w="21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934" w:type="dxa"/>
                  <w:vAlign w:val="center"/>
                </w:tcPr>
                <w:p>
                  <w:pPr>
                    <w:widowControl/>
                    <w:wordWrap w:val="0"/>
                    <w:adjustRightInd w:val="0"/>
                    <w:snapToGrid w:val="0"/>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类别</w:t>
                  </w:r>
                </w:p>
              </w:tc>
              <w:tc>
                <w:tcPr>
                  <w:tcW w:w="1947" w:type="dxa"/>
                  <w:vAlign w:val="center"/>
                </w:tcPr>
                <w:p>
                  <w:pPr>
                    <w:widowControl/>
                    <w:wordWrap w:val="0"/>
                    <w:adjustRightInd w:val="0"/>
                    <w:snapToGrid w:val="0"/>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监测点</w:t>
                  </w:r>
                </w:p>
              </w:tc>
              <w:tc>
                <w:tcPr>
                  <w:tcW w:w="830" w:type="dxa"/>
                  <w:vAlign w:val="center"/>
                </w:tcPr>
                <w:p>
                  <w:pPr>
                    <w:widowControl/>
                    <w:wordWrap w:val="0"/>
                    <w:adjustRightInd w:val="0"/>
                    <w:snapToGrid w:val="0"/>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监测</w:t>
                  </w:r>
                </w:p>
                <w:p>
                  <w:pPr>
                    <w:widowControl/>
                    <w:wordWrap w:val="0"/>
                    <w:adjustRightInd w:val="0"/>
                    <w:snapToGrid w:val="0"/>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项目</w:t>
                  </w:r>
                </w:p>
              </w:tc>
              <w:tc>
                <w:tcPr>
                  <w:tcW w:w="648" w:type="dxa"/>
                  <w:vAlign w:val="center"/>
                </w:tcPr>
                <w:p>
                  <w:pPr>
                    <w:widowControl/>
                    <w:wordWrap w:val="0"/>
                    <w:adjustRightInd w:val="0"/>
                    <w:snapToGrid w:val="0"/>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监测点数</w:t>
                  </w:r>
                </w:p>
              </w:tc>
              <w:tc>
                <w:tcPr>
                  <w:tcW w:w="1349" w:type="dxa"/>
                  <w:vAlign w:val="center"/>
                </w:tcPr>
                <w:p>
                  <w:pPr>
                    <w:widowControl/>
                    <w:wordWrap w:val="0"/>
                    <w:adjustRightInd w:val="0"/>
                    <w:snapToGrid w:val="0"/>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监测频次</w:t>
                  </w:r>
                </w:p>
              </w:tc>
              <w:tc>
                <w:tcPr>
                  <w:tcW w:w="2168" w:type="dxa"/>
                  <w:vAlign w:val="center"/>
                </w:tcPr>
                <w:p>
                  <w:pPr>
                    <w:widowControl/>
                    <w:wordWrap w:val="0"/>
                    <w:adjustRightInd w:val="0"/>
                    <w:snapToGrid w:val="0"/>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控制目标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73" w:hRule="atLeast"/>
              </w:trPr>
              <w:tc>
                <w:tcPr>
                  <w:tcW w:w="934"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无组织粉尘</w:t>
                  </w:r>
                </w:p>
              </w:tc>
              <w:tc>
                <w:tcPr>
                  <w:tcW w:w="1947"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14:textFill>
                        <w14:solidFill>
                          <w14:schemeClr w14:val="tx1"/>
                        </w14:solidFill>
                      </w14:textFill>
                    </w:rPr>
                    <w:t>厂区上风向</w:t>
                  </w:r>
                  <w:r>
                    <w:rPr>
                      <w:rFonts w:eastAsiaTheme="minorEastAsia"/>
                      <w:color w:val="000000" w:themeColor="text1"/>
                      <w14:textFill>
                        <w14:solidFill>
                          <w14:schemeClr w14:val="tx1"/>
                        </w14:solidFill>
                      </w14:textFill>
                    </w:rPr>
                    <w:t>1</w:t>
                  </w:r>
                  <w:r>
                    <w:rPr>
                      <w:rFonts w:hAnsiTheme="minorEastAsia" w:eastAsiaTheme="minorEastAsia"/>
                      <w:color w:val="000000" w:themeColor="text1"/>
                      <w14:textFill>
                        <w14:solidFill>
                          <w14:schemeClr w14:val="tx1"/>
                        </w14:solidFill>
                      </w14:textFill>
                    </w:rPr>
                    <w:t>个点、下风向</w:t>
                  </w:r>
                  <w:r>
                    <w:rPr>
                      <w:rFonts w:eastAsiaTheme="minorEastAsia"/>
                      <w:color w:val="000000" w:themeColor="text1"/>
                      <w14:textFill>
                        <w14:solidFill>
                          <w14:schemeClr w14:val="tx1"/>
                        </w14:solidFill>
                      </w14:textFill>
                    </w:rPr>
                    <w:t>3</w:t>
                  </w:r>
                  <w:r>
                    <w:rPr>
                      <w:rFonts w:hAnsiTheme="minorEastAsia" w:eastAsiaTheme="minorEastAsia"/>
                      <w:color w:val="000000" w:themeColor="text1"/>
                      <w14:textFill>
                        <w14:solidFill>
                          <w14:schemeClr w14:val="tx1"/>
                        </w14:solidFill>
                      </w14:textFill>
                    </w:rPr>
                    <w:t>个点</w:t>
                  </w:r>
                </w:p>
              </w:tc>
              <w:tc>
                <w:tcPr>
                  <w:tcW w:w="830"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颗粒物</w:t>
                  </w:r>
                </w:p>
              </w:tc>
              <w:tc>
                <w:tcPr>
                  <w:tcW w:w="648"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w:t>
                  </w:r>
                  <w:r>
                    <w:rPr>
                      <w:rFonts w:hAnsiTheme="minorEastAsia" w:eastAsiaTheme="minorEastAsia"/>
                      <w:color w:val="000000" w:themeColor="text1"/>
                      <w:kern w:val="0"/>
                      <w:szCs w:val="21"/>
                      <w14:textFill>
                        <w14:solidFill>
                          <w14:schemeClr w14:val="tx1"/>
                        </w14:solidFill>
                      </w14:textFill>
                    </w:rPr>
                    <w:t>个</w:t>
                  </w:r>
                </w:p>
              </w:tc>
              <w:tc>
                <w:tcPr>
                  <w:tcW w:w="1349"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每年一次</w:t>
                  </w:r>
                </w:p>
              </w:tc>
              <w:tc>
                <w:tcPr>
                  <w:tcW w:w="2168"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《大气污染物综合排放标准》（</w:t>
                  </w:r>
                  <w:r>
                    <w:rPr>
                      <w:rFonts w:eastAsiaTheme="minorEastAsia"/>
                      <w:color w:val="000000" w:themeColor="text1"/>
                      <w:kern w:val="0"/>
                      <w:szCs w:val="21"/>
                      <w14:textFill>
                        <w14:solidFill>
                          <w14:schemeClr w14:val="tx1"/>
                        </w14:solidFill>
                      </w14:textFill>
                    </w:rPr>
                    <w:t>GB16297-1996</w:t>
                  </w:r>
                  <w:r>
                    <w:rPr>
                      <w:rFonts w:hAnsiTheme="minorEastAsia" w:eastAsiaTheme="minorEastAsia"/>
                      <w:color w:val="000000" w:themeColor="text1"/>
                      <w:kern w:val="0"/>
                      <w:szCs w:val="21"/>
                      <w14:textFill>
                        <w14:solidFill>
                          <w14:schemeClr w14:val="tx1"/>
                        </w14:solidFill>
                      </w14:textFill>
                    </w:rPr>
                    <w:t>）表</w:t>
                  </w:r>
                  <w:r>
                    <w:rPr>
                      <w:rFonts w:eastAsiaTheme="minorEastAsia"/>
                      <w:color w:val="000000" w:themeColor="text1"/>
                      <w:kern w:val="0"/>
                      <w:szCs w:val="21"/>
                      <w14:textFill>
                        <w14:solidFill>
                          <w14:schemeClr w14:val="tx1"/>
                        </w14:solidFill>
                      </w14:textFill>
                    </w:rPr>
                    <w:t>2</w:t>
                  </w:r>
                  <w:r>
                    <w:rPr>
                      <w:rFonts w:hAnsiTheme="minorEastAsia" w:eastAsiaTheme="minorEastAsia"/>
                      <w:color w:val="000000" w:themeColor="text1"/>
                      <w:kern w:val="0"/>
                      <w:szCs w:val="21"/>
                      <w14:textFill>
                        <w14:solidFill>
                          <w14:schemeClr w14:val="tx1"/>
                        </w14:solidFill>
                      </w14:textFill>
                    </w:rPr>
                    <w:t>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934"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噪声</w:t>
                  </w:r>
                </w:p>
              </w:tc>
              <w:tc>
                <w:tcPr>
                  <w:tcW w:w="1947"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场（厂）界</w:t>
                  </w:r>
                </w:p>
              </w:tc>
              <w:tc>
                <w:tcPr>
                  <w:tcW w:w="830"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等效</w:t>
                  </w:r>
                </w:p>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声级</w:t>
                  </w:r>
                </w:p>
              </w:tc>
              <w:tc>
                <w:tcPr>
                  <w:tcW w:w="648"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w:t>
                  </w:r>
                  <w:r>
                    <w:rPr>
                      <w:rFonts w:hAnsiTheme="minorEastAsia" w:eastAsiaTheme="minorEastAsia"/>
                      <w:color w:val="000000" w:themeColor="text1"/>
                      <w:kern w:val="0"/>
                      <w:szCs w:val="21"/>
                      <w14:textFill>
                        <w14:solidFill>
                          <w14:schemeClr w14:val="tx1"/>
                        </w14:solidFill>
                      </w14:textFill>
                    </w:rPr>
                    <w:t>个</w:t>
                  </w:r>
                </w:p>
              </w:tc>
              <w:tc>
                <w:tcPr>
                  <w:tcW w:w="1349" w:type="dxa"/>
                  <w:vAlign w:val="center"/>
                </w:tcPr>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每季度</w:t>
                  </w:r>
                </w:p>
                <w:p>
                  <w:pPr>
                    <w:widowControl/>
                    <w:wordWrap w:val="0"/>
                    <w:adjustRightInd w:val="0"/>
                    <w:snapToGrid w:val="0"/>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一次</w:t>
                  </w:r>
                </w:p>
              </w:tc>
              <w:tc>
                <w:tcPr>
                  <w:tcW w:w="2168" w:type="dxa"/>
                  <w:vAlign w:val="center"/>
                </w:tcPr>
                <w:p>
                  <w:pPr>
                    <w:widowControl/>
                    <w:wordWrap w:val="0"/>
                    <w:adjustRightInd w:val="0"/>
                    <w:snapToGrid w:val="0"/>
                    <w:jc w:val="left"/>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《工业企业厂界环境噪声排放标准》（</w:t>
                  </w:r>
                  <w:r>
                    <w:rPr>
                      <w:rFonts w:eastAsiaTheme="minorEastAsia"/>
                      <w:color w:val="000000" w:themeColor="text1"/>
                      <w:kern w:val="0"/>
                      <w:szCs w:val="21"/>
                      <w14:textFill>
                        <w14:solidFill>
                          <w14:schemeClr w14:val="tx1"/>
                        </w14:solidFill>
                      </w14:textFill>
                    </w:rPr>
                    <w:t>GB12348-2008</w:t>
                  </w:r>
                  <w:r>
                    <w:rPr>
                      <w:rFonts w:hAnsiTheme="minorEastAsia" w:eastAsiaTheme="minorEastAsia"/>
                      <w:color w:val="000000" w:themeColor="text1"/>
                      <w:kern w:val="0"/>
                      <w:szCs w:val="21"/>
                      <w14:textFill>
                        <w14:solidFill>
                          <w14:schemeClr w14:val="tx1"/>
                        </w14:solidFill>
                      </w14:textFill>
                    </w:rPr>
                    <w:t>）中</w:t>
                  </w:r>
                  <w:r>
                    <w:rPr>
                      <w:rFonts w:eastAsiaTheme="minorEastAsia"/>
                      <w:color w:val="000000" w:themeColor="text1"/>
                      <w:kern w:val="0"/>
                      <w:szCs w:val="21"/>
                      <w14:textFill>
                        <w14:solidFill>
                          <w14:schemeClr w14:val="tx1"/>
                        </w14:solidFill>
                      </w14:textFill>
                    </w:rPr>
                    <w:t>2</w:t>
                  </w:r>
                  <w:r>
                    <w:rPr>
                      <w:rFonts w:hAnsiTheme="minorEastAsia" w:eastAsiaTheme="minorEastAsia"/>
                      <w:color w:val="000000" w:themeColor="text1"/>
                      <w:kern w:val="0"/>
                      <w:szCs w:val="21"/>
                      <w14:textFill>
                        <w14:solidFill>
                          <w14:schemeClr w14:val="tx1"/>
                        </w14:solidFill>
                      </w14:textFill>
                    </w:rPr>
                    <w:t>类区</w:t>
                  </w:r>
                </w:p>
              </w:tc>
            </w:tr>
          </w:tbl>
          <w:p>
            <w:pPr>
              <w:adjustRightInd w:val="0"/>
              <w:snapToGrid w:val="0"/>
              <w:spacing w:line="360" w:lineRule="auto"/>
              <w:ind w:firstLine="236" w:firstLineChars="98"/>
              <w:jc w:val="left"/>
              <w:rPr>
                <w:rFonts w:eastAsiaTheme="minorEastAsia"/>
                <w:b/>
                <w:snapToGrid w:val="0"/>
                <w:color w:val="000000" w:themeColor="text1"/>
                <w:kern w:val="0"/>
                <w:sz w:val="24"/>
                <w14:textFill>
                  <w14:solidFill>
                    <w14:schemeClr w14:val="tx1"/>
                  </w14:solidFill>
                </w14:textFill>
              </w:rPr>
            </w:pPr>
            <w:r>
              <w:rPr>
                <w:rFonts w:hint="eastAsia" w:hAnsiTheme="minorEastAsia" w:eastAsiaTheme="minorEastAsia"/>
                <w:b/>
                <w:snapToGrid w:val="0"/>
                <w:color w:val="000000" w:themeColor="text1"/>
                <w:kern w:val="0"/>
                <w:sz w:val="24"/>
                <w14:textFill>
                  <w14:solidFill>
                    <w14:schemeClr w14:val="tx1"/>
                  </w14:solidFill>
                </w14:textFill>
              </w:rPr>
              <w:t>11</w:t>
            </w:r>
            <w:r>
              <w:rPr>
                <w:rFonts w:hAnsiTheme="minorEastAsia" w:eastAsiaTheme="minorEastAsia"/>
                <w:b/>
                <w:snapToGrid w:val="0"/>
                <w:color w:val="000000" w:themeColor="text1"/>
                <w:kern w:val="0"/>
                <w:sz w:val="24"/>
                <w14:textFill>
                  <w14:solidFill>
                    <w14:schemeClr w14:val="tx1"/>
                  </w14:solidFill>
                </w14:textFill>
              </w:rPr>
              <w:t>、环保投资及污染物排放清单</w:t>
            </w:r>
          </w:p>
          <w:p>
            <w:pPr>
              <w:adjustRightInd w:val="0"/>
              <w:snapToGrid w:val="0"/>
              <w:spacing w:line="360" w:lineRule="auto"/>
              <w:ind w:firstLine="482" w:firstLineChars="200"/>
              <w:jc w:val="left"/>
              <w:rPr>
                <w:rFonts w:eastAsiaTheme="minorEastAsia"/>
                <w:b/>
                <w:color w:val="auto"/>
                <w:sz w:val="24"/>
              </w:rPr>
            </w:pPr>
            <w:r>
              <w:rPr>
                <w:rFonts w:hint="eastAsia" w:eastAsiaTheme="minorEastAsia"/>
                <w:b/>
                <w:color w:val="000000" w:themeColor="text1"/>
                <w:sz w:val="24"/>
                <w14:textFill>
                  <w14:solidFill>
                    <w14:schemeClr w14:val="tx1"/>
                  </w14:solidFill>
                </w14:textFill>
              </w:rPr>
              <w:t>（</w:t>
            </w:r>
            <w:r>
              <w:rPr>
                <w:rFonts w:hint="eastAsia" w:eastAsiaTheme="minorEastAsia"/>
                <w:b/>
                <w:color w:val="auto"/>
                <w:sz w:val="24"/>
              </w:rPr>
              <w:t>1）</w:t>
            </w:r>
            <w:r>
              <w:rPr>
                <w:rFonts w:hAnsiTheme="minorEastAsia" w:eastAsiaTheme="minorEastAsia"/>
                <w:b/>
                <w:color w:val="auto"/>
                <w:sz w:val="24"/>
              </w:rPr>
              <w:t>环保投资</w:t>
            </w:r>
          </w:p>
          <w:p>
            <w:pPr>
              <w:adjustRightInd w:val="0"/>
              <w:snapToGrid w:val="0"/>
              <w:spacing w:line="360" w:lineRule="auto"/>
              <w:ind w:firstLine="480" w:firstLineChars="200"/>
              <w:jc w:val="left"/>
              <w:rPr>
                <w:rFonts w:hAnsiTheme="minorEastAsia" w:eastAsiaTheme="minorEastAsia"/>
                <w:b/>
                <w:color w:val="auto"/>
              </w:rPr>
            </w:pPr>
            <w:r>
              <w:rPr>
                <w:rFonts w:hAnsiTheme="minorEastAsia" w:eastAsiaTheme="minorEastAsia"/>
                <w:color w:val="auto"/>
                <w:sz w:val="24"/>
              </w:rPr>
              <w:t>本项目总投资</w:t>
            </w:r>
            <w:r>
              <w:rPr>
                <w:rFonts w:hint="eastAsia" w:hAnsiTheme="minorEastAsia" w:eastAsiaTheme="minorEastAsia"/>
                <w:color w:val="auto"/>
                <w:sz w:val="24"/>
                <w:lang w:val="en-US" w:eastAsia="zh-CN"/>
              </w:rPr>
              <w:t>1</w:t>
            </w:r>
            <w:r>
              <w:rPr>
                <w:rFonts w:hint="eastAsia" w:eastAsiaTheme="minorEastAsia"/>
                <w:color w:val="auto"/>
                <w:kern w:val="0"/>
                <w:sz w:val="24"/>
                <w:szCs w:val="20"/>
                <w:lang w:val="en-US" w:eastAsia="zh-CN"/>
              </w:rPr>
              <w:t>9000</w:t>
            </w:r>
            <w:r>
              <w:rPr>
                <w:rFonts w:hAnsiTheme="minorEastAsia" w:eastAsiaTheme="minorEastAsia"/>
                <w:color w:val="auto"/>
                <w:sz w:val="24"/>
              </w:rPr>
              <w:t>万元，其中环保投资</w:t>
            </w:r>
            <w:r>
              <w:rPr>
                <w:rFonts w:hint="eastAsia" w:eastAsiaTheme="minorEastAsia"/>
                <w:color w:val="auto"/>
                <w:sz w:val="24"/>
                <w:lang w:val="en-US" w:eastAsia="zh-CN"/>
              </w:rPr>
              <w:t>1917.5</w:t>
            </w:r>
            <w:r>
              <w:rPr>
                <w:rFonts w:hAnsiTheme="minorEastAsia" w:eastAsiaTheme="minorEastAsia"/>
                <w:color w:val="auto"/>
                <w:sz w:val="24"/>
              </w:rPr>
              <w:t>万元，约占总投资的</w:t>
            </w:r>
            <w:r>
              <w:rPr>
                <w:rFonts w:hint="eastAsia" w:eastAsiaTheme="minorEastAsia"/>
                <w:color w:val="auto"/>
                <w:sz w:val="24"/>
                <w:lang w:val="en-US" w:eastAsia="zh-CN"/>
              </w:rPr>
              <w:t>10.1</w:t>
            </w:r>
            <w:r>
              <w:rPr>
                <w:rFonts w:eastAsiaTheme="minorEastAsia"/>
                <w:color w:val="auto"/>
                <w:sz w:val="24"/>
              </w:rPr>
              <w:t>%</w:t>
            </w:r>
            <w:r>
              <w:rPr>
                <w:rFonts w:hAnsiTheme="minorEastAsia" w:eastAsiaTheme="minorEastAsia"/>
                <w:color w:val="auto"/>
                <w:sz w:val="24"/>
              </w:rPr>
              <w:t>，主要用于项目废气净化、固废处置及噪声治理等。环保措施及投资清单见表</w:t>
            </w:r>
            <w:r>
              <w:rPr>
                <w:rFonts w:hint="eastAsia" w:eastAsiaTheme="minorEastAsia"/>
                <w:color w:val="auto"/>
                <w:sz w:val="24"/>
              </w:rPr>
              <w:t>4</w:t>
            </w:r>
            <w:r>
              <w:rPr>
                <w:rFonts w:hint="eastAsia" w:eastAsiaTheme="minorEastAsia"/>
                <w:color w:val="auto"/>
                <w:sz w:val="24"/>
                <w:lang w:val="en-US" w:eastAsia="zh-CN"/>
              </w:rPr>
              <w:t>2</w:t>
            </w:r>
            <w:r>
              <w:rPr>
                <w:rFonts w:hAnsiTheme="minorEastAsia" w:eastAsiaTheme="minorEastAsia"/>
                <w:color w:val="auto"/>
                <w:sz w:val="24"/>
              </w:rPr>
              <w:t>。</w:t>
            </w:r>
          </w:p>
          <w:p>
            <w:pPr>
              <w:pStyle w:val="18"/>
              <w:ind w:left="0" w:leftChars="0" w:firstLine="0" w:firstLineChars="0"/>
              <w:jc w:val="both"/>
              <w:rPr>
                <w:rFonts w:hAnsiTheme="minorEastAsia" w:eastAsiaTheme="minorEastAsia"/>
                <w:b/>
                <w:color w:val="auto"/>
              </w:rPr>
            </w:pPr>
          </w:p>
          <w:p>
            <w:pPr>
              <w:pStyle w:val="18"/>
              <w:ind w:firstLine="422"/>
              <w:jc w:val="center"/>
              <w:rPr>
                <w:rFonts w:eastAsiaTheme="minorEastAsia"/>
                <w:b/>
                <w:color w:val="FF0000"/>
              </w:rPr>
            </w:pPr>
            <w:r>
              <w:rPr>
                <w:rFonts w:hAnsiTheme="minorEastAsia" w:eastAsiaTheme="minorEastAsia"/>
                <w:b/>
                <w:color w:val="FF0000"/>
              </w:rPr>
              <w:t>表</w:t>
            </w:r>
            <w:r>
              <w:rPr>
                <w:rFonts w:hint="eastAsia" w:eastAsiaTheme="minorEastAsia"/>
                <w:b/>
                <w:color w:val="FF0000"/>
              </w:rPr>
              <w:t>4</w:t>
            </w:r>
            <w:r>
              <w:rPr>
                <w:rFonts w:hint="eastAsia" w:eastAsiaTheme="minorEastAsia"/>
                <w:b/>
                <w:color w:val="FF0000"/>
                <w:lang w:val="en-US" w:eastAsia="zh-CN"/>
              </w:rPr>
              <w:t>2</w:t>
            </w:r>
            <w:r>
              <w:rPr>
                <w:rFonts w:hAnsiTheme="minorEastAsia" w:eastAsiaTheme="minorEastAsia"/>
                <w:b/>
                <w:color w:val="FF0000"/>
              </w:rPr>
              <w:t>环保措施投资</w:t>
            </w:r>
            <w:r>
              <w:rPr>
                <w:rFonts w:hint="eastAsia" w:hAnsiTheme="minorEastAsia" w:eastAsiaTheme="minorEastAsia"/>
                <w:b/>
                <w:color w:val="FF0000"/>
                <w:lang w:eastAsia="zh-CN"/>
              </w:rPr>
              <w:t>一览表</w:t>
            </w:r>
          </w:p>
          <w:tbl>
            <w:tblPr>
              <w:tblStyle w:val="19"/>
              <w:tblW w:w="79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33"/>
              <w:gridCol w:w="848"/>
              <w:gridCol w:w="665"/>
              <w:gridCol w:w="745"/>
              <w:gridCol w:w="4082"/>
              <w:gridCol w:w="9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2891" w:type="dxa"/>
                  <w:gridSpan w:val="4"/>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治理内容及对象</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主要环保措施</w:t>
                  </w:r>
                </w:p>
              </w:tc>
              <w:tc>
                <w:tcPr>
                  <w:tcW w:w="966"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投资</w:t>
                  </w:r>
                </w:p>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33" w:type="dxa"/>
                  <w:vMerge w:val="restart"/>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废水</w:t>
                  </w:r>
                </w:p>
              </w:tc>
              <w:tc>
                <w:tcPr>
                  <w:tcW w:w="848" w:type="dxa"/>
                  <w:vMerge w:val="restart"/>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生产区</w:t>
                  </w:r>
                </w:p>
              </w:tc>
              <w:tc>
                <w:tcPr>
                  <w:tcW w:w="1410" w:type="dxa"/>
                  <w:gridSpan w:val="2"/>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生产线</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收集池</w:t>
                  </w:r>
                  <w:r>
                    <w:rPr>
                      <w:rFonts w:hint="eastAsia" w:hAnsiTheme="minorEastAsia" w:eastAsiaTheme="minorEastAsia"/>
                      <w:color w:val="000000" w:themeColor="text1"/>
                      <w:szCs w:val="21"/>
                      <w14:textFill>
                        <w14:solidFill>
                          <w14:schemeClr w14:val="tx1"/>
                        </w14:solidFill>
                      </w14:textFill>
                    </w:rPr>
                    <w:t>1</w:t>
                  </w:r>
                  <w:r>
                    <w:rPr>
                      <w:rFonts w:hAnsiTheme="minorEastAsia" w:eastAsiaTheme="minorEastAsia"/>
                      <w:color w:val="000000" w:themeColor="text1"/>
                      <w:szCs w:val="21"/>
                      <w14:textFill>
                        <w14:solidFill>
                          <w14:schemeClr w14:val="tx1"/>
                        </w14:solidFill>
                      </w14:textFill>
                    </w:rPr>
                    <w:t>座（</w:t>
                  </w:r>
                  <w:r>
                    <w:rPr>
                      <w:rFonts w:hint="eastAsia" w:eastAsiaTheme="minorEastAsia"/>
                      <w:color w:val="000000" w:themeColor="text1"/>
                      <w:szCs w:val="21"/>
                      <w14:textFill>
                        <w14:solidFill>
                          <w14:schemeClr w14:val="tx1"/>
                        </w14:solidFill>
                      </w14:textFill>
                    </w:rPr>
                    <w:t>5</w:t>
                  </w:r>
                  <w:r>
                    <w:rPr>
                      <w:rFonts w:eastAsiaTheme="minorEastAsia"/>
                      <w:color w:val="000000" w:themeColor="text1"/>
                      <w:szCs w:val="21"/>
                      <w14:textFill>
                        <w14:solidFill>
                          <w14:schemeClr w14:val="tx1"/>
                        </w14:solidFill>
                      </w14:textFill>
                    </w:rPr>
                    <w:t>0</w:t>
                  </w: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hAnsiTheme="minorEastAsia" w:eastAsiaTheme="minorEastAsia"/>
                      <w:color w:val="000000" w:themeColor="text1"/>
                      <w:szCs w:val="21"/>
                      <w14:textFill>
                        <w14:solidFill>
                          <w14:schemeClr w14:val="tx1"/>
                        </w14:solidFill>
                      </w14:textFill>
                    </w:rPr>
                    <w:t>）</w:t>
                  </w:r>
                  <w:r>
                    <w:rPr>
                      <w:rFonts w:hint="eastAsia" w:hAnsiTheme="minorEastAsia" w:eastAsiaTheme="minorEastAsia"/>
                      <w:color w:val="000000" w:themeColor="text1"/>
                      <w:szCs w:val="21"/>
                      <w:lang w:eastAsia="zh-CN"/>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三级沉砂池</w:t>
                  </w:r>
                  <w:r>
                    <w:rPr>
                      <w:rFonts w:eastAsiaTheme="minorEastAsia"/>
                      <w:color w:val="000000" w:themeColor="text1"/>
                      <w:szCs w:val="21"/>
                      <w14:textFill>
                        <w14:solidFill>
                          <w14:schemeClr w14:val="tx1"/>
                        </w14:solidFill>
                      </w14:textFill>
                    </w:rPr>
                    <w:t>1</w:t>
                  </w:r>
                  <w:r>
                    <w:rPr>
                      <w:rFonts w:hAnsiTheme="minorEastAsia" w:eastAsiaTheme="minorEastAsia"/>
                      <w:color w:val="000000" w:themeColor="text1"/>
                      <w:szCs w:val="21"/>
                      <w14:textFill>
                        <w14:solidFill>
                          <w14:schemeClr w14:val="tx1"/>
                        </w14:solidFill>
                      </w14:textFill>
                    </w:rPr>
                    <w:t>座（</w:t>
                  </w: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0</w:t>
                  </w: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hAnsiTheme="minorEastAsia" w:eastAsiaTheme="minorEastAsia"/>
                      <w:color w:val="000000" w:themeColor="text1"/>
                      <w:szCs w:val="21"/>
                      <w14:textFill>
                        <w14:solidFill>
                          <w14:schemeClr w14:val="tx1"/>
                        </w14:solidFill>
                      </w14:textFill>
                    </w:rPr>
                    <w:t>）</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1410" w:type="dxa"/>
                  <w:gridSpan w:val="2"/>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雨水</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设</w:t>
                  </w:r>
                  <w:r>
                    <w:rPr>
                      <w:rFonts w:hint="eastAsia" w:hAnsiTheme="minorEastAsia" w:eastAsiaTheme="minorEastAsia"/>
                      <w:color w:val="000000" w:themeColor="text1"/>
                      <w:szCs w:val="21"/>
                      <w14:textFill>
                        <w14:solidFill>
                          <w14:schemeClr w14:val="tx1"/>
                        </w14:solidFill>
                      </w14:textFill>
                    </w:rPr>
                    <w:t>雨水</w:t>
                  </w:r>
                  <w:r>
                    <w:rPr>
                      <w:rFonts w:hAnsiTheme="minorEastAsia" w:eastAsiaTheme="minorEastAsia"/>
                      <w:color w:val="000000" w:themeColor="text1"/>
                      <w:szCs w:val="21"/>
                      <w14:textFill>
                        <w14:solidFill>
                          <w14:schemeClr w14:val="tx1"/>
                        </w14:solidFill>
                      </w14:textFill>
                    </w:rPr>
                    <w:t>收集池</w:t>
                  </w:r>
                  <w:r>
                    <w:rPr>
                      <w:rFonts w:eastAsiaTheme="minorEastAsia"/>
                      <w:color w:val="000000" w:themeColor="text1"/>
                      <w:szCs w:val="21"/>
                      <w14:textFill>
                        <w14:solidFill>
                          <w14:schemeClr w14:val="tx1"/>
                        </w14:solidFill>
                      </w14:textFill>
                    </w:rPr>
                    <w:t>1</w:t>
                  </w:r>
                  <w:r>
                    <w:rPr>
                      <w:rFonts w:hAnsiTheme="minorEastAsia" w:eastAsiaTheme="minorEastAsia"/>
                      <w:color w:val="000000" w:themeColor="text1"/>
                      <w:szCs w:val="21"/>
                      <w14:textFill>
                        <w14:solidFill>
                          <w14:schemeClr w14:val="tx1"/>
                        </w14:solidFill>
                      </w14:textFill>
                    </w:rPr>
                    <w:t>座（</w:t>
                  </w:r>
                  <w:r>
                    <w:rPr>
                      <w:rFonts w:hint="eastAsia" w:eastAsiaTheme="minorEastAsia"/>
                      <w:color w:val="000000" w:themeColor="text1"/>
                      <w:szCs w:val="21"/>
                      <w14:textFill>
                        <w14:solidFill>
                          <w14:schemeClr w14:val="tx1"/>
                        </w14:solidFill>
                      </w14:textFill>
                    </w:rPr>
                    <w:t>100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hAnsiTheme="minorEastAsia" w:eastAsiaTheme="minorEastAsia"/>
                      <w:color w:val="000000" w:themeColor="text1"/>
                      <w:szCs w:val="21"/>
                      <w14:textFill>
                        <w14:solidFill>
                          <w14:schemeClr w14:val="tx1"/>
                        </w14:solidFill>
                      </w14:textFill>
                    </w:rPr>
                    <w:t>）</w:t>
                  </w:r>
                </w:p>
              </w:tc>
              <w:tc>
                <w:tcPr>
                  <w:tcW w:w="966" w:type="dxa"/>
                  <w:vAlign w:val="center"/>
                </w:tcPr>
                <w:p>
                  <w:pPr>
                    <w:spacing w:line="360" w:lineRule="exact"/>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1410" w:type="dxa"/>
                  <w:gridSpan w:val="2"/>
                  <w:vAlign w:val="center"/>
                </w:tcPr>
                <w:p>
                  <w:pPr>
                    <w:spacing w:line="360" w:lineRule="exact"/>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洗砂废水</w:t>
                  </w:r>
                </w:p>
              </w:tc>
              <w:tc>
                <w:tcPr>
                  <w:tcW w:w="4082" w:type="dxa"/>
                  <w:vAlign w:val="center"/>
                </w:tcPr>
                <w:p>
                  <w:pPr>
                    <w:spacing w:line="360" w:lineRule="exact"/>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压滤机+浓缩罐+絮凝剂沉淀</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80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Align w:val="center"/>
                </w:tcPr>
                <w:p>
                  <w:pPr>
                    <w:keepNext/>
                    <w:keepLines/>
                    <w:spacing w:before="340" w:after="330" w:line="360" w:lineRule="exact"/>
                    <w:jc w:val="center"/>
                    <w:outlineLvl w:val="0"/>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生活区</w:t>
                  </w:r>
                </w:p>
              </w:tc>
              <w:tc>
                <w:tcPr>
                  <w:tcW w:w="1410" w:type="dxa"/>
                  <w:gridSpan w:val="2"/>
                  <w:vAlign w:val="center"/>
                </w:tcPr>
                <w:p>
                  <w:pPr>
                    <w:spacing w:line="360" w:lineRule="exact"/>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食堂废水</w:t>
                  </w:r>
                </w:p>
              </w:tc>
              <w:tc>
                <w:tcPr>
                  <w:tcW w:w="4082" w:type="dxa"/>
                  <w:vAlign w:val="center"/>
                </w:tcPr>
                <w:p>
                  <w:pPr>
                    <w:spacing w:line="360" w:lineRule="exact"/>
                    <w:jc w:val="center"/>
                    <w:rPr>
                      <w:rFonts w:hint="default"/>
                      <w:lang w:val="en-US" w:eastAsia="zh-CN"/>
                    </w:rPr>
                  </w:pPr>
                  <w:r>
                    <w:rPr>
                      <w:rFonts w:hint="eastAsia"/>
                      <w:lang w:val="en-US" w:eastAsia="zh-CN"/>
                    </w:rPr>
                    <w:t>油水分离器</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33" w:type="dxa"/>
                  <w:vMerge w:val="restart"/>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废气</w:t>
                  </w:r>
                </w:p>
              </w:tc>
              <w:tc>
                <w:tcPr>
                  <w:tcW w:w="848"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原料场</w:t>
                  </w:r>
                </w:p>
              </w:tc>
              <w:tc>
                <w:tcPr>
                  <w:tcW w:w="1410" w:type="dxa"/>
                  <w:gridSpan w:val="2"/>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粉尘</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设封闭大棚，</w:t>
                  </w:r>
                  <w:r>
                    <w:rPr>
                      <w:rFonts w:hint="eastAsia" w:hAnsiTheme="minorEastAsia" w:eastAsiaTheme="minorEastAsia"/>
                      <w:color w:val="000000" w:themeColor="text1"/>
                      <w:szCs w:val="21"/>
                      <w:lang w:val="en-US" w:eastAsia="zh-CN"/>
                      <w14:textFill>
                        <w14:solidFill>
                          <w14:schemeClr w14:val="tx1"/>
                        </w14:solidFill>
                      </w14:textFill>
                    </w:rPr>
                    <w:t>顶部设置喷淋装置</w:t>
                  </w:r>
                  <w:r>
                    <w:rPr>
                      <w:rFonts w:hAnsiTheme="minorEastAsia" w:eastAsiaTheme="minorEastAsia"/>
                      <w:color w:val="000000" w:themeColor="text1"/>
                      <w:szCs w:val="21"/>
                      <w14:textFill>
                        <w14:solidFill>
                          <w14:schemeClr w14:val="tx1"/>
                        </w14:solidFill>
                      </w14:textFill>
                    </w:rPr>
                    <w:t>定期进行洒水降尘</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auto"/>
                      <w:szCs w:val="21"/>
                      <w:lang w:val="en-US" w:eastAsia="zh-CN"/>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Merge w:val="restart"/>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加工区</w:t>
                  </w:r>
                </w:p>
              </w:tc>
              <w:tc>
                <w:tcPr>
                  <w:tcW w:w="1410" w:type="dxa"/>
                  <w:gridSpan w:val="2"/>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装卸过程</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采装过程进行喷水抑尘；降低装卸过程中物料落差；对料石进行预湿，增大含水率</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665" w:type="dxa"/>
                  <w:vMerge w:val="restart"/>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石料加工工序</w:t>
                  </w:r>
                </w:p>
              </w:tc>
              <w:tc>
                <w:tcPr>
                  <w:tcW w:w="745"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有组织</w:t>
                  </w:r>
                </w:p>
              </w:tc>
              <w:tc>
                <w:tcPr>
                  <w:tcW w:w="4082"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喂料口建设半封闭式彩钢棚；设备进、出料口密闭集气罩</w:t>
                  </w:r>
                  <w:r>
                    <w:rPr>
                      <w:rFonts w:hint="eastAsia" w:eastAsiaTheme="minorEastAsia"/>
                      <w:color w:val="000000" w:themeColor="text1"/>
                      <w:szCs w:val="21"/>
                      <w14:textFill>
                        <w14:solidFill>
                          <w14:schemeClr w14:val="tx1"/>
                        </w14:solidFill>
                      </w14:textFill>
                    </w:rPr>
                    <w:t>3</w:t>
                  </w:r>
                  <w:r>
                    <w:rPr>
                      <w:rFonts w:hAnsiTheme="minorEastAsia" w:eastAsiaTheme="minorEastAsia"/>
                      <w:color w:val="000000" w:themeColor="text1"/>
                      <w:szCs w:val="21"/>
                      <w14:textFill>
                        <w14:solidFill>
                          <w14:schemeClr w14:val="tx1"/>
                        </w14:solidFill>
                      </w14:textFill>
                    </w:rPr>
                    <w:t>套，</w:t>
                  </w:r>
                  <w:r>
                    <w:rPr>
                      <w:rFonts w:hint="eastAsia" w:hAnsiTheme="minorEastAsia" w:eastAsiaTheme="minorEastAsia"/>
                      <w:color w:val="000000" w:themeColor="text1"/>
                      <w:szCs w:val="21"/>
                      <w:lang w:val="en-US" w:eastAsia="zh-CN"/>
                      <w14:textFill>
                        <w14:solidFill>
                          <w14:schemeClr w14:val="tx1"/>
                        </w14:solidFill>
                      </w14:textFill>
                    </w:rPr>
                    <w:t>雾炮机</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180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14:textFill>
                        <w14:solidFill>
                          <w14:schemeClr w14:val="tx1"/>
                        </w14:solidFill>
                      </w14:textFill>
                    </w:rPr>
                  </w:pPr>
                </w:p>
              </w:tc>
              <w:tc>
                <w:tcPr>
                  <w:tcW w:w="848" w:type="dxa"/>
                  <w:vMerge w:val="continue"/>
                  <w:vAlign w:val="center"/>
                </w:tcPr>
                <w:p>
                  <w:pPr>
                    <w:keepNext/>
                    <w:keepLines/>
                    <w:spacing w:before="340" w:after="330" w:line="360" w:lineRule="exact"/>
                    <w:jc w:val="center"/>
                    <w:outlineLvl w:val="0"/>
                    <w:rPr>
                      <w:rFonts w:eastAsiaTheme="minorEastAsia"/>
                      <w:color w:val="000000" w:themeColor="text1"/>
                      <w14:textFill>
                        <w14:solidFill>
                          <w14:schemeClr w14:val="tx1"/>
                        </w14:solidFill>
                      </w14:textFill>
                    </w:rPr>
                  </w:pPr>
                </w:p>
              </w:tc>
              <w:tc>
                <w:tcPr>
                  <w:tcW w:w="665" w:type="dxa"/>
                  <w:vMerge w:val="continue"/>
                  <w:vAlign w:val="center"/>
                </w:tcPr>
                <w:p>
                  <w:pPr>
                    <w:keepNext/>
                    <w:keepLines/>
                    <w:spacing w:before="340" w:after="330" w:line="360" w:lineRule="exact"/>
                    <w:jc w:val="center"/>
                    <w:outlineLvl w:val="0"/>
                    <w:rPr>
                      <w:rFonts w:eastAsiaTheme="minorEastAsia"/>
                      <w:color w:val="000000" w:themeColor="text1"/>
                      <w14:textFill>
                        <w14:solidFill>
                          <w14:schemeClr w14:val="tx1"/>
                        </w14:solidFill>
                      </w14:textFill>
                    </w:rPr>
                  </w:pPr>
                </w:p>
              </w:tc>
              <w:tc>
                <w:tcPr>
                  <w:tcW w:w="745"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无组织</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物料密闭、洒水抑尘</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1410" w:type="dxa"/>
                  <w:gridSpan w:val="2"/>
                  <w:vAlign w:val="center"/>
                </w:tcPr>
                <w:p>
                  <w:pPr>
                    <w:spacing w:line="360" w:lineRule="exact"/>
                    <w:jc w:val="center"/>
                    <w:rPr>
                      <w:rFonts w:hint="eastAsia"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传输皮带</w:t>
                  </w:r>
                </w:p>
              </w:tc>
              <w:tc>
                <w:tcPr>
                  <w:tcW w:w="4082" w:type="dxa"/>
                  <w:vAlign w:val="center"/>
                </w:tcPr>
                <w:p>
                  <w:pPr>
                    <w:spacing w:line="360" w:lineRule="exact"/>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传输皮带密闭</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1410" w:type="dxa"/>
                  <w:gridSpan w:val="2"/>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成品仓</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物料密闭</w:t>
                  </w:r>
                  <w:r>
                    <w:rPr>
                      <w:rFonts w:hint="eastAsia" w:hAnsiTheme="minorEastAsia" w:eastAsiaTheme="minorEastAsia"/>
                      <w:color w:val="000000" w:themeColor="text1"/>
                      <w:szCs w:val="21"/>
                      <w:lang w:val="en-US" w:eastAsia="zh-CN"/>
                      <w14:textFill>
                        <w14:solidFill>
                          <w14:schemeClr w14:val="tx1"/>
                        </w14:solidFill>
                      </w14:textFill>
                    </w:rPr>
                    <w:t>顶部设置喷淋装置</w:t>
                  </w:r>
                  <w:r>
                    <w:rPr>
                      <w:rFonts w:hAnsiTheme="minorEastAsia" w:eastAsiaTheme="minorEastAsia"/>
                      <w:color w:val="000000" w:themeColor="text1"/>
                      <w:szCs w:val="21"/>
                      <w14:textFill>
                        <w14:solidFill>
                          <w14:schemeClr w14:val="tx1"/>
                        </w14:solidFill>
                      </w14:textFill>
                    </w:rPr>
                    <w:t>洒水抑尘</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道路</w:t>
                  </w:r>
                </w:p>
              </w:tc>
              <w:tc>
                <w:tcPr>
                  <w:tcW w:w="1410" w:type="dxa"/>
                  <w:gridSpan w:val="2"/>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运输道路</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道路硬化处理，设置防护路沿</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2258" w:type="dxa"/>
                  <w:gridSpan w:val="3"/>
                  <w:vAlign w:val="center"/>
                </w:tcPr>
                <w:p>
                  <w:pPr>
                    <w:spacing w:line="360" w:lineRule="exact"/>
                    <w:jc w:val="center"/>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厨房油烟</w:t>
                  </w:r>
                </w:p>
              </w:tc>
              <w:tc>
                <w:tcPr>
                  <w:tcW w:w="4082" w:type="dxa"/>
                  <w:vAlign w:val="center"/>
                </w:tcPr>
                <w:p>
                  <w:pPr>
                    <w:spacing w:line="360" w:lineRule="exact"/>
                    <w:jc w:val="center"/>
                    <w:rPr>
                      <w:rFonts w:hint="eastAsia"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油烟净化器</w:t>
                  </w:r>
                </w:p>
              </w:tc>
              <w:tc>
                <w:tcPr>
                  <w:tcW w:w="966" w:type="dxa"/>
                  <w:vAlign w:val="center"/>
                </w:tcPr>
                <w:p>
                  <w:pPr>
                    <w:spacing w:line="360" w:lineRule="exact"/>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restart"/>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固废</w:t>
                  </w:r>
                </w:p>
              </w:tc>
              <w:tc>
                <w:tcPr>
                  <w:tcW w:w="848"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办公</w:t>
                  </w:r>
                </w:p>
              </w:tc>
              <w:tc>
                <w:tcPr>
                  <w:tcW w:w="1410" w:type="dxa"/>
                  <w:gridSpan w:val="2"/>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生活垃圾</w:t>
                  </w:r>
                </w:p>
              </w:tc>
              <w:tc>
                <w:tcPr>
                  <w:tcW w:w="40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垃圾桶</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33" w:type="dxa"/>
                  <w:vMerge w:val="continue"/>
                  <w:vAlign w:val="center"/>
                </w:tcPr>
                <w:p>
                  <w:pPr>
                    <w:spacing w:line="360" w:lineRule="exact"/>
                    <w:jc w:val="center"/>
                    <w:rPr>
                      <w:rFonts w:hAnsiTheme="minorEastAsia" w:eastAsiaTheme="minorEastAsia"/>
                      <w:color w:val="000000" w:themeColor="text1"/>
                      <w:szCs w:val="21"/>
                      <w14:textFill>
                        <w14:solidFill>
                          <w14:schemeClr w14:val="tx1"/>
                        </w14:solidFill>
                      </w14:textFill>
                    </w:rPr>
                  </w:pPr>
                </w:p>
              </w:tc>
              <w:tc>
                <w:tcPr>
                  <w:tcW w:w="848" w:type="dxa"/>
                  <w:vAlign w:val="center"/>
                </w:tcPr>
                <w:p>
                  <w:pPr>
                    <w:spacing w:line="360" w:lineRule="exact"/>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设备维修</w:t>
                  </w:r>
                </w:p>
              </w:tc>
              <w:tc>
                <w:tcPr>
                  <w:tcW w:w="1410" w:type="dxa"/>
                  <w:gridSpan w:val="2"/>
                  <w:vAlign w:val="center"/>
                </w:tcPr>
                <w:p>
                  <w:pPr>
                    <w:spacing w:line="360" w:lineRule="exact"/>
                    <w:jc w:val="center"/>
                    <w:rPr>
                      <w:rFonts w:hint="eastAsia"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废机油</w:t>
                  </w:r>
                </w:p>
              </w:tc>
              <w:tc>
                <w:tcPr>
                  <w:tcW w:w="4082" w:type="dxa"/>
                  <w:vAlign w:val="center"/>
                </w:tcPr>
                <w:p>
                  <w:pPr>
                    <w:spacing w:line="360" w:lineRule="exact"/>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危废暂存间</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spacing w:line="360" w:lineRule="exact"/>
                    <w:jc w:val="center"/>
                    <w:rPr>
                      <w:rFonts w:hAnsiTheme="minorEastAsia" w:eastAsiaTheme="minorEastAsia"/>
                      <w:color w:val="000000" w:themeColor="text1"/>
                      <w:szCs w:val="21"/>
                      <w14:textFill>
                        <w14:solidFill>
                          <w14:schemeClr w14:val="tx1"/>
                        </w14:solidFill>
                      </w14:textFill>
                    </w:rPr>
                  </w:pPr>
                </w:p>
              </w:tc>
              <w:tc>
                <w:tcPr>
                  <w:tcW w:w="848" w:type="dxa"/>
                  <w:vAlign w:val="center"/>
                </w:tcPr>
                <w:p>
                  <w:pPr>
                    <w:spacing w:line="360" w:lineRule="exact"/>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洗砂</w:t>
                  </w:r>
                </w:p>
              </w:tc>
              <w:tc>
                <w:tcPr>
                  <w:tcW w:w="1410" w:type="dxa"/>
                  <w:gridSpan w:val="2"/>
                  <w:vAlign w:val="center"/>
                </w:tcPr>
                <w:p>
                  <w:pPr>
                    <w:spacing w:line="360" w:lineRule="exact"/>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底泥</w:t>
                  </w:r>
                </w:p>
              </w:tc>
              <w:tc>
                <w:tcPr>
                  <w:tcW w:w="4082" w:type="dxa"/>
                  <w:vAlign w:val="center"/>
                </w:tcPr>
                <w:p>
                  <w:pPr>
                    <w:spacing w:line="360" w:lineRule="exact"/>
                    <w:jc w:val="center"/>
                    <w:rPr>
                      <w:rFonts w:hint="eastAsia"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压滤机</w:t>
                  </w:r>
                </w:p>
              </w:tc>
              <w:tc>
                <w:tcPr>
                  <w:tcW w:w="966" w:type="dxa"/>
                  <w:vAlign w:val="center"/>
                </w:tcPr>
                <w:p>
                  <w:pPr>
                    <w:spacing w:line="360" w:lineRule="exact"/>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70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33"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噪声</w:t>
                  </w:r>
                </w:p>
              </w:tc>
              <w:tc>
                <w:tcPr>
                  <w:tcW w:w="848"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加工区</w:t>
                  </w:r>
                </w:p>
              </w:tc>
              <w:tc>
                <w:tcPr>
                  <w:tcW w:w="5492" w:type="dxa"/>
                  <w:gridSpan w:val="3"/>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基础减震、隔声</w:t>
                  </w:r>
                </w:p>
              </w:tc>
              <w:tc>
                <w:tcPr>
                  <w:tcW w:w="966" w:type="dxa"/>
                  <w:vAlign w:val="center"/>
                </w:tcPr>
                <w:p>
                  <w:pPr>
                    <w:spacing w:line="360" w:lineRule="exact"/>
                    <w:jc w:val="center"/>
                    <w:rPr>
                      <w:rFonts w:hint="eastAsia"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restart"/>
                  <w:vAlign w:val="center"/>
                </w:tcPr>
                <w:p>
                  <w:pPr>
                    <w:spacing w:line="360" w:lineRule="exact"/>
                    <w:jc w:val="center"/>
                    <w:rPr>
                      <w:rFonts w:eastAsiaTheme="minorEastAsia"/>
                      <w:color w:val="auto"/>
                      <w:szCs w:val="21"/>
                    </w:rPr>
                  </w:pPr>
                  <w:r>
                    <w:rPr>
                      <w:rFonts w:hAnsiTheme="minorEastAsia" w:eastAsiaTheme="minorEastAsia"/>
                      <w:color w:val="auto"/>
                      <w:szCs w:val="21"/>
                    </w:rPr>
                    <w:t>生态</w:t>
                  </w:r>
                </w:p>
              </w:tc>
              <w:tc>
                <w:tcPr>
                  <w:tcW w:w="848" w:type="dxa"/>
                  <w:vMerge w:val="restart"/>
                  <w:vAlign w:val="center"/>
                </w:tcPr>
                <w:p>
                  <w:pPr>
                    <w:spacing w:line="360" w:lineRule="exact"/>
                    <w:jc w:val="center"/>
                    <w:rPr>
                      <w:rFonts w:eastAsiaTheme="minorEastAsia"/>
                      <w:color w:val="auto"/>
                      <w:szCs w:val="21"/>
                    </w:rPr>
                  </w:pPr>
                  <w:r>
                    <w:rPr>
                      <w:rFonts w:hAnsiTheme="minorEastAsia" w:eastAsiaTheme="minorEastAsia"/>
                      <w:color w:val="auto"/>
                      <w:szCs w:val="21"/>
                    </w:rPr>
                    <w:t>开采区</w:t>
                  </w:r>
                </w:p>
              </w:tc>
              <w:tc>
                <w:tcPr>
                  <w:tcW w:w="5492" w:type="dxa"/>
                  <w:gridSpan w:val="3"/>
                  <w:vAlign w:val="center"/>
                </w:tcPr>
                <w:p>
                  <w:pPr>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地质环境治理</w:t>
                  </w:r>
                </w:p>
              </w:tc>
              <w:tc>
                <w:tcPr>
                  <w:tcW w:w="966" w:type="dxa"/>
                  <w:vAlign w:val="center"/>
                </w:tcPr>
                <w:p>
                  <w:pPr>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239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keepNext/>
                    <w:keepLines/>
                    <w:spacing w:before="340" w:after="330" w:line="360" w:lineRule="exact"/>
                    <w:jc w:val="center"/>
                    <w:outlineLvl w:val="0"/>
                    <w:rPr>
                      <w:rFonts w:eastAsiaTheme="minorEastAsia"/>
                      <w:color w:val="000000" w:themeColor="text1"/>
                      <w:szCs w:val="21"/>
                      <w14:textFill>
                        <w14:solidFill>
                          <w14:schemeClr w14:val="tx1"/>
                        </w14:solidFill>
                      </w14:textFill>
                    </w:rPr>
                  </w:pPr>
                </w:p>
              </w:tc>
              <w:tc>
                <w:tcPr>
                  <w:tcW w:w="848" w:type="dxa"/>
                  <w:vMerge w:val="continue"/>
                  <w:vAlign w:val="center"/>
                </w:tcPr>
                <w:p>
                  <w:pPr>
                    <w:keepNext/>
                    <w:keepLines/>
                    <w:spacing w:before="340" w:after="330" w:line="360" w:lineRule="exact"/>
                    <w:jc w:val="center"/>
                    <w:outlineLvl w:val="0"/>
                    <w:rPr>
                      <w:rFonts w:eastAsiaTheme="minorEastAsia"/>
                      <w:color w:val="FF0000"/>
                      <w:szCs w:val="21"/>
                    </w:rPr>
                  </w:pPr>
                </w:p>
              </w:tc>
              <w:tc>
                <w:tcPr>
                  <w:tcW w:w="5492" w:type="dxa"/>
                  <w:gridSpan w:val="3"/>
                  <w:vAlign w:val="center"/>
                </w:tcPr>
                <w:p>
                  <w:pPr>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土地复垦</w:t>
                  </w:r>
                </w:p>
              </w:tc>
              <w:tc>
                <w:tcPr>
                  <w:tcW w:w="966" w:type="dxa"/>
                  <w:vAlign w:val="center"/>
                </w:tcPr>
                <w:p>
                  <w:pPr>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1066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33" w:type="dxa"/>
                  <w:vMerge w:val="continue"/>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p>
              </w:tc>
              <w:tc>
                <w:tcPr>
                  <w:tcW w:w="6340" w:type="dxa"/>
                  <w:gridSpan w:val="4"/>
                  <w:vAlign w:val="center"/>
                </w:tcPr>
                <w:p>
                  <w:pPr>
                    <w:spacing w:line="360" w:lineRule="exact"/>
                    <w:jc w:val="center"/>
                    <w:rPr>
                      <w:rFonts w:hint="eastAsia" w:eastAsiaTheme="minorEastAsia"/>
                      <w:color w:val="auto"/>
                      <w:szCs w:val="21"/>
                      <w:lang w:val="en-US" w:eastAsia="zh-CN"/>
                    </w:rPr>
                  </w:pPr>
                  <w:r>
                    <w:rPr>
                      <w:rFonts w:hint="eastAsia" w:eastAsiaTheme="minorEastAsia"/>
                      <w:color w:val="auto"/>
                      <w:szCs w:val="21"/>
                      <w:lang w:val="en-US" w:eastAsia="zh-CN"/>
                    </w:rPr>
                    <w:t>截排水沟、排土场、拦渣坝</w:t>
                  </w:r>
                </w:p>
              </w:tc>
              <w:tc>
                <w:tcPr>
                  <w:tcW w:w="966" w:type="dxa"/>
                  <w:vAlign w:val="center"/>
                </w:tcPr>
                <w:p>
                  <w:pPr>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973" w:type="dxa"/>
                  <w:gridSpan w:val="5"/>
                  <w:vAlign w:val="center"/>
                </w:tcPr>
                <w:p>
                  <w:pPr>
                    <w:spacing w:line="360" w:lineRule="exact"/>
                    <w:jc w:val="center"/>
                    <w:rPr>
                      <w:rFonts w:hAnsiTheme="minorEastAsia"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竣工环保验收及环境监测</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6973" w:type="dxa"/>
                  <w:gridSpan w:val="5"/>
                  <w:vAlign w:val="center"/>
                </w:tcPr>
                <w:p>
                  <w:pPr>
                    <w:spacing w:line="360" w:lineRule="exact"/>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合计</w:t>
                  </w:r>
                </w:p>
              </w:tc>
              <w:tc>
                <w:tcPr>
                  <w:tcW w:w="966" w:type="dxa"/>
                  <w:vAlign w:val="center"/>
                </w:tcPr>
                <w:p>
                  <w:pPr>
                    <w:spacing w:line="36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1917.5</w:t>
                  </w:r>
                </w:p>
              </w:tc>
            </w:tr>
          </w:tbl>
          <w:p>
            <w:pPr>
              <w:wordWrap w:val="0"/>
              <w:spacing w:line="360" w:lineRule="auto"/>
              <w:ind w:firstLine="472" w:firstLineChars="196"/>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（2）</w:t>
            </w:r>
            <w:r>
              <w:rPr>
                <w:rFonts w:hAnsiTheme="minorEastAsia" w:eastAsiaTheme="minorEastAsia"/>
                <w:b/>
                <w:color w:val="000000" w:themeColor="text1"/>
                <w:sz w:val="24"/>
                <w14:textFill>
                  <w14:solidFill>
                    <w14:schemeClr w14:val="tx1"/>
                  </w14:solidFill>
                </w14:textFill>
              </w:rPr>
              <w:t>项目竣工环保验收管理</w:t>
            </w:r>
          </w:p>
          <w:p>
            <w:pPr>
              <w:tabs>
                <w:tab w:val="center" w:pos="4556"/>
              </w:tabs>
              <w:wordWrap w:val="0"/>
              <w:spacing w:line="360" w:lineRule="auto"/>
              <w:ind w:firstLine="480" w:firstLineChars="200"/>
              <w:rPr>
                <w:rFonts w:hAnsiTheme="minorEastAsia" w:eastAsiaTheme="minorEastAsia"/>
                <w:b/>
                <w:color w:val="auto"/>
                <w:szCs w:val="21"/>
              </w:rPr>
            </w:pPr>
            <w:r>
              <w:rPr>
                <w:rFonts w:hAnsiTheme="minorEastAsia" w:eastAsiaTheme="minorEastAsia"/>
                <w:color w:val="000000" w:themeColor="text1"/>
                <w:sz w:val="24"/>
                <w14:textFill>
                  <w14:solidFill>
                    <w14:schemeClr w14:val="tx1"/>
                  </w14:solidFill>
                </w14:textFill>
              </w:rPr>
              <w:t>项目竣工后，建设单位应当依照建设项目竣工环境保护验收技术规范、建设项目环境影响报告（表）和审批决定等要求，如实查验、监测、记载建设项目环境保护设施的建设和调试情况，同时还应如实记载其他环境保护对策措施</w:t>
            </w:r>
            <w:r>
              <w:rPr>
                <w:rFonts w:eastAsiaTheme="minorEastAsia"/>
                <w:color w:val="000000" w:themeColor="text1"/>
                <w:sz w:val="24"/>
                <w14:textFill>
                  <w14:solidFill>
                    <w14:schemeClr w14:val="tx1"/>
                  </w14:solidFill>
                </w14:textFill>
              </w:rPr>
              <w:t>“</w:t>
            </w:r>
            <w:r>
              <w:rPr>
                <w:rFonts w:hAnsiTheme="minorEastAsia" w:eastAsiaTheme="minorEastAsia"/>
                <w:color w:val="000000" w:themeColor="text1"/>
                <w:sz w:val="24"/>
                <w14:textFill>
                  <w14:solidFill>
                    <w14:schemeClr w14:val="tx1"/>
                  </w14:solidFill>
                </w14:textFill>
              </w:rPr>
              <w:t>三同时</w:t>
            </w:r>
            <w:r>
              <w:rPr>
                <w:rFonts w:eastAsiaTheme="minorEastAsia"/>
                <w:color w:val="000000" w:themeColor="text1"/>
                <w:sz w:val="24"/>
                <w14:textFill>
                  <w14:solidFill>
                    <w14:schemeClr w14:val="tx1"/>
                  </w14:solidFill>
                </w14:textFill>
              </w:rPr>
              <w:t>”</w:t>
            </w:r>
            <w:r>
              <w:rPr>
                <w:rFonts w:hAnsiTheme="minorEastAsia" w:eastAsiaTheme="minorEastAsia"/>
                <w:color w:val="000000" w:themeColor="text1"/>
                <w:sz w:val="24"/>
                <w14:textFill>
                  <w14:solidFill>
                    <w14:schemeClr w14:val="tx1"/>
                  </w14:solidFill>
                </w14:textFill>
              </w:rPr>
              <w:t>落实情况，编制竣工环境保护验收报告，组织实施竣工验收。项目环保设施清单见表</w:t>
            </w:r>
            <w:r>
              <w:rPr>
                <w:rFonts w:hint="eastAsia" w:eastAsiaTheme="minorEastAsia"/>
                <w:color w:val="000000" w:themeColor="text1"/>
                <w:sz w:val="24"/>
                <w14:textFill>
                  <w14:solidFill>
                    <w14:schemeClr w14:val="tx1"/>
                  </w14:solidFill>
                </w14:textFill>
              </w:rPr>
              <w:t>4</w:t>
            </w:r>
            <w:r>
              <w:rPr>
                <w:rFonts w:hint="eastAsia" w:eastAsiaTheme="minorEastAsia"/>
                <w:color w:val="000000" w:themeColor="text1"/>
                <w:sz w:val="24"/>
                <w:lang w:val="en-US" w:eastAsia="zh-CN"/>
                <w14:textFill>
                  <w14:solidFill>
                    <w14:schemeClr w14:val="tx1"/>
                  </w14:solidFill>
                </w14:textFill>
              </w:rPr>
              <w:t>3</w:t>
            </w:r>
            <w:r>
              <w:rPr>
                <w:rFonts w:hAnsiTheme="minorEastAsia" w:eastAsiaTheme="minorEastAsia"/>
                <w:color w:val="000000" w:themeColor="text1"/>
                <w:sz w:val="24"/>
                <w14:textFill>
                  <w14:solidFill>
                    <w14:schemeClr w14:val="tx1"/>
                  </w14:solidFill>
                </w14:textFill>
              </w:rPr>
              <w:t>。</w:t>
            </w:r>
          </w:p>
          <w:p>
            <w:pPr>
              <w:adjustRightInd w:val="0"/>
              <w:snapToGrid w:val="0"/>
              <w:jc w:val="center"/>
              <w:rPr>
                <w:rFonts w:eastAsiaTheme="minorEastAsia"/>
                <w:b/>
                <w:color w:val="auto"/>
                <w:szCs w:val="21"/>
              </w:rPr>
            </w:pPr>
            <w:r>
              <w:rPr>
                <w:rFonts w:hAnsiTheme="minorEastAsia" w:eastAsiaTheme="minorEastAsia"/>
                <w:b/>
                <w:color w:val="auto"/>
                <w:szCs w:val="21"/>
              </w:rPr>
              <w:t>表</w:t>
            </w:r>
            <w:r>
              <w:rPr>
                <w:rFonts w:hint="eastAsia" w:eastAsiaTheme="minorEastAsia"/>
                <w:b/>
                <w:color w:val="auto"/>
                <w:szCs w:val="21"/>
              </w:rPr>
              <w:t>4</w:t>
            </w:r>
            <w:r>
              <w:rPr>
                <w:rFonts w:hint="eastAsia" w:eastAsiaTheme="minorEastAsia"/>
                <w:b/>
                <w:color w:val="auto"/>
                <w:szCs w:val="21"/>
                <w:lang w:val="en-US" w:eastAsia="zh-CN"/>
              </w:rPr>
              <w:t>3</w:t>
            </w:r>
            <w:r>
              <w:rPr>
                <w:rFonts w:hint="eastAsia" w:eastAsiaTheme="minorEastAsia"/>
                <w:b/>
                <w:color w:val="auto"/>
                <w:szCs w:val="21"/>
              </w:rPr>
              <w:t xml:space="preserve"> </w:t>
            </w:r>
            <w:r>
              <w:rPr>
                <w:rFonts w:hAnsiTheme="minorEastAsia" w:eastAsiaTheme="minorEastAsia"/>
                <w:b/>
                <w:color w:val="auto"/>
                <w:szCs w:val="21"/>
              </w:rPr>
              <w:t>项目竣工环境保护验收清单（建议）</w:t>
            </w:r>
          </w:p>
          <w:tbl>
            <w:tblPr>
              <w:tblStyle w:val="19"/>
              <w:tblW w:w="7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979"/>
              <w:gridCol w:w="991"/>
              <w:gridCol w:w="2083"/>
              <w:gridCol w:w="3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2" w:type="dxa"/>
                  <w:tcBorders>
                    <w:top w:val="single" w:color="auto" w:sz="12" w:space="0"/>
                    <w:left w:val="single" w:color="auto" w:sz="12" w:space="0"/>
                    <w:bottom w:val="single" w:color="auto" w:sz="4" w:space="0"/>
                    <w:right w:val="single" w:color="auto" w:sz="4" w:space="0"/>
                    <w:tl2br w:val="single" w:color="auto" w:sz="6" w:space="0"/>
                  </w:tcBorders>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内容</w:t>
                  </w: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类型</w:t>
                  </w:r>
                </w:p>
              </w:tc>
              <w:tc>
                <w:tcPr>
                  <w:tcW w:w="97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排放源</w:t>
                  </w: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（编号）</w:t>
                  </w:r>
                </w:p>
              </w:tc>
              <w:tc>
                <w:tcPr>
                  <w:tcW w:w="99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污染物</w:t>
                  </w:r>
                </w:p>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名称</w:t>
                  </w:r>
                </w:p>
              </w:tc>
              <w:tc>
                <w:tcPr>
                  <w:tcW w:w="2083"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环保设施</w:t>
                  </w:r>
                </w:p>
              </w:tc>
              <w:tc>
                <w:tcPr>
                  <w:tcW w:w="3153"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732" w:type="dxa"/>
                  <w:vMerge w:val="restart"/>
                  <w:tcBorders>
                    <w:top w:val="single" w:color="auto" w:sz="4" w:space="0"/>
                    <w:left w:val="single" w:color="auto" w:sz="12"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大气污染物</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AnsiTheme="minorEastAsia" w:eastAsiaTheme="minorEastAsia"/>
                      <w:color w:val="000000" w:themeColor="text1"/>
                      <w:szCs w:val="21"/>
                      <w14:textFill>
                        <w14:solidFill>
                          <w14:schemeClr w14:val="tx1"/>
                        </w14:solidFill>
                      </w14:textFill>
                    </w:rPr>
                  </w:pPr>
                  <w:r>
                    <w:rPr>
                      <w:rFonts w:hint="default" w:hAnsiTheme="minorEastAsia" w:eastAsiaTheme="minorEastAsia"/>
                      <w:color w:val="000000" w:themeColor="text1"/>
                      <w:szCs w:val="21"/>
                      <w14:textFill>
                        <w14:solidFill>
                          <w14:schemeClr w14:val="tx1"/>
                        </w14:solidFill>
                      </w14:textFill>
                    </w:rPr>
                    <w:t>原料卸料、投料</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颗粒物</w:t>
                  </w:r>
                </w:p>
              </w:tc>
              <w:tc>
                <w:tcPr>
                  <w:tcW w:w="208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Theme="minorEastAsia"/>
                      <w:color w:val="000000" w:themeColor="text1"/>
                      <w14:textFill>
                        <w14:solidFill>
                          <w14:schemeClr w14:val="tx1"/>
                        </w14:solidFill>
                      </w14:textFill>
                    </w:rPr>
                  </w:pPr>
                  <w:r>
                    <w:rPr>
                      <w:rFonts w:hint="default" w:hAnsiTheme="minorEastAsia" w:eastAsiaTheme="minorEastAsia"/>
                      <w:color w:val="000000" w:themeColor="text1"/>
                      <w:szCs w:val="21"/>
                      <w14:textFill>
                        <w14:solidFill>
                          <w14:schemeClr w14:val="tx1"/>
                        </w14:solidFill>
                      </w14:textFill>
                    </w:rPr>
                    <w:t>水雾喷淋、加大原料投料时的含水率、降低卸料高度和速度</w:t>
                  </w:r>
                </w:p>
              </w:tc>
              <w:tc>
                <w:tcPr>
                  <w:tcW w:w="3153" w:type="dxa"/>
                  <w:tcBorders>
                    <w:top w:val="single" w:color="auto" w:sz="4" w:space="0"/>
                    <w:left w:val="single" w:color="auto" w:sz="4" w:space="0"/>
                    <w:bottom w:val="single" w:color="auto" w:sz="4" w:space="0"/>
                    <w:right w:val="single" w:color="auto" w:sz="12" w:space="0"/>
                  </w:tcBorders>
                  <w:vAlign w:val="center"/>
                </w:tcPr>
                <w:p>
                  <w:pPr>
                    <w:wordWrap w:val="0"/>
                    <w:adjustRightInd w:val="0"/>
                    <w:snapToGrid w:val="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《大气污染物综合排放标准》（</w:t>
                  </w:r>
                  <w:r>
                    <w:rPr>
                      <w:rFonts w:eastAsiaTheme="minorEastAsia"/>
                      <w:color w:val="000000" w:themeColor="text1"/>
                      <w:kern w:val="0"/>
                      <w:szCs w:val="21"/>
                      <w14:textFill>
                        <w14:solidFill>
                          <w14:schemeClr w14:val="tx1"/>
                        </w14:solidFill>
                      </w14:textFill>
                    </w:rPr>
                    <w:t>GB16297-1996</w:t>
                  </w:r>
                  <w:r>
                    <w:rPr>
                      <w:rFonts w:hAnsiTheme="minorEastAsia" w:eastAsiaTheme="minorEastAsia"/>
                      <w:color w:val="000000" w:themeColor="text1"/>
                      <w:kern w:val="0"/>
                      <w:szCs w:val="21"/>
                      <w14:textFill>
                        <w14:solidFill>
                          <w14:schemeClr w14:val="tx1"/>
                        </w14:solidFill>
                      </w14:textFill>
                    </w:rPr>
                    <w:t>）表</w:t>
                  </w:r>
                  <w:r>
                    <w:rPr>
                      <w:rFonts w:eastAsiaTheme="minorEastAsia"/>
                      <w:color w:val="000000" w:themeColor="text1"/>
                      <w:kern w:val="0"/>
                      <w:szCs w:val="21"/>
                      <w14:textFill>
                        <w14:solidFill>
                          <w14:schemeClr w14:val="tx1"/>
                        </w14:solidFill>
                      </w14:textFill>
                    </w:rPr>
                    <w:t>2</w:t>
                  </w:r>
                  <w:r>
                    <w:rPr>
                      <w:rFonts w:hAnsiTheme="minorEastAsia" w:eastAsiaTheme="minorEastAsia"/>
                      <w:color w:val="000000" w:themeColor="text1"/>
                      <w:kern w:val="0"/>
                      <w:szCs w:val="21"/>
                      <w14:textFill>
                        <w14:solidFill>
                          <w14:schemeClr w14:val="tx1"/>
                        </w14:solidFill>
                      </w14:textFill>
                    </w:rPr>
                    <w:t>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32" w:type="dxa"/>
                  <w:vMerge w:val="continue"/>
                  <w:tcBorders>
                    <w:left w:val="single" w:color="auto" w:sz="12" w:space="0"/>
                    <w:right w:val="single" w:color="auto" w:sz="4" w:space="0"/>
                  </w:tcBorders>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hAnsiTheme="minorEastAsia" w:eastAsiaTheme="minorEastAsia"/>
                      <w:color w:val="000000" w:themeColor="text1"/>
                      <w:szCs w:val="21"/>
                      <w14:textFill>
                        <w14:solidFill>
                          <w14:schemeClr w14:val="tx1"/>
                        </w14:solidFill>
                      </w14:textFill>
                    </w:rPr>
                  </w:pPr>
                  <w:r>
                    <w:rPr>
                      <w:rFonts w:hint="default" w:hAnsiTheme="minorEastAsia" w:eastAsiaTheme="minorEastAsia"/>
                      <w:color w:val="000000" w:themeColor="text1"/>
                      <w:szCs w:val="21"/>
                      <w14:textFill>
                        <w14:solidFill>
                          <w14:schemeClr w14:val="tx1"/>
                        </w14:solidFill>
                      </w14:textFill>
                    </w:rPr>
                    <w:t>破碎、筛分</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颗粒物</w:t>
                  </w:r>
                </w:p>
              </w:tc>
              <w:tc>
                <w:tcPr>
                  <w:tcW w:w="208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hAnsiTheme="minorEastAsia" w:eastAsiaTheme="minorEastAsia"/>
                      <w:color w:val="000000" w:themeColor="text1"/>
                      <w:szCs w:val="21"/>
                      <w:lang w:val="en-US" w:eastAsia="zh-CN"/>
                      <w14:textFill>
                        <w14:solidFill>
                          <w14:schemeClr w14:val="tx1"/>
                        </w14:solidFill>
                      </w14:textFill>
                    </w:rPr>
                  </w:pPr>
                  <w:r>
                    <w:rPr>
                      <w:rFonts w:hint="default" w:hAnsiTheme="minorEastAsia" w:eastAsiaTheme="minorEastAsia"/>
                      <w:color w:val="000000" w:themeColor="text1"/>
                      <w:szCs w:val="21"/>
                      <w14:textFill>
                        <w14:solidFill>
                          <w14:schemeClr w14:val="tx1"/>
                        </w14:solidFill>
                      </w14:textFill>
                    </w:rPr>
                    <w:t>湿式作业，生产厂房封闭，</w:t>
                  </w:r>
                  <w:r>
                    <w:rPr>
                      <w:rFonts w:hint="eastAsia" w:hAnsiTheme="minorEastAsia" w:eastAsiaTheme="minorEastAsia"/>
                      <w:color w:val="000000" w:themeColor="text1"/>
                      <w:szCs w:val="21"/>
                      <w:lang w:val="en-US" w:eastAsia="zh-CN"/>
                      <w14:textFill>
                        <w14:solidFill>
                          <w14:schemeClr w14:val="tx1"/>
                        </w14:solidFill>
                      </w14:textFill>
                    </w:rPr>
                    <w:t>顶部设置</w:t>
                  </w:r>
                  <w:r>
                    <w:rPr>
                      <w:rFonts w:hint="default" w:hAnsiTheme="minorEastAsia" w:eastAsiaTheme="minorEastAsia"/>
                      <w:color w:val="000000" w:themeColor="text1"/>
                      <w:szCs w:val="21"/>
                      <w14:textFill>
                        <w14:solidFill>
                          <w14:schemeClr w14:val="tx1"/>
                        </w14:solidFill>
                      </w14:textFill>
                    </w:rPr>
                    <w:t>水雾喷淋</w:t>
                  </w:r>
                  <w:r>
                    <w:rPr>
                      <w:rFonts w:hint="eastAsia" w:hAnsiTheme="minorEastAsia" w:eastAsiaTheme="minorEastAsia"/>
                      <w:color w:val="000000" w:themeColor="text1"/>
                      <w:szCs w:val="21"/>
                      <w:lang w:val="en-US" w:eastAsia="zh-CN"/>
                      <w14:textFill>
                        <w14:solidFill>
                          <w14:schemeClr w14:val="tx1"/>
                        </w14:solidFill>
                      </w14:textFill>
                    </w:rPr>
                    <w:t>装置</w:t>
                  </w:r>
                </w:p>
              </w:tc>
              <w:tc>
                <w:tcPr>
                  <w:tcW w:w="3153" w:type="dxa"/>
                  <w:tcBorders>
                    <w:top w:val="single" w:color="auto" w:sz="4" w:space="0"/>
                    <w:left w:val="single" w:color="auto" w:sz="4" w:space="0"/>
                    <w:bottom w:val="single" w:color="auto" w:sz="4" w:space="0"/>
                    <w:right w:val="single" w:color="auto" w:sz="12" w:space="0"/>
                  </w:tcBorders>
                  <w:vAlign w:val="center"/>
                </w:tcPr>
                <w:p>
                  <w:pPr>
                    <w:pStyle w:val="42"/>
                    <w:spacing w:line="244" w:lineRule="auto"/>
                    <w:ind w:left="210" w:right="185"/>
                    <w:jc w:val="center"/>
                    <w:rPr>
                      <w:rFonts w:hint="default" w:ascii="Times New Roman" w:hAnsi="Times New Roman" w:eastAsia="宋体" w:cs="Times New Roman"/>
                      <w:sz w:val="21"/>
                    </w:rPr>
                  </w:pPr>
                  <w:r>
                    <w:rPr>
                      <w:rFonts w:hint="default" w:ascii="Times New Roman" w:hAnsi="Times New Roman" w:eastAsia="宋体" w:cs="Times New Roman"/>
                      <w:sz w:val="21"/>
                    </w:rPr>
                    <w:t>《大气污染物综合排放标准》</w:t>
                  </w:r>
                </w:p>
                <w:p>
                  <w:pPr>
                    <w:wordWrap w:val="0"/>
                    <w:adjustRightInd w:val="0"/>
                    <w:snapToGrid w:val="0"/>
                    <w:jc w:val="left"/>
                    <w:rPr>
                      <w:rFonts w:hAnsiTheme="minorEastAsia" w:eastAsiaTheme="minorEastAsia"/>
                      <w:color w:val="000000" w:themeColor="text1"/>
                      <w:kern w:val="0"/>
                      <w:szCs w:val="21"/>
                      <w14:textFill>
                        <w14:solidFill>
                          <w14:schemeClr w14:val="tx1"/>
                        </w14:solidFill>
                      </w14:textFill>
                    </w:rPr>
                  </w:pPr>
                  <w:r>
                    <w:rPr>
                      <w:rFonts w:hint="default" w:ascii="Times New Roman" w:hAnsi="Times New Roman" w:eastAsia="宋体" w:cs="Times New Roman"/>
                      <w:sz w:val="21"/>
                    </w:rPr>
                    <w:t>（GB16297-1996）二级标准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732" w:type="dxa"/>
                  <w:vMerge w:val="continue"/>
                  <w:tcBorders>
                    <w:left w:val="single" w:color="auto" w:sz="12" w:space="0"/>
                    <w:bottom w:val="single" w:color="auto" w:sz="4" w:space="0"/>
                    <w:right w:val="single" w:color="auto" w:sz="4" w:space="0"/>
                  </w:tcBorders>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vAlign w:val="center"/>
                </w:tcPr>
                <w:p>
                  <w:pPr>
                    <w:ind w:left="-57" w:leftChars="-27" w:right="-73" w:rightChars="-3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食堂油烟废气</w:t>
                  </w:r>
                </w:p>
              </w:tc>
              <w:tc>
                <w:tcPr>
                  <w:tcW w:w="991"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专用烟道、油烟净化装置</w:t>
                  </w:r>
                </w:p>
              </w:tc>
              <w:tc>
                <w:tcPr>
                  <w:tcW w:w="2083" w:type="dxa"/>
                  <w:tcBorders>
                    <w:top w:val="single" w:color="auto" w:sz="4" w:space="0"/>
                    <w:left w:val="single" w:color="auto" w:sz="4" w:space="0"/>
                    <w:bottom w:val="single" w:color="auto" w:sz="4" w:space="0"/>
                    <w:right w:val="single" w:color="auto" w:sz="4" w:space="0"/>
                  </w:tcBorders>
                  <w:vAlign w:val="center"/>
                </w:tcPr>
                <w:p>
                  <w:pPr>
                    <w:tabs>
                      <w:tab w:val="left" w:pos="3555"/>
                    </w:tabs>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套，净化效率</w:t>
                  </w:r>
                  <w:r>
                    <w:rPr>
                      <w:bCs/>
                      <w:color w:val="000000" w:themeColor="text1"/>
                      <w:szCs w:val="21"/>
                      <w14:textFill>
                        <w14:solidFill>
                          <w14:schemeClr w14:val="tx1"/>
                        </w14:solidFill>
                      </w14:textFill>
                    </w:rPr>
                    <w:t>65%</w:t>
                  </w:r>
                  <w:r>
                    <w:rPr>
                      <w:rFonts w:hint="eastAsia"/>
                      <w:bCs/>
                      <w:color w:val="000000" w:themeColor="text1"/>
                      <w:szCs w:val="21"/>
                      <w14:textFill>
                        <w14:solidFill>
                          <w14:schemeClr w14:val="tx1"/>
                        </w14:solidFill>
                      </w14:textFill>
                    </w:rPr>
                    <w:t>，风量</w:t>
                  </w:r>
                  <w:r>
                    <w:rPr>
                      <w:bCs/>
                      <w:color w:val="000000" w:themeColor="text1"/>
                      <w:szCs w:val="21"/>
                      <w14:textFill>
                        <w14:solidFill>
                          <w14:schemeClr w14:val="tx1"/>
                        </w14:solidFill>
                      </w14:textFill>
                    </w:rPr>
                    <w:t>1500m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/h</w:t>
                  </w:r>
                </w:p>
              </w:tc>
              <w:tc>
                <w:tcPr>
                  <w:tcW w:w="3153" w:type="dxa"/>
                  <w:tcBorders>
                    <w:top w:val="single" w:color="auto" w:sz="4" w:space="0"/>
                    <w:left w:val="single" w:color="auto" w:sz="4" w:space="0"/>
                    <w:bottom w:val="single" w:color="auto" w:sz="4" w:space="0"/>
                    <w:right w:val="single" w:color="auto" w:sz="12" w:space="0"/>
                  </w:tcBorders>
                  <w:vAlign w:val="center"/>
                </w:tcPr>
                <w:p>
                  <w:pPr>
                    <w:jc w:val="center"/>
                    <w:rPr>
                      <w:color w:val="000000" w:themeColor="text1"/>
                      <w:szCs w:val="21"/>
                      <w:highlight w:val="yellow"/>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《饮食业油烟排放标准》（试行）（</w:t>
                  </w:r>
                  <w:r>
                    <w:rPr>
                      <w:rFonts w:hAnsiTheme="minorEastAsia" w:eastAsiaTheme="minorEastAsia"/>
                      <w:color w:val="000000" w:themeColor="text1"/>
                      <w:szCs w:val="21"/>
                      <w14:textFill>
                        <w14:solidFill>
                          <w14:schemeClr w14:val="tx1"/>
                        </w14:solidFill>
                      </w14:textFill>
                    </w:rPr>
                    <w:t>GB18483-2001</w:t>
                  </w:r>
                  <w:r>
                    <w:rPr>
                      <w:rFonts w:hint="eastAsia" w:hAnsiTheme="minorEastAsia" w:eastAsiaTheme="minorEastAsia"/>
                      <w:color w:val="000000" w:themeColor="text1"/>
                      <w:szCs w:val="21"/>
                      <w14:textFill>
                        <w14:solidFill>
                          <w14:schemeClr w14:val="tx1"/>
                        </w14:solidFill>
                      </w14:textFill>
                    </w:rPr>
                    <w:t>）中</w:t>
                  </w:r>
                  <w:r>
                    <w:rPr>
                      <w:rFonts w:hAnsiTheme="minorEastAsia" w:eastAsiaTheme="minorEastAsia"/>
                      <w:color w:val="000000" w:themeColor="text1"/>
                      <w:szCs w:val="21"/>
                      <w14:textFill>
                        <w14:solidFill>
                          <w14:schemeClr w14:val="tx1"/>
                        </w14:solidFill>
                      </w14:textFill>
                    </w:rPr>
                    <w:t>2.0mg/m</w:t>
                  </w:r>
                  <w:r>
                    <w:rPr>
                      <w:rFonts w:hAnsiTheme="minorEastAsia" w:eastAsiaTheme="minorEastAsia"/>
                      <w:color w:val="000000" w:themeColor="text1"/>
                      <w:szCs w:val="21"/>
                      <w:vertAlign w:val="superscript"/>
                      <w14:textFill>
                        <w14:solidFill>
                          <w14:schemeClr w14:val="tx1"/>
                        </w14:solidFill>
                      </w14:textFill>
                    </w:rPr>
                    <w:t>3</w:t>
                  </w:r>
                  <w:r>
                    <w:rPr>
                      <w:rFonts w:hint="eastAsia" w:hAnsiTheme="minorEastAsia" w:eastAsiaTheme="minorEastAsia"/>
                      <w:color w:val="000000" w:themeColor="text1"/>
                      <w:szCs w:val="21"/>
                      <w14:textFill>
                        <w14:solidFill>
                          <w14:schemeClr w14:val="tx1"/>
                        </w14:solidFill>
                      </w14:textFill>
                    </w:rPr>
                    <w:t>的污染物排放要求。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732" w:type="dxa"/>
                  <w:vMerge w:val="restart"/>
                  <w:tcBorders>
                    <w:top w:val="single" w:color="auto" w:sz="4" w:space="0"/>
                    <w:left w:val="single" w:color="auto" w:sz="12"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水污染物</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生活污水</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COD</w:t>
                  </w:r>
                </w:p>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BOD</w:t>
                  </w:r>
                  <w:r>
                    <w:rPr>
                      <w:rFonts w:eastAsiaTheme="minorEastAsia"/>
                      <w:color w:val="000000" w:themeColor="text1"/>
                      <w:szCs w:val="21"/>
                      <w:vertAlign w:val="subscript"/>
                      <w14:textFill>
                        <w14:solidFill>
                          <w14:schemeClr w14:val="tx1"/>
                        </w14:solidFill>
                      </w14:textFill>
                    </w:rPr>
                    <w:t>5</w:t>
                  </w:r>
                </w:p>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NH</w:t>
                  </w:r>
                  <w:r>
                    <w:rPr>
                      <w:rFonts w:eastAsiaTheme="minorEastAsia"/>
                      <w:color w:val="000000" w:themeColor="text1"/>
                      <w:szCs w:val="21"/>
                      <w:vertAlign w:val="subscript"/>
                      <w14:textFill>
                        <w14:solidFill>
                          <w14:schemeClr w14:val="tx1"/>
                        </w14:solidFill>
                      </w14:textFill>
                    </w:rPr>
                    <w:t>3</w:t>
                  </w:r>
                  <w:r>
                    <w:rPr>
                      <w:rFonts w:eastAsiaTheme="minorEastAsia"/>
                      <w:color w:val="000000" w:themeColor="text1"/>
                      <w:szCs w:val="21"/>
                      <w14:textFill>
                        <w14:solidFill>
                          <w14:schemeClr w14:val="tx1"/>
                        </w14:solidFill>
                      </w14:textFill>
                    </w:rPr>
                    <w:t>-N</w:t>
                  </w:r>
                </w:p>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SS</w:t>
                  </w:r>
                </w:p>
              </w:tc>
              <w:tc>
                <w:tcPr>
                  <w:tcW w:w="20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依托厂区</w:t>
                  </w: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0m</w:t>
                  </w:r>
                  <w:r>
                    <w:rPr>
                      <w:rFonts w:eastAsiaTheme="minorEastAsia"/>
                      <w:color w:val="000000" w:themeColor="text1"/>
                      <w:szCs w:val="21"/>
                      <w:vertAlign w:val="superscript"/>
                      <w14:textFill>
                        <w14:solidFill>
                          <w14:schemeClr w14:val="tx1"/>
                        </w14:solidFill>
                      </w14:textFill>
                    </w:rPr>
                    <w:t>3</w:t>
                  </w:r>
                  <w:r>
                    <w:rPr>
                      <w:rFonts w:hAnsiTheme="minorEastAsia" w:eastAsiaTheme="minorEastAsia"/>
                      <w:color w:val="000000" w:themeColor="text1"/>
                      <w:szCs w:val="21"/>
                      <w14:textFill>
                        <w14:solidFill>
                          <w14:schemeClr w14:val="tx1"/>
                        </w14:solidFill>
                      </w14:textFill>
                    </w:rPr>
                    <w:t>化粪池进行处理</w:t>
                  </w:r>
                </w:p>
              </w:tc>
              <w:tc>
                <w:tcPr>
                  <w:tcW w:w="315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定期清掏不外排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732" w:type="dxa"/>
                  <w:vMerge w:val="continue"/>
                  <w:tcBorders>
                    <w:left w:val="single" w:color="auto" w:sz="12" w:space="0"/>
                    <w:right w:val="single" w:color="auto" w:sz="4" w:space="0"/>
                  </w:tcBorders>
                  <w:vAlign w:val="center"/>
                </w:tcPr>
                <w:p>
                  <w:pPr>
                    <w:keepNext/>
                    <w:keepLines/>
                    <w:adjustRightInd w:val="0"/>
                    <w:snapToGrid w:val="0"/>
                    <w:spacing w:before="340" w:after="330" w:line="578" w:lineRule="auto"/>
                    <w:jc w:val="center"/>
                    <w:outlineLvl w:val="0"/>
                    <w:rPr>
                      <w:rFonts w:eastAsiaTheme="minorEastAsia"/>
                      <w:color w:val="000000" w:themeColor="text1"/>
                      <w:szCs w:val="21"/>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洗砂废水</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2083" w:type="dxa"/>
                  <w:tcBorders>
                    <w:top w:val="single" w:color="auto" w:sz="4" w:space="0"/>
                    <w:left w:val="single" w:color="auto" w:sz="4" w:space="0"/>
                    <w:bottom w:val="single" w:color="auto" w:sz="4" w:space="0"/>
                    <w:right w:val="single" w:color="auto" w:sz="4" w:space="0"/>
                  </w:tcBorders>
                  <w:vAlign w:val="center"/>
                </w:tcPr>
                <w:p>
                  <w:pPr>
                    <w:pStyle w:val="4"/>
                    <w:rPr>
                      <w:rFonts w:hint="default" w:eastAsia="宋体"/>
                      <w:lang w:val="en-US" w:eastAsia="zh-CN"/>
                    </w:rPr>
                  </w:pPr>
                  <w:r>
                    <w:rPr>
                      <w:rFonts w:hint="eastAsia" w:ascii="Times New Roman" w:cs="Times New Roman" w:hAnsiTheme="minorEastAsia" w:eastAsiaTheme="minorEastAsia"/>
                      <w:b w:val="0"/>
                      <w:bCs w:val="0"/>
                      <w:color w:val="000000" w:themeColor="text1"/>
                      <w:kern w:val="2"/>
                      <w:sz w:val="21"/>
                      <w:szCs w:val="21"/>
                      <w:lang w:val="en-US" w:eastAsia="zh-CN" w:bidi="ar-SA"/>
                      <w14:textFill>
                        <w14:solidFill>
                          <w14:schemeClr w14:val="tx1"/>
                        </w14:solidFill>
                      </w14:textFill>
                    </w:rPr>
                    <w:t>经压滤机压滤后，加入絮凝剂经三级沉淀池沉淀</w:t>
                  </w:r>
                </w:p>
              </w:tc>
              <w:tc>
                <w:tcPr>
                  <w:tcW w:w="315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循环利用不外排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732" w:type="dxa"/>
                  <w:vMerge w:val="restart"/>
                  <w:tcBorders>
                    <w:top w:val="single" w:color="auto" w:sz="4" w:space="0"/>
                    <w:left w:val="single" w:color="auto" w:sz="12" w:space="0"/>
                    <w:right w:val="single" w:color="auto" w:sz="4" w:space="0"/>
                  </w:tcBorders>
                  <w:textDirection w:val="tbRlV"/>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固体废物</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员工</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生活垃圾</w:t>
                  </w:r>
                </w:p>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残次品</w:t>
                  </w:r>
                </w:p>
              </w:tc>
              <w:tc>
                <w:tcPr>
                  <w:tcW w:w="2083" w:type="dxa"/>
                  <w:tcBorders>
                    <w:top w:val="single" w:color="auto" w:sz="4" w:space="0"/>
                    <w:left w:val="single" w:color="auto" w:sz="4" w:space="0"/>
                    <w:right w:val="single" w:color="auto" w:sz="4" w:space="0"/>
                  </w:tcBorders>
                  <w:vAlign w:val="center"/>
                </w:tcPr>
                <w:p>
                  <w:pPr>
                    <w:widowControl/>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设若干垃圾桶，分类收集，由市政环卫部门统一清运；残次品外售利用</w:t>
                  </w:r>
                </w:p>
              </w:tc>
              <w:tc>
                <w:tcPr>
                  <w:tcW w:w="3153" w:type="dxa"/>
                  <w:tcBorders>
                    <w:top w:val="single" w:color="auto" w:sz="4" w:space="0"/>
                    <w:left w:val="single" w:color="auto" w:sz="4"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一般固体废物排放执行《一般工业固体废物贮存、处置场污染控制标准》（</w:t>
                  </w:r>
                  <w:r>
                    <w:rPr>
                      <w:rFonts w:eastAsiaTheme="minorEastAsia"/>
                      <w:color w:val="000000" w:themeColor="text1"/>
                      <w:szCs w:val="21"/>
                      <w14:textFill>
                        <w14:solidFill>
                          <w14:schemeClr w14:val="tx1"/>
                        </w14:solidFill>
                      </w14:textFill>
                    </w:rPr>
                    <w:t>GB18599-2001</w:t>
                  </w:r>
                  <w:r>
                    <w:rPr>
                      <w:rFonts w:hAnsiTheme="minorEastAsia" w:eastAsiaTheme="minorEastAsia"/>
                      <w:color w:val="000000" w:themeColor="text1"/>
                      <w:szCs w:val="21"/>
                      <w14:textFill>
                        <w14:solidFill>
                          <w14:schemeClr w14:val="tx1"/>
                        </w14:solidFill>
                      </w14:textFill>
                    </w:rPr>
                    <w:t>）及</w:t>
                  </w:r>
                  <w:r>
                    <w:rPr>
                      <w:rFonts w:eastAsiaTheme="minorEastAsia"/>
                      <w:color w:val="000000" w:themeColor="text1"/>
                      <w:szCs w:val="21"/>
                      <w14:textFill>
                        <w14:solidFill>
                          <w14:schemeClr w14:val="tx1"/>
                        </w14:solidFill>
                      </w14:textFill>
                    </w:rPr>
                    <w:t>2013</w:t>
                  </w:r>
                  <w:r>
                    <w:rPr>
                      <w:rFonts w:hAnsiTheme="minorEastAsia" w:eastAsiaTheme="minorEastAsia"/>
                      <w:color w:val="000000" w:themeColor="text1"/>
                      <w:szCs w:val="21"/>
                      <w14:textFill>
                        <w14:solidFill>
                          <w14:schemeClr w14:val="tx1"/>
                        </w14:solidFill>
                      </w14:textFill>
                    </w:rPr>
                    <w:t>年修改单中有关规定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732" w:type="dxa"/>
                  <w:vMerge w:val="continue"/>
                  <w:tcBorders>
                    <w:left w:val="single" w:color="auto" w:sz="12" w:space="0"/>
                    <w:right w:val="single" w:color="auto" w:sz="4" w:space="0"/>
                  </w:tcBorders>
                  <w:textDirection w:val="tbRlV"/>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生产区</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维修废机油</w:t>
                  </w:r>
                </w:p>
              </w:tc>
              <w:tc>
                <w:tcPr>
                  <w:tcW w:w="2083" w:type="dxa"/>
                  <w:tcBorders>
                    <w:top w:val="single" w:color="auto" w:sz="4" w:space="0"/>
                    <w:left w:val="single" w:color="auto" w:sz="4" w:space="0"/>
                    <w:right w:val="single" w:color="auto" w:sz="4" w:space="0"/>
                  </w:tcBorders>
                  <w:vAlign w:val="center"/>
                </w:tcPr>
                <w:p>
                  <w:pPr>
                    <w:widowControl/>
                    <w:adjustRightInd w:val="0"/>
                    <w:snapToGrid w:val="0"/>
                    <w:jc w:val="center"/>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暂存于危废暂存间，定期交有资质单位处置</w:t>
                  </w:r>
                  <w:r>
                    <w:rPr>
                      <w:rFonts w:hint="eastAsia" w:hAnsiTheme="minorEastAsia" w:eastAsiaTheme="minorEastAsia"/>
                      <w:color w:val="000000" w:themeColor="text1"/>
                      <w:kern w:val="0"/>
                      <w:szCs w:val="21"/>
                      <w14:textFill>
                        <w14:solidFill>
                          <w14:schemeClr w14:val="tx1"/>
                        </w14:solidFill>
                      </w14:textFill>
                    </w:rPr>
                    <w:t>。</w:t>
                  </w:r>
                </w:p>
              </w:tc>
              <w:tc>
                <w:tcPr>
                  <w:tcW w:w="3153" w:type="dxa"/>
                  <w:tcBorders>
                    <w:top w:val="single" w:color="auto" w:sz="4" w:space="0"/>
                    <w:left w:val="single" w:color="auto" w:sz="4"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《危险废物贮存污染控制标准》（</w:t>
                  </w:r>
                  <w:r>
                    <w:rPr>
                      <w:rFonts w:eastAsiaTheme="minorEastAsia"/>
                      <w:color w:val="000000" w:themeColor="text1"/>
                      <w:szCs w:val="21"/>
                      <w14:textFill>
                        <w14:solidFill>
                          <w14:schemeClr w14:val="tx1"/>
                        </w14:solidFill>
                      </w14:textFill>
                    </w:rPr>
                    <w:t>GB18597-2001</w:t>
                  </w:r>
                  <w:r>
                    <w:rPr>
                      <w:rFonts w:hAnsiTheme="minorEastAsia" w:eastAsiaTheme="minorEastAsia"/>
                      <w:color w:val="000000" w:themeColor="text1"/>
                      <w:szCs w:val="21"/>
                      <w14:textFill>
                        <w14:solidFill>
                          <w14:schemeClr w14:val="tx1"/>
                        </w14:solidFill>
                      </w14:textFill>
                    </w:rPr>
                    <w:t>）及修改单中有关规定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732" w:type="dxa"/>
                  <w:vMerge w:val="continue"/>
                  <w:tcBorders>
                    <w:left w:val="single" w:color="auto" w:sz="12" w:space="0"/>
                    <w:right w:val="single" w:color="auto" w:sz="4" w:space="0"/>
                  </w:tcBorders>
                  <w:textDirection w:val="tbRlV"/>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压滤机</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压滤泥饼</w:t>
                  </w:r>
                </w:p>
              </w:tc>
              <w:tc>
                <w:tcPr>
                  <w:tcW w:w="2083" w:type="dxa"/>
                  <w:tcBorders>
                    <w:top w:val="single" w:color="auto" w:sz="4" w:space="0"/>
                    <w:left w:val="single" w:color="auto" w:sz="4" w:space="0"/>
                    <w:right w:val="single" w:color="auto" w:sz="4" w:space="0"/>
                  </w:tcBorders>
                  <w:vAlign w:val="center"/>
                </w:tcPr>
                <w:p>
                  <w:pPr>
                    <w:widowControl/>
                    <w:adjustRightInd w:val="0"/>
                    <w:snapToGrid w:val="0"/>
                    <w:jc w:val="center"/>
                    <w:rPr>
                      <w:rFonts w:hint="default"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w:t>
                  </w:r>
                </w:p>
              </w:tc>
              <w:tc>
                <w:tcPr>
                  <w:tcW w:w="3153" w:type="dxa"/>
                  <w:tcBorders>
                    <w:top w:val="single" w:color="auto" w:sz="4" w:space="0"/>
                    <w:left w:val="single" w:color="auto" w:sz="4" w:space="0"/>
                    <w:right w:val="single" w:color="auto" w:sz="12" w:space="0"/>
                  </w:tcBorders>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定期清理，堆放至排土场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732" w:type="dxa"/>
                  <w:vMerge w:val="continue"/>
                  <w:tcBorders>
                    <w:left w:val="single" w:color="auto" w:sz="12" w:space="0"/>
                    <w:right w:val="single" w:color="auto" w:sz="4" w:space="0"/>
                  </w:tcBorders>
                  <w:textDirection w:val="tbRlV"/>
                  <w:vAlign w:val="center"/>
                </w:tcPr>
                <w:p>
                  <w:pPr>
                    <w:adjustRightInd w:val="0"/>
                    <w:snapToGrid w:val="0"/>
                    <w:jc w:val="center"/>
                    <w:rPr>
                      <w:rFonts w:eastAsiaTheme="minorEastAsia"/>
                      <w:color w:val="000000" w:themeColor="text1"/>
                      <w:szCs w:val="21"/>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洗砂</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沉淀池底泥</w:t>
                  </w:r>
                </w:p>
              </w:tc>
              <w:tc>
                <w:tcPr>
                  <w:tcW w:w="2083" w:type="dxa"/>
                  <w:tcBorders>
                    <w:top w:val="single" w:color="auto" w:sz="4" w:space="0"/>
                    <w:left w:val="single" w:color="auto" w:sz="4" w:space="0"/>
                    <w:right w:val="single" w:color="auto" w:sz="4" w:space="0"/>
                  </w:tcBorders>
                  <w:vAlign w:val="center"/>
                </w:tcPr>
                <w:p>
                  <w:pPr>
                    <w:widowControl/>
                    <w:adjustRightInd w:val="0"/>
                    <w:snapToGrid w:val="0"/>
                    <w:jc w:val="center"/>
                    <w:rPr>
                      <w:rFonts w:hint="default"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压滤机</w:t>
                  </w:r>
                </w:p>
              </w:tc>
              <w:tc>
                <w:tcPr>
                  <w:tcW w:w="3153" w:type="dxa"/>
                  <w:tcBorders>
                    <w:top w:val="single" w:color="auto" w:sz="4" w:space="0"/>
                    <w:left w:val="single" w:color="auto" w:sz="4" w:space="0"/>
                    <w:right w:val="single" w:color="auto" w:sz="12" w:space="0"/>
                  </w:tcBorders>
                  <w:vAlign w:val="center"/>
                </w:tcPr>
                <w:p>
                  <w:pPr>
                    <w:adjustRightInd w:val="0"/>
                    <w:snapToGrid w:val="0"/>
                    <w:jc w:val="center"/>
                    <w:rPr>
                      <w:rFonts w:hint="default"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定期清理，堆放至排土场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732" w:type="dxa"/>
                  <w:tcBorders>
                    <w:top w:val="single" w:color="auto" w:sz="4" w:space="0"/>
                    <w:left w:val="single" w:color="auto" w:sz="12" w:space="0"/>
                    <w:bottom w:val="single" w:color="auto" w:sz="12" w:space="0"/>
                    <w:right w:val="single" w:color="auto" w:sz="4" w:space="0"/>
                  </w:tcBorders>
                  <w:textDirection w:val="tbRlV"/>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噪声</w:t>
                  </w:r>
                </w:p>
              </w:tc>
              <w:tc>
                <w:tcPr>
                  <w:tcW w:w="97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生产设备</w:t>
                  </w:r>
                </w:p>
              </w:tc>
              <w:tc>
                <w:tcPr>
                  <w:tcW w:w="99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运行噪声</w:t>
                  </w:r>
                </w:p>
              </w:tc>
              <w:tc>
                <w:tcPr>
                  <w:tcW w:w="2083" w:type="dxa"/>
                  <w:tcBorders>
                    <w:top w:val="single" w:color="auto" w:sz="4" w:space="0"/>
                    <w:left w:val="single" w:color="auto" w:sz="4" w:space="0"/>
                    <w:bottom w:val="single" w:color="auto" w:sz="12" w:space="0"/>
                    <w:right w:val="single" w:color="auto" w:sz="4" w:space="0"/>
                  </w:tcBorders>
                  <w:vAlign w:val="center"/>
                </w:tcPr>
                <w:p>
                  <w:pPr>
                    <w:widowControl/>
                    <w:adjustRightInd w:val="0"/>
                    <w:snapToGrid w:val="0"/>
                    <w:jc w:val="center"/>
                    <w:rPr>
                      <w:rFonts w:eastAsiaTheme="minorEastAsia"/>
                      <w:bCs/>
                      <w:color w:val="000000" w:themeColor="text1"/>
                      <w:szCs w:val="21"/>
                      <w14:textFill>
                        <w14:solidFill>
                          <w14:schemeClr w14:val="tx1"/>
                        </w14:solidFill>
                      </w14:textFill>
                    </w:rPr>
                  </w:pPr>
                  <w:r>
                    <w:rPr>
                      <w:rFonts w:hAnsiTheme="minorEastAsia" w:eastAsiaTheme="minorEastAsia"/>
                      <w:bCs/>
                      <w:color w:val="000000" w:themeColor="text1"/>
                      <w:szCs w:val="21"/>
                      <w14:textFill>
                        <w14:solidFill>
                          <w14:schemeClr w14:val="tx1"/>
                        </w14:solidFill>
                      </w14:textFill>
                    </w:rPr>
                    <w:t>隔声、减振、</w:t>
                  </w:r>
                </w:p>
                <w:p>
                  <w:pPr>
                    <w:widowControl/>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bCs/>
                      <w:color w:val="000000" w:themeColor="text1"/>
                      <w:szCs w:val="21"/>
                      <w14:textFill>
                        <w14:solidFill>
                          <w14:schemeClr w14:val="tx1"/>
                        </w14:solidFill>
                      </w14:textFill>
                    </w:rPr>
                    <w:t>柔性连接等</w:t>
                  </w:r>
                </w:p>
              </w:tc>
              <w:tc>
                <w:tcPr>
                  <w:tcW w:w="3153"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符合《工业企业厂界环境噪声排放标准》（</w:t>
                  </w:r>
                  <w:r>
                    <w:rPr>
                      <w:rFonts w:eastAsiaTheme="minorEastAsia"/>
                      <w:color w:val="000000" w:themeColor="text1"/>
                      <w:szCs w:val="21"/>
                      <w14:textFill>
                        <w14:solidFill>
                          <w14:schemeClr w14:val="tx1"/>
                        </w14:solidFill>
                      </w14:textFill>
                    </w:rPr>
                    <w:t>GB12348-2008</w:t>
                  </w:r>
                  <w:r>
                    <w:rPr>
                      <w:rFonts w:hAnsiTheme="minor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2</w:t>
                  </w:r>
                  <w:r>
                    <w:rPr>
                      <w:rFonts w:hAnsiTheme="minorEastAsia" w:eastAsiaTheme="minorEastAsia"/>
                      <w:color w:val="000000" w:themeColor="text1"/>
                      <w:szCs w:val="21"/>
                      <w14:textFill>
                        <w14:solidFill>
                          <w14:schemeClr w14:val="tx1"/>
                        </w14:solidFill>
                      </w14:textFill>
                    </w:rPr>
                    <w:t>类</w:t>
                  </w:r>
                  <w:r>
                    <w:rPr>
                      <w:rFonts w:hAnsiTheme="minorEastAsia" w:eastAsiaTheme="minorEastAsia"/>
                      <w:bCs/>
                      <w:color w:val="000000" w:themeColor="text1"/>
                      <w:szCs w:val="21"/>
                      <w14:textFill>
                        <w14:solidFill>
                          <w14:schemeClr w14:val="tx1"/>
                        </w14:solidFill>
                      </w14:textFill>
                    </w:rPr>
                    <w:t>类</w:t>
                  </w:r>
                  <w:r>
                    <w:rPr>
                      <w:rFonts w:hAnsiTheme="minorEastAsia" w:eastAsiaTheme="minorEastAsia"/>
                      <w:color w:val="000000" w:themeColor="text1"/>
                      <w:szCs w:val="21"/>
                      <w14:textFill>
                        <w14:solidFill>
                          <w14:schemeClr w14:val="tx1"/>
                        </w14:solidFill>
                      </w14:textFill>
                    </w:rPr>
                    <w:t>区标准要求</w:t>
                  </w:r>
                </w:p>
              </w:tc>
            </w:tr>
          </w:tbl>
          <w:p>
            <w:pPr>
              <w:pStyle w:val="52"/>
              <w:spacing w:line="360" w:lineRule="auto"/>
              <w:rPr>
                <w:rFonts w:hint="eastAsia" w:ascii="Times New Roman" w:cs="Times New Roman" w:hAnsiTheme="minorEastAsia" w:eastAsiaTheme="minorEastAsia"/>
                <w:color w:val="000000" w:themeColor="text1"/>
                <w:lang w:val="en-US" w:eastAsia="zh-CN"/>
                <w14:textFill>
                  <w14:solidFill>
                    <w14:schemeClr w14:val="tx1"/>
                  </w14:solidFill>
                </w14:textFill>
              </w:rPr>
            </w:pP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cols w:space="720" w:num="1"/>
          <w:docGrid w:linePitch="312" w:charSpace="0"/>
        </w:sectPr>
      </w:pPr>
    </w:p>
    <w:p>
      <w:pPr>
        <w:pStyle w:val="15"/>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24" w:name="_Hlk54167917"/>
      <w:r>
        <w:rPr>
          <w:rFonts w:hint="eastAsia" w:ascii="黑体" w:hAnsi="黑体" w:eastAsia="黑体"/>
          <w:snapToGrid w:val="0"/>
          <w:color w:val="auto"/>
          <w:sz w:val="30"/>
          <w:szCs w:val="30"/>
        </w:rPr>
        <w:t>环境保护措施监督检查清单</w:t>
      </w:r>
      <w:bookmarkEnd w:id="24"/>
    </w:p>
    <w:tbl>
      <w:tblPr>
        <w:tblStyle w:val="19"/>
        <w:tblW w:w="90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811"/>
        <w:gridCol w:w="1392"/>
        <w:gridCol w:w="2228"/>
        <w:gridCol w:w="1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33" w:type="dxa"/>
            <w:tcBorders>
              <w:tl2br w:val="single" w:color="auto" w:sz="4" w:space="0"/>
            </w:tcBorders>
            <w:noWrap w:val="0"/>
            <w:vAlign w:val="top"/>
          </w:tcPr>
          <w:p>
            <w:pPr>
              <w:adjustRightInd w:val="0"/>
              <w:snapToGrid w:val="0"/>
              <w:ind w:firstLine="840"/>
              <w:rPr>
                <w:rFonts w:hint="eastAsia" w:ascii="宋体" w:hAnsi="宋体" w:cs="宋体"/>
                <w:szCs w:val="21"/>
              </w:rPr>
            </w:pPr>
            <w:r>
              <w:rPr>
                <w:rFonts w:hint="eastAsia" w:ascii="宋体" w:hAnsi="宋体" w:cs="宋体"/>
                <w:szCs w:val="21"/>
              </w:rPr>
              <w:t>内容</w:t>
            </w:r>
          </w:p>
          <w:p>
            <w:pPr>
              <w:adjustRightInd w:val="0"/>
              <w:snapToGrid w:val="0"/>
              <w:rPr>
                <w:rFonts w:hint="eastAsia" w:ascii="宋体" w:hAnsi="宋体" w:cs="宋体"/>
                <w:szCs w:val="21"/>
              </w:rPr>
            </w:pPr>
            <w:r>
              <w:rPr>
                <w:rFonts w:hint="eastAsia" w:ascii="宋体" w:hAnsi="宋体" w:cs="宋体"/>
                <w:szCs w:val="21"/>
              </w:rPr>
              <w:t>要素</w:t>
            </w:r>
          </w:p>
        </w:tc>
        <w:tc>
          <w:tcPr>
            <w:tcW w:w="1811"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排放口(编号、</w:t>
            </w:r>
          </w:p>
          <w:p>
            <w:pPr>
              <w:adjustRightInd w:val="0"/>
              <w:snapToGrid w:val="0"/>
              <w:jc w:val="center"/>
              <w:rPr>
                <w:rFonts w:hint="eastAsia" w:ascii="宋体" w:hAnsi="宋体" w:cs="宋体"/>
                <w:szCs w:val="21"/>
              </w:rPr>
            </w:pPr>
            <w:r>
              <w:rPr>
                <w:rFonts w:hint="eastAsia" w:ascii="宋体" w:hAnsi="宋体" w:cs="宋体"/>
                <w:szCs w:val="21"/>
              </w:rPr>
              <w:t>名称)/污染源</w:t>
            </w:r>
          </w:p>
        </w:tc>
        <w:tc>
          <w:tcPr>
            <w:tcW w:w="139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污染物项目</w:t>
            </w:r>
          </w:p>
        </w:tc>
        <w:tc>
          <w:tcPr>
            <w:tcW w:w="2228"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环境保护措施</w:t>
            </w:r>
          </w:p>
        </w:tc>
        <w:tc>
          <w:tcPr>
            <w:tcW w:w="1813"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33" w:type="dxa"/>
            <w:vMerge w:val="restart"/>
            <w:noWrap w:val="0"/>
            <w:vAlign w:val="center"/>
          </w:tcPr>
          <w:p>
            <w:pPr>
              <w:adjustRightInd w:val="0"/>
              <w:snapToGrid w:val="0"/>
              <w:jc w:val="center"/>
              <w:rPr>
                <w:rFonts w:hint="eastAsia" w:ascii="宋体" w:hAnsi="宋体" w:cs="宋体"/>
                <w:szCs w:val="21"/>
              </w:rPr>
            </w:pPr>
            <w:bookmarkStart w:id="25" w:name="_GoBack" w:colFirst="1" w:colLast="3"/>
            <w:r>
              <w:rPr>
                <w:rFonts w:hint="eastAsia" w:ascii="宋体" w:hAnsi="宋体" w:cs="宋体"/>
                <w:szCs w:val="21"/>
              </w:rPr>
              <w:t>大气环境</w:t>
            </w:r>
          </w:p>
        </w:tc>
        <w:tc>
          <w:tcPr>
            <w:tcW w:w="1811" w:type="dxa"/>
            <w:noWrap w:val="0"/>
            <w:vAlign w:val="center"/>
          </w:tcPr>
          <w:p>
            <w:pPr>
              <w:spacing w:line="360" w:lineRule="exact"/>
              <w:jc w:val="center"/>
              <w:rPr>
                <w:rFonts w:hint="eastAsia" w:ascii="Times New Roman" w:hAnsi="Times New Roman" w:cs="Times New Roman" w:eastAsiaTheme="minorEastAsia"/>
                <w:color w:val="FF0000"/>
                <w:kern w:val="0"/>
                <w:sz w:val="21"/>
                <w:szCs w:val="21"/>
                <w:lang w:val="en-US" w:eastAsia="zh-CN" w:bidi="ar-SA"/>
              </w:rPr>
            </w:pPr>
            <w:r>
              <w:rPr>
                <w:rFonts w:hAnsiTheme="minorEastAsia" w:eastAsiaTheme="minorEastAsia"/>
                <w:color w:val="FF0000"/>
                <w:kern w:val="0"/>
                <w:szCs w:val="21"/>
              </w:rPr>
              <w:t>钻孔</w:t>
            </w:r>
          </w:p>
        </w:tc>
        <w:tc>
          <w:tcPr>
            <w:tcW w:w="1392" w:type="dxa"/>
            <w:noWrap w:val="0"/>
            <w:vAlign w:val="center"/>
          </w:tcPr>
          <w:p>
            <w:pPr>
              <w:pStyle w:val="54"/>
              <w:spacing w:line="360" w:lineRule="exact"/>
              <w:jc w:val="center"/>
              <w:rPr>
                <w:rFonts w:hint="eastAsia" w:ascii="Times New Roman" w:hAnsi="Times New Roman" w:cs="Times New Roman" w:eastAsiaTheme="minorEastAsia"/>
                <w:color w:val="FF0000"/>
                <w:kern w:val="0"/>
                <w:sz w:val="21"/>
                <w:szCs w:val="21"/>
                <w:lang w:val="en-US" w:eastAsia="zh-CN" w:bidi="ar-SA"/>
              </w:rPr>
            </w:pPr>
            <w:r>
              <w:rPr>
                <w:rFonts w:hAnsiTheme="minorEastAsia" w:eastAsiaTheme="minorEastAsia"/>
                <w:color w:val="FF0000"/>
                <w:sz w:val="21"/>
                <w:szCs w:val="21"/>
              </w:rPr>
              <w:t>粉尘</w:t>
            </w:r>
          </w:p>
        </w:tc>
        <w:tc>
          <w:tcPr>
            <w:tcW w:w="2228" w:type="dxa"/>
            <w:noWrap w:val="0"/>
            <w:vAlign w:val="center"/>
          </w:tcPr>
          <w:p>
            <w:pPr>
              <w:tabs>
                <w:tab w:val="left" w:pos="555"/>
              </w:tabs>
              <w:spacing w:line="360" w:lineRule="exact"/>
              <w:jc w:val="center"/>
              <w:rPr>
                <w:rFonts w:hint="default" w:ascii="Times New Roman" w:hAnsi="Times New Roman" w:cs="Times New Roman" w:eastAsiaTheme="minorEastAsia"/>
                <w:color w:val="FF0000"/>
                <w:kern w:val="0"/>
                <w:sz w:val="21"/>
                <w:szCs w:val="21"/>
                <w:lang w:val="en-US" w:eastAsia="zh-CN" w:bidi="ar-SA"/>
              </w:rPr>
            </w:pPr>
            <w:r>
              <w:rPr>
                <w:rFonts w:hint="eastAsia" w:hAnsiTheme="minorEastAsia" w:eastAsiaTheme="minorEastAsia"/>
                <w:color w:val="FF0000"/>
                <w:kern w:val="0"/>
                <w:szCs w:val="21"/>
                <w:lang w:val="en-US" w:eastAsia="zh-CN"/>
              </w:rPr>
              <w:t>洒水喷淋，湿法作业</w:t>
            </w:r>
          </w:p>
        </w:tc>
        <w:tc>
          <w:tcPr>
            <w:tcW w:w="1813" w:type="dxa"/>
            <w:vMerge w:val="restart"/>
            <w:noWrap w:val="0"/>
            <w:vAlign w:val="center"/>
          </w:tcPr>
          <w:p>
            <w:pPr>
              <w:adjustRightInd w:val="0"/>
              <w:snapToGrid w:val="0"/>
              <w:jc w:val="center"/>
              <w:rPr>
                <w:rFonts w:hint="eastAsia" w:ascii="宋体" w:hAnsi="宋体" w:cs="宋体"/>
                <w:szCs w:val="21"/>
              </w:rPr>
            </w:pPr>
            <w:r>
              <w:rPr>
                <w:rFonts w:hAnsiTheme="minorEastAsia" w:eastAsiaTheme="minorEastAsia"/>
                <w:color w:val="000000" w:themeColor="text1"/>
                <w:kern w:val="0"/>
                <w:szCs w:val="21"/>
                <w14:textFill>
                  <w14:solidFill>
                    <w14:schemeClr w14:val="tx1"/>
                  </w14:solidFill>
                </w14:textFill>
              </w:rPr>
              <w:t>《大气污染物综合排放标准》</w:t>
            </w:r>
            <w:r>
              <w:rPr>
                <w:rFonts w:eastAsiaTheme="minorEastAsia"/>
                <w:color w:val="000000" w:themeColor="text1"/>
                <w:kern w:val="0"/>
                <w:szCs w:val="21"/>
                <w14:textFill>
                  <w14:solidFill>
                    <w14:schemeClr w14:val="tx1"/>
                  </w14:solidFill>
                </w14:textFill>
              </w:rPr>
              <w:t>GB16297-1996</w:t>
            </w:r>
            <w:r>
              <w:rPr>
                <w:rFonts w:hAnsiTheme="minorEastAsia" w:eastAsiaTheme="minorEastAsia"/>
                <w:color w:val="000000" w:themeColor="text1"/>
                <w:kern w:val="0"/>
                <w:szCs w:val="21"/>
                <w14:textFill>
                  <w14:solidFill>
                    <w14:schemeClr w14:val="tx1"/>
                  </w14:solidFill>
                </w14:textFill>
              </w:rPr>
              <w:t>中二级标准</w:t>
            </w:r>
          </w:p>
        </w:tc>
      </w:tr>
      <w:bookmarkEnd w:id="2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爆破</w:t>
            </w:r>
          </w:p>
        </w:tc>
        <w:tc>
          <w:tcPr>
            <w:tcW w:w="1392" w:type="dxa"/>
            <w:noWrap w:val="0"/>
            <w:vAlign w:val="center"/>
          </w:tcPr>
          <w:p>
            <w:pPr>
              <w:pStyle w:val="54"/>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sz w:val="21"/>
                <w:szCs w:val="21"/>
                <w14:textFill>
                  <w14:solidFill>
                    <w14:schemeClr w14:val="tx1"/>
                  </w14:solidFill>
                </w14:textFill>
              </w:rPr>
              <w:t>粉尘</w:t>
            </w:r>
          </w:p>
        </w:tc>
        <w:tc>
          <w:tcPr>
            <w:tcW w:w="2228"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采用中深孔爆破</w:t>
            </w:r>
            <w:r>
              <w:rPr>
                <w:rFonts w:eastAsiaTheme="minorEastAsia"/>
                <w:color w:val="000000" w:themeColor="text1"/>
                <w:kern w:val="0"/>
                <w:szCs w:val="21"/>
                <w14:textFill>
                  <w14:solidFill>
                    <w14:schemeClr w14:val="tx1"/>
                  </w14:solidFill>
                </w14:textFill>
              </w:rPr>
              <w:t xml:space="preserve"> </w:t>
            </w: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装卸过程</w:t>
            </w:r>
          </w:p>
        </w:tc>
        <w:tc>
          <w:tcPr>
            <w:tcW w:w="1392" w:type="dxa"/>
            <w:noWrap w:val="0"/>
            <w:vAlign w:val="center"/>
          </w:tcPr>
          <w:p>
            <w:pPr>
              <w:pStyle w:val="54"/>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sz w:val="21"/>
                <w:szCs w:val="21"/>
                <w14:textFill>
                  <w14:solidFill>
                    <w14:schemeClr w14:val="tx1"/>
                  </w14:solidFill>
                </w14:textFill>
              </w:rPr>
              <w:t>粉尘</w:t>
            </w:r>
          </w:p>
        </w:tc>
        <w:tc>
          <w:tcPr>
            <w:tcW w:w="2228" w:type="dxa"/>
            <w:noWrap w:val="0"/>
            <w:vAlign w:val="center"/>
          </w:tcPr>
          <w:p>
            <w:pPr>
              <w:adjustRightInd w:val="0"/>
              <w:snapToGrid w:val="0"/>
              <w:jc w:val="left"/>
              <w:rPr>
                <w:rFonts w:hint="eastAsia" w:ascii="宋体" w:hAnsi="宋体" w:cs="宋体"/>
                <w:szCs w:val="21"/>
              </w:rPr>
            </w:pPr>
            <w:r>
              <w:rPr>
                <w:rFonts w:hAnsiTheme="minorEastAsia" w:eastAsiaTheme="minorEastAsia"/>
                <w:color w:val="000000" w:themeColor="text1"/>
                <w:szCs w:val="21"/>
                <w14:textFill>
                  <w14:solidFill>
                    <w14:schemeClr w14:val="tx1"/>
                  </w14:solidFill>
                </w14:textFill>
              </w:rPr>
              <w:t>采装过程进行喷水抑尘；降低装卸过程中物料落差；对料石进行预湿，增大含水率</w:t>
            </w: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皮带运输</w:t>
            </w:r>
          </w:p>
        </w:tc>
        <w:tc>
          <w:tcPr>
            <w:tcW w:w="1392" w:type="dxa"/>
            <w:noWrap w:val="0"/>
            <w:vAlign w:val="center"/>
          </w:tcPr>
          <w:p>
            <w:pPr>
              <w:pStyle w:val="54"/>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sz w:val="21"/>
                <w:szCs w:val="21"/>
                <w14:textFill>
                  <w14:solidFill>
                    <w14:schemeClr w14:val="tx1"/>
                  </w14:solidFill>
                </w14:textFill>
              </w:rPr>
              <w:t>粉尘</w:t>
            </w:r>
          </w:p>
        </w:tc>
        <w:tc>
          <w:tcPr>
            <w:tcW w:w="2228" w:type="dxa"/>
            <w:noWrap w:val="0"/>
            <w:vAlign w:val="center"/>
          </w:tcPr>
          <w:p>
            <w:pPr>
              <w:adjustRightInd w:val="0"/>
              <w:snapToGrid w:val="0"/>
              <w:jc w:val="center"/>
              <w:rPr>
                <w:rFonts w:hint="eastAsia" w:ascii="宋体" w:hAnsi="宋体" w:cs="宋体"/>
                <w:szCs w:val="21"/>
              </w:rPr>
            </w:pPr>
            <w:r>
              <w:rPr>
                <w:rFonts w:hAnsiTheme="minorEastAsia" w:eastAsiaTheme="minorEastAsia"/>
                <w:color w:val="000000" w:themeColor="text1"/>
                <w:szCs w:val="21"/>
                <w14:textFill>
                  <w14:solidFill>
                    <w14:schemeClr w14:val="tx1"/>
                  </w14:solidFill>
                </w14:textFill>
              </w:rPr>
              <w:t>皮带输送带进行密闭，定期进行洒水</w:t>
            </w: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vMerge w:val="restart"/>
            <w:noWrap w:val="0"/>
            <w:vAlign w:val="center"/>
          </w:tcPr>
          <w:p>
            <w:pPr>
              <w:adjustRightInd w:val="0"/>
              <w:snapToGrid w:val="0"/>
              <w:jc w:val="center"/>
              <w:rPr>
                <w:rFonts w:hint="eastAsia" w:ascii="宋体" w:hAnsi="宋体" w:cs="宋体"/>
                <w:szCs w:val="21"/>
              </w:rPr>
            </w:pPr>
            <w:r>
              <w:rPr>
                <w:rFonts w:hAnsiTheme="minorEastAsia" w:eastAsiaTheme="minorEastAsia"/>
                <w:color w:val="000000" w:themeColor="text1"/>
                <w:szCs w:val="21"/>
                <w14:textFill>
                  <w14:solidFill>
                    <w14:schemeClr w14:val="tx1"/>
                  </w14:solidFill>
                </w14:textFill>
              </w:rPr>
              <w:t>喂料、破碎、筛分过程</w:t>
            </w:r>
          </w:p>
        </w:tc>
        <w:tc>
          <w:tcPr>
            <w:tcW w:w="1392" w:type="dxa"/>
            <w:vMerge w:val="restart"/>
            <w:noWrap w:val="0"/>
            <w:vAlign w:val="center"/>
          </w:tcPr>
          <w:p>
            <w:pPr>
              <w:pStyle w:val="54"/>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sz w:val="21"/>
                <w:szCs w:val="21"/>
                <w14:textFill>
                  <w14:solidFill>
                    <w14:schemeClr w14:val="tx1"/>
                  </w14:solidFill>
                </w14:textFill>
              </w:rPr>
              <w:t>无组织</w:t>
            </w:r>
          </w:p>
        </w:tc>
        <w:tc>
          <w:tcPr>
            <w:tcW w:w="2228" w:type="dxa"/>
            <w:noWrap w:val="0"/>
            <w:vAlign w:val="center"/>
          </w:tcPr>
          <w:p>
            <w:pPr>
              <w:adjustRightInd w:val="0"/>
              <w:snapToGrid w:val="0"/>
              <w:jc w:val="left"/>
              <w:rPr>
                <w:rFonts w:hint="default" w:ascii="宋体" w:hAnsi="宋体" w:cs="宋体" w:eastAsiaTheme="minorEastAsia"/>
                <w:szCs w:val="21"/>
                <w:lang w:val="en-US" w:eastAsia="zh-CN"/>
              </w:rPr>
            </w:pPr>
            <w:r>
              <w:rPr>
                <w:rFonts w:hAnsiTheme="minorEastAsia" w:eastAsiaTheme="minorEastAsia"/>
                <w:color w:val="000000" w:themeColor="text1"/>
                <w:szCs w:val="21"/>
                <w14:textFill>
                  <w14:solidFill>
                    <w14:schemeClr w14:val="tx1"/>
                  </w14:solidFill>
                </w14:textFill>
              </w:rPr>
              <w:t>喂料过程设半封闭式彩钢棚；</w:t>
            </w:r>
            <w:r>
              <w:rPr>
                <w:rFonts w:hint="eastAsia" w:hAnsiTheme="minorEastAsia" w:eastAsiaTheme="minorEastAsia"/>
                <w:color w:val="000000" w:themeColor="text1"/>
                <w:szCs w:val="21"/>
                <w:lang w:val="en-US" w:eastAsia="zh-CN"/>
                <w14:textFill>
                  <w14:solidFill>
                    <w14:schemeClr w14:val="tx1"/>
                  </w14:solidFill>
                </w14:textFill>
              </w:rPr>
              <w:t>破碎、筛分过程设全封闭车间，顶部设置喷淋装置抑尘</w:t>
            </w: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vMerge w:val="continue"/>
            <w:noWrap w:val="0"/>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p>
        </w:tc>
        <w:tc>
          <w:tcPr>
            <w:tcW w:w="1392" w:type="dxa"/>
            <w:vMerge w:val="continue"/>
            <w:noWrap w:val="0"/>
            <w:vAlign w:val="center"/>
          </w:tcPr>
          <w:p>
            <w:pPr>
              <w:pStyle w:val="54"/>
              <w:spacing w:line="360" w:lineRule="exact"/>
              <w:jc w:val="center"/>
              <w:rPr>
                <w:rFonts w:hAnsiTheme="minorEastAsia" w:eastAsiaTheme="minorEastAsia"/>
                <w:color w:val="000000" w:themeColor="text1"/>
                <w:sz w:val="21"/>
                <w:szCs w:val="21"/>
                <w14:textFill>
                  <w14:solidFill>
                    <w14:schemeClr w14:val="tx1"/>
                  </w14:solidFill>
                </w14:textFill>
              </w:rPr>
            </w:pPr>
          </w:p>
        </w:tc>
        <w:tc>
          <w:tcPr>
            <w:tcW w:w="2228" w:type="dxa"/>
            <w:noWrap w:val="0"/>
            <w:vAlign w:val="center"/>
          </w:tcPr>
          <w:p>
            <w:pPr>
              <w:adjustRightInd w:val="0"/>
              <w:snapToGrid w:val="0"/>
              <w:jc w:val="center"/>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物料密闭、洒水抑尘</w:t>
            </w: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道路运输</w:t>
            </w:r>
          </w:p>
        </w:tc>
        <w:tc>
          <w:tcPr>
            <w:tcW w:w="1392" w:type="dxa"/>
            <w:noWrap w:val="0"/>
            <w:vAlign w:val="center"/>
          </w:tcPr>
          <w:p>
            <w:pPr>
              <w:pStyle w:val="54"/>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sz w:val="21"/>
                <w:szCs w:val="21"/>
                <w14:textFill>
                  <w14:solidFill>
                    <w14:schemeClr w14:val="tx1"/>
                  </w14:solidFill>
                </w14:textFill>
              </w:rPr>
              <w:t>粉尘</w:t>
            </w:r>
          </w:p>
        </w:tc>
        <w:tc>
          <w:tcPr>
            <w:tcW w:w="2228" w:type="dxa"/>
            <w:noWrap w:val="0"/>
            <w:vAlign w:val="center"/>
          </w:tcPr>
          <w:p>
            <w:pPr>
              <w:adjustRightInd w:val="0"/>
              <w:snapToGrid w:val="0"/>
              <w:jc w:val="left"/>
              <w:rPr>
                <w:rFonts w:hint="eastAsia" w:ascii="宋体" w:hAnsi="宋体" w:cs="宋体"/>
                <w:szCs w:val="21"/>
              </w:rPr>
            </w:pPr>
            <w:r>
              <w:rPr>
                <w:rFonts w:hAnsiTheme="minorEastAsia" w:eastAsiaTheme="minorEastAsia"/>
                <w:color w:val="000000" w:themeColor="text1"/>
                <w:szCs w:val="21"/>
                <w14:textFill>
                  <w14:solidFill>
                    <w14:schemeClr w14:val="tx1"/>
                  </w14:solidFill>
                </w14:textFill>
              </w:rPr>
              <w:t>道路硬化处理，并定期洒水</w:t>
            </w: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eastAsia" w:ascii="Times New Roman" w:cs="Times New Roman" w:hAnsiTheme="minorEastAsia" w:eastAsiaTheme="minorEastAsia"/>
                <w:color w:val="000000" w:themeColor="text1"/>
                <w:kern w:val="2"/>
                <w:sz w:val="21"/>
                <w:szCs w:val="21"/>
                <w:lang w:val="en-US" w:eastAsia="zh-CN" w:bidi="ar-SA"/>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油烟废气</w:t>
            </w:r>
          </w:p>
        </w:tc>
        <w:tc>
          <w:tcPr>
            <w:tcW w:w="1392" w:type="dxa"/>
            <w:noWrap w:val="0"/>
            <w:vAlign w:val="center"/>
          </w:tcPr>
          <w:p>
            <w:pPr>
              <w:spacing w:line="360" w:lineRule="exact"/>
              <w:jc w:val="center"/>
              <w:rPr>
                <w:rFonts w:hint="eastAsia" w:ascii="Times New Roman" w:cs="Times New Roman" w:hAnsiTheme="minorEastAsia" w:eastAsiaTheme="minorEastAsia"/>
                <w:color w:val="000000" w:themeColor="text1"/>
                <w:kern w:val="2"/>
                <w:sz w:val="21"/>
                <w:szCs w:val="21"/>
                <w:lang w:val="en-US" w:eastAsia="zh-CN" w:bidi="ar-SA"/>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油烟</w:t>
            </w:r>
          </w:p>
        </w:tc>
        <w:tc>
          <w:tcPr>
            <w:tcW w:w="2228" w:type="dxa"/>
            <w:noWrap w:val="0"/>
            <w:vAlign w:val="center"/>
          </w:tcPr>
          <w:p>
            <w:pPr>
              <w:adjustRightInd w:val="0"/>
              <w:snapToGrid w:val="0"/>
              <w:jc w:val="left"/>
              <w:rPr>
                <w:rFonts w:hint="eastAsia" w:ascii="宋体" w:hAnsi="宋体" w:cs="宋体"/>
                <w:szCs w:val="21"/>
              </w:rPr>
            </w:pPr>
            <w:r>
              <w:rPr>
                <w:rFonts w:hint="eastAsia" w:hAnsiTheme="minorEastAsia" w:eastAsiaTheme="minorEastAsia"/>
                <w:color w:val="000000" w:themeColor="text1"/>
                <w:szCs w:val="21"/>
                <w14:textFill>
                  <w14:solidFill>
                    <w14:schemeClr w14:val="tx1"/>
                  </w14:solidFill>
                </w14:textFill>
              </w:rPr>
              <w:t>专用排烟道引至楼顶经油烟净化装置处理后排放</w:t>
            </w:r>
          </w:p>
        </w:tc>
        <w:tc>
          <w:tcPr>
            <w:tcW w:w="1813" w:type="dxa"/>
            <w:noWrap w:val="0"/>
            <w:vAlign w:val="center"/>
          </w:tcPr>
          <w:p>
            <w:pPr>
              <w:adjustRightInd w:val="0"/>
              <w:snapToGrid w:val="0"/>
              <w:jc w:val="center"/>
              <w:rPr>
                <w:rFonts w:hint="eastAsia" w:ascii="宋体" w:hAnsi="宋体" w:cs="宋体" w:eastAsiaTheme="minorEastAsia"/>
                <w:szCs w:val="21"/>
                <w:lang w:eastAsia="zh-CN"/>
              </w:rPr>
            </w:pPr>
            <w:r>
              <w:rPr>
                <w:rFonts w:hint="eastAsia" w:hAnsiTheme="minorEastAsia" w:eastAsiaTheme="minorEastAsia"/>
                <w:color w:val="000000" w:themeColor="text1"/>
                <w:szCs w:val="21"/>
                <w14:textFill>
                  <w14:solidFill>
                    <w14:schemeClr w14:val="tx1"/>
                  </w14:solidFill>
                </w14:textFill>
              </w:rPr>
              <w:t>《饮食业油烟排放标准》（试行）（</w:t>
            </w:r>
            <w:r>
              <w:rPr>
                <w:rFonts w:hAnsiTheme="minorEastAsia" w:eastAsiaTheme="minorEastAsia"/>
                <w:color w:val="000000" w:themeColor="text1"/>
                <w:szCs w:val="21"/>
                <w14:textFill>
                  <w14:solidFill>
                    <w14:schemeClr w14:val="tx1"/>
                  </w14:solidFill>
                </w14:textFill>
              </w:rPr>
              <w:t>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33"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地表水环境</w:t>
            </w:r>
          </w:p>
        </w:tc>
        <w:tc>
          <w:tcPr>
            <w:tcW w:w="1811" w:type="dxa"/>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雨水</w:t>
            </w:r>
          </w:p>
        </w:tc>
        <w:tc>
          <w:tcPr>
            <w:tcW w:w="1392" w:type="dxa"/>
            <w:noWrap w:val="0"/>
            <w:vAlign w:val="center"/>
          </w:tcPr>
          <w:p>
            <w:pPr>
              <w:spacing w:line="360" w:lineRule="exact"/>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SS</w:t>
            </w:r>
          </w:p>
        </w:tc>
        <w:tc>
          <w:tcPr>
            <w:tcW w:w="2228" w:type="dxa"/>
            <w:noWrap w:val="0"/>
            <w:vAlign w:val="center"/>
          </w:tcPr>
          <w:p>
            <w:pPr>
              <w:adjustRightInd w:val="0"/>
              <w:snapToGrid w:val="0"/>
              <w:jc w:val="left"/>
              <w:rPr>
                <w:rFonts w:hint="eastAsia" w:ascii="宋体" w:hAnsi="宋体" w:cs="宋体"/>
                <w:szCs w:val="21"/>
              </w:rPr>
            </w:pPr>
            <w:r>
              <w:rPr>
                <w:rFonts w:hAnsiTheme="minorEastAsia" w:eastAsiaTheme="minorEastAsia"/>
                <w:color w:val="000000" w:themeColor="text1"/>
                <w:kern w:val="0"/>
                <w:szCs w:val="21"/>
                <w14:textFill>
                  <w14:solidFill>
                    <w14:schemeClr w14:val="tx1"/>
                  </w14:solidFill>
                </w14:textFill>
              </w:rPr>
              <w:t>经收集池（</w:t>
            </w:r>
            <w:r>
              <w:rPr>
                <w:rFonts w:hint="eastAsia" w:eastAsiaTheme="minorEastAsia"/>
                <w:color w:val="000000" w:themeColor="text1"/>
                <w:kern w:val="0"/>
                <w:szCs w:val="21"/>
                <w14:textFill>
                  <w14:solidFill>
                    <w14:schemeClr w14:val="tx1"/>
                  </w14:solidFill>
                </w14:textFill>
              </w:rPr>
              <w:t>100</w:t>
            </w:r>
            <w:r>
              <w:rPr>
                <w:rFonts w:eastAsiaTheme="minorEastAsia"/>
                <w:color w:val="000000" w:themeColor="text1"/>
                <w:kern w:val="0"/>
                <w:szCs w:val="21"/>
                <w14:textFill>
                  <w14:solidFill>
                    <w14:schemeClr w14:val="tx1"/>
                  </w14:solidFill>
                </w14:textFill>
              </w:rPr>
              <w:t>m</w:t>
            </w:r>
            <w:r>
              <w:rPr>
                <w:rFonts w:eastAsiaTheme="minorEastAsia"/>
                <w:color w:val="000000" w:themeColor="text1"/>
                <w:kern w:val="0"/>
                <w:szCs w:val="21"/>
                <w:vertAlign w:val="superscript"/>
                <w14:textFill>
                  <w14:solidFill>
                    <w14:schemeClr w14:val="tx1"/>
                  </w14:solidFill>
                </w14:textFill>
              </w:rPr>
              <w:t>3</w:t>
            </w:r>
            <w:r>
              <w:rPr>
                <w:rFonts w:hAnsiTheme="minorEastAsia" w:eastAsiaTheme="minorEastAsia"/>
                <w:color w:val="000000" w:themeColor="text1"/>
                <w:kern w:val="0"/>
                <w:szCs w:val="21"/>
                <w14:textFill>
                  <w14:solidFill>
                    <w14:schemeClr w14:val="tx1"/>
                  </w14:solidFill>
                </w14:textFill>
              </w:rPr>
              <w:t>）处理之后，用于厂区洒水降尘及车辆清洗</w:t>
            </w:r>
          </w:p>
        </w:tc>
        <w:tc>
          <w:tcPr>
            <w:tcW w:w="1813" w:type="dxa"/>
            <w:noWrap w:val="0"/>
            <w:vAlign w:val="center"/>
          </w:tcPr>
          <w:p>
            <w:pPr>
              <w:spacing w:line="360" w:lineRule="exact"/>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生产废水</w:t>
            </w:r>
          </w:p>
        </w:tc>
        <w:tc>
          <w:tcPr>
            <w:tcW w:w="1392"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SS</w:t>
            </w:r>
          </w:p>
        </w:tc>
        <w:tc>
          <w:tcPr>
            <w:tcW w:w="2228" w:type="dxa"/>
            <w:noWrap w:val="0"/>
            <w:vAlign w:val="center"/>
          </w:tcPr>
          <w:p>
            <w:pPr>
              <w:adjustRightInd w:val="0"/>
              <w:snapToGrid w:val="0"/>
              <w:jc w:val="center"/>
              <w:rPr>
                <w:rFonts w:hint="default" w:ascii="宋体" w:hAnsi="宋体" w:cs="宋体"/>
                <w:szCs w:val="21"/>
                <w:lang w:val="en-US"/>
              </w:rPr>
            </w:pPr>
            <w:r>
              <w:rPr>
                <w:rFonts w:hint="eastAsia" w:ascii="Times New Roman" w:cs="Times New Roman" w:hAnsiTheme="minorEastAsia" w:eastAsiaTheme="minorEastAsia"/>
                <w:b w:val="0"/>
                <w:bCs w:val="0"/>
                <w:color w:val="000000" w:themeColor="text1"/>
                <w:kern w:val="2"/>
                <w:sz w:val="21"/>
                <w:szCs w:val="21"/>
                <w:lang w:val="en-US" w:eastAsia="zh-CN" w:bidi="ar-SA"/>
                <w14:textFill>
                  <w14:solidFill>
                    <w14:schemeClr w14:val="tx1"/>
                  </w14:solidFill>
                </w14:textFill>
              </w:rPr>
              <w:t>经压滤机压滤后，加入絮凝剂经三级沉淀池沉淀后循环使用</w:t>
            </w:r>
          </w:p>
        </w:tc>
        <w:tc>
          <w:tcPr>
            <w:tcW w:w="1813"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循环使用，不外排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生活污水</w:t>
            </w:r>
          </w:p>
        </w:tc>
        <w:tc>
          <w:tcPr>
            <w:tcW w:w="139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eastAsiaTheme="minorEastAsia"/>
                <w:color w:val="000000" w:themeColor="text1"/>
                <w:szCs w:val="21"/>
                <w14:textFill>
                  <w14:solidFill>
                    <w14:schemeClr w14:val="tx1"/>
                  </w14:solidFill>
                </w14:textFill>
              </w:rPr>
              <w:t>COD、BOD、SS、NH</w:t>
            </w:r>
            <w:r>
              <w:rPr>
                <w:rFonts w:hint="default" w:ascii="Times New Roman" w:hAnsi="Times New Roman" w:cs="Times New Roman" w:eastAsiaTheme="minorEastAsia"/>
                <w:color w:val="000000" w:themeColor="text1"/>
                <w:szCs w:val="21"/>
                <w:vertAlign w:val="subscript"/>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-N、</w:t>
            </w:r>
          </w:p>
        </w:tc>
        <w:tc>
          <w:tcPr>
            <w:tcW w:w="2228" w:type="dxa"/>
            <w:noWrap w:val="0"/>
            <w:vAlign w:val="center"/>
          </w:tcPr>
          <w:p>
            <w:pPr>
              <w:adjustRightInd w:val="0"/>
              <w:snapToGrid w:val="0"/>
              <w:jc w:val="center"/>
              <w:rPr>
                <w:rFonts w:hint="eastAsia" w:ascii="宋体" w:hAnsi="宋体" w:cs="宋体"/>
                <w:szCs w:val="21"/>
              </w:rPr>
            </w:pPr>
            <w:r>
              <w:rPr>
                <w:rFonts w:hAnsiTheme="minorEastAsia" w:eastAsiaTheme="minorEastAsia"/>
                <w:color w:val="000000" w:themeColor="text1"/>
                <w:szCs w:val="21"/>
                <w14:textFill>
                  <w14:solidFill>
                    <w14:schemeClr w14:val="tx1"/>
                  </w14:solidFill>
                </w14:textFill>
              </w:rPr>
              <w:t>生活污水经化粪池（</w:t>
            </w:r>
            <w:r>
              <w:rPr>
                <w:rFonts w:eastAsiaTheme="minorEastAsia"/>
                <w:color w:val="000000" w:themeColor="text1"/>
                <w:szCs w:val="21"/>
                <w14:textFill>
                  <w14:solidFill>
                    <w14:schemeClr w14:val="tx1"/>
                  </w14:solidFill>
                </w14:textFill>
              </w:rPr>
              <w:t>20m</w:t>
            </w:r>
            <w:r>
              <w:rPr>
                <w:rFonts w:eastAsiaTheme="minorEastAsia"/>
                <w:color w:val="000000" w:themeColor="text1"/>
                <w:szCs w:val="21"/>
                <w:vertAlign w:val="superscript"/>
                <w14:textFill>
                  <w14:solidFill>
                    <w14:schemeClr w14:val="tx1"/>
                  </w14:solidFill>
                </w14:textFill>
              </w:rPr>
              <w:t>3</w:t>
            </w:r>
            <w:r>
              <w:rPr>
                <w:rFonts w:hAnsiTheme="minorEastAsia" w:eastAsiaTheme="minorEastAsia"/>
                <w:color w:val="000000" w:themeColor="text1"/>
                <w:szCs w:val="21"/>
                <w14:textFill>
                  <w14:solidFill>
                    <w14:schemeClr w14:val="tx1"/>
                  </w14:solidFill>
                </w14:textFill>
              </w:rPr>
              <w:t>）集中收集处理后由当地村民拉运肥田处理</w:t>
            </w:r>
          </w:p>
        </w:tc>
        <w:tc>
          <w:tcPr>
            <w:tcW w:w="1813" w:type="dxa"/>
            <w:noWrap w:val="0"/>
            <w:vAlign w:val="center"/>
          </w:tcPr>
          <w:p>
            <w:pPr>
              <w:pStyle w:val="9"/>
              <w:spacing w:after="0" w:line="360" w:lineRule="exact"/>
              <w:ind w:left="0" w:leftChars="0"/>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sz w:val="21"/>
                <w:szCs w:val="21"/>
                <w14:textFill>
                  <w14:solidFill>
                    <w14:schemeClr w14:val="tx1"/>
                  </w14:solidFill>
                </w14:textFill>
              </w:rPr>
              <w:t>综合利用，不向地表水体排放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33"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声环境</w:t>
            </w:r>
          </w:p>
        </w:tc>
        <w:tc>
          <w:tcPr>
            <w:tcW w:w="7244" w:type="dxa"/>
            <w:gridSpan w:val="4"/>
            <w:noWrap w:val="0"/>
            <w:vAlign w:val="center"/>
          </w:tcPr>
          <w:p>
            <w:pPr>
              <w:adjustRightInd w:val="0"/>
              <w:snapToGrid w:val="0"/>
              <w:jc w:val="center"/>
              <w:rPr>
                <w:rFonts w:hint="eastAsia" w:ascii="宋体" w:hAnsi="宋体" w:cs="宋体"/>
                <w:szCs w:val="21"/>
              </w:rPr>
            </w:pPr>
            <w:r>
              <w:rPr>
                <w:rFonts w:hAnsiTheme="minorEastAsia" w:eastAsiaTheme="minorEastAsia"/>
                <w:color w:val="000000" w:themeColor="text1"/>
                <w:szCs w:val="21"/>
                <w14:textFill>
                  <w14:solidFill>
                    <w14:schemeClr w14:val="tx1"/>
                  </w14:solidFill>
                </w14:textFill>
              </w:rPr>
              <w:t>在设备选型时优先选用低噪音设备，将噪声源设备加减震垫，消声器，设置隔声门窗等措施控制项目对外界的噪声影响，</w:t>
            </w:r>
            <w:r>
              <w:rPr>
                <w:rFonts w:hAnsiTheme="minorEastAsia" w:eastAsiaTheme="minorEastAsia"/>
                <w:color w:val="000000" w:themeColor="text1"/>
                <w:kern w:val="0"/>
                <w:szCs w:val="21"/>
                <w14:textFill>
                  <w14:solidFill>
                    <w14:schemeClr w14:val="tx1"/>
                  </w14:solidFill>
                </w14:textFill>
              </w:rPr>
              <w:t>各厂界噪声昼夜均可达标。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33" w:type="dxa"/>
            <w:vMerge w:val="restart"/>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固体废物</w:t>
            </w:r>
          </w:p>
        </w:tc>
        <w:tc>
          <w:tcPr>
            <w:tcW w:w="1811"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爆破剥离</w:t>
            </w:r>
          </w:p>
        </w:tc>
        <w:tc>
          <w:tcPr>
            <w:tcW w:w="1392"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废弃土石</w:t>
            </w:r>
          </w:p>
        </w:tc>
        <w:tc>
          <w:tcPr>
            <w:tcW w:w="2228" w:type="dxa"/>
            <w:vMerge w:val="restart"/>
            <w:noWrap w:val="0"/>
            <w:vAlign w:val="center"/>
          </w:tcPr>
          <w:p>
            <w:pPr>
              <w:adjustRightInd w:val="0"/>
              <w:snapToGrid w:val="0"/>
              <w:jc w:val="center"/>
              <w:rPr>
                <w:rFonts w:hint="eastAsia" w:ascii="宋体" w:hAnsi="宋体" w:cs="宋体"/>
                <w:szCs w:val="21"/>
              </w:rPr>
            </w:pPr>
            <w:r>
              <w:rPr>
                <w:rFonts w:hint="eastAsia" w:hAnsiTheme="minorEastAsia" w:eastAsiaTheme="minorEastAsia"/>
                <w:color w:val="000000" w:themeColor="text1"/>
                <w:kern w:val="0"/>
                <w:szCs w:val="21"/>
                <w:lang w:val="en-US" w:eastAsia="zh-CN"/>
                <w14:textFill>
                  <w14:solidFill>
                    <w14:schemeClr w14:val="tx1"/>
                  </w14:solidFill>
                </w14:textFill>
              </w:rPr>
              <w:t>定期清理，</w:t>
            </w:r>
            <w:r>
              <w:rPr>
                <w:rFonts w:hAnsiTheme="minorEastAsia" w:eastAsiaTheme="minorEastAsia"/>
                <w:color w:val="000000" w:themeColor="text1"/>
                <w:kern w:val="0"/>
                <w:szCs w:val="21"/>
                <w14:textFill>
                  <w14:solidFill>
                    <w14:schemeClr w14:val="tx1"/>
                  </w14:solidFill>
                </w14:textFill>
              </w:rPr>
              <w:t>堆放至排土场</w:t>
            </w:r>
          </w:p>
        </w:tc>
        <w:tc>
          <w:tcPr>
            <w:tcW w:w="1813" w:type="dxa"/>
            <w:vMerge w:val="restart"/>
            <w:noWrap w:val="0"/>
            <w:vAlign w:val="center"/>
          </w:tcPr>
          <w:p>
            <w:pPr>
              <w:adjustRightInd w:val="0"/>
              <w:snapToGrid w:val="0"/>
              <w:jc w:val="center"/>
              <w:rPr>
                <w:rFonts w:hint="eastAsia" w:ascii="宋体" w:hAnsi="宋体" w:cs="宋体"/>
                <w:szCs w:val="21"/>
              </w:rPr>
            </w:pPr>
            <w:r>
              <w:rPr>
                <w:rFonts w:hAnsiTheme="minorEastAsia" w:eastAsiaTheme="minorEastAsia"/>
                <w:color w:val="000000" w:themeColor="text1"/>
                <w:kern w:val="0"/>
                <w:szCs w:val="21"/>
                <w14:textFill>
                  <w14:solidFill>
                    <w14:schemeClr w14:val="tx1"/>
                  </w14:solidFill>
                </w14:textFill>
              </w:rPr>
              <w:t>资源化、无害化、减量化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加工区</w:t>
            </w:r>
          </w:p>
        </w:tc>
        <w:tc>
          <w:tcPr>
            <w:tcW w:w="1392"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收集的粉尘</w:t>
            </w:r>
          </w:p>
        </w:tc>
        <w:tc>
          <w:tcPr>
            <w:tcW w:w="2228" w:type="dxa"/>
            <w:vMerge w:val="continue"/>
            <w:noWrap w:val="0"/>
            <w:vAlign w:val="center"/>
          </w:tcPr>
          <w:p>
            <w:pPr>
              <w:adjustRightInd w:val="0"/>
              <w:snapToGrid w:val="0"/>
              <w:jc w:val="center"/>
              <w:rPr>
                <w:rFonts w:hint="eastAsia" w:ascii="宋体" w:hAnsi="宋体" w:cs="宋体"/>
                <w:szCs w:val="21"/>
              </w:rPr>
            </w:pP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default"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沉淀池</w:t>
            </w:r>
          </w:p>
        </w:tc>
        <w:tc>
          <w:tcPr>
            <w:tcW w:w="1392" w:type="dxa"/>
            <w:noWrap w:val="0"/>
            <w:vAlign w:val="center"/>
          </w:tcPr>
          <w:p>
            <w:pPr>
              <w:spacing w:line="360" w:lineRule="exact"/>
              <w:jc w:val="center"/>
              <w:rPr>
                <w:rFonts w:hint="default"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沉淀池底泥</w:t>
            </w:r>
          </w:p>
        </w:tc>
        <w:tc>
          <w:tcPr>
            <w:tcW w:w="2228" w:type="dxa"/>
            <w:vMerge w:val="continue"/>
            <w:noWrap w:val="0"/>
            <w:vAlign w:val="center"/>
          </w:tcPr>
          <w:p>
            <w:pPr>
              <w:adjustRightInd w:val="0"/>
              <w:snapToGrid w:val="0"/>
              <w:jc w:val="center"/>
              <w:rPr>
                <w:rFonts w:hint="eastAsia" w:ascii="宋体" w:hAnsi="宋体" w:cs="宋体"/>
                <w:szCs w:val="21"/>
              </w:rPr>
            </w:pP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default"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压滤机</w:t>
            </w:r>
          </w:p>
        </w:tc>
        <w:tc>
          <w:tcPr>
            <w:tcW w:w="1392" w:type="dxa"/>
            <w:noWrap w:val="0"/>
            <w:vAlign w:val="center"/>
          </w:tcPr>
          <w:p>
            <w:pPr>
              <w:spacing w:line="360" w:lineRule="exact"/>
              <w:jc w:val="center"/>
              <w:rPr>
                <w:rFonts w:hint="eastAsia" w:hAnsiTheme="minorEastAsia" w:eastAsiaTheme="minorEastAsia"/>
                <w:color w:val="000000" w:themeColor="text1"/>
                <w:kern w:val="0"/>
                <w:szCs w:val="21"/>
                <w:lang w:val="en-US" w:eastAsia="zh-CN"/>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泥饼</w:t>
            </w:r>
          </w:p>
        </w:tc>
        <w:tc>
          <w:tcPr>
            <w:tcW w:w="2228" w:type="dxa"/>
            <w:vMerge w:val="continue"/>
            <w:noWrap w:val="0"/>
            <w:vAlign w:val="center"/>
          </w:tcPr>
          <w:p>
            <w:pPr>
              <w:adjustRightInd w:val="0"/>
              <w:snapToGrid w:val="0"/>
              <w:jc w:val="center"/>
              <w:rPr>
                <w:rFonts w:hint="eastAsia" w:ascii="宋体" w:hAnsi="宋体" w:cs="宋体"/>
                <w:szCs w:val="21"/>
              </w:rPr>
            </w:pP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生活区</w:t>
            </w:r>
          </w:p>
        </w:tc>
        <w:tc>
          <w:tcPr>
            <w:tcW w:w="1392"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生活垃圾</w:t>
            </w:r>
          </w:p>
        </w:tc>
        <w:tc>
          <w:tcPr>
            <w:tcW w:w="2228" w:type="dxa"/>
            <w:noWrap w:val="0"/>
            <w:vAlign w:val="center"/>
          </w:tcPr>
          <w:p>
            <w:pPr>
              <w:spacing w:line="360" w:lineRule="exact"/>
              <w:jc w:val="left"/>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由垃圾桶收集，定期清运至市垃圾收集点</w:t>
            </w: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833" w:type="dxa"/>
            <w:vMerge w:val="continue"/>
            <w:noWrap w:val="0"/>
            <w:vAlign w:val="center"/>
          </w:tcPr>
          <w:p>
            <w:pPr>
              <w:adjustRightInd w:val="0"/>
              <w:snapToGrid w:val="0"/>
              <w:jc w:val="center"/>
              <w:rPr>
                <w:rFonts w:hint="eastAsia" w:ascii="宋体" w:hAnsi="宋体" w:cs="宋体"/>
                <w:szCs w:val="21"/>
              </w:rPr>
            </w:pPr>
          </w:p>
        </w:tc>
        <w:tc>
          <w:tcPr>
            <w:tcW w:w="1811"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废机油</w:t>
            </w:r>
          </w:p>
        </w:tc>
        <w:tc>
          <w:tcPr>
            <w:tcW w:w="1392" w:type="dxa"/>
            <w:noWrap w:val="0"/>
            <w:vAlign w:val="center"/>
          </w:tcPr>
          <w:p>
            <w:pPr>
              <w:spacing w:line="360" w:lineRule="exact"/>
              <w:jc w:val="cente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废</w:t>
            </w:r>
            <w:r>
              <w:rPr>
                <w:rFonts w:hint="eastAsia" w:hAnsiTheme="minorEastAsia" w:eastAsiaTheme="minorEastAsia"/>
                <w:color w:val="000000" w:themeColor="text1"/>
                <w:kern w:val="0"/>
                <w:szCs w:val="21"/>
                <w:lang w:val="en-US" w:eastAsia="zh-CN"/>
                <w14:textFill>
                  <w14:solidFill>
                    <w14:schemeClr w14:val="tx1"/>
                  </w14:solidFill>
                </w14:textFill>
              </w:rPr>
              <w:t>机油</w:t>
            </w:r>
          </w:p>
        </w:tc>
        <w:tc>
          <w:tcPr>
            <w:tcW w:w="2228" w:type="dxa"/>
            <w:noWrap w:val="0"/>
            <w:vAlign w:val="center"/>
          </w:tcPr>
          <w:p>
            <w:pPr>
              <w:spacing w:line="360" w:lineRule="exact"/>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hAnsiTheme="minorEastAsia" w:eastAsiaTheme="minorEastAsia"/>
                <w:color w:val="000000" w:themeColor="text1"/>
                <w:kern w:val="0"/>
                <w:szCs w:val="21"/>
                <w:lang w:val="en-US" w:eastAsia="zh-CN"/>
                <w14:textFill>
                  <w14:solidFill>
                    <w14:schemeClr w14:val="tx1"/>
                  </w14:solidFill>
                </w14:textFill>
              </w:rPr>
              <w:t>收集于危废暂存间，定期交有资质单位处置。</w:t>
            </w:r>
          </w:p>
        </w:tc>
        <w:tc>
          <w:tcPr>
            <w:tcW w:w="1813"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33"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土壤及地下水</w:t>
            </w:r>
          </w:p>
          <w:p>
            <w:pPr>
              <w:adjustRightInd w:val="0"/>
              <w:snapToGrid w:val="0"/>
              <w:jc w:val="center"/>
              <w:rPr>
                <w:rFonts w:hint="eastAsia" w:ascii="宋体" w:hAnsi="宋体" w:cs="宋体"/>
                <w:szCs w:val="21"/>
              </w:rPr>
            </w:pPr>
            <w:r>
              <w:rPr>
                <w:rFonts w:hint="eastAsia" w:ascii="宋体" w:hAnsi="宋体" w:cs="宋体"/>
                <w:szCs w:val="21"/>
              </w:rPr>
              <w:t>污染防治措施</w:t>
            </w:r>
          </w:p>
        </w:tc>
        <w:tc>
          <w:tcPr>
            <w:tcW w:w="7244" w:type="dxa"/>
            <w:gridSpan w:val="4"/>
            <w:noWrap w:val="0"/>
            <w:vAlign w:val="center"/>
          </w:tcPr>
          <w:p>
            <w:pPr>
              <w:adjustRightInd w:val="0"/>
              <w:snapToGrid w:val="0"/>
              <w:jc w:val="center"/>
              <w:rPr>
                <w:rFonts w:hint="eastAsia" w:ascii="宋体" w:hAnsi="宋体" w:cs="宋体"/>
                <w:szCs w:val="21"/>
              </w:rPr>
            </w:pPr>
            <w:r>
              <w:rPr>
                <w:rFonts w:hint="default" w:ascii="Times New Roman" w:hAnsi="Times New Roman" w:eastAsia="宋体" w:cs="Times New Roman"/>
                <w:szCs w:val="21"/>
              </w:rPr>
              <w:t>化粪池防渗、危废暂存间围堰底部防渗，厂区绿化硬化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3"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生态保护措施</w:t>
            </w:r>
          </w:p>
        </w:tc>
        <w:tc>
          <w:tcPr>
            <w:tcW w:w="7244" w:type="dxa"/>
            <w:gridSpan w:val="4"/>
            <w:noWrap w:val="0"/>
            <w:vAlign w:val="center"/>
          </w:tcPr>
          <w:p>
            <w:pPr>
              <w:adjustRightInd w:val="0"/>
              <w:snapToGrid w:val="0"/>
              <w:jc w:val="center"/>
              <w:rPr>
                <w:rFonts w:hint="eastAsia" w:ascii="宋体" w:hAnsi="宋体" w:cs="宋体"/>
                <w:szCs w:val="21"/>
              </w:rPr>
            </w:pPr>
            <w:r>
              <w:rPr>
                <w:rFonts w:hint="default" w:ascii="Times New Roman" w:hAnsi="Times New Roman" w:eastAsia="宋体" w:cs="Times New Roman"/>
                <w:szCs w:val="21"/>
              </w:rPr>
              <w:t>厂区绿化率达到10%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833" w:type="dxa"/>
            <w:noWrap w:val="0"/>
            <w:vAlign w:val="center"/>
          </w:tcPr>
          <w:p>
            <w:pPr>
              <w:adjustRightInd w:val="0"/>
              <w:snapToGrid w:val="0"/>
              <w:jc w:val="center"/>
              <w:rPr>
                <w:rFonts w:ascii="宋体" w:hAnsi="宋体" w:cs="宋体"/>
                <w:spacing w:val="-8"/>
                <w:szCs w:val="21"/>
              </w:rPr>
            </w:pPr>
            <w:r>
              <w:rPr>
                <w:rFonts w:hint="eastAsia" w:ascii="宋体" w:hAnsi="宋体" w:cs="宋体"/>
                <w:spacing w:val="-8"/>
                <w:szCs w:val="21"/>
              </w:rPr>
              <w:t>环境风险</w:t>
            </w:r>
          </w:p>
          <w:p>
            <w:pPr>
              <w:adjustRightInd w:val="0"/>
              <w:snapToGrid w:val="0"/>
              <w:jc w:val="center"/>
              <w:rPr>
                <w:rFonts w:hint="eastAsia" w:ascii="宋体" w:hAnsi="宋体" w:cs="宋体"/>
                <w:spacing w:val="-8"/>
                <w:szCs w:val="21"/>
              </w:rPr>
            </w:pPr>
            <w:r>
              <w:rPr>
                <w:rFonts w:hint="eastAsia" w:ascii="宋体" w:hAnsi="宋体" w:cs="宋体"/>
                <w:spacing w:val="-8"/>
                <w:szCs w:val="21"/>
              </w:rPr>
              <w:t>防范措施</w:t>
            </w:r>
          </w:p>
        </w:tc>
        <w:tc>
          <w:tcPr>
            <w:tcW w:w="7244" w:type="dxa"/>
            <w:gridSpan w:val="4"/>
            <w:noWrap w:val="0"/>
            <w:vAlign w:val="center"/>
          </w:tcPr>
          <w:p>
            <w:pPr>
              <w:adjustRightInd w:val="0"/>
              <w:snapToGrid w:val="0"/>
              <w:jc w:val="left"/>
              <w:rPr>
                <w:rFonts w:hint="default" w:ascii="Times New Roman" w:hAnsi="Times New Roman" w:eastAsia="宋体" w:cs="Times New Roman"/>
                <w:szCs w:val="21"/>
              </w:rPr>
            </w:pPr>
            <w:r>
              <w:rPr>
                <w:rFonts w:hint="default" w:ascii="Times New Roman" w:hAnsi="Times New Roman" w:eastAsia="宋体" w:cs="Times New Roman"/>
                <w:szCs w:val="21"/>
              </w:rPr>
              <w:t>管控措施：</w:t>
            </w:r>
          </w:p>
          <w:p>
            <w:pPr>
              <w:adjustRightInd w:val="0"/>
              <w:snapToGrid w:val="0"/>
              <w:jc w:val="left"/>
              <w:rPr>
                <w:rFonts w:hint="default" w:ascii="Times New Roman" w:hAnsi="Times New Roman" w:eastAsia="宋体" w:cs="Times New Roman"/>
                <w:szCs w:val="21"/>
              </w:rPr>
            </w:pPr>
            <w:r>
              <w:rPr>
                <w:rFonts w:hint="default" w:ascii="Times New Roman" w:hAnsi="Times New Roman" w:eastAsia="宋体" w:cs="Times New Roman"/>
                <w:szCs w:val="21"/>
              </w:rPr>
              <w:t>①危废存储区放置托盘。</w:t>
            </w:r>
          </w:p>
          <w:p>
            <w:pPr>
              <w:adjustRightInd w:val="0"/>
              <w:snapToGrid w:val="0"/>
              <w:jc w:val="left"/>
              <w:rPr>
                <w:rFonts w:hint="default" w:ascii="Times New Roman" w:hAnsi="Times New Roman" w:eastAsia="宋体" w:cs="Times New Roman"/>
                <w:szCs w:val="21"/>
              </w:rPr>
            </w:pPr>
            <w:r>
              <w:rPr>
                <w:rFonts w:hint="default" w:ascii="Times New Roman" w:hAnsi="Times New Roman" w:eastAsia="宋体" w:cs="Times New Roman"/>
                <w:szCs w:val="21"/>
              </w:rPr>
              <w:t>②在机油存储区和危废暂存间发生火灾事故时，采用干式灭火，避免产生消防废水。</w:t>
            </w:r>
          </w:p>
          <w:p>
            <w:pPr>
              <w:adjustRightInd w:val="0"/>
              <w:snapToGrid w:val="0"/>
              <w:jc w:val="left"/>
              <w:rPr>
                <w:rFonts w:hint="default" w:ascii="Times New Roman" w:hAnsi="Times New Roman" w:eastAsia="宋体" w:cs="Times New Roman"/>
                <w:szCs w:val="21"/>
              </w:rPr>
            </w:pPr>
            <w:r>
              <w:rPr>
                <w:rFonts w:hint="default" w:ascii="Times New Roman" w:hAnsi="Times New Roman" w:eastAsia="宋体" w:cs="Times New Roman"/>
                <w:szCs w:val="21"/>
              </w:rPr>
              <w:t>管理措施：</w:t>
            </w:r>
          </w:p>
          <w:p>
            <w:pPr>
              <w:adjustRightInd w:val="0"/>
              <w:snapToGrid w:val="0"/>
              <w:jc w:val="center"/>
              <w:rPr>
                <w:rFonts w:hint="eastAsia" w:ascii="宋体" w:hAnsi="宋体" w:cs="宋体"/>
                <w:szCs w:val="21"/>
              </w:rPr>
            </w:pPr>
            <w:r>
              <w:rPr>
                <w:rFonts w:hint="default" w:ascii="Times New Roman" w:hAnsi="Times New Roman" w:eastAsia="宋体" w:cs="Times New Roman"/>
                <w:szCs w:val="21"/>
              </w:rPr>
              <w:t>在危废暂存间附近设置灭火器、消防沙等应急物资，并加强管理严禁烟火。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33" w:type="dxa"/>
            <w:noWrap w:val="0"/>
            <w:vAlign w:val="center"/>
          </w:tcPr>
          <w:p>
            <w:pPr>
              <w:adjustRightInd w:val="0"/>
              <w:snapToGrid w:val="0"/>
              <w:jc w:val="center"/>
              <w:rPr>
                <w:rFonts w:ascii="宋体" w:hAnsi="宋体" w:cs="宋体"/>
                <w:spacing w:val="-8"/>
                <w:szCs w:val="21"/>
              </w:rPr>
            </w:pPr>
            <w:r>
              <w:rPr>
                <w:rFonts w:hint="eastAsia" w:ascii="宋体" w:hAnsi="宋体" w:cs="宋体"/>
                <w:spacing w:val="-8"/>
                <w:szCs w:val="21"/>
              </w:rPr>
              <w:t>其他环境</w:t>
            </w:r>
          </w:p>
          <w:p>
            <w:pPr>
              <w:adjustRightInd w:val="0"/>
              <w:snapToGrid w:val="0"/>
              <w:jc w:val="center"/>
              <w:rPr>
                <w:rFonts w:hint="eastAsia" w:ascii="宋体" w:hAnsi="宋体" w:cs="宋体"/>
                <w:spacing w:val="-8"/>
                <w:szCs w:val="21"/>
              </w:rPr>
            </w:pPr>
            <w:r>
              <w:rPr>
                <w:rFonts w:hint="eastAsia" w:ascii="宋体" w:hAnsi="宋体" w:cs="宋体"/>
                <w:spacing w:val="-8"/>
                <w:szCs w:val="21"/>
              </w:rPr>
              <w:t>管理要求</w:t>
            </w:r>
          </w:p>
        </w:tc>
        <w:tc>
          <w:tcPr>
            <w:tcW w:w="7244" w:type="dxa"/>
            <w:gridSpan w:val="4"/>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制定环境保护制度，健全环保管理机构，制定自行监测计划，按要求开展</w:t>
            </w:r>
          </w:p>
          <w:p>
            <w:pPr>
              <w:adjustRightInd w:val="0"/>
              <w:snapToGrid w:val="0"/>
              <w:rPr>
                <w:rFonts w:hint="eastAsia" w:ascii="宋体" w:hAnsi="宋体" w:cs="宋体"/>
                <w:szCs w:val="21"/>
              </w:rPr>
            </w:pPr>
            <w:r>
              <w:rPr>
                <w:rFonts w:hint="default" w:ascii="Times New Roman" w:hAnsi="Times New Roman" w:eastAsia="宋体" w:cs="Times New Roman"/>
                <w:szCs w:val="21"/>
              </w:rPr>
              <w:t>自行监测和竣工环境保护设施验收</w:t>
            </w:r>
            <w:r>
              <w:rPr>
                <w:rFonts w:hint="default" w:ascii="Times New Roman" w:hAnsi="Times New Roman" w:eastAsia="宋体" w:cs="Times New Roman"/>
                <w:szCs w:val="21"/>
                <w:lang w:eastAsia="zh-CN"/>
              </w:rPr>
              <w:t>。</w:t>
            </w:r>
          </w:p>
        </w:tc>
      </w:tr>
    </w:tbl>
    <w:p>
      <w:pPr>
        <w:pStyle w:val="15"/>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ind w:firstLine="482" w:firstLineChars="200"/>
              <w:rPr>
                <w:rFonts w:ascii="宋体" w:cs="宋体"/>
                <w:b/>
                <w:bCs/>
                <w:sz w:val="24"/>
              </w:rPr>
            </w:pPr>
            <w:r>
              <w:rPr>
                <w:rFonts w:ascii="宋体" w:cs="宋体"/>
                <w:b/>
                <w:bCs/>
                <w:sz w:val="24"/>
              </w:rPr>
              <w:t>本项目符合国家产业政策，在采取环评报告提出的各项环保措施后，项目建设运营过程中对周边环境的不利影响可得到有效控制，从环保角度分析，项目建设可行。</w:t>
            </w:r>
          </w:p>
          <w:p>
            <w:pPr>
              <w:spacing w:line="360" w:lineRule="auto"/>
              <w:rPr>
                <w:rFonts w:ascii="宋体" w:cs="宋体"/>
                <w:sz w:val="24"/>
              </w:rPr>
            </w:pPr>
          </w:p>
        </w:tc>
      </w:tr>
    </w:tbl>
    <w:p>
      <w:pPr>
        <w:rPr>
          <w:rFonts w:ascii="宋体"/>
        </w:rPr>
        <w:sectPr>
          <w:pgSz w:w="11906" w:h="16838"/>
          <w:pgMar w:top="1701" w:right="1531" w:bottom="1701" w:left="1531" w:header="851" w:footer="851" w:gutter="0"/>
          <w:cols w:space="720" w:num="1"/>
          <w:docGrid w:linePitch="312" w:charSpace="0"/>
        </w:sectPr>
      </w:pPr>
    </w:p>
    <w:p>
      <w:pPr>
        <w:pStyle w:val="15"/>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5"/>
        <w:adjustRightInd w:val="0"/>
        <w:snapToGrid w:val="0"/>
        <w:spacing w:before="0" w:beforeAutospacing="0" w:after="0" w:afterAutospacing="0" w:line="552" w:lineRule="auto"/>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33"/>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33"/>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17" w:type="dxa"/>
            <w:noWrap w:val="0"/>
            <w:tcMar>
              <w:left w:w="28" w:type="dxa"/>
              <w:right w:w="28" w:type="dxa"/>
            </w:tcMar>
            <w:vAlign w:val="center"/>
          </w:tcPr>
          <w:p>
            <w:pPr>
              <w:pStyle w:val="33"/>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33"/>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761"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33"/>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959" w:type="dxa"/>
            <w:noWrap w:val="0"/>
            <w:tcMar>
              <w:left w:w="28" w:type="dxa"/>
              <w:right w:w="28" w:type="dxa"/>
            </w:tcMar>
            <w:vAlign w:val="center"/>
          </w:tcPr>
          <w:p>
            <w:pPr>
              <w:pStyle w:val="33"/>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pPr>
              <w:pStyle w:val="33"/>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826" w:type="dxa"/>
            <w:noWrap w:val="0"/>
            <w:tcMar>
              <w:left w:w="28" w:type="dxa"/>
              <w:right w:w="28" w:type="dxa"/>
            </w:tcMar>
            <w:vAlign w:val="center"/>
          </w:tcPr>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3"/>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17" w:type="dxa"/>
            <w:noWrap w:val="0"/>
            <w:vAlign w:val="center"/>
          </w:tcPr>
          <w:p>
            <w:pPr>
              <w:pStyle w:val="33"/>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颗粒物</w:t>
            </w: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276"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559" w:type="dxa"/>
            <w:noWrap w:val="0"/>
            <w:vAlign w:val="center"/>
          </w:tcPr>
          <w:p>
            <w:pPr>
              <w:pStyle w:val="33"/>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9.138</w:t>
            </w:r>
            <w:r>
              <w:rPr>
                <w:rFonts w:hint="default" w:ascii="Times New Roman" w:hAnsi="Times New Roman" w:cs="Times New Roman"/>
                <w:snapToGrid w:val="0"/>
                <w:color w:val="auto"/>
                <w:kern w:val="21"/>
                <w:szCs w:val="21"/>
                <w:lang w:val="en-US" w:eastAsia="zh-CN"/>
              </w:rPr>
              <w:t>t/a</w:t>
            </w:r>
          </w:p>
        </w:tc>
        <w:tc>
          <w:tcPr>
            <w:tcW w:w="1761" w:type="dxa"/>
            <w:noWrap w:val="0"/>
            <w:vAlign w:val="center"/>
          </w:tcPr>
          <w:p>
            <w:pPr>
              <w:pStyle w:val="33"/>
              <w:spacing w:beforeLines="0" w:afterLines="0" w:line="240" w:lineRule="auto"/>
              <w:rPr>
                <w:rFonts w:hint="default" w:ascii="Times New Roman" w:hAnsi="Times New Roman" w:cs="Times New Roman"/>
                <w:snapToGrid w:val="0"/>
                <w:color w:val="auto"/>
                <w:kern w:val="21"/>
                <w:szCs w:val="21"/>
              </w:rPr>
            </w:pPr>
          </w:p>
        </w:tc>
        <w:tc>
          <w:tcPr>
            <w:tcW w:w="1959" w:type="dxa"/>
            <w:noWrap w:val="0"/>
            <w:vAlign w:val="center"/>
          </w:tcPr>
          <w:p>
            <w:pPr>
              <w:pStyle w:val="33"/>
              <w:spacing w:beforeLines="0" w:afterLines="0" w:line="240" w:lineRule="auto"/>
              <w:rPr>
                <w:rFonts w:hint="default" w:hAnsi="宋体" w:eastAsia="宋体" w:cs="宋体"/>
                <w:snapToGrid w:val="0"/>
                <w:color w:val="auto"/>
                <w:kern w:val="21"/>
                <w:szCs w:val="21"/>
                <w:lang w:val="en-US" w:eastAsia="zh-CN"/>
              </w:rPr>
            </w:pPr>
            <w:r>
              <w:rPr>
                <w:rFonts w:hint="eastAsia" w:ascii="Times New Roman" w:cs="Times New Roman"/>
                <w:snapToGrid w:val="0"/>
                <w:color w:val="auto"/>
                <w:kern w:val="21"/>
                <w:szCs w:val="21"/>
                <w:lang w:val="en-US" w:eastAsia="zh-CN"/>
              </w:rPr>
              <w:t>9.138</w:t>
            </w:r>
            <w:r>
              <w:rPr>
                <w:rFonts w:hint="default" w:ascii="Times New Roman" w:hAnsi="Times New Roman" w:cs="Times New Roman"/>
                <w:snapToGrid w:val="0"/>
                <w:color w:val="auto"/>
                <w:kern w:val="21"/>
                <w:szCs w:val="21"/>
                <w:lang w:val="en-US" w:eastAsia="zh-CN"/>
              </w:rPr>
              <w:t>t/a</w:t>
            </w:r>
          </w:p>
        </w:tc>
        <w:tc>
          <w:tcPr>
            <w:tcW w:w="826" w:type="dxa"/>
            <w:noWrap w:val="0"/>
            <w:vAlign w:val="center"/>
          </w:tcPr>
          <w:p>
            <w:pPr>
              <w:pStyle w:val="33"/>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3"/>
              <w:spacing w:beforeLines="0" w:afterLines="0" w:line="240" w:lineRule="auto"/>
              <w:rPr>
                <w:rFonts w:hint="eastAsia" w:hAnsi="宋体" w:cs="宋体"/>
                <w:snapToGrid w:val="0"/>
                <w:color w:val="000000"/>
                <w:kern w:val="21"/>
                <w:szCs w:val="21"/>
              </w:rPr>
            </w:pPr>
          </w:p>
        </w:tc>
        <w:tc>
          <w:tcPr>
            <w:tcW w:w="1417"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276"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559" w:type="dxa"/>
            <w:noWrap w:val="0"/>
            <w:vAlign w:val="center"/>
          </w:tcPr>
          <w:p>
            <w:pPr>
              <w:pStyle w:val="33"/>
              <w:spacing w:beforeLines="0" w:afterLines="0" w:line="240" w:lineRule="auto"/>
              <w:rPr>
                <w:rFonts w:hAnsi="宋体" w:cs="宋体"/>
                <w:snapToGrid w:val="0"/>
                <w:color w:val="000000"/>
                <w:kern w:val="21"/>
                <w:szCs w:val="21"/>
              </w:rPr>
            </w:pPr>
          </w:p>
        </w:tc>
        <w:tc>
          <w:tcPr>
            <w:tcW w:w="1761" w:type="dxa"/>
            <w:noWrap w:val="0"/>
            <w:vAlign w:val="center"/>
          </w:tcPr>
          <w:p>
            <w:pPr>
              <w:pStyle w:val="33"/>
              <w:spacing w:beforeLines="0" w:afterLines="0" w:line="240" w:lineRule="auto"/>
              <w:rPr>
                <w:rFonts w:hAnsi="宋体" w:cs="宋体"/>
                <w:snapToGrid w:val="0"/>
                <w:color w:val="000000"/>
                <w:kern w:val="21"/>
                <w:szCs w:val="21"/>
              </w:rPr>
            </w:pPr>
          </w:p>
        </w:tc>
        <w:tc>
          <w:tcPr>
            <w:tcW w:w="1959" w:type="dxa"/>
            <w:noWrap w:val="0"/>
            <w:vAlign w:val="center"/>
          </w:tcPr>
          <w:p>
            <w:pPr>
              <w:pStyle w:val="33"/>
              <w:spacing w:beforeLines="0" w:afterLines="0" w:line="240" w:lineRule="auto"/>
              <w:rPr>
                <w:rFonts w:hAnsi="宋体" w:cs="宋体"/>
                <w:snapToGrid w:val="0"/>
                <w:color w:val="000000"/>
                <w:kern w:val="21"/>
                <w:szCs w:val="21"/>
              </w:rPr>
            </w:pPr>
          </w:p>
        </w:tc>
        <w:tc>
          <w:tcPr>
            <w:tcW w:w="826" w:type="dxa"/>
            <w:noWrap w:val="0"/>
            <w:vAlign w:val="center"/>
          </w:tcPr>
          <w:p>
            <w:pPr>
              <w:pStyle w:val="33"/>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3"/>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17"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276"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559" w:type="dxa"/>
            <w:noWrap w:val="0"/>
            <w:vAlign w:val="center"/>
          </w:tcPr>
          <w:p>
            <w:pPr>
              <w:pStyle w:val="33"/>
              <w:spacing w:beforeLines="0" w:afterLines="0" w:line="240" w:lineRule="auto"/>
              <w:rPr>
                <w:rFonts w:hAnsi="宋体" w:cs="宋体"/>
                <w:snapToGrid w:val="0"/>
                <w:color w:val="000000"/>
                <w:kern w:val="21"/>
                <w:szCs w:val="21"/>
              </w:rPr>
            </w:pPr>
          </w:p>
        </w:tc>
        <w:tc>
          <w:tcPr>
            <w:tcW w:w="1761" w:type="dxa"/>
            <w:noWrap w:val="0"/>
            <w:vAlign w:val="center"/>
          </w:tcPr>
          <w:p>
            <w:pPr>
              <w:pStyle w:val="33"/>
              <w:spacing w:beforeLines="0" w:afterLines="0" w:line="240" w:lineRule="auto"/>
              <w:rPr>
                <w:rFonts w:hAnsi="宋体" w:cs="宋体"/>
                <w:snapToGrid w:val="0"/>
                <w:color w:val="000000"/>
                <w:kern w:val="21"/>
                <w:szCs w:val="21"/>
              </w:rPr>
            </w:pPr>
          </w:p>
        </w:tc>
        <w:tc>
          <w:tcPr>
            <w:tcW w:w="1959" w:type="dxa"/>
            <w:noWrap w:val="0"/>
            <w:vAlign w:val="center"/>
          </w:tcPr>
          <w:p>
            <w:pPr>
              <w:pStyle w:val="33"/>
              <w:spacing w:beforeLines="0" w:afterLines="0" w:line="240" w:lineRule="auto"/>
              <w:rPr>
                <w:rFonts w:hAnsi="宋体" w:cs="宋体"/>
                <w:snapToGrid w:val="0"/>
                <w:color w:val="000000"/>
                <w:kern w:val="21"/>
                <w:szCs w:val="21"/>
              </w:rPr>
            </w:pPr>
          </w:p>
        </w:tc>
        <w:tc>
          <w:tcPr>
            <w:tcW w:w="826" w:type="dxa"/>
            <w:noWrap w:val="0"/>
            <w:vAlign w:val="center"/>
          </w:tcPr>
          <w:p>
            <w:pPr>
              <w:pStyle w:val="33"/>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3"/>
              <w:spacing w:beforeLines="0" w:afterLines="0" w:line="240" w:lineRule="auto"/>
              <w:rPr>
                <w:rFonts w:hint="eastAsia" w:hAnsi="宋体" w:cs="宋体"/>
                <w:snapToGrid w:val="0"/>
                <w:color w:val="000000"/>
                <w:kern w:val="21"/>
                <w:szCs w:val="21"/>
              </w:rPr>
            </w:pPr>
          </w:p>
        </w:tc>
        <w:tc>
          <w:tcPr>
            <w:tcW w:w="1417" w:type="dxa"/>
            <w:noWrap w:val="0"/>
            <w:vAlign w:val="center"/>
          </w:tcPr>
          <w:p>
            <w:pPr>
              <w:pStyle w:val="33"/>
              <w:spacing w:beforeLines="0" w:afterLines="0" w:line="240" w:lineRule="auto"/>
              <w:rPr>
                <w:rFonts w:hint="eastAsia"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276"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559" w:type="dxa"/>
            <w:noWrap w:val="0"/>
            <w:vAlign w:val="center"/>
          </w:tcPr>
          <w:p>
            <w:pPr>
              <w:pStyle w:val="33"/>
              <w:spacing w:beforeLines="0" w:afterLines="0" w:line="240" w:lineRule="auto"/>
              <w:rPr>
                <w:rFonts w:hAnsi="宋体" w:cs="宋体"/>
                <w:snapToGrid w:val="0"/>
                <w:color w:val="000000"/>
                <w:kern w:val="21"/>
                <w:szCs w:val="21"/>
              </w:rPr>
            </w:pPr>
          </w:p>
        </w:tc>
        <w:tc>
          <w:tcPr>
            <w:tcW w:w="1761" w:type="dxa"/>
            <w:noWrap w:val="0"/>
            <w:vAlign w:val="center"/>
          </w:tcPr>
          <w:p>
            <w:pPr>
              <w:pStyle w:val="33"/>
              <w:spacing w:beforeLines="0" w:afterLines="0" w:line="240" w:lineRule="auto"/>
              <w:rPr>
                <w:rFonts w:hAnsi="宋体" w:cs="宋体"/>
                <w:snapToGrid w:val="0"/>
                <w:color w:val="000000"/>
                <w:kern w:val="21"/>
                <w:szCs w:val="21"/>
              </w:rPr>
            </w:pPr>
          </w:p>
        </w:tc>
        <w:tc>
          <w:tcPr>
            <w:tcW w:w="1959" w:type="dxa"/>
            <w:noWrap w:val="0"/>
            <w:vAlign w:val="center"/>
          </w:tcPr>
          <w:p>
            <w:pPr>
              <w:pStyle w:val="33"/>
              <w:spacing w:beforeLines="0" w:afterLines="0" w:line="240" w:lineRule="auto"/>
              <w:rPr>
                <w:rFonts w:hAnsi="宋体" w:cs="宋体"/>
                <w:snapToGrid w:val="0"/>
                <w:color w:val="000000"/>
                <w:kern w:val="21"/>
                <w:szCs w:val="21"/>
              </w:rPr>
            </w:pPr>
          </w:p>
        </w:tc>
        <w:tc>
          <w:tcPr>
            <w:tcW w:w="826" w:type="dxa"/>
            <w:noWrap w:val="0"/>
            <w:vAlign w:val="center"/>
          </w:tcPr>
          <w:p>
            <w:pPr>
              <w:pStyle w:val="33"/>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3"/>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pPr>
              <w:pStyle w:val="33"/>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17"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276"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559" w:type="dxa"/>
            <w:noWrap w:val="0"/>
            <w:vAlign w:val="center"/>
          </w:tcPr>
          <w:p>
            <w:pPr>
              <w:pStyle w:val="33"/>
              <w:spacing w:beforeLines="0" w:afterLines="0" w:line="240" w:lineRule="auto"/>
              <w:rPr>
                <w:rFonts w:hAnsi="宋体" w:cs="宋体"/>
                <w:snapToGrid w:val="0"/>
                <w:color w:val="000000"/>
                <w:kern w:val="21"/>
                <w:szCs w:val="21"/>
              </w:rPr>
            </w:pPr>
          </w:p>
        </w:tc>
        <w:tc>
          <w:tcPr>
            <w:tcW w:w="1761" w:type="dxa"/>
            <w:noWrap w:val="0"/>
            <w:vAlign w:val="center"/>
          </w:tcPr>
          <w:p>
            <w:pPr>
              <w:pStyle w:val="33"/>
              <w:spacing w:beforeLines="0" w:afterLines="0" w:line="240" w:lineRule="auto"/>
              <w:rPr>
                <w:rFonts w:hAnsi="宋体" w:cs="宋体"/>
                <w:snapToGrid w:val="0"/>
                <w:color w:val="000000"/>
                <w:kern w:val="21"/>
                <w:szCs w:val="21"/>
              </w:rPr>
            </w:pPr>
          </w:p>
        </w:tc>
        <w:tc>
          <w:tcPr>
            <w:tcW w:w="1959" w:type="dxa"/>
            <w:noWrap w:val="0"/>
            <w:vAlign w:val="center"/>
          </w:tcPr>
          <w:p>
            <w:pPr>
              <w:pStyle w:val="33"/>
              <w:spacing w:beforeLines="0" w:afterLines="0" w:line="240" w:lineRule="auto"/>
              <w:rPr>
                <w:rFonts w:hAnsi="宋体" w:cs="宋体"/>
                <w:snapToGrid w:val="0"/>
                <w:color w:val="000000"/>
                <w:kern w:val="21"/>
                <w:szCs w:val="21"/>
              </w:rPr>
            </w:pPr>
          </w:p>
        </w:tc>
        <w:tc>
          <w:tcPr>
            <w:tcW w:w="826" w:type="dxa"/>
            <w:noWrap w:val="0"/>
            <w:vAlign w:val="center"/>
          </w:tcPr>
          <w:p>
            <w:pPr>
              <w:pStyle w:val="33"/>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3"/>
              <w:spacing w:beforeLines="0" w:afterLines="0" w:line="240" w:lineRule="auto"/>
              <w:rPr>
                <w:rFonts w:hAnsi="宋体" w:cs="宋体"/>
                <w:snapToGrid w:val="0"/>
                <w:color w:val="000000"/>
                <w:kern w:val="21"/>
                <w:szCs w:val="21"/>
              </w:rPr>
            </w:pPr>
          </w:p>
        </w:tc>
        <w:tc>
          <w:tcPr>
            <w:tcW w:w="1417"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276"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559" w:type="dxa"/>
            <w:noWrap w:val="0"/>
            <w:vAlign w:val="center"/>
          </w:tcPr>
          <w:p>
            <w:pPr>
              <w:pStyle w:val="33"/>
              <w:spacing w:beforeLines="0" w:afterLines="0" w:line="240" w:lineRule="auto"/>
              <w:rPr>
                <w:rFonts w:hAnsi="宋体" w:cs="宋体"/>
                <w:snapToGrid w:val="0"/>
                <w:color w:val="000000"/>
                <w:kern w:val="21"/>
                <w:szCs w:val="21"/>
              </w:rPr>
            </w:pPr>
          </w:p>
        </w:tc>
        <w:tc>
          <w:tcPr>
            <w:tcW w:w="1761" w:type="dxa"/>
            <w:noWrap w:val="0"/>
            <w:vAlign w:val="center"/>
          </w:tcPr>
          <w:p>
            <w:pPr>
              <w:pStyle w:val="33"/>
              <w:spacing w:beforeLines="0" w:afterLines="0" w:line="240" w:lineRule="auto"/>
              <w:rPr>
                <w:rFonts w:hAnsi="宋体" w:cs="宋体"/>
                <w:snapToGrid w:val="0"/>
                <w:color w:val="000000"/>
                <w:kern w:val="21"/>
                <w:szCs w:val="21"/>
              </w:rPr>
            </w:pPr>
          </w:p>
        </w:tc>
        <w:tc>
          <w:tcPr>
            <w:tcW w:w="1959" w:type="dxa"/>
            <w:noWrap w:val="0"/>
            <w:vAlign w:val="center"/>
          </w:tcPr>
          <w:p>
            <w:pPr>
              <w:pStyle w:val="33"/>
              <w:spacing w:beforeLines="0" w:afterLines="0" w:line="240" w:lineRule="auto"/>
              <w:rPr>
                <w:rFonts w:hAnsi="宋体" w:cs="宋体"/>
                <w:snapToGrid w:val="0"/>
                <w:color w:val="000000"/>
                <w:kern w:val="21"/>
                <w:szCs w:val="21"/>
              </w:rPr>
            </w:pPr>
          </w:p>
        </w:tc>
        <w:tc>
          <w:tcPr>
            <w:tcW w:w="826" w:type="dxa"/>
            <w:noWrap w:val="0"/>
            <w:vAlign w:val="center"/>
          </w:tcPr>
          <w:p>
            <w:pPr>
              <w:pStyle w:val="33"/>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3"/>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危险废物</w:t>
            </w:r>
          </w:p>
        </w:tc>
        <w:tc>
          <w:tcPr>
            <w:tcW w:w="1417" w:type="dxa"/>
            <w:noWrap w:val="0"/>
            <w:vAlign w:val="center"/>
          </w:tcPr>
          <w:p>
            <w:pPr>
              <w:pStyle w:val="33"/>
              <w:spacing w:beforeLines="0" w:afterLines="0" w:line="240" w:lineRule="auto"/>
              <w:rPr>
                <w:rFonts w:hint="eastAsia"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276"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559" w:type="dxa"/>
            <w:noWrap w:val="0"/>
            <w:vAlign w:val="center"/>
          </w:tcPr>
          <w:p>
            <w:pPr>
              <w:pStyle w:val="33"/>
              <w:spacing w:beforeLines="0" w:afterLines="0" w:line="240" w:lineRule="auto"/>
              <w:rPr>
                <w:rFonts w:hAnsi="宋体" w:cs="宋体"/>
                <w:snapToGrid w:val="0"/>
                <w:color w:val="000000"/>
                <w:kern w:val="21"/>
                <w:szCs w:val="21"/>
              </w:rPr>
            </w:pPr>
          </w:p>
        </w:tc>
        <w:tc>
          <w:tcPr>
            <w:tcW w:w="1761" w:type="dxa"/>
            <w:noWrap w:val="0"/>
            <w:vAlign w:val="center"/>
          </w:tcPr>
          <w:p>
            <w:pPr>
              <w:pStyle w:val="33"/>
              <w:spacing w:beforeLines="0" w:afterLines="0" w:line="240" w:lineRule="auto"/>
              <w:rPr>
                <w:rFonts w:hAnsi="宋体" w:cs="宋体"/>
                <w:snapToGrid w:val="0"/>
                <w:color w:val="000000"/>
                <w:kern w:val="21"/>
                <w:szCs w:val="21"/>
              </w:rPr>
            </w:pPr>
          </w:p>
        </w:tc>
        <w:tc>
          <w:tcPr>
            <w:tcW w:w="1959" w:type="dxa"/>
            <w:noWrap w:val="0"/>
            <w:vAlign w:val="center"/>
          </w:tcPr>
          <w:p>
            <w:pPr>
              <w:pStyle w:val="33"/>
              <w:spacing w:beforeLines="0" w:afterLines="0" w:line="240" w:lineRule="auto"/>
              <w:rPr>
                <w:rFonts w:hAnsi="宋体" w:cs="宋体"/>
                <w:snapToGrid w:val="0"/>
                <w:color w:val="000000"/>
                <w:kern w:val="21"/>
                <w:szCs w:val="21"/>
              </w:rPr>
            </w:pPr>
          </w:p>
        </w:tc>
        <w:tc>
          <w:tcPr>
            <w:tcW w:w="826" w:type="dxa"/>
            <w:noWrap w:val="0"/>
            <w:vAlign w:val="center"/>
          </w:tcPr>
          <w:p>
            <w:pPr>
              <w:pStyle w:val="33"/>
              <w:spacing w:beforeLines="0" w:afterLines="0" w:line="240" w:lineRule="auto"/>
              <w:rPr>
                <w:rFonts w:hAnsi="宋体" w:cs="宋体"/>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3"/>
              <w:spacing w:beforeLines="0" w:afterLines="0" w:line="240" w:lineRule="auto"/>
              <w:rPr>
                <w:rFonts w:hAnsi="宋体" w:cs="宋体"/>
                <w:snapToGrid w:val="0"/>
                <w:color w:val="000000"/>
                <w:kern w:val="21"/>
                <w:szCs w:val="21"/>
              </w:rPr>
            </w:pPr>
          </w:p>
        </w:tc>
        <w:tc>
          <w:tcPr>
            <w:tcW w:w="1417" w:type="dxa"/>
            <w:noWrap w:val="0"/>
            <w:vAlign w:val="center"/>
          </w:tcPr>
          <w:p>
            <w:pPr>
              <w:pStyle w:val="33"/>
              <w:spacing w:beforeLines="0" w:afterLines="0" w:line="240" w:lineRule="auto"/>
              <w:rPr>
                <w:rFonts w:hint="eastAsia"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276" w:type="dxa"/>
            <w:noWrap w:val="0"/>
            <w:vAlign w:val="center"/>
          </w:tcPr>
          <w:p>
            <w:pPr>
              <w:pStyle w:val="33"/>
              <w:spacing w:beforeLines="0" w:afterLines="0" w:line="240" w:lineRule="auto"/>
              <w:rPr>
                <w:rFonts w:hAnsi="宋体" w:cs="宋体"/>
                <w:snapToGrid w:val="0"/>
                <w:color w:val="000000"/>
                <w:kern w:val="21"/>
                <w:szCs w:val="21"/>
              </w:rPr>
            </w:pPr>
          </w:p>
        </w:tc>
        <w:tc>
          <w:tcPr>
            <w:tcW w:w="1701" w:type="dxa"/>
            <w:noWrap w:val="0"/>
            <w:vAlign w:val="center"/>
          </w:tcPr>
          <w:p>
            <w:pPr>
              <w:pStyle w:val="33"/>
              <w:spacing w:beforeLines="0" w:afterLines="0" w:line="240" w:lineRule="auto"/>
              <w:rPr>
                <w:rFonts w:hAnsi="宋体" w:cs="宋体"/>
                <w:snapToGrid w:val="0"/>
                <w:color w:val="000000"/>
                <w:kern w:val="21"/>
                <w:szCs w:val="21"/>
              </w:rPr>
            </w:pPr>
          </w:p>
        </w:tc>
        <w:tc>
          <w:tcPr>
            <w:tcW w:w="1559" w:type="dxa"/>
            <w:noWrap w:val="0"/>
            <w:vAlign w:val="center"/>
          </w:tcPr>
          <w:p>
            <w:pPr>
              <w:pStyle w:val="33"/>
              <w:spacing w:beforeLines="0" w:afterLines="0" w:line="240" w:lineRule="auto"/>
              <w:rPr>
                <w:rFonts w:hAnsi="宋体" w:cs="宋体"/>
                <w:snapToGrid w:val="0"/>
                <w:color w:val="000000"/>
                <w:kern w:val="21"/>
                <w:szCs w:val="21"/>
              </w:rPr>
            </w:pPr>
          </w:p>
        </w:tc>
        <w:tc>
          <w:tcPr>
            <w:tcW w:w="1761" w:type="dxa"/>
            <w:noWrap w:val="0"/>
            <w:vAlign w:val="center"/>
          </w:tcPr>
          <w:p>
            <w:pPr>
              <w:pStyle w:val="33"/>
              <w:spacing w:beforeLines="0" w:afterLines="0" w:line="240" w:lineRule="auto"/>
              <w:rPr>
                <w:rFonts w:hAnsi="宋体" w:cs="宋体"/>
                <w:snapToGrid w:val="0"/>
                <w:color w:val="000000"/>
                <w:kern w:val="21"/>
                <w:szCs w:val="21"/>
              </w:rPr>
            </w:pPr>
          </w:p>
        </w:tc>
        <w:tc>
          <w:tcPr>
            <w:tcW w:w="1959" w:type="dxa"/>
            <w:noWrap w:val="0"/>
            <w:vAlign w:val="center"/>
          </w:tcPr>
          <w:p>
            <w:pPr>
              <w:pStyle w:val="33"/>
              <w:spacing w:beforeLines="0" w:afterLines="0" w:line="240" w:lineRule="auto"/>
              <w:rPr>
                <w:rFonts w:hAnsi="宋体" w:cs="宋体"/>
                <w:snapToGrid w:val="0"/>
                <w:color w:val="000000"/>
                <w:kern w:val="21"/>
                <w:szCs w:val="21"/>
              </w:rPr>
            </w:pPr>
          </w:p>
        </w:tc>
        <w:tc>
          <w:tcPr>
            <w:tcW w:w="826" w:type="dxa"/>
            <w:noWrap w:val="0"/>
            <w:vAlign w:val="center"/>
          </w:tcPr>
          <w:p>
            <w:pPr>
              <w:pStyle w:val="33"/>
              <w:spacing w:beforeLines="0" w:afterLines="0" w:line="240" w:lineRule="auto"/>
              <w:rPr>
                <w:rFonts w:hAnsi="宋体" w:cs="宋体"/>
                <w:snapToGrid w:val="0"/>
                <w:color w:val="000000"/>
                <w:kern w:val="21"/>
                <w:szCs w:val="21"/>
              </w:rPr>
            </w:pPr>
          </w:p>
        </w:tc>
      </w:tr>
    </w:tbl>
    <w:p>
      <w:pPr>
        <w:pStyle w:val="33"/>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rPr>
          <w:rFonts w:hint="eastAsia"/>
        </w:rPr>
      </w:pPr>
    </w:p>
    <w:p>
      <w:pPr>
        <w:pStyle w:val="18"/>
        <w:rPr>
          <w:rFonts w:hint="eastAsia"/>
        </w:rPr>
        <w:sectPr>
          <w:footerReference r:id="rId8" w:type="default"/>
          <w:pgSz w:w="16838" w:h="11906" w:orient="landscape"/>
          <w:pgMar w:top="1701" w:right="1531" w:bottom="1701" w:left="1531" w:header="851" w:footer="851" w:gutter="0"/>
          <w:cols w:space="720" w:num="1"/>
          <w:docGrid w:linePitch="312" w:charSpace="0"/>
        </w:sectPr>
      </w:pPr>
    </w:p>
    <w:p>
      <w:pPr>
        <w:rPr>
          <w:rFonts w:ascii="宋体" w:hAnsi="宋体" w:eastAsia="黑体"/>
        </w:rPr>
      </w:pPr>
    </w:p>
    <w:sectPr>
      <w:footerReference r:id="rId9" w:type="default"/>
      <w:pgSz w:w="11906" w:h="16838"/>
      <w:pgMar w:top="1701" w:right="1531" w:bottom="1701" w:left="1531" w:header="851" w:footer="851"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572874478" w:date="2022-12-17T16:47:46Z" w:initials="">
    <w:p w14:paraId="4E047BC5">
      <w:pPr>
        <w:pStyle w:val="7"/>
        <w:rPr>
          <w:rFonts w:hint="default" w:eastAsia="宋体"/>
          <w:lang w:val="en-US" w:eastAsia="zh-CN"/>
        </w:rPr>
      </w:pPr>
      <w:r>
        <w:rPr>
          <w:rFonts w:hint="eastAsia"/>
          <w:lang w:val="en-US" w:eastAsia="zh-CN"/>
        </w:rPr>
        <w:t>确认为南侧</w:t>
      </w:r>
    </w:p>
  </w:comment>
  <w:comment w:id="1" w:author="WPS_1572874478" w:date="2022-12-17T16:49:45Z" w:initials="">
    <w:p w14:paraId="506B6514">
      <w:pPr>
        <w:pStyle w:val="7"/>
        <w:rPr>
          <w:rFonts w:hint="default" w:eastAsia="宋体"/>
          <w:lang w:val="en-US" w:eastAsia="zh-CN"/>
        </w:rPr>
      </w:pPr>
      <w:r>
        <w:rPr>
          <w:rFonts w:hint="eastAsia"/>
          <w:lang w:val="en-US" w:eastAsia="zh-CN"/>
        </w:rPr>
        <w:t>引用原环评数据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047BC5" w15:done="0"/>
  <w15:commentEx w15:paraId="506B65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9</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10</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3"/>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11</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77B51"/>
    <w:multiLevelType w:val="singleLevel"/>
    <w:tmpl w:val="E7C77B51"/>
    <w:lvl w:ilvl="0" w:tentative="0">
      <w:start w:val="2"/>
      <w:numFmt w:val="decimal"/>
      <w:suff w:val="nothing"/>
      <w:lvlText w:val="（%1）"/>
      <w:lvlJc w:val="left"/>
    </w:lvl>
  </w:abstractNum>
  <w:abstractNum w:abstractNumId="1">
    <w:nsid w:val="224910A0"/>
    <w:multiLevelType w:val="multilevel"/>
    <w:tmpl w:val="224910A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2B34427"/>
    <w:multiLevelType w:val="singleLevel"/>
    <w:tmpl w:val="52B34427"/>
    <w:lvl w:ilvl="0" w:tentative="0">
      <w:start w:val="1"/>
      <w:numFmt w:val="decimal"/>
      <w:suff w:val="nothing"/>
      <w:lvlText w:val="%1、"/>
      <w:lvlJc w:val="left"/>
    </w:lvl>
  </w:abstractNum>
  <w:abstractNum w:abstractNumId="3">
    <w:nsid w:val="7397190E"/>
    <w:multiLevelType w:val="singleLevel"/>
    <w:tmpl w:val="7397190E"/>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72874478">
    <w15:presenceInfo w15:providerId="WPS Office" w15:userId="3165545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MGQyODkyZjI2OTMzYjgzYWQyNTY3NTgyY2U0ZWYifQ=="/>
  </w:docVars>
  <w:rsids>
    <w:rsidRoot w:val="00A14947"/>
    <w:rsid w:val="000060B3"/>
    <w:rsid w:val="0002561E"/>
    <w:rsid w:val="0004364B"/>
    <w:rsid w:val="00061B1F"/>
    <w:rsid w:val="000733C4"/>
    <w:rsid w:val="00074783"/>
    <w:rsid w:val="0008070B"/>
    <w:rsid w:val="000810AC"/>
    <w:rsid w:val="00081A02"/>
    <w:rsid w:val="00082231"/>
    <w:rsid w:val="00092D38"/>
    <w:rsid w:val="0009377B"/>
    <w:rsid w:val="000937FE"/>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16C67"/>
    <w:rsid w:val="00224839"/>
    <w:rsid w:val="002249B2"/>
    <w:rsid w:val="00226574"/>
    <w:rsid w:val="002278EC"/>
    <w:rsid w:val="0023280E"/>
    <w:rsid w:val="002377D1"/>
    <w:rsid w:val="002506BC"/>
    <w:rsid w:val="00254345"/>
    <w:rsid w:val="00264557"/>
    <w:rsid w:val="002805AB"/>
    <w:rsid w:val="00284204"/>
    <w:rsid w:val="00286737"/>
    <w:rsid w:val="00291773"/>
    <w:rsid w:val="002A168C"/>
    <w:rsid w:val="002A3DC7"/>
    <w:rsid w:val="002B49E2"/>
    <w:rsid w:val="002B7B00"/>
    <w:rsid w:val="002B7C44"/>
    <w:rsid w:val="002C2B17"/>
    <w:rsid w:val="002D3DD0"/>
    <w:rsid w:val="002E1F3A"/>
    <w:rsid w:val="002E298A"/>
    <w:rsid w:val="00301978"/>
    <w:rsid w:val="0030332C"/>
    <w:rsid w:val="003051C2"/>
    <w:rsid w:val="00305CE7"/>
    <w:rsid w:val="00312296"/>
    <w:rsid w:val="00314F0E"/>
    <w:rsid w:val="00321D8E"/>
    <w:rsid w:val="00325928"/>
    <w:rsid w:val="00332863"/>
    <w:rsid w:val="0033684D"/>
    <w:rsid w:val="00337B42"/>
    <w:rsid w:val="00341B42"/>
    <w:rsid w:val="0034348F"/>
    <w:rsid w:val="003550AC"/>
    <w:rsid w:val="00356653"/>
    <w:rsid w:val="0035743F"/>
    <w:rsid w:val="00357BE2"/>
    <w:rsid w:val="0036170C"/>
    <w:rsid w:val="00366E0F"/>
    <w:rsid w:val="00374EF5"/>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7C9"/>
    <w:rsid w:val="00431E6C"/>
    <w:rsid w:val="00433CE7"/>
    <w:rsid w:val="00452738"/>
    <w:rsid w:val="00456091"/>
    <w:rsid w:val="0046375D"/>
    <w:rsid w:val="00466321"/>
    <w:rsid w:val="004672B9"/>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3718B"/>
    <w:rsid w:val="005401AE"/>
    <w:rsid w:val="00542E07"/>
    <w:rsid w:val="00545424"/>
    <w:rsid w:val="00554A7B"/>
    <w:rsid w:val="0055572C"/>
    <w:rsid w:val="0056106A"/>
    <w:rsid w:val="005720AE"/>
    <w:rsid w:val="00586FEC"/>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185F"/>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492D"/>
    <w:rsid w:val="00815465"/>
    <w:rsid w:val="00817E9A"/>
    <w:rsid w:val="008306BD"/>
    <w:rsid w:val="00831A80"/>
    <w:rsid w:val="00833743"/>
    <w:rsid w:val="008340A4"/>
    <w:rsid w:val="0087135F"/>
    <w:rsid w:val="00872D94"/>
    <w:rsid w:val="008779E6"/>
    <w:rsid w:val="00880364"/>
    <w:rsid w:val="00885A6C"/>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A7605"/>
    <w:rsid w:val="009B0897"/>
    <w:rsid w:val="009B7BD9"/>
    <w:rsid w:val="009C7DD5"/>
    <w:rsid w:val="009E227D"/>
    <w:rsid w:val="009E5019"/>
    <w:rsid w:val="009E5347"/>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87A8B"/>
    <w:rsid w:val="00B92181"/>
    <w:rsid w:val="00BA29E9"/>
    <w:rsid w:val="00BA7142"/>
    <w:rsid w:val="00BB237C"/>
    <w:rsid w:val="00BB41A3"/>
    <w:rsid w:val="00BC32DC"/>
    <w:rsid w:val="00BC35B6"/>
    <w:rsid w:val="00BD1B51"/>
    <w:rsid w:val="00BD4596"/>
    <w:rsid w:val="00BE1405"/>
    <w:rsid w:val="00BE312D"/>
    <w:rsid w:val="00BF1C20"/>
    <w:rsid w:val="00C10578"/>
    <w:rsid w:val="00C1153A"/>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613C"/>
    <w:rsid w:val="00CA7EF8"/>
    <w:rsid w:val="00CC489B"/>
    <w:rsid w:val="00CD1788"/>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30FAC"/>
    <w:rsid w:val="00E40880"/>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191B"/>
    <w:rsid w:val="00F14A7A"/>
    <w:rsid w:val="00F22985"/>
    <w:rsid w:val="00F3383E"/>
    <w:rsid w:val="00F465A7"/>
    <w:rsid w:val="00F50B7C"/>
    <w:rsid w:val="00F550E6"/>
    <w:rsid w:val="00F705B3"/>
    <w:rsid w:val="00F74345"/>
    <w:rsid w:val="00F80A0A"/>
    <w:rsid w:val="00F82B19"/>
    <w:rsid w:val="00F9212D"/>
    <w:rsid w:val="00F965DA"/>
    <w:rsid w:val="00FA406A"/>
    <w:rsid w:val="00FB503A"/>
    <w:rsid w:val="00FB516C"/>
    <w:rsid w:val="00FD0236"/>
    <w:rsid w:val="00FD18F4"/>
    <w:rsid w:val="00FD54DB"/>
    <w:rsid w:val="00FD619F"/>
    <w:rsid w:val="010A478A"/>
    <w:rsid w:val="010C0502"/>
    <w:rsid w:val="01282E62"/>
    <w:rsid w:val="01290F7E"/>
    <w:rsid w:val="0132783D"/>
    <w:rsid w:val="013E61E2"/>
    <w:rsid w:val="01514167"/>
    <w:rsid w:val="015D1E09"/>
    <w:rsid w:val="01635C49"/>
    <w:rsid w:val="016A6FD7"/>
    <w:rsid w:val="0176597C"/>
    <w:rsid w:val="01785B98"/>
    <w:rsid w:val="01791910"/>
    <w:rsid w:val="01792D23"/>
    <w:rsid w:val="01960BF8"/>
    <w:rsid w:val="01AF70E0"/>
    <w:rsid w:val="01BB7833"/>
    <w:rsid w:val="01BF37C7"/>
    <w:rsid w:val="01C0753F"/>
    <w:rsid w:val="01CA3F1A"/>
    <w:rsid w:val="01E21263"/>
    <w:rsid w:val="01E66FA5"/>
    <w:rsid w:val="02021905"/>
    <w:rsid w:val="020F7B7E"/>
    <w:rsid w:val="021A27AB"/>
    <w:rsid w:val="022A6766"/>
    <w:rsid w:val="023575E5"/>
    <w:rsid w:val="024535A0"/>
    <w:rsid w:val="024E68F9"/>
    <w:rsid w:val="025F0B06"/>
    <w:rsid w:val="0261487E"/>
    <w:rsid w:val="026779BA"/>
    <w:rsid w:val="02697903"/>
    <w:rsid w:val="02785724"/>
    <w:rsid w:val="0284231A"/>
    <w:rsid w:val="02D05560"/>
    <w:rsid w:val="02EA4873"/>
    <w:rsid w:val="02EF1E8A"/>
    <w:rsid w:val="02F96569"/>
    <w:rsid w:val="03004097"/>
    <w:rsid w:val="03086AA8"/>
    <w:rsid w:val="031F2043"/>
    <w:rsid w:val="03391357"/>
    <w:rsid w:val="03455F4E"/>
    <w:rsid w:val="03525F75"/>
    <w:rsid w:val="035B12CD"/>
    <w:rsid w:val="035B3F7B"/>
    <w:rsid w:val="03767EB5"/>
    <w:rsid w:val="037E6D6A"/>
    <w:rsid w:val="03885E3A"/>
    <w:rsid w:val="03922815"/>
    <w:rsid w:val="03993BA4"/>
    <w:rsid w:val="03AE3AF3"/>
    <w:rsid w:val="03BD127F"/>
    <w:rsid w:val="03C54999"/>
    <w:rsid w:val="03CD7DCC"/>
    <w:rsid w:val="03D746CC"/>
    <w:rsid w:val="03EA7B21"/>
    <w:rsid w:val="03FA360A"/>
    <w:rsid w:val="03FA6D38"/>
    <w:rsid w:val="04041965"/>
    <w:rsid w:val="040F3E66"/>
    <w:rsid w:val="04114082"/>
    <w:rsid w:val="041D2F8A"/>
    <w:rsid w:val="04245B63"/>
    <w:rsid w:val="042A0CA0"/>
    <w:rsid w:val="04387860"/>
    <w:rsid w:val="043B10FF"/>
    <w:rsid w:val="043F0BEF"/>
    <w:rsid w:val="044F0706"/>
    <w:rsid w:val="046046C1"/>
    <w:rsid w:val="04966335"/>
    <w:rsid w:val="049F343C"/>
    <w:rsid w:val="04AB0032"/>
    <w:rsid w:val="04AC7907"/>
    <w:rsid w:val="04B50EB1"/>
    <w:rsid w:val="04BA053C"/>
    <w:rsid w:val="04BF23C6"/>
    <w:rsid w:val="04BF763A"/>
    <w:rsid w:val="04C74EE6"/>
    <w:rsid w:val="04CA2F59"/>
    <w:rsid w:val="04E62E18"/>
    <w:rsid w:val="04E946B7"/>
    <w:rsid w:val="04FE31CD"/>
    <w:rsid w:val="050D128D"/>
    <w:rsid w:val="052D6C99"/>
    <w:rsid w:val="053022E6"/>
    <w:rsid w:val="05377B18"/>
    <w:rsid w:val="05377F3E"/>
    <w:rsid w:val="054A784B"/>
    <w:rsid w:val="05594AD8"/>
    <w:rsid w:val="0560706F"/>
    <w:rsid w:val="05663F59"/>
    <w:rsid w:val="056C5A14"/>
    <w:rsid w:val="057228FE"/>
    <w:rsid w:val="05740424"/>
    <w:rsid w:val="057448C8"/>
    <w:rsid w:val="05962A91"/>
    <w:rsid w:val="059639B3"/>
    <w:rsid w:val="05A76A4C"/>
    <w:rsid w:val="05AF3B52"/>
    <w:rsid w:val="05B72A07"/>
    <w:rsid w:val="05CC235C"/>
    <w:rsid w:val="05D9472B"/>
    <w:rsid w:val="05F83EAE"/>
    <w:rsid w:val="05FB28F4"/>
    <w:rsid w:val="06071298"/>
    <w:rsid w:val="06231E4A"/>
    <w:rsid w:val="0627280A"/>
    <w:rsid w:val="063522A9"/>
    <w:rsid w:val="063858F6"/>
    <w:rsid w:val="063E7D85"/>
    <w:rsid w:val="064249C6"/>
    <w:rsid w:val="065B7836"/>
    <w:rsid w:val="065C0042"/>
    <w:rsid w:val="066F5090"/>
    <w:rsid w:val="06764670"/>
    <w:rsid w:val="0680104B"/>
    <w:rsid w:val="068723D9"/>
    <w:rsid w:val="06913258"/>
    <w:rsid w:val="06935222"/>
    <w:rsid w:val="06A765D7"/>
    <w:rsid w:val="06D73361"/>
    <w:rsid w:val="06E14ECA"/>
    <w:rsid w:val="06E93094"/>
    <w:rsid w:val="06EB6E0C"/>
    <w:rsid w:val="06F21F49"/>
    <w:rsid w:val="070457D8"/>
    <w:rsid w:val="071D689A"/>
    <w:rsid w:val="07293586"/>
    <w:rsid w:val="07295285"/>
    <w:rsid w:val="072F05A3"/>
    <w:rsid w:val="0737795B"/>
    <w:rsid w:val="07524795"/>
    <w:rsid w:val="07636392"/>
    <w:rsid w:val="07770C56"/>
    <w:rsid w:val="077F7FA6"/>
    <w:rsid w:val="079052BE"/>
    <w:rsid w:val="07C136C9"/>
    <w:rsid w:val="07C37441"/>
    <w:rsid w:val="07C5765D"/>
    <w:rsid w:val="07C62E71"/>
    <w:rsid w:val="07C733D5"/>
    <w:rsid w:val="07CF5DE6"/>
    <w:rsid w:val="07D433FC"/>
    <w:rsid w:val="07D63618"/>
    <w:rsid w:val="07E82B08"/>
    <w:rsid w:val="07E8334B"/>
    <w:rsid w:val="07EC6998"/>
    <w:rsid w:val="07F51244"/>
    <w:rsid w:val="07F874F1"/>
    <w:rsid w:val="07FB5005"/>
    <w:rsid w:val="07FE66CB"/>
    <w:rsid w:val="0808754A"/>
    <w:rsid w:val="081A0458"/>
    <w:rsid w:val="082779D0"/>
    <w:rsid w:val="082C4FE6"/>
    <w:rsid w:val="08381BDD"/>
    <w:rsid w:val="083B16CD"/>
    <w:rsid w:val="083D3697"/>
    <w:rsid w:val="08471E20"/>
    <w:rsid w:val="084E65A4"/>
    <w:rsid w:val="084F6F27"/>
    <w:rsid w:val="085245E8"/>
    <w:rsid w:val="085602B5"/>
    <w:rsid w:val="08577C79"/>
    <w:rsid w:val="0864399F"/>
    <w:rsid w:val="086A1FB2"/>
    <w:rsid w:val="08760957"/>
    <w:rsid w:val="087C1D20"/>
    <w:rsid w:val="088E3EF3"/>
    <w:rsid w:val="089E3A0A"/>
    <w:rsid w:val="08B1373D"/>
    <w:rsid w:val="08B60D54"/>
    <w:rsid w:val="08C23B9D"/>
    <w:rsid w:val="08D4742C"/>
    <w:rsid w:val="08E458C1"/>
    <w:rsid w:val="08FA6E92"/>
    <w:rsid w:val="08FD6983"/>
    <w:rsid w:val="09047953"/>
    <w:rsid w:val="09102B5A"/>
    <w:rsid w:val="091A12E3"/>
    <w:rsid w:val="092217DD"/>
    <w:rsid w:val="09246605"/>
    <w:rsid w:val="0935611C"/>
    <w:rsid w:val="093A7294"/>
    <w:rsid w:val="0946032A"/>
    <w:rsid w:val="094620D8"/>
    <w:rsid w:val="094B1DE4"/>
    <w:rsid w:val="094E71DE"/>
    <w:rsid w:val="09532A47"/>
    <w:rsid w:val="09616F12"/>
    <w:rsid w:val="096D58B6"/>
    <w:rsid w:val="097F1A8E"/>
    <w:rsid w:val="099F4FF1"/>
    <w:rsid w:val="09B2776D"/>
    <w:rsid w:val="09C35E1E"/>
    <w:rsid w:val="09C63218"/>
    <w:rsid w:val="09E55D95"/>
    <w:rsid w:val="0A037FC9"/>
    <w:rsid w:val="0A0F696E"/>
    <w:rsid w:val="0A263993"/>
    <w:rsid w:val="0A264B9C"/>
    <w:rsid w:val="0A2D3AC2"/>
    <w:rsid w:val="0A2F0DBE"/>
    <w:rsid w:val="0A2F5262"/>
    <w:rsid w:val="0A341F3B"/>
    <w:rsid w:val="0A410AF1"/>
    <w:rsid w:val="0A4707FD"/>
    <w:rsid w:val="0A4F6B43"/>
    <w:rsid w:val="0A544CC8"/>
    <w:rsid w:val="0A575369"/>
    <w:rsid w:val="0A5E16A3"/>
    <w:rsid w:val="0A652A31"/>
    <w:rsid w:val="0A6654CA"/>
    <w:rsid w:val="0A6842D0"/>
    <w:rsid w:val="0A8729A8"/>
    <w:rsid w:val="0A8A2498"/>
    <w:rsid w:val="0AA35095"/>
    <w:rsid w:val="0AA755DF"/>
    <w:rsid w:val="0AAB0D8C"/>
    <w:rsid w:val="0AB319EF"/>
    <w:rsid w:val="0ABD461B"/>
    <w:rsid w:val="0ACC485F"/>
    <w:rsid w:val="0AD32091"/>
    <w:rsid w:val="0ADF4592"/>
    <w:rsid w:val="0AE41BA8"/>
    <w:rsid w:val="0AE918B4"/>
    <w:rsid w:val="0AF049F1"/>
    <w:rsid w:val="0B0009AC"/>
    <w:rsid w:val="0B022976"/>
    <w:rsid w:val="0B0264D2"/>
    <w:rsid w:val="0B073D25"/>
    <w:rsid w:val="0B0A43BB"/>
    <w:rsid w:val="0B0F04EF"/>
    <w:rsid w:val="0B120D44"/>
    <w:rsid w:val="0B246449"/>
    <w:rsid w:val="0B297F03"/>
    <w:rsid w:val="0B32382C"/>
    <w:rsid w:val="0B325009"/>
    <w:rsid w:val="0B39659C"/>
    <w:rsid w:val="0B41349E"/>
    <w:rsid w:val="0B420FC5"/>
    <w:rsid w:val="0B6158EF"/>
    <w:rsid w:val="0B674587"/>
    <w:rsid w:val="0B6E5916"/>
    <w:rsid w:val="0B7E024F"/>
    <w:rsid w:val="0B811AED"/>
    <w:rsid w:val="0B835865"/>
    <w:rsid w:val="0B8769D7"/>
    <w:rsid w:val="0B9C06D5"/>
    <w:rsid w:val="0BA13F3D"/>
    <w:rsid w:val="0BB51797"/>
    <w:rsid w:val="0BCB720C"/>
    <w:rsid w:val="0BCE560B"/>
    <w:rsid w:val="0BD27BF6"/>
    <w:rsid w:val="0BD325CD"/>
    <w:rsid w:val="0BD87233"/>
    <w:rsid w:val="0BED2CDE"/>
    <w:rsid w:val="0BF24799"/>
    <w:rsid w:val="0C197F77"/>
    <w:rsid w:val="0C233DAC"/>
    <w:rsid w:val="0C346B5F"/>
    <w:rsid w:val="0C3B3C7D"/>
    <w:rsid w:val="0C476893"/>
    <w:rsid w:val="0C4A1EDF"/>
    <w:rsid w:val="0C4A6383"/>
    <w:rsid w:val="0C4F3999"/>
    <w:rsid w:val="0C572C3D"/>
    <w:rsid w:val="0C5C1C12"/>
    <w:rsid w:val="0C622D0F"/>
    <w:rsid w:val="0C680823"/>
    <w:rsid w:val="0C687D15"/>
    <w:rsid w:val="0C6F5DE9"/>
    <w:rsid w:val="0C7C4062"/>
    <w:rsid w:val="0C7F2DEB"/>
    <w:rsid w:val="0C8353F1"/>
    <w:rsid w:val="0C897A2A"/>
    <w:rsid w:val="0CAB2EAE"/>
    <w:rsid w:val="0CBC3C5C"/>
    <w:rsid w:val="0CBD0903"/>
    <w:rsid w:val="0CBD4DA7"/>
    <w:rsid w:val="0CC954FA"/>
    <w:rsid w:val="0CD917C1"/>
    <w:rsid w:val="0CE20369"/>
    <w:rsid w:val="0CEA1BC0"/>
    <w:rsid w:val="0CFF53BF"/>
    <w:rsid w:val="0D103128"/>
    <w:rsid w:val="0D1644B7"/>
    <w:rsid w:val="0D4508F8"/>
    <w:rsid w:val="0D5079C9"/>
    <w:rsid w:val="0D5F7C0C"/>
    <w:rsid w:val="0D621C7D"/>
    <w:rsid w:val="0D780CCE"/>
    <w:rsid w:val="0D7A4A46"/>
    <w:rsid w:val="0D7D62E4"/>
    <w:rsid w:val="0D7F02AE"/>
    <w:rsid w:val="0D8B6C53"/>
    <w:rsid w:val="0D976A24"/>
    <w:rsid w:val="0D9862A7"/>
    <w:rsid w:val="0D9D24E2"/>
    <w:rsid w:val="0DA815B3"/>
    <w:rsid w:val="0DB461AA"/>
    <w:rsid w:val="0DB735A4"/>
    <w:rsid w:val="0DCE08EE"/>
    <w:rsid w:val="0DD405FA"/>
    <w:rsid w:val="0DD423A8"/>
    <w:rsid w:val="0E0B2370"/>
    <w:rsid w:val="0E3303AA"/>
    <w:rsid w:val="0E3A5F83"/>
    <w:rsid w:val="0E4A08BC"/>
    <w:rsid w:val="0E715E49"/>
    <w:rsid w:val="0E73034D"/>
    <w:rsid w:val="0E796AAB"/>
    <w:rsid w:val="0E903DF5"/>
    <w:rsid w:val="0E9C5233"/>
    <w:rsid w:val="0EA224A6"/>
    <w:rsid w:val="0EAE0E4B"/>
    <w:rsid w:val="0EB67D00"/>
    <w:rsid w:val="0EB83A78"/>
    <w:rsid w:val="0EBE4E06"/>
    <w:rsid w:val="0ECF0DC1"/>
    <w:rsid w:val="0EDB32C2"/>
    <w:rsid w:val="0EDE2DB2"/>
    <w:rsid w:val="0EEA5BFB"/>
    <w:rsid w:val="0EF80318"/>
    <w:rsid w:val="0F026AA1"/>
    <w:rsid w:val="0F0C3DC3"/>
    <w:rsid w:val="0F0F11BE"/>
    <w:rsid w:val="0F0F7410"/>
    <w:rsid w:val="0F13775A"/>
    <w:rsid w:val="0F1D1B2D"/>
    <w:rsid w:val="0F4351AB"/>
    <w:rsid w:val="0F5F45FE"/>
    <w:rsid w:val="0F7F0EF9"/>
    <w:rsid w:val="0F9A112B"/>
    <w:rsid w:val="0F9A13CF"/>
    <w:rsid w:val="0FBF4992"/>
    <w:rsid w:val="0FC41FA8"/>
    <w:rsid w:val="0FC65D20"/>
    <w:rsid w:val="0FD04DF1"/>
    <w:rsid w:val="0FD10D9C"/>
    <w:rsid w:val="0FD22917"/>
    <w:rsid w:val="0FE41C86"/>
    <w:rsid w:val="0FE91A0F"/>
    <w:rsid w:val="0FEB1C2B"/>
    <w:rsid w:val="0FF54858"/>
    <w:rsid w:val="0FFC1742"/>
    <w:rsid w:val="100E1475"/>
    <w:rsid w:val="1018352B"/>
    <w:rsid w:val="102962AF"/>
    <w:rsid w:val="10437371"/>
    <w:rsid w:val="1054157E"/>
    <w:rsid w:val="105A46BB"/>
    <w:rsid w:val="105E23FD"/>
    <w:rsid w:val="106D0892"/>
    <w:rsid w:val="106D2F64"/>
    <w:rsid w:val="1074577C"/>
    <w:rsid w:val="108C6F6A"/>
    <w:rsid w:val="109951E3"/>
    <w:rsid w:val="109A0F5B"/>
    <w:rsid w:val="109B53FF"/>
    <w:rsid w:val="10B14C22"/>
    <w:rsid w:val="10B63710"/>
    <w:rsid w:val="10BD35C7"/>
    <w:rsid w:val="10C55FD8"/>
    <w:rsid w:val="10CB06DF"/>
    <w:rsid w:val="10CD7582"/>
    <w:rsid w:val="10D91A83"/>
    <w:rsid w:val="10DD2F45"/>
    <w:rsid w:val="10F10820"/>
    <w:rsid w:val="1103077A"/>
    <w:rsid w:val="111B02EE"/>
    <w:rsid w:val="111C2F7A"/>
    <w:rsid w:val="111E393A"/>
    <w:rsid w:val="114F7F97"/>
    <w:rsid w:val="11514A9C"/>
    <w:rsid w:val="115D4462"/>
    <w:rsid w:val="115F642C"/>
    <w:rsid w:val="11665CA1"/>
    <w:rsid w:val="11691059"/>
    <w:rsid w:val="11765524"/>
    <w:rsid w:val="11771E3C"/>
    <w:rsid w:val="11812847"/>
    <w:rsid w:val="118C4B49"/>
    <w:rsid w:val="11963E18"/>
    <w:rsid w:val="11A647B8"/>
    <w:rsid w:val="11AE4CBE"/>
    <w:rsid w:val="11C12C43"/>
    <w:rsid w:val="11C6025A"/>
    <w:rsid w:val="11C75D80"/>
    <w:rsid w:val="11E37E29"/>
    <w:rsid w:val="11ED149B"/>
    <w:rsid w:val="11FE3E97"/>
    <w:rsid w:val="120B0362"/>
    <w:rsid w:val="1212349F"/>
    <w:rsid w:val="122C1BF6"/>
    <w:rsid w:val="12301B77"/>
    <w:rsid w:val="123F1DBA"/>
    <w:rsid w:val="124F46F3"/>
    <w:rsid w:val="126D202A"/>
    <w:rsid w:val="12706417"/>
    <w:rsid w:val="12900868"/>
    <w:rsid w:val="12A3059B"/>
    <w:rsid w:val="12AB744F"/>
    <w:rsid w:val="12BB58E4"/>
    <w:rsid w:val="12C21EBB"/>
    <w:rsid w:val="12C329EB"/>
    <w:rsid w:val="12C34799"/>
    <w:rsid w:val="12CD386A"/>
    <w:rsid w:val="12D76496"/>
    <w:rsid w:val="12F47048"/>
    <w:rsid w:val="13001549"/>
    <w:rsid w:val="13225964"/>
    <w:rsid w:val="135F0966"/>
    <w:rsid w:val="13650BBA"/>
    <w:rsid w:val="136E0BA9"/>
    <w:rsid w:val="136E5E6A"/>
    <w:rsid w:val="13785584"/>
    <w:rsid w:val="1379754E"/>
    <w:rsid w:val="13907E31"/>
    <w:rsid w:val="13951726"/>
    <w:rsid w:val="139879D4"/>
    <w:rsid w:val="13B3194D"/>
    <w:rsid w:val="13BA2040"/>
    <w:rsid w:val="13BB6969"/>
    <w:rsid w:val="13D44784"/>
    <w:rsid w:val="13FF5CA5"/>
    <w:rsid w:val="140432BB"/>
    <w:rsid w:val="14096B23"/>
    <w:rsid w:val="140B63F8"/>
    <w:rsid w:val="14184FB8"/>
    <w:rsid w:val="141A488D"/>
    <w:rsid w:val="14215C1B"/>
    <w:rsid w:val="14396509"/>
    <w:rsid w:val="14432035"/>
    <w:rsid w:val="144B2C98"/>
    <w:rsid w:val="144E4536"/>
    <w:rsid w:val="14537D9F"/>
    <w:rsid w:val="14553B17"/>
    <w:rsid w:val="14604593"/>
    <w:rsid w:val="14773A8D"/>
    <w:rsid w:val="1481490C"/>
    <w:rsid w:val="14991C55"/>
    <w:rsid w:val="14A423A8"/>
    <w:rsid w:val="14B00D4D"/>
    <w:rsid w:val="14BB6070"/>
    <w:rsid w:val="14C2659D"/>
    <w:rsid w:val="14C36CD2"/>
    <w:rsid w:val="14DC1398"/>
    <w:rsid w:val="14DD2C3C"/>
    <w:rsid w:val="14ED01F3"/>
    <w:rsid w:val="150F1F18"/>
    <w:rsid w:val="15347BD0"/>
    <w:rsid w:val="1536068F"/>
    <w:rsid w:val="15372643"/>
    <w:rsid w:val="153E45AB"/>
    <w:rsid w:val="15431BC1"/>
    <w:rsid w:val="154C316C"/>
    <w:rsid w:val="15537AC9"/>
    <w:rsid w:val="15543DCE"/>
    <w:rsid w:val="156758B0"/>
    <w:rsid w:val="15744470"/>
    <w:rsid w:val="158A5A42"/>
    <w:rsid w:val="158F4E06"/>
    <w:rsid w:val="15AD75AA"/>
    <w:rsid w:val="15B036FB"/>
    <w:rsid w:val="15B30AF5"/>
    <w:rsid w:val="15BB3E4D"/>
    <w:rsid w:val="15BD7BC5"/>
    <w:rsid w:val="15D62A35"/>
    <w:rsid w:val="15DD0268"/>
    <w:rsid w:val="16087E1D"/>
    <w:rsid w:val="161609FE"/>
    <w:rsid w:val="162039C7"/>
    <w:rsid w:val="16361726"/>
    <w:rsid w:val="164478A7"/>
    <w:rsid w:val="164976AB"/>
    <w:rsid w:val="164E081E"/>
    <w:rsid w:val="16500A3A"/>
    <w:rsid w:val="1653052A"/>
    <w:rsid w:val="165878EE"/>
    <w:rsid w:val="16610551"/>
    <w:rsid w:val="16730284"/>
    <w:rsid w:val="16826719"/>
    <w:rsid w:val="169923E1"/>
    <w:rsid w:val="169A3A63"/>
    <w:rsid w:val="16A3637B"/>
    <w:rsid w:val="16A843D2"/>
    <w:rsid w:val="16AD3796"/>
    <w:rsid w:val="16C16DD4"/>
    <w:rsid w:val="16CD3E38"/>
    <w:rsid w:val="16D76A65"/>
    <w:rsid w:val="16DE4297"/>
    <w:rsid w:val="16E01DBD"/>
    <w:rsid w:val="16E66CA8"/>
    <w:rsid w:val="16ED6288"/>
    <w:rsid w:val="16F655CE"/>
    <w:rsid w:val="16F92E7F"/>
    <w:rsid w:val="16F975C0"/>
    <w:rsid w:val="17112884"/>
    <w:rsid w:val="17127A9D"/>
    <w:rsid w:val="1723320B"/>
    <w:rsid w:val="1740285C"/>
    <w:rsid w:val="174F0CF1"/>
    <w:rsid w:val="17516817"/>
    <w:rsid w:val="17606A5A"/>
    <w:rsid w:val="1763654B"/>
    <w:rsid w:val="1767274E"/>
    <w:rsid w:val="176B4217"/>
    <w:rsid w:val="17701D14"/>
    <w:rsid w:val="17735226"/>
    <w:rsid w:val="177469AA"/>
    <w:rsid w:val="17806986"/>
    <w:rsid w:val="178403F2"/>
    <w:rsid w:val="178766DD"/>
    <w:rsid w:val="17CF598E"/>
    <w:rsid w:val="17D12E78"/>
    <w:rsid w:val="17D45C0F"/>
    <w:rsid w:val="17DB4333"/>
    <w:rsid w:val="17E90D5E"/>
    <w:rsid w:val="17EE4066"/>
    <w:rsid w:val="17EF1AFF"/>
    <w:rsid w:val="18075128"/>
    <w:rsid w:val="180C3847"/>
    <w:rsid w:val="18133ACD"/>
    <w:rsid w:val="18147845"/>
    <w:rsid w:val="181810E3"/>
    <w:rsid w:val="18194E5B"/>
    <w:rsid w:val="181D0DEF"/>
    <w:rsid w:val="18225A6D"/>
    <w:rsid w:val="18333BE2"/>
    <w:rsid w:val="18383533"/>
    <w:rsid w:val="184B5220"/>
    <w:rsid w:val="184C6FDF"/>
    <w:rsid w:val="185145F5"/>
    <w:rsid w:val="18552337"/>
    <w:rsid w:val="18925339"/>
    <w:rsid w:val="189270E7"/>
    <w:rsid w:val="189310B2"/>
    <w:rsid w:val="189E5853"/>
    <w:rsid w:val="189F624C"/>
    <w:rsid w:val="18A818D3"/>
    <w:rsid w:val="18BD7EDC"/>
    <w:rsid w:val="18C354F3"/>
    <w:rsid w:val="18CE5C46"/>
    <w:rsid w:val="18D07C10"/>
    <w:rsid w:val="18DA672E"/>
    <w:rsid w:val="18DC65B5"/>
    <w:rsid w:val="18FC27B3"/>
    <w:rsid w:val="19145D4E"/>
    <w:rsid w:val="193114E0"/>
    <w:rsid w:val="19404D95"/>
    <w:rsid w:val="19434886"/>
    <w:rsid w:val="19444CB9"/>
    <w:rsid w:val="19461C80"/>
    <w:rsid w:val="195A05D0"/>
    <w:rsid w:val="19742C91"/>
    <w:rsid w:val="1978270E"/>
    <w:rsid w:val="197902A7"/>
    <w:rsid w:val="197E018B"/>
    <w:rsid w:val="199055CA"/>
    <w:rsid w:val="19A14C5D"/>
    <w:rsid w:val="19BB08C0"/>
    <w:rsid w:val="19BF78A1"/>
    <w:rsid w:val="19C21C4E"/>
    <w:rsid w:val="19E82D37"/>
    <w:rsid w:val="19F31E08"/>
    <w:rsid w:val="1A0C5A7A"/>
    <w:rsid w:val="1A163D48"/>
    <w:rsid w:val="1A1C66C0"/>
    <w:rsid w:val="1A3441CE"/>
    <w:rsid w:val="1A38751A"/>
    <w:rsid w:val="1A3B555D"/>
    <w:rsid w:val="1A42393B"/>
    <w:rsid w:val="1A473F02"/>
    <w:rsid w:val="1A497C7A"/>
    <w:rsid w:val="1A7F369B"/>
    <w:rsid w:val="1A943AF7"/>
    <w:rsid w:val="1A9D7FC6"/>
    <w:rsid w:val="1AAB26E2"/>
    <w:rsid w:val="1AAB623F"/>
    <w:rsid w:val="1AAD45DE"/>
    <w:rsid w:val="1AB3783C"/>
    <w:rsid w:val="1ABD5F72"/>
    <w:rsid w:val="1AC437A4"/>
    <w:rsid w:val="1AC6751C"/>
    <w:rsid w:val="1ACD2659"/>
    <w:rsid w:val="1ADF238C"/>
    <w:rsid w:val="1AE40753"/>
    <w:rsid w:val="1AF8568D"/>
    <w:rsid w:val="1AFC1190"/>
    <w:rsid w:val="1B046F80"/>
    <w:rsid w:val="1B296F29"/>
    <w:rsid w:val="1B2E6E70"/>
    <w:rsid w:val="1B3267B5"/>
    <w:rsid w:val="1B351FAC"/>
    <w:rsid w:val="1B3B1CB8"/>
    <w:rsid w:val="1B40161D"/>
    <w:rsid w:val="1B4346C9"/>
    <w:rsid w:val="1B441859"/>
    <w:rsid w:val="1B4A1EFB"/>
    <w:rsid w:val="1B4B1124"/>
    <w:rsid w:val="1B59213E"/>
    <w:rsid w:val="1B5C39DD"/>
    <w:rsid w:val="1B636B19"/>
    <w:rsid w:val="1B6606B1"/>
    <w:rsid w:val="1B7C407F"/>
    <w:rsid w:val="1B9118D8"/>
    <w:rsid w:val="1B925650"/>
    <w:rsid w:val="1B99078D"/>
    <w:rsid w:val="1BB913C8"/>
    <w:rsid w:val="1BBA19E9"/>
    <w:rsid w:val="1BC31CAE"/>
    <w:rsid w:val="1BC752FA"/>
    <w:rsid w:val="1BFB3B62"/>
    <w:rsid w:val="1C0D4CD7"/>
    <w:rsid w:val="1C224C26"/>
    <w:rsid w:val="1C234F0C"/>
    <w:rsid w:val="1C2C1601"/>
    <w:rsid w:val="1C2F4C4D"/>
    <w:rsid w:val="1C323B69"/>
    <w:rsid w:val="1C3E4E3D"/>
    <w:rsid w:val="1C3F5DAD"/>
    <w:rsid w:val="1C3F7586"/>
    <w:rsid w:val="1C422E87"/>
    <w:rsid w:val="1C4306F9"/>
    <w:rsid w:val="1C5E7925"/>
    <w:rsid w:val="1C6012AB"/>
    <w:rsid w:val="1C6074FD"/>
    <w:rsid w:val="1C640D9B"/>
    <w:rsid w:val="1C872CDB"/>
    <w:rsid w:val="1C9061AF"/>
    <w:rsid w:val="1C9F1DD3"/>
    <w:rsid w:val="1CB957A5"/>
    <w:rsid w:val="1CBA4E5F"/>
    <w:rsid w:val="1CC7132A"/>
    <w:rsid w:val="1CD33FC5"/>
    <w:rsid w:val="1CDF6A28"/>
    <w:rsid w:val="1CE8321A"/>
    <w:rsid w:val="1CE912A0"/>
    <w:rsid w:val="1CF3211F"/>
    <w:rsid w:val="1CFA34AD"/>
    <w:rsid w:val="1CFD070F"/>
    <w:rsid w:val="1D04432C"/>
    <w:rsid w:val="1D0F1DEB"/>
    <w:rsid w:val="1D2642A2"/>
    <w:rsid w:val="1D2D73DF"/>
    <w:rsid w:val="1D392227"/>
    <w:rsid w:val="1D4604A0"/>
    <w:rsid w:val="1D4961E3"/>
    <w:rsid w:val="1D4B3D09"/>
    <w:rsid w:val="1D4B5AB7"/>
    <w:rsid w:val="1D557E55"/>
    <w:rsid w:val="1D5D57EA"/>
    <w:rsid w:val="1D5F6196"/>
    <w:rsid w:val="1D6132A5"/>
    <w:rsid w:val="1D813BCE"/>
    <w:rsid w:val="1D882867"/>
    <w:rsid w:val="1D8E3BF5"/>
    <w:rsid w:val="1D8E56D5"/>
    <w:rsid w:val="1D921938"/>
    <w:rsid w:val="1DA90A2F"/>
    <w:rsid w:val="1DBA49EB"/>
    <w:rsid w:val="1DBC0763"/>
    <w:rsid w:val="1DC1663A"/>
    <w:rsid w:val="1DC8495D"/>
    <w:rsid w:val="1DDD7E97"/>
    <w:rsid w:val="1DDF4451"/>
    <w:rsid w:val="1DE101C9"/>
    <w:rsid w:val="1E081BFA"/>
    <w:rsid w:val="1E195BB5"/>
    <w:rsid w:val="1E311151"/>
    <w:rsid w:val="1E3B5B2B"/>
    <w:rsid w:val="1E3D7AF5"/>
    <w:rsid w:val="1E4075E6"/>
    <w:rsid w:val="1E7352C5"/>
    <w:rsid w:val="1E7A43DA"/>
    <w:rsid w:val="1E827BFE"/>
    <w:rsid w:val="1E894AE9"/>
    <w:rsid w:val="1E935967"/>
    <w:rsid w:val="1EA00084"/>
    <w:rsid w:val="1EA731C1"/>
    <w:rsid w:val="1EE2069D"/>
    <w:rsid w:val="1EF417D5"/>
    <w:rsid w:val="1F1F71FB"/>
    <w:rsid w:val="1F422EEA"/>
    <w:rsid w:val="1F5F51A1"/>
    <w:rsid w:val="1F770DE5"/>
    <w:rsid w:val="1F797D51"/>
    <w:rsid w:val="1F817EB6"/>
    <w:rsid w:val="1F9279CD"/>
    <w:rsid w:val="1F9A4AD4"/>
    <w:rsid w:val="1FAB0A8F"/>
    <w:rsid w:val="1FBC0EEE"/>
    <w:rsid w:val="1FC3402A"/>
    <w:rsid w:val="1FCF6E73"/>
    <w:rsid w:val="1FD60202"/>
    <w:rsid w:val="1FD71884"/>
    <w:rsid w:val="1FE7539E"/>
    <w:rsid w:val="1FF42436"/>
    <w:rsid w:val="20120B0E"/>
    <w:rsid w:val="20191E9C"/>
    <w:rsid w:val="2027280B"/>
    <w:rsid w:val="20286583"/>
    <w:rsid w:val="203B0065"/>
    <w:rsid w:val="203B62B7"/>
    <w:rsid w:val="206155F1"/>
    <w:rsid w:val="20671BE0"/>
    <w:rsid w:val="20672C08"/>
    <w:rsid w:val="207E0FDC"/>
    <w:rsid w:val="207E43F5"/>
    <w:rsid w:val="208A0FEC"/>
    <w:rsid w:val="208A2D9A"/>
    <w:rsid w:val="208C266E"/>
    <w:rsid w:val="20963CB8"/>
    <w:rsid w:val="20A81A1B"/>
    <w:rsid w:val="20B00A53"/>
    <w:rsid w:val="20B07FB6"/>
    <w:rsid w:val="20B147CB"/>
    <w:rsid w:val="20B646FB"/>
    <w:rsid w:val="20BD73E0"/>
    <w:rsid w:val="20C0056A"/>
    <w:rsid w:val="20CC6F0F"/>
    <w:rsid w:val="20CE2C87"/>
    <w:rsid w:val="20D65FDF"/>
    <w:rsid w:val="20D858B3"/>
    <w:rsid w:val="20E22BD6"/>
    <w:rsid w:val="20E71F9A"/>
    <w:rsid w:val="21050673"/>
    <w:rsid w:val="211F775E"/>
    <w:rsid w:val="213B74B1"/>
    <w:rsid w:val="215A2310"/>
    <w:rsid w:val="215A451A"/>
    <w:rsid w:val="215B0293"/>
    <w:rsid w:val="21611BF2"/>
    <w:rsid w:val="217F5295"/>
    <w:rsid w:val="219C4B33"/>
    <w:rsid w:val="21CF45E9"/>
    <w:rsid w:val="21D56297"/>
    <w:rsid w:val="21D818E3"/>
    <w:rsid w:val="21DE318A"/>
    <w:rsid w:val="21EF5B80"/>
    <w:rsid w:val="21F20BF7"/>
    <w:rsid w:val="21F7445F"/>
    <w:rsid w:val="2221772E"/>
    <w:rsid w:val="2234120F"/>
    <w:rsid w:val="22364F87"/>
    <w:rsid w:val="2237485C"/>
    <w:rsid w:val="223C6B10"/>
    <w:rsid w:val="22457C15"/>
    <w:rsid w:val="224955E9"/>
    <w:rsid w:val="224D22D1"/>
    <w:rsid w:val="22576990"/>
    <w:rsid w:val="225E0A1A"/>
    <w:rsid w:val="22635651"/>
    <w:rsid w:val="22694135"/>
    <w:rsid w:val="22743D02"/>
    <w:rsid w:val="227B5090"/>
    <w:rsid w:val="227C6712"/>
    <w:rsid w:val="22873A35"/>
    <w:rsid w:val="228D6B72"/>
    <w:rsid w:val="22907102"/>
    <w:rsid w:val="22935E93"/>
    <w:rsid w:val="229C4BB4"/>
    <w:rsid w:val="22A939AB"/>
    <w:rsid w:val="22C26F02"/>
    <w:rsid w:val="22C73E32"/>
    <w:rsid w:val="22D447A0"/>
    <w:rsid w:val="22D87824"/>
    <w:rsid w:val="22DB168B"/>
    <w:rsid w:val="22DF73CD"/>
    <w:rsid w:val="22E22A19"/>
    <w:rsid w:val="22E36792"/>
    <w:rsid w:val="22E42C35"/>
    <w:rsid w:val="22F1175E"/>
    <w:rsid w:val="22F47480"/>
    <w:rsid w:val="22FD3CF7"/>
    <w:rsid w:val="231D6147"/>
    <w:rsid w:val="232B2612"/>
    <w:rsid w:val="233D0598"/>
    <w:rsid w:val="2369313B"/>
    <w:rsid w:val="23957A8C"/>
    <w:rsid w:val="239A32F4"/>
    <w:rsid w:val="239D4B92"/>
    <w:rsid w:val="23B048C6"/>
    <w:rsid w:val="23B5012E"/>
    <w:rsid w:val="23BC326A"/>
    <w:rsid w:val="23BF09D9"/>
    <w:rsid w:val="23C30A9D"/>
    <w:rsid w:val="23C93BD9"/>
    <w:rsid w:val="23C95987"/>
    <w:rsid w:val="23DD36F6"/>
    <w:rsid w:val="23DE1C48"/>
    <w:rsid w:val="23E9602A"/>
    <w:rsid w:val="23F93A83"/>
    <w:rsid w:val="240210CD"/>
    <w:rsid w:val="24172B97"/>
    <w:rsid w:val="24183F9D"/>
    <w:rsid w:val="241A4435"/>
    <w:rsid w:val="242552B4"/>
    <w:rsid w:val="24264B88"/>
    <w:rsid w:val="242F6132"/>
    <w:rsid w:val="24613E12"/>
    <w:rsid w:val="246758CC"/>
    <w:rsid w:val="246D27B7"/>
    <w:rsid w:val="24853FA4"/>
    <w:rsid w:val="248F1CDE"/>
    <w:rsid w:val="24977834"/>
    <w:rsid w:val="249917FE"/>
    <w:rsid w:val="249E6E14"/>
    <w:rsid w:val="24BF09F7"/>
    <w:rsid w:val="24C820E3"/>
    <w:rsid w:val="24CA19B7"/>
    <w:rsid w:val="24DE57BE"/>
    <w:rsid w:val="24F46A34"/>
    <w:rsid w:val="250379A9"/>
    <w:rsid w:val="250824DF"/>
    <w:rsid w:val="250B47F3"/>
    <w:rsid w:val="252D53FE"/>
    <w:rsid w:val="25406175"/>
    <w:rsid w:val="25421E95"/>
    <w:rsid w:val="254E4396"/>
    <w:rsid w:val="255E4015"/>
    <w:rsid w:val="255F47F5"/>
    <w:rsid w:val="259A3A7F"/>
    <w:rsid w:val="259F4148"/>
    <w:rsid w:val="25A641D2"/>
    <w:rsid w:val="25C610B6"/>
    <w:rsid w:val="25C91C6F"/>
    <w:rsid w:val="25CB1E8B"/>
    <w:rsid w:val="25D16D75"/>
    <w:rsid w:val="25D53C59"/>
    <w:rsid w:val="25D7082F"/>
    <w:rsid w:val="25DE4864"/>
    <w:rsid w:val="25EC2D81"/>
    <w:rsid w:val="260D5FFF"/>
    <w:rsid w:val="260F621B"/>
    <w:rsid w:val="261048A8"/>
    <w:rsid w:val="26170C2C"/>
    <w:rsid w:val="261C4494"/>
    <w:rsid w:val="262B2929"/>
    <w:rsid w:val="262E41C8"/>
    <w:rsid w:val="262E5F76"/>
    <w:rsid w:val="263317DE"/>
    <w:rsid w:val="263A0DBE"/>
    <w:rsid w:val="26492DAF"/>
    <w:rsid w:val="26804A23"/>
    <w:rsid w:val="26887D7C"/>
    <w:rsid w:val="268F456F"/>
    <w:rsid w:val="269515C0"/>
    <w:rsid w:val="269F2A53"/>
    <w:rsid w:val="26A362D9"/>
    <w:rsid w:val="26A56238"/>
    <w:rsid w:val="26B172D2"/>
    <w:rsid w:val="26B807B0"/>
    <w:rsid w:val="26CA2142"/>
    <w:rsid w:val="26D62895"/>
    <w:rsid w:val="26F62F37"/>
    <w:rsid w:val="26F64CE5"/>
    <w:rsid w:val="27027B2E"/>
    <w:rsid w:val="270311B0"/>
    <w:rsid w:val="270A253F"/>
    <w:rsid w:val="27181100"/>
    <w:rsid w:val="271B474C"/>
    <w:rsid w:val="27233601"/>
    <w:rsid w:val="272950BB"/>
    <w:rsid w:val="272F01F7"/>
    <w:rsid w:val="273A72C8"/>
    <w:rsid w:val="274041B2"/>
    <w:rsid w:val="27595274"/>
    <w:rsid w:val="275A1718"/>
    <w:rsid w:val="275D4D64"/>
    <w:rsid w:val="2762237B"/>
    <w:rsid w:val="276500BD"/>
    <w:rsid w:val="277057A2"/>
    <w:rsid w:val="277125BE"/>
    <w:rsid w:val="277F4CDB"/>
    <w:rsid w:val="27840543"/>
    <w:rsid w:val="278A3680"/>
    <w:rsid w:val="278F0C96"/>
    <w:rsid w:val="278F1E6F"/>
    <w:rsid w:val="27960276"/>
    <w:rsid w:val="279A7D67"/>
    <w:rsid w:val="27B54BA0"/>
    <w:rsid w:val="27C941A8"/>
    <w:rsid w:val="27CE5C62"/>
    <w:rsid w:val="27DC037F"/>
    <w:rsid w:val="28090A48"/>
    <w:rsid w:val="280C22E7"/>
    <w:rsid w:val="284250C6"/>
    <w:rsid w:val="28437676"/>
    <w:rsid w:val="28520495"/>
    <w:rsid w:val="285C6DCA"/>
    <w:rsid w:val="285D2B42"/>
    <w:rsid w:val="28615443"/>
    <w:rsid w:val="286B34B1"/>
    <w:rsid w:val="28795BCE"/>
    <w:rsid w:val="287C746C"/>
    <w:rsid w:val="28904CC6"/>
    <w:rsid w:val="28B704A4"/>
    <w:rsid w:val="28BC5ABB"/>
    <w:rsid w:val="28DC615D"/>
    <w:rsid w:val="28DF17A9"/>
    <w:rsid w:val="28E15521"/>
    <w:rsid w:val="28E24D69"/>
    <w:rsid w:val="28E76FDC"/>
    <w:rsid w:val="290C07F0"/>
    <w:rsid w:val="29206EB8"/>
    <w:rsid w:val="292C49EE"/>
    <w:rsid w:val="293E0BC6"/>
    <w:rsid w:val="294352AD"/>
    <w:rsid w:val="294C6E3F"/>
    <w:rsid w:val="29542197"/>
    <w:rsid w:val="29595666"/>
    <w:rsid w:val="29653C42"/>
    <w:rsid w:val="29656152"/>
    <w:rsid w:val="296A3769"/>
    <w:rsid w:val="29724362"/>
    <w:rsid w:val="297665B1"/>
    <w:rsid w:val="297E535E"/>
    <w:rsid w:val="298505A2"/>
    <w:rsid w:val="29874881"/>
    <w:rsid w:val="298E56A9"/>
    <w:rsid w:val="29910CF5"/>
    <w:rsid w:val="29915199"/>
    <w:rsid w:val="29946A38"/>
    <w:rsid w:val="29A30A29"/>
    <w:rsid w:val="29A749BD"/>
    <w:rsid w:val="29D07A70"/>
    <w:rsid w:val="29E325E0"/>
    <w:rsid w:val="29E61678"/>
    <w:rsid w:val="2A133E00"/>
    <w:rsid w:val="2A151926"/>
    <w:rsid w:val="2A1B05EA"/>
    <w:rsid w:val="2A452503"/>
    <w:rsid w:val="2A4E636C"/>
    <w:rsid w:val="2A5F2BA2"/>
    <w:rsid w:val="2A6E1037"/>
    <w:rsid w:val="2A704DAF"/>
    <w:rsid w:val="2A73664D"/>
    <w:rsid w:val="2A7821F7"/>
    <w:rsid w:val="2A7E571E"/>
    <w:rsid w:val="2A84085A"/>
    <w:rsid w:val="2A8A2314"/>
    <w:rsid w:val="2A944F41"/>
    <w:rsid w:val="2AA44A58"/>
    <w:rsid w:val="2AA64C74"/>
    <w:rsid w:val="2ABC6246"/>
    <w:rsid w:val="2AC1560A"/>
    <w:rsid w:val="2AC31382"/>
    <w:rsid w:val="2ACD2201"/>
    <w:rsid w:val="2AD4533E"/>
    <w:rsid w:val="2AD57308"/>
    <w:rsid w:val="2AEA2DB3"/>
    <w:rsid w:val="2B033E75"/>
    <w:rsid w:val="2B0A6FB1"/>
    <w:rsid w:val="2B1971F4"/>
    <w:rsid w:val="2B1E480B"/>
    <w:rsid w:val="2B2362C5"/>
    <w:rsid w:val="2B25203D"/>
    <w:rsid w:val="2B321EB8"/>
    <w:rsid w:val="2B3D7387"/>
    <w:rsid w:val="2B4104F9"/>
    <w:rsid w:val="2B4C75CA"/>
    <w:rsid w:val="2B5841C1"/>
    <w:rsid w:val="2B5C7557"/>
    <w:rsid w:val="2B5F515B"/>
    <w:rsid w:val="2B603075"/>
    <w:rsid w:val="2B634913"/>
    <w:rsid w:val="2B6568DD"/>
    <w:rsid w:val="2B6D12EE"/>
    <w:rsid w:val="2B77216D"/>
    <w:rsid w:val="2B7A63E5"/>
    <w:rsid w:val="2B88586B"/>
    <w:rsid w:val="2BA936A8"/>
    <w:rsid w:val="2BAA2542"/>
    <w:rsid w:val="2BB1742D"/>
    <w:rsid w:val="2BB43557"/>
    <w:rsid w:val="2BBA09D7"/>
    <w:rsid w:val="2BBB2606"/>
    <w:rsid w:val="2BC028C9"/>
    <w:rsid w:val="2BC43604"/>
    <w:rsid w:val="2BCE2BF9"/>
    <w:rsid w:val="2BD4136D"/>
    <w:rsid w:val="2BDA2E28"/>
    <w:rsid w:val="2BDD0222"/>
    <w:rsid w:val="2BEC66B7"/>
    <w:rsid w:val="2BF33EE9"/>
    <w:rsid w:val="2BF65788"/>
    <w:rsid w:val="2C0559CB"/>
    <w:rsid w:val="2C062BB2"/>
    <w:rsid w:val="2C0E033F"/>
    <w:rsid w:val="2C155D02"/>
    <w:rsid w:val="2C286247"/>
    <w:rsid w:val="2C2A71DF"/>
    <w:rsid w:val="2C315A5A"/>
    <w:rsid w:val="2C453C76"/>
    <w:rsid w:val="2C482373"/>
    <w:rsid w:val="2C4B1C25"/>
    <w:rsid w:val="2C5524AE"/>
    <w:rsid w:val="2C602C01"/>
    <w:rsid w:val="2C640943"/>
    <w:rsid w:val="2C7072E8"/>
    <w:rsid w:val="2C7F39CF"/>
    <w:rsid w:val="2C7F577D"/>
    <w:rsid w:val="2C815051"/>
    <w:rsid w:val="2C9A4365"/>
    <w:rsid w:val="2C9E0453"/>
    <w:rsid w:val="2C9E20A7"/>
    <w:rsid w:val="2CA70830"/>
    <w:rsid w:val="2CB4322B"/>
    <w:rsid w:val="2CC17B44"/>
    <w:rsid w:val="2CD45AC9"/>
    <w:rsid w:val="2CD94E8D"/>
    <w:rsid w:val="2D1265F1"/>
    <w:rsid w:val="2D2500D2"/>
    <w:rsid w:val="2D320A41"/>
    <w:rsid w:val="2D55028C"/>
    <w:rsid w:val="2D5B3AF4"/>
    <w:rsid w:val="2D5E709C"/>
    <w:rsid w:val="2D636E4D"/>
    <w:rsid w:val="2D6F134E"/>
    <w:rsid w:val="2D7746A6"/>
    <w:rsid w:val="2D7C5689"/>
    <w:rsid w:val="2D870D8D"/>
    <w:rsid w:val="2D9B0395"/>
    <w:rsid w:val="2D9E56F5"/>
    <w:rsid w:val="2DAB617C"/>
    <w:rsid w:val="2DB63420"/>
    <w:rsid w:val="2DC31699"/>
    <w:rsid w:val="2DCC054E"/>
    <w:rsid w:val="2DCC2C44"/>
    <w:rsid w:val="2DD13DB6"/>
    <w:rsid w:val="2DD65847"/>
    <w:rsid w:val="2E0979F4"/>
    <w:rsid w:val="2E0E500A"/>
    <w:rsid w:val="2E1E4B22"/>
    <w:rsid w:val="2E314855"/>
    <w:rsid w:val="2E352597"/>
    <w:rsid w:val="2E3D769E"/>
    <w:rsid w:val="2E586286"/>
    <w:rsid w:val="2E667F96"/>
    <w:rsid w:val="2E6F4549"/>
    <w:rsid w:val="2E701821"/>
    <w:rsid w:val="2E8226AB"/>
    <w:rsid w:val="2E826747"/>
    <w:rsid w:val="2E866B44"/>
    <w:rsid w:val="2E913546"/>
    <w:rsid w:val="2E9A2060"/>
    <w:rsid w:val="2EAE2349"/>
    <w:rsid w:val="2EAE5EA6"/>
    <w:rsid w:val="2EBA0CEE"/>
    <w:rsid w:val="2ED718A0"/>
    <w:rsid w:val="2EE45D6B"/>
    <w:rsid w:val="2EED4C20"/>
    <w:rsid w:val="2F012479"/>
    <w:rsid w:val="2F0B32F8"/>
    <w:rsid w:val="2F120B2A"/>
    <w:rsid w:val="2F1C72B3"/>
    <w:rsid w:val="2F2148C9"/>
    <w:rsid w:val="2F45680A"/>
    <w:rsid w:val="2F48454C"/>
    <w:rsid w:val="2F4D56BE"/>
    <w:rsid w:val="2F5702EB"/>
    <w:rsid w:val="2F5922B5"/>
    <w:rsid w:val="2F601896"/>
    <w:rsid w:val="2F6A0915"/>
    <w:rsid w:val="2F7610B9"/>
    <w:rsid w:val="2F7D0FB0"/>
    <w:rsid w:val="2F8310E0"/>
    <w:rsid w:val="2F866E22"/>
    <w:rsid w:val="2F8F217B"/>
    <w:rsid w:val="2F9652B7"/>
    <w:rsid w:val="2FD065E6"/>
    <w:rsid w:val="2FD14541"/>
    <w:rsid w:val="2FD96870"/>
    <w:rsid w:val="2FDA5341"/>
    <w:rsid w:val="2FE82D04"/>
    <w:rsid w:val="2FF41FDE"/>
    <w:rsid w:val="2FF81ACE"/>
    <w:rsid w:val="300264A9"/>
    <w:rsid w:val="30032221"/>
    <w:rsid w:val="300F0BC6"/>
    <w:rsid w:val="30466CDD"/>
    <w:rsid w:val="3050190A"/>
    <w:rsid w:val="305807BF"/>
    <w:rsid w:val="30580BC9"/>
    <w:rsid w:val="30590093"/>
    <w:rsid w:val="307750E9"/>
    <w:rsid w:val="307A0735"/>
    <w:rsid w:val="308B2942"/>
    <w:rsid w:val="30B55C11"/>
    <w:rsid w:val="30B8125D"/>
    <w:rsid w:val="30C16364"/>
    <w:rsid w:val="30CE282F"/>
    <w:rsid w:val="30CE6CD3"/>
    <w:rsid w:val="30FA1876"/>
    <w:rsid w:val="31097D0B"/>
    <w:rsid w:val="311D7312"/>
    <w:rsid w:val="311E2ED7"/>
    <w:rsid w:val="313308E4"/>
    <w:rsid w:val="31466869"/>
    <w:rsid w:val="315619EE"/>
    <w:rsid w:val="315C449C"/>
    <w:rsid w:val="3163741B"/>
    <w:rsid w:val="31741628"/>
    <w:rsid w:val="317C5829"/>
    <w:rsid w:val="31807FCD"/>
    <w:rsid w:val="31815AF3"/>
    <w:rsid w:val="31864EB8"/>
    <w:rsid w:val="319121DA"/>
    <w:rsid w:val="31943A79"/>
    <w:rsid w:val="31AA504A"/>
    <w:rsid w:val="31AC0DC2"/>
    <w:rsid w:val="31AE40B7"/>
    <w:rsid w:val="31B1462B"/>
    <w:rsid w:val="31B82709"/>
    <w:rsid w:val="31B9703B"/>
    <w:rsid w:val="31BD2FCF"/>
    <w:rsid w:val="31CF2934"/>
    <w:rsid w:val="31D05482"/>
    <w:rsid w:val="31D245A1"/>
    <w:rsid w:val="31D64091"/>
    <w:rsid w:val="31E0281A"/>
    <w:rsid w:val="31F76523"/>
    <w:rsid w:val="31FB7654"/>
    <w:rsid w:val="32026C34"/>
    <w:rsid w:val="32161171"/>
    <w:rsid w:val="322F72FD"/>
    <w:rsid w:val="32400B34"/>
    <w:rsid w:val="32513718"/>
    <w:rsid w:val="326A2A2B"/>
    <w:rsid w:val="326E1296"/>
    <w:rsid w:val="326F3B9E"/>
    <w:rsid w:val="327626B1"/>
    <w:rsid w:val="3277593D"/>
    <w:rsid w:val="327D0F19"/>
    <w:rsid w:val="328E04C8"/>
    <w:rsid w:val="329B0E37"/>
    <w:rsid w:val="329E6876"/>
    <w:rsid w:val="32A47CEB"/>
    <w:rsid w:val="32B653FC"/>
    <w:rsid w:val="32C24615"/>
    <w:rsid w:val="32C739DA"/>
    <w:rsid w:val="32CC5CB8"/>
    <w:rsid w:val="32CD6692"/>
    <w:rsid w:val="32D560F7"/>
    <w:rsid w:val="32D81236"/>
    <w:rsid w:val="32ED1692"/>
    <w:rsid w:val="32FB3683"/>
    <w:rsid w:val="32FF4F22"/>
    <w:rsid w:val="333015F2"/>
    <w:rsid w:val="333077D1"/>
    <w:rsid w:val="334B6320"/>
    <w:rsid w:val="3364747B"/>
    <w:rsid w:val="336B305B"/>
    <w:rsid w:val="336E20A7"/>
    <w:rsid w:val="33751688"/>
    <w:rsid w:val="33883169"/>
    <w:rsid w:val="339064C2"/>
    <w:rsid w:val="33925D96"/>
    <w:rsid w:val="339C6C14"/>
    <w:rsid w:val="33A61841"/>
    <w:rsid w:val="33B201E6"/>
    <w:rsid w:val="33BC1065"/>
    <w:rsid w:val="33BE4DDD"/>
    <w:rsid w:val="33C61EE3"/>
    <w:rsid w:val="33C87A09"/>
    <w:rsid w:val="33D934D4"/>
    <w:rsid w:val="33DF6B01"/>
    <w:rsid w:val="33E365F1"/>
    <w:rsid w:val="33E5680D"/>
    <w:rsid w:val="33EB0642"/>
    <w:rsid w:val="33F9125B"/>
    <w:rsid w:val="33F95E15"/>
    <w:rsid w:val="33FE2F6A"/>
    <w:rsid w:val="340E07E5"/>
    <w:rsid w:val="3417273F"/>
    <w:rsid w:val="342033A2"/>
    <w:rsid w:val="34211C1D"/>
    <w:rsid w:val="3421711A"/>
    <w:rsid w:val="34235BF7"/>
    <w:rsid w:val="343054CD"/>
    <w:rsid w:val="3431735D"/>
    <w:rsid w:val="3437693D"/>
    <w:rsid w:val="34384B8F"/>
    <w:rsid w:val="343E1A7A"/>
    <w:rsid w:val="34403A44"/>
    <w:rsid w:val="344057F2"/>
    <w:rsid w:val="344C7494"/>
    <w:rsid w:val="344D5300"/>
    <w:rsid w:val="345D66D4"/>
    <w:rsid w:val="34627E5E"/>
    <w:rsid w:val="346559BF"/>
    <w:rsid w:val="34692F9B"/>
    <w:rsid w:val="348A1163"/>
    <w:rsid w:val="34A42225"/>
    <w:rsid w:val="34B03836"/>
    <w:rsid w:val="34E73EBF"/>
    <w:rsid w:val="34FB796B"/>
    <w:rsid w:val="34FD1935"/>
    <w:rsid w:val="35075D23"/>
    <w:rsid w:val="3518676F"/>
    <w:rsid w:val="35260E8C"/>
    <w:rsid w:val="352A729A"/>
    <w:rsid w:val="35335357"/>
    <w:rsid w:val="353F5AA9"/>
    <w:rsid w:val="35415CC5"/>
    <w:rsid w:val="354222A5"/>
    <w:rsid w:val="35510676"/>
    <w:rsid w:val="355377A7"/>
    <w:rsid w:val="35647C06"/>
    <w:rsid w:val="35725E7F"/>
    <w:rsid w:val="358B0CEF"/>
    <w:rsid w:val="358C5FA8"/>
    <w:rsid w:val="358D2CB9"/>
    <w:rsid w:val="35951B6D"/>
    <w:rsid w:val="35977693"/>
    <w:rsid w:val="35B9585C"/>
    <w:rsid w:val="35C15DF1"/>
    <w:rsid w:val="35D7650A"/>
    <w:rsid w:val="35DC7A69"/>
    <w:rsid w:val="35E57A42"/>
    <w:rsid w:val="35F5260C"/>
    <w:rsid w:val="35FF348B"/>
    <w:rsid w:val="360016DD"/>
    <w:rsid w:val="36074A7F"/>
    <w:rsid w:val="3612197B"/>
    <w:rsid w:val="361C5DEB"/>
    <w:rsid w:val="36200E96"/>
    <w:rsid w:val="3627310D"/>
    <w:rsid w:val="364610BA"/>
    <w:rsid w:val="36484E32"/>
    <w:rsid w:val="365F0546"/>
    <w:rsid w:val="36653C36"/>
    <w:rsid w:val="36686551"/>
    <w:rsid w:val="366D6646"/>
    <w:rsid w:val="367B0D63"/>
    <w:rsid w:val="36923549"/>
    <w:rsid w:val="36A46406"/>
    <w:rsid w:val="36AA1648"/>
    <w:rsid w:val="36AD2EE7"/>
    <w:rsid w:val="36B17579"/>
    <w:rsid w:val="36B75FBF"/>
    <w:rsid w:val="36BD0C45"/>
    <w:rsid w:val="36BD137C"/>
    <w:rsid w:val="36D16BD5"/>
    <w:rsid w:val="36DF5796"/>
    <w:rsid w:val="36E52680"/>
    <w:rsid w:val="36FD5C1C"/>
    <w:rsid w:val="37040D59"/>
    <w:rsid w:val="370A20E7"/>
    <w:rsid w:val="37360E23"/>
    <w:rsid w:val="373D426B"/>
    <w:rsid w:val="374E0226"/>
    <w:rsid w:val="37590D17"/>
    <w:rsid w:val="37620175"/>
    <w:rsid w:val="376E08C8"/>
    <w:rsid w:val="37732382"/>
    <w:rsid w:val="378C0D4E"/>
    <w:rsid w:val="37A61E10"/>
    <w:rsid w:val="37B24C58"/>
    <w:rsid w:val="37BA2F5A"/>
    <w:rsid w:val="37BC0BA5"/>
    <w:rsid w:val="37C14E9C"/>
    <w:rsid w:val="37C8622A"/>
    <w:rsid w:val="37E00298"/>
    <w:rsid w:val="37F05781"/>
    <w:rsid w:val="37F511BA"/>
    <w:rsid w:val="37F92887"/>
    <w:rsid w:val="37F963E3"/>
    <w:rsid w:val="38211DDE"/>
    <w:rsid w:val="382C08FF"/>
    <w:rsid w:val="382F44FB"/>
    <w:rsid w:val="383E029A"/>
    <w:rsid w:val="38415FDC"/>
    <w:rsid w:val="384B20A7"/>
    <w:rsid w:val="38507FCD"/>
    <w:rsid w:val="38563836"/>
    <w:rsid w:val="38591E0B"/>
    <w:rsid w:val="3894610C"/>
    <w:rsid w:val="38A04AB1"/>
    <w:rsid w:val="38B302F9"/>
    <w:rsid w:val="38C2711D"/>
    <w:rsid w:val="38DA6350"/>
    <w:rsid w:val="38DC50C3"/>
    <w:rsid w:val="38E075A3"/>
    <w:rsid w:val="38F12CD3"/>
    <w:rsid w:val="38F94775"/>
    <w:rsid w:val="38FF14A6"/>
    <w:rsid w:val="390019F4"/>
    <w:rsid w:val="39184F8F"/>
    <w:rsid w:val="392971ED"/>
    <w:rsid w:val="392A081F"/>
    <w:rsid w:val="392A6A70"/>
    <w:rsid w:val="39325651"/>
    <w:rsid w:val="39331DC9"/>
    <w:rsid w:val="39561614"/>
    <w:rsid w:val="395712EB"/>
    <w:rsid w:val="39646A6E"/>
    <w:rsid w:val="39677CC5"/>
    <w:rsid w:val="396E1053"/>
    <w:rsid w:val="397228F1"/>
    <w:rsid w:val="397B72CC"/>
    <w:rsid w:val="39893797"/>
    <w:rsid w:val="399565E0"/>
    <w:rsid w:val="39987E7E"/>
    <w:rsid w:val="399C796E"/>
    <w:rsid w:val="39A5011C"/>
    <w:rsid w:val="39A86313"/>
    <w:rsid w:val="39BA4298"/>
    <w:rsid w:val="39BD1693"/>
    <w:rsid w:val="39D37108"/>
    <w:rsid w:val="39DE1D35"/>
    <w:rsid w:val="39E430C3"/>
    <w:rsid w:val="39FE23D7"/>
    <w:rsid w:val="3A127C30"/>
    <w:rsid w:val="3A1A0893"/>
    <w:rsid w:val="3A287454"/>
    <w:rsid w:val="3A2D4A6A"/>
    <w:rsid w:val="3A396F6B"/>
    <w:rsid w:val="3A4A561C"/>
    <w:rsid w:val="3A5E4D95"/>
    <w:rsid w:val="3A6F454A"/>
    <w:rsid w:val="3A79072A"/>
    <w:rsid w:val="3A872856"/>
    <w:rsid w:val="3A881CA1"/>
    <w:rsid w:val="3A944AE9"/>
    <w:rsid w:val="3A9450D2"/>
    <w:rsid w:val="3AA54601"/>
    <w:rsid w:val="3AAD5BAB"/>
    <w:rsid w:val="3ABE56C2"/>
    <w:rsid w:val="3AD76784"/>
    <w:rsid w:val="3ADC3D9A"/>
    <w:rsid w:val="3AE53EB3"/>
    <w:rsid w:val="3AF61300"/>
    <w:rsid w:val="3B0752BB"/>
    <w:rsid w:val="3B0C4680"/>
    <w:rsid w:val="3B0D21A6"/>
    <w:rsid w:val="3B117EE8"/>
    <w:rsid w:val="3B194FEF"/>
    <w:rsid w:val="3B2E0A9A"/>
    <w:rsid w:val="3B2F35DA"/>
    <w:rsid w:val="3B3763D1"/>
    <w:rsid w:val="3B4B164C"/>
    <w:rsid w:val="3B521615"/>
    <w:rsid w:val="3B5B1163"/>
    <w:rsid w:val="3B5E2A01"/>
    <w:rsid w:val="3B6A7640"/>
    <w:rsid w:val="3B7064DC"/>
    <w:rsid w:val="3B7F040B"/>
    <w:rsid w:val="3B8334A3"/>
    <w:rsid w:val="3B9D5C20"/>
    <w:rsid w:val="3BA0301A"/>
    <w:rsid w:val="3BA743A8"/>
    <w:rsid w:val="3BB84807"/>
    <w:rsid w:val="3BC1546A"/>
    <w:rsid w:val="3BCC1DF1"/>
    <w:rsid w:val="3BCC3E0F"/>
    <w:rsid w:val="3BDA652C"/>
    <w:rsid w:val="3BDB6B01"/>
    <w:rsid w:val="3BE13D5E"/>
    <w:rsid w:val="3BE23632"/>
    <w:rsid w:val="3BFA097C"/>
    <w:rsid w:val="3C101F4E"/>
    <w:rsid w:val="3C125CC6"/>
    <w:rsid w:val="3C1C08F2"/>
    <w:rsid w:val="3C28373B"/>
    <w:rsid w:val="3C291261"/>
    <w:rsid w:val="3C29300F"/>
    <w:rsid w:val="3C2D0D52"/>
    <w:rsid w:val="3C2F6E1E"/>
    <w:rsid w:val="3C3C71E7"/>
    <w:rsid w:val="3C4F64BA"/>
    <w:rsid w:val="3C502C92"/>
    <w:rsid w:val="3C700C3E"/>
    <w:rsid w:val="3C756255"/>
    <w:rsid w:val="3C7C75E3"/>
    <w:rsid w:val="3C7E77FF"/>
    <w:rsid w:val="3C7F0E81"/>
    <w:rsid w:val="3C805325"/>
    <w:rsid w:val="3C90308E"/>
    <w:rsid w:val="3C906A4E"/>
    <w:rsid w:val="3C991F43"/>
    <w:rsid w:val="3CA803D8"/>
    <w:rsid w:val="3CAD1E92"/>
    <w:rsid w:val="3CB43221"/>
    <w:rsid w:val="3CC05722"/>
    <w:rsid w:val="3CC50F8A"/>
    <w:rsid w:val="3CCB4E55"/>
    <w:rsid w:val="3CCF3BB7"/>
    <w:rsid w:val="3CD1792F"/>
    <w:rsid w:val="3CD72A6B"/>
    <w:rsid w:val="3CDA245A"/>
    <w:rsid w:val="3CFA3F6F"/>
    <w:rsid w:val="3D057EFE"/>
    <w:rsid w:val="3D0A4BEF"/>
    <w:rsid w:val="3D1E06B7"/>
    <w:rsid w:val="3D235CB1"/>
    <w:rsid w:val="3D255ECD"/>
    <w:rsid w:val="3D2832C7"/>
    <w:rsid w:val="3D2A703F"/>
    <w:rsid w:val="3D2E2FD3"/>
    <w:rsid w:val="3D324146"/>
    <w:rsid w:val="3D430101"/>
    <w:rsid w:val="3D54230E"/>
    <w:rsid w:val="3D5F318D"/>
    <w:rsid w:val="3D632551"/>
    <w:rsid w:val="3D6562C9"/>
    <w:rsid w:val="3D707FC6"/>
    <w:rsid w:val="3D83481B"/>
    <w:rsid w:val="3DC254CA"/>
    <w:rsid w:val="3DC70D32"/>
    <w:rsid w:val="3DCB0822"/>
    <w:rsid w:val="3DCC459A"/>
    <w:rsid w:val="3DD07BE6"/>
    <w:rsid w:val="3DE418E4"/>
    <w:rsid w:val="3DE955BD"/>
    <w:rsid w:val="3DF338D5"/>
    <w:rsid w:val="3E043D34"/>
    <w:rsid w:val="3E063608"/>
    <w:rsid w:val="3E1D0952"/>
    <w:rsid w:val="3E261EFC"/>
    <w:rsid w:val="3E2C6DE7"/>
    <w:rsid w:val="3E350391"/>
    <w:rsid w:val="3E3A0D01"/>
    <w:rsid w:val="3E3D1DE7"/>
    <w:rsid w:val="3E410AE4"/>
    <w:rsid w:val="3E444130"/>
    <w:rsid w:val="3E46434D"/>
    <w:rsid w:val="3E5A7DF8"/>
    <w:rsid w:val="3E622809"/>
    <w:rsid w:val="3E645E2F"/>
    <w:rsid w:val="3E6B5B61"/>
    <w:rsid w:val="3E8409D1"/>
    <w:rsid w:val="3E8F6B39"/>
    <w:rsid w:val="3EA90437"/>
    <w:rsid w:val="3EBB2C7C"/>
    <w:rsid w:val="3EC80C8D"/>
    <w:rsid w:val="3EC86B10"/>
    <w:rsid w:val="3ED454B4"/>
    <w:rsid w:val="3ED92B93"/>
    <w:rsid w:val="3EDA0523"/>
    <w:rsid w:val="3EE020AB"/>
    <w:rsid w:val="3EE17BD1"/>
    <w:rsid w:val="3F051B12"/>
    <w:rsid w:val="3F1E1592"/>
    <w:rsid w:val="3F3E2EA5"/>
    <w:rsid w:val="3F3E3276"/>
    <w:rsid w:val="3F476B9F"/>
    <w:rsid w:val="3F4A5777"/>
    <w:rsid w:val="3F6251B6"/>
    <w:rsid w:val="3F636838"/>
    <w:rsid w:val="3F650802"/>
    <w:rsid w:val="3F656A54"/>
    <w:rsid w:val="3F6A406B"/>
    <w:rsid w:val="3F744EE9"/>
    <w:rsid w:val="3F87756C"/>
    <w:rsid w:val="3F8F3AD1"/>
    <w:rsid w:val="3F95429A"/>
    <w:rsid w:val="3FA4661D"/>
    <w:rsid w:val="3FA56E51"/>
    <w:rsid w:val="3FA72BC9"/>
    <w:rsid w:val="3FB53538"/>
    <w:rsid w:val="3FC36BDA"/>
    <w:rsid w:val="3FD05DB3"/>
    <w:rsid w:val="3FF027C2"/>
    <w:rsid w:val="3FF81676"/>
    <w:rsid w:val="4004001B"/>
    <w:rsid w:val="40061FE5"/>
    <w:rsid w:val="400C5122"/>
    <w:rsid w:val="400C6ED0"/>
    <w:rsid w:val="40271F5C"/>
    <w:rsid w:val="402E32EA"/>
    <w:rsid w:val="402E6E46"/>
    <w:rsid w:val="403501D5"/>
    <w:rsid w:val="4042105B"/>
    <w:rsid w:val="40642868"/>
    <w:rsid w:val="406960D0"/>
    <w:rsid w:val="407A6407"/>
    <w:rsid w:val="409969B6"/>
    <w:rsid w:val="40AB493B"/>
    <w:rsid w:val="40B27A77"/>
    <w:rsid w:val="40B30B18"/>
    <w:rsid w:val="40B51316"/>
    <w:rsid w:val="40B557B9"/>
    <w:rsid w:val="40BC26A4"/>
    <w:rsid w:val="40C31C84"/>
    <w:rsid w:val="40D479EE"/>
    <w:rsid w:val="40D93256"/>
    <w:rsid w:val="40E90FBF"/>
    <w:rsid w:val="40E92715"/>
    <w:rsid w:val="40EB5A51"/>
    <w:rsid w:val="40F40090"/>
    <w:rsid w:val="41046658"/>
    <w:rsid w:val="41270465"/>
    <w:rsid w:val="412734E7"/>
    <w:rsid w:val="41390199"/>
    <w:rsid w:val="413D3E30"/>
    <w:rsid w:val="41456B3D"/>
    <w:rsid w:val="414B383D"/>
    <w:rsid w:val="414D154E"/>
    <w:rsid w:val="41557D0E"/>
    <w:rsid w:val="416D2590"/>
    <w:rsid w:val="41833214"/>
    <w:rsid w:val="418F4E77"/>
    <w:rsid w:val="41A31ADD"/>
    <w:rsid w:val="41D13F2D"/>
    <w:rsid w:val="41DD4469"/>
    <w:rsid w:val="41E05744"/>
    <w:rsid w:val="41E2613A"/>
    <w:rsid w:val="41FD2F74"/>
    <w:rsid w:val="4200449D"/>
    <w:rsid w:val="42134D1D"/>
    <w:rsid w:val="42277953"/>
    <w:rsid w:val="42295B17"/>
    <w:rsid w:val="422C3859"/>
    <w:rsid w:val="422F6EA6"/>
    <w:rsid w:val="423A3BCC"/>
    <w:rsid w:val="423B584A"/>
    <w:rsid w:val="42497F67"/>
    <w:rsid w:val="424E57D2"/>
    <w:rsid w:val="4253528A"/>
    <w:rsid w:val="426B4382"/>
    <w:rsid w:val="429A07C3"/>
    <w:rsid w:val="429E4757"/>
    <w:rsid w:val="42B26C49"/>
    <w:rsid w:val="42D263AC"/>
    <w:rsid w:val="42D64FF5"/>
    <w:rsid w:val="431467C7"/>
    <w:rsid w:val="43291B47"/>
    <w:rsid w:val="432D5ADB"/>
    <w:rsid w:val="433A6FE6"/>
    <w:rsid w:val="43452E25"/>
    <w:rsid w:val="43480868"/>
    <w:rsid w:val="4350713C"/>
    <w:rsid w:val="435A7F52"/>
    <w:rsid w:val="435B2648"/>
    <w:rsid w:val="435D79DF"/>
    <w:rsid w:val="43607C5E"/>
    <w:rsid w:val="436653E0"/>
    <w:rsid w:val="43687ACD"/>
    <w:rsid w:val="436A4639"/>
    <w:rsid w:val="437B6846"/>
    <w:rsid w:val="43AF029E"/>
    <w:rsid w:val="43B41D58"/>
    <w:rsid w:val="43C4431A"/>
    <w:rsid w:val="43C81360"/>
    <w:rsid w:val="43CD6976"/>
    <w:rsid w:val="43E048FB"/>
    <w:rsid w:val="43E20674"/>
    <w:rsid w:val="43E4263E"/>
    <w:rsid w:val="43EF0FE2"/>
    <w:rsid w:val="43F16B09"/>
    <w:rsid w:val="43FB0720"/>
    <w:rsid w:val="44027DCD"/>
    <w:rsid w:val="44056110"/>
    <w:rsid w:val="441B1DD7"/>
    <w:rsid w:val="441B5933"/>
    <w:rsid w:val="441E5E65"/>
    <w:rsid w:val="44250560"/>
    <w:rsid w:val="442A5B77"/>
    <w:rsid w:val="443469F5"/>
    <w:rsid w:val="443D58AA"/>
    <w:rsid w:val="44450C02"/>
    <w:rsid w:val="44501A81"/>
    <w:rsid w:val="44550E45"/>
    <w:rsid w:val="44784B34"/>
    <w:rsid w:val="447A08AC"/>
    <w:rsid w:val="44801C3A"/>
    <w:rsid w:val="448D4A83"/>
    <w:rsid w:val="44901E7E"/>
    <w:rsid w:val="44A40300"/>
    <w:rsid w:val="44A678F3"/>
    <w:rsid w:val="44B518E4"/>
    <w:rsid w:val="44B85878"/>
    <w:rsid w:val="44B951CC"/>
    <w:rsid w:val="44BE3691"/>
    <w:rsid w:val="44C10289"/>
    <w:rsid w:val="44CD1324"/>
    <w:rsid w:val="44CD14E0"/>
    <w:rsid w:val="44CE0BF8"/>
    <w:rsid w:val="44D97CC8"/>
    <w:rsid w:val="44E346A3"/>
    <w:rsid w:val="44F016B6"/>
    <w:rsid w:val="44F20B0B"/>
    <w:rsid w:val="44FF0DB1"/>
    <w:rsid w:val="45022447"/>
    <w:rsid w:val="450B3BFA"/>
    <w:rsid w:val="45111F1E"/>
    <w:rsid w:val="45120AE5"/>
    <w:rsid w:val="45196317"/>
    <w:rsid w:val="45244CBC"/>
    <w:rsid w:val="452E5F4C"/>
    <w:rsid w:val="45336CAD"/>
    <w:rsid w:val="4537679D"/>
    <w:rsid w:val="454113CA"/>
    <w:rsid w:val="454A4722"/>
    <w:rsid w:val="45505AB1"/>
    <w:rsid w:val="455410FD"/>
    <w:rsid w:val="455E3D2A"/>
    <w:rsid w:val="45612018"/>
    <w:rsid w:val="456A0921"/>
    <w:rsid w:val="456A6B72"/>
    <w:rsid w:val="457F0202"/>
    <w:rsid w:val="458946E9"/>
    <w:rsid w:val="458D4CFE"/>
    <w:rsid w:val="45900DBB"/>
    <w:rsid w:val="459C69C7"/>
    <w:rsid w:val="45A47C0E"/>
    <w:rsid w:val="45B44292"/>
    <w:rsid w:val="45CA5863"/>
    <w:rsid w:val="45DE073C"/>
    <w:rsid w:val="45E2495B"/>
    <w:rsid w:val="45EF7078"/>
    <w:rsid w:val="46020B59"/>
    <w:rsid w:val="460D10DC"/>
    <w:rsid w:val="460D74FE"/>
    <w:rsid w:val="461B60BF"/>
    <w:rsid w:val="461D3BE5"/>
    <w:rsid w:val="463B406B"/>
    <w:rsid w:val="464372C6"/>
    <w:rsid w:val="46476EB4"/>
    <w:rsid w:val="465313B5"/>
    <w:rsid w:val="46577FD6"/>
    <w:rsid w:val="465B64BB"/>
    <w:rsid w:val="4665558C"/>
    <w:rsid w:val="46767799"/>
    <w:rsid w:val="46780A66"/>
    <w:rsid w:val="467B6B5D"/>
    <w:rsid w:val="46816169"/>
    <w:rsid w:val="469C7200"/>
    <w:rsid w:val="46A46ED0"/>
    <w:rsid w:val="46A91987"/>
    <w:rsid w:val="46B15594"/>
    <w:rsid w:val="46B207D1"/>
    <w:rsid w:val="46C10698"/>
    <w:rsid w:val="46C422B2"/>
    <w:rsid w:val="46C9409F"/>
    <w:rsid w:val="46D955A7"/>
    <w:rsid w:val="46FD57C4"/>
    <w:rsid w:val="470812D2"/>
    <w:rsid w:val="47097BFA"/>
    <w:rsid w:val="4712368C"/>
    <w:rsid w:val="47133957"/>
    <w:rsid w:val="47282841"/>
    <w:rsid w:val="472E3BD0"/>
    <w:rsid w:val="47376F28"/>
    <w:rsid w:val="476F66C2"/>
    <w:rsid w:val="477737C9"/>
    <w:rsid w:val="47A07E0C"/>
    <w:rsid w:val="47A619B8"/>
    <w:rsid w:val="47CA38F8"/>
    <w:rsid w:val="47CD5197"/>
    <w:rsid w:val="47D91D8D"/>
    <w:rsid w:val="47E0311C"/>
    <w:rsid w:val="47E30E5E"/>
    <w:rsid w:val="47F1579B"/>
    <w:rsid w:val="47F70466"/>
    <w:rsid w:val="480A67C2"/>
    <w:rsid w:val="480C5CBF"/>
    <w:rsid w:val="481D611E"/>
    <w:rsid w:val="4828061F"/>
    <w:rsid w:val="48376AB4"/>
    <w:rsid w:val="4870272E"/>
    <w:rsid w:val="487B1560"/>
    <w:rsid w:val="488E0DCA"/>
    <w:rsid w:val="48A028AB"/>
    <w:rsid w:val="48AB197C"/>
    <w:rsid w:val="48B06F92"/>
    <w:rsid w:val="48C67B78"/>
    <w:rsid w:val="48D013E2"/>
    <w:rsid w:val="48E22EC4"/>
    <w:rsid w:val="48F14EB5"/>
    <w:rsid w:val="48F47062"/>
    <w:rsid w:val="48F67F8C"/>
    <w:rsid w:val="48F74BC1"/>
    <w:rsid w:val="48FC21D7"/>
    <w:rsid w:val="49061806"/>
    <w:rsid w:val="49105031"/>
    <w:rsid w:val="49153299"/>
    <w:rsid w:val="491A440C"/>
    <w:rsid w:val="491D5CAA"/>
    <w:rsid w:val="492D2391"/>
    <w:rsid w:val="493A2D00"/>
    <w:rsid w:val="49441489"/>
    <w:rsid w:val="4950473D"/>
    <w:rsid w:val="495518E8"/>
    <w:rsid w:val="495D254A"/>
    <w:rsid w:val="49606747"/>
    <w:rsid w:val="496D1A21"/>
    <w:rsid w:val="497A30FC"/>
    <w:rsid w:val="497E2BEC"/>
    <w:rsid w:val="499758F2"/>
    <w:rsid w:val="49B91E77"/>
    <w:rsid w:val="49C16F7D"/>
    <w:rsid w:val="49C820BA"/>
    <w:rsid w:val="49CD5922"/>
    <w:rsid w:val="49D942C7"/>
    <w:rsid w:val="49DC7715"/>
    <w:rsid w:val="49E8450A"/>
    <w:rsid w:val="49EC3FFA"/>
    <w:rsid w:val="4A023139"/>
    <w:rsid w:val="4A0B01F8"/>
    <w:rsid w:val="4A1672C9"/>
    <w:rsid w:val="4A176B9D"/>
    <w:rsid w:val="4A212D72"/>
    <w:rsid w:val="4A314103"/>
    <w:rsid w:val="4A404346"/>
    <w:rsid w:val="4A5676C5"/>
    <w:rsid w:val="4A6F4C2B"/>
    <w:rsid w:val="4A767D68"/>
    <w:rsid w:val="4A7B576F"/>
    <w:rsid w:val="4A851D59"/>
    <w:rsid w:val="4A8835F7"/>
    <w:rsid w:val="4A946440"/>
    <w:rsid w:val="4A9621B8"/>
    <w:rsid w:val="4A9B157C"/>
    <w:rsid w:val="4A9F106C"/>
    <w:rsid w:val="4AC819BF"/>
    <w:rsid w:val="4ACB00B3"/>
    <w:rsid w:val="4AD30D16"/>
    <w:rsid w:val="4AD4683C"/>
    <w:rsid w:val="4AEA6060"/>
    <w:rsid w:val="4AEC1DD8"/>
    <w:rsid w:val="4AEC69C1"/>
    <w:rsid w:val="4AF561A9"/>
    <w:rsid w:val="4AF84C20"/>
    <w:rsid w:val="4B052E99"/>
    <w:rsid w:val="4B0615B6"/>
    <w:rsid w:val="4B0C2AFE"/>
    <w:rsid w:val="4B0E7FA0"/>
    <w:rsid w:val="4B321EE0"/>
    <w:rsid w:val="4B4614E8"/>
    <w:rsid w:val="4B571947"/>
    <w:rsid w:val="4B600173"/>
    <w:rsid w:val="4B647BC0"/>
    <w:rsid w:val="4B661B8A"/>
    <w:rsid w:val="4B663938"/>
    <w:rsid w:val="4B6A4FB9"/>
    <w:rsid w:val="4B751DCD"/>
    <w:rsid w:val="4BC30D8B"/>
    <w:rsid w:val="4BE07B8E"/>
    <w:rsid w:val="4BFB3965"/>
    <w:rsid w:val="4C0F2222"/>
    <w:rsid w:val="4C1A4723"/>
    <w:rsid w:val="4C251A45"/>
    <w:rsid w:val="4C2A6A62"/>
    <w:rsid w:val="4C303F46"/>
    <w:rsid w:val="4C431ECB"/>
    <w:rsid w:val="4C4A0649"/>
    <w:rsid w:val="4C63256E"/>
    <w:rsid w:val="4C667968"/>
    <w:rsid w:val="4C6A7458"/>
    <w:rsid w:val="4C6E5295"/>
    <w:rsid w:val="4C7E5ECA"/>
    <w:rsid w:val="4C876AA5"/>
    <w:rsid w:val="4C910E89"/>
    <w:rsid w:val="4C93644B"/>
    <w:rsid w:val="4C9B5863"/>
    <w:rsid w:val="4CA50490"/>
    <w:rsid w:val="4CAA55D5"/>
    <w:rsid w:val="4CB701C3"/>
    <w:rsid w:val="4CBF5CDB"/>
    <w:rsid w:val="4CCC3C6F"/>
    <w:rsid w:val="4CD80866"/>
    <w:rsid w:val="4CDA06AE"/>
    <w:rsid w:val="4CE865CF"/>
    <w:rsid w:val="4CF24CCA"/>
    <w:rsid w:val="4CFE7FC9"/>
    <w:rsid w:val="4D007DBC"/>
    <w:rsid w:val="4D07739D"/>
    <w:rsid w:val="4D0E00FB"/>
    <w:rsid w:val="4D0E72DC"/>
    <w:rsid w:val="4D137AF0"/>
    <w:rsid w:val="4D176606"/>
    <w:rsid w:val="4D371A30"/>
    <w:rsid w:val="4D587BF8"/>
    <w:rsid w:val="4D5B4FF3"/>
    <w:rsid w:val="4D662315"/>
    <w:rsid w:val="4D896004"/>
    <w:rsid w:val="4D8F6A66"/>
    <w:rsid w:val="4D924EB8"/>
    <w:rsid w:val="4D950505"/>
    <w:rsid w:val="4D9549A9"/>
    <w:rsid w:val="4DA16EA9"/>
    <w:rsid w:val="4DA90454"/>
    <w:rsid w:val="4DAB1AD6"/>
    <w:rsid w:val="4DB12E65"/>
    <w:rsid w:val="4DB841F3"/>
    <w:rsid w:val="4DC66910"/>
    <w:rsid w:val="4DCA2B2F"/>
    <w:rsid w:val="4DD3102D"/>
    <w:rsid w:val="4DD86643"/>
    <w:rsid w:val="4DDE1EAC"/>
    <w:rsid w:val="4DDE725D"/>
    <w:rsid w:val="4DE17BEE"/>
    <w:rsid w:val="4DEC4FB0"/>
    <w:rsid w:val="4DFB5081"/>
    <w:rsid w:val="4E075D8A"/>
    <w:rsid w:val="4E17716C"/>
    <w:rsid w:val="4E1E674C"/>
    <w:rsid w:val="4E263853"/>
    <w:rsid w:val="4E28581D"/>
    <w:rsid w:val="4E487C6D"/>
    <w:rsid w:val="4E4D7031"/>
    <w:rsid w:val="4E6A373F"/>
    <w:rsid w:val="4E6A7BE3"/>
    <w:rsid w:val="4E7D7917"/>
    <w:rsid w:val="4EA01857"/>
    <w:rsid w:val="4EA36C51"/>
    <w:rsid w:val="4EB42C0C"/>
    <w:rsid w:val="4EB66985"/>
    <w:rsid w:val="4EC00FAD"/>
    <w:rsid w:val="4ED212E5"/>
    <w:rsid w:val="4ED3793D"/>
    <w:rsid w:val="4ED4221D"/>
    <w:rsid w:val="4EE01C53"/>
    <w:rsid w:val="4EE47996"/>
    <w:rsid w:val="4EE74D90"/>
    <w:rsid w:val="4EEC05F8"/>
    <w:rsid w:val="4EF13E61"/>
    <w:rsid w:val="4EF70D4B"/>
    <w:rsid w:val="4F28486A"/>
    <w:rsid w:val="4F3B1580"/>
    <w:rsid w:val="4F3E697A"/>
    <w:rsid w:val="4F4026F2"/>
    <w:rsid w:val="4F4977F9"/>
    <w:rsid w:val="4F610FE6"/>
    <w:rsid w:val="4F644633"/>
    <w:rsid w:val="4F6F0016"/>
    <w:rsid w:val="4F6F4D85"/>
    <w:rsid w:val="4F6F6B40"/>
    <w:rsid w:val="4F8A3010"/>
    <w:rsid w:val="4F93316A"/>
    <w:rsid w:val="4F9843DC"/>
    <w:rsid w:val="4FA113E3"/>
    <w:rsid w:val="4FA15887"/>
    <w:rsid w:val="4FA233AD"/>
    <w:rsid w:val="4FA26F09"/>
    <w:rsid w:val="4FAF16B5"/>
    <w:rsid w:val="4FB07878"/>
    <w:rsid w:val="4FBC621D"/>
    <w:rsid w:val="4FC62A8C"/>
    <w:rsid w:val="4FD44523"/>
    <w:rsid w:val="4FDC066D"/>
    <w:rsid w:val="4FDC241B"/>
    <w:rsid w:val="4FDF7802"/>
    <w:rsid w:val="4FE20F0D"/>
    <w:rsid w:val="4FE51552"/>
    <w:rsid w:val="4FE55BD5"/>
    <w:rsid w:val="4FF736F9"/>
    <w:rsid w:val="500D7FF9"/>
    <w:rsid w:val="501B4736"/>
    <w:rsid w:val="501C5AED"/>
    <w:rsid w:val="50264E36"/>
    <w:rsid w:val="5039786D"/>
    <w:rsid w:val="503E20E2"/>
    <w:rsid w:val="50442A6E"/>
    <w:rsid w:val="50463D38"/>
    <w:rsid w:val="50504C4B"/>
    <w:rsid w:val="505226DD"/>
    <w:rsid w:val="50575F45"/>
    <w:rsid w:val="506A01CC"/>
    <w:rsid w:val="506F7733"/>
    <w:rsid w:val="507366E6"/>
    <w:rsid w:val="50850D04"/>
    <w:rsid w:val="508A00C9"/>
    <w:rsid w:val="508B5BEF"/>
    <w:rsid w:val="509251CF"/>
    <w:rsid w:val="50970A38"/>
    <w:rsid w:val="509C6E7C"/>
    <w:rsid w:val="509E5922"/>
    <w:rsid w:val="50AF18DD"/>
    <w:rsid w:val="50B96C00"/>
    <w:rsid w:val="50E023DF"/>
    <w:rsid w:val="50E13A61"/>
    <w:rsid w:val="50E27F05"/>
    <w:rsid w:val="50FD6AED"/>
    <w:rsid w:val="510A120A"/>
    <w:rsid w:val="511107EA"/>
    <w:rsid w:val="511931FB"/>
    <w:rsid w:val="513E0EB3"/>
    <w:rsid w:val="513F7105"/>
    <w:rsid w:val="514515FF"/>
    <w:rsid w:val="51475FBA"/>
    <w:rsid w:val="51516E38"/>
    <w:rsid w:val="5162104E"/>
    <w:rsid w:val="516D2083"/>
    <w:rsid w:val="51750D79"/>
    <w:rsid w:val="519028E0"/>
    <w:rsid w:val="5196484B"/>
    <w:rsid w:val="519F1952"/>
    <w:rsid w:val="51A90A23"/>
    <w:rsid w:val="51AC406F"/>
    <w:rsid w:val="51AE7DCE"/>
    <w:rsid w:val="51B54B7D"/>
    <w:rsid w:val="51C23892"/>
    <w:rsid w:val="51F021AD"/>
    <w:rsid w:val="51F6197D"/>
    <w:rsid w:val="51FC4FF6"/>
    <w:rsid w:val="51FD48CA"/>
    <w:rsid w:val="51FF0643"/>
    <w:rsid w:val="51FF6894"/>
    <w:rsid w:val="520A4D71"/>
    <w:rsid w:val="520B6FE7"/>
    <w:rsid w:val="520D7203"/>
    <w:rsid w:val="5212481A"/>
    <w:rsid w:val="522E717A"/>
    <w:rsid w:val="523A167B"/>
    <w:rsid w:val="52495D62"/>
    <w:rsid w:val="524E5126"/>
    <w:rsid w:val="52691F60"/>
    <w:rsid w:val="527F3531"/>
    <w:rsid w:val="528D20F2"/>
    <w:rsid w:val="52AF3E17"/>
    <w:rsid w:val="52B551A5"/>
    <w:rsid w:val="52C13B4A"/>
    <w:rsid w:val="52C5188C"/>
    <w:rsid w:val="52E97ECC"/>
    <w:rsid w:val="53021554"/>
    <w:rsid w:val="531B76FE"/>
    <w:rsid w:val="532C5467"/>
    <w:rsid w:val="532F4F57"/>
    <w:rsid w:val="534A3FB3"/>
    <w:rsid w:val="534F55FA"/>
    <w:rsid w:val="535B7AFB"/>
    <w:rsid w:val="536D782E"/>
    <w:rsid w:val="536F35A6"/>
    <w:rsid w:val="5371731E"/>
    <w:rsid w:val="53762CE6"/>
    <w:rsid w:val="538B4884"/>
    <w:rsid w:val="538C23AA"/>
    <w:rsid w:val="539A6875"/>
    <w:rsid w:val="53A039CC"/>
    <w:rsid w:val="53A1505A"/>
    <w:rsid w:val="53AF7E46"/>
    <w:rsid w:val="53B611D5"/>
    <w:rsid w:val="53B8319F"/>
    <w:rsid w:val="53E67D0C"/>
    <w:rsid w:val="53E93358"/>
    <w:rsid w:val="53F266B1"/>
    <w:rsid w:val="53FD0BB2"/>
    <w:rsid w:val="54063E08"/>
    <w:rsid w:val="54212AF2"/>
    <w:rsid w:val="543437E8"/>
    <w:rsid w:val="54420CBA"/>
    <w:rsid w:val="54422A68"/>
    <w:rsid w:val="544E58B1"/>
    <w:rsid w:val="545B69E5"/>
    <w:rsid w:val="549459BA"/>
    <w:rsid w:val="54947768"/>
    <w:rsid w:val="5495703C"/>
    <w:rsid w:val="54971006"/>
    <w:rsid w:val="54AA0D3A"/>
    <w:rsid w:val="54C33BA9"/>
    <w:rsid w:val="54C811C0"/>
    <w:rsid w:val="54CB0CB0"/>
    <w:rsid w:val="54D062C6"/>
    <w:rsid w:val="54E12281"/>
    <w:rsid w:val="54E16725"/>
    <w:rsid w:val="54ED0C26"/>
    <w:rsid w:val="54EE3C23"/>
    <w:rsid w:val="54F73313"/>
    <w:rsid w:val="54F80955"/>
    <w:rsid w:val="55062A50"/>
    <w:rsid w:val="550D3076"/>
    <w:rsid w:val="550F6DEF"/>
    <w:rsid w:val="551E7032"/>
    <w:rsid w:val="5527238A"/>
    <w:rsid w:val="552A1E7A"/>
    <w:rsid w:val="5543574B"/>
    <w:rsid w:val="555170A7"/>
    <w:rsid w:val="555E7D76"/>
    <w:rsid w:val="55805F3E"/>
    <w:rsid w:val="5587536D"/>
    <w:rsid w:val="55884B94"/>
    <w:rsid w:val="558A46C7"/>
    <w:rsid w:val="558C043F"/>
    <w:rsid w:val="55970555"/>
    <w:rsid w:val="55985036"/>
    <w:rsid w:val="559B174B"/>
    <w:rsid w:val="55A97243"/>
    <w:rsid w:val="55AC288F"/>
    <w:rsid w:val="55AF286C"/>
    <w:rsid w:val="55C23E61"/>
    <w:rsid w:val="55C93441"/>
    <w:rsid w:val="55CE0CF4"/>
    <w:rsid w:val="55D43B94"/>
    <w:rsid w:val="55DB3175"/>
    <w:rsid w:val="55E27377"/>
    <w:rsid w:val="55F10BEA"/>
    <w:rsid w:val="55F7710A"/>
    <w:rsid w:val="561346BC"/>
    <w:rsid w:val="561D553B"/>
    <w:rsid w:val="562543F0"/>
    <w:rsid w:val="562B4DF0"/>
    <w:rsid w:val="56312D95"/>
    <w:rsid w:val="56382375"/>
    <w:rsid w:val="5638698C"/>
    <w:rsid w:val="56497633"/>
    <w:rsid w:val="564B20A8"/>
    <w:rsid w:val="564C5E20"/>
    <w:rsid w:val="56690780"/>
    <w:rsid w:val="567809C3"/>
    <w:rsid w:val="567C37A7"/>
    <w:rsid w:val="56892BD1"/>
    <w:rsid w:val="568B6949"/>
    <w:rsid w:val="569D042A"/>
    <w:rsid w:val="56A417B8"/>
    <w:rsid w:val="56AF65D0"/>
    <w:rsid w:val="56B22A9C"/>
    <w:rsid w:val="56B57E6A"/>
    <w:rsid w:val="56BC6B02"/>
    <w:rsid w:val="56C10AC9"/>
    <w:rsid w:val="56C8194B"/>
    <w:rsid w:val="56D848CE"/>
    <w:rsid w:val="56EB5639"/>
    <w:rsid w:val="56ED13B1"/>
    <w:rsid w:val="56F50266"/>
    <w:rsid w:val="572D5C52"/>
    <w:rsid w:val="573214BA"/>
    <w:rsid w:val="57346FE0"/>
    <w:rsid w:val="57452F9B"/>
    <w:rsid w:val="574F7976"/>
    <w:rsid w:val="575B27BF"/>
    <w:rsid w:val="576A0C54"/>
    <w:rsid w:val="57A203EE"/>
    <w:rsid w:val="57B72A76"/>
    <w:rsid w:val="57BB325E"/>
    <w:rsid w:val="57C3426C"/>
    <w:rsid w:val="57C42203"/>
    <w:rsid w:val="57CE1F93"/>
    <w:rsid w:val="57CE2F91"/>
    <w:rsid w:val="57ED4712"/>
    <w:rsid w:val="57EF4CB5"/>
    <w:rsid w:val="57F9582F"/>
    <w:rsid w:val="58030761"/>
    <w:rsid w:val="58117322"/>
    <w:rsid w:val="5829466B"/>
    <w:rsid w:val="582B57B9"/>
    <w:rsid w:val="585B665C"/>
    <w:rsid w:val="587578B0"/>
    <w:rsid w:val="587C29ED"/>
    <w:rsid w:val="58873140"/>
    <w:rsid w:val="588743D1"/>
    <w:rsid w:val="5887701A"/>
    <w:rsid w:val="58977827"/>
    <w:rsid w:val="58A27F7A"/>
    <w:rsid w:val="58A31596"/>
    <w:rsid w:val="58A50CE3"/>
    <w:rsid w:val="58B54151"/>
    <w:rsid w:val="58CD4FF7"/>
    <w:rsid w:val="58DD0FB2"/>
    <w:rsid w:val="58E32A6C"/>
    <w:rsid w:val="58E42340"/>
    <w:rsid w:val="58F702C5"/>
    <w:rsid w:val="58F76517"/>
    <w:rsid w:val="58FD3402"/>
    <w:rsid w:val="59106827"/>
    <w:rsid w:val="591946E0"/>
    <w:rsid w:val="59232E69"/>
    <w:rsid w:val="59262959"/>
    <w:rsid w:val="592941F7"/>
    <w:rsid w:val="594352B9"/>
    <w:rsid w:val="594A6647"/>
    <w:rsid w:val="594F1EAF"/>
    <w:rsid w:val="59501017"/>
    <w:rsid w:val="59777658"/>
    <w:rsid w:val="59814033"/>
    <w:rsid w:val="59822285"/>
    <w:rsid w:val="598D4786"/>
    <w:rsid w:val="598F04FE"/>
    <w:rsid w:val="59BE7035"/>
    <w:rsid w:val="59C0439F"/>
    <w:rsid w:val="59C81C62"/>
    <w:rsid w:val="59C87211"/>
    <w:rsid w:val="59F760A3"/>
    <w:rsid w:val="5A201A9E"/>
    <w:rsid w:val="5A265423"/>
    <w:rsid w:val="5A2F6537"/>
    <w:rsid w:val="5A366BCB"/>
    <w:rsid w:val="5A3966BC"/>
    <w:rsid w:val="5A396718"/>
    <w:rsid w:val="5A403EEE"/>
    <w:rsid w:val="5A4532B2"/>
    <w:rsid w:val="5A4F7C8D"/>
    <w:rsid w:val="5A560DC3"/>
    <w:rsid w:val="5A6574B1"/>
    <w:rsid w:val="5A696DBE"/>
    <w:rsid w:val="5A6F576D"/>
    <w:rsid w:val="5A753B98"/>
    <w:rsid w:val="5A7B0A82"/>
    <w:rsid w:val="5A87564D"/>
    <w:rsid w:val="5A9658BC"/>
    <w:rsid w:val="5AAE0E58"/>
    <w:rsid w:val="5AB20948"/>
    <w:rsid w:val="5AB346C0"/>
    <w:rsid w:val="5AB9705D"/>
    <w:rsid w:val="5ABE2233"/>
    <w:rsid w:val="5ABE345A"/>
    <w:rsid w:val="5AE44879"/>
    <w:rsid w:val="5B0E7B48"/>
    <w:rsid w:val="5B386973"/>
    <w:rsid w:val="5B3A26EB"/>
    <w:rsid w:val="5B484E08"/>
    <w:rsid w:val="5B503CBD"/>
    <w:rsid w:val="5B6339F0"/>
    <w:rsid w:val="5B71643D"/>
    <w:rsid w:val="5BB66216"/>
    <w:rsid w:val="5BCC799D"/>
    <w:rsid w:val="5BD42B40"/>
    <w:rsid w:val="5BDF5D95"/>
    <w:rsid w:val="5BEC7E8A"/>
    <w:rsid w:val="5BFB3C44"/>
    <w:rsid w:val="5BFE7528"/>
    <w:rsid w:val="5C292008"/>
    <w:rsid w:val="5C2B29FF"/>
    <w:rsid w:val="5C2E2250"/>
    <w:rsid w:val="5C447CC6"/>
    <w:rsid w:val="5C6949A3"/>
    <w:rsid w:val="5C6C2D78"/>
    <w:rsid w:val="5C853E3A"/>
    <w:rsid w:val="5C8C51C9"/>
    <w:rsid w:val="5C9127DF"/>
    <w:rsid w:val="5C950521"/>
    <w:rsid w:val="5C9D2F32"/>
    <w:rsid w:val="5CA442C0"/>
    <w:rsid w:val="5CAB38A1"/>
    <w:rsid w:val="5CD01559"/>
    <w:rsid w:val="5CE2303B"/>
    <w:rsid w:val="5CE55C5D"/>
    <w:rsid w:val="5CE96177"/>
    <w:rsid w:val="5CEC5C67"/>
    <w:rsid w:val="5CED0090"/>
    <w:rsid w:val="5CF54B1C"/>
    <w:rsid w:val="5CF60894"/>
    <w:rsid w:val="5D066D29"/>
    <w:rsid w:val="5D0D3ED4"/>
    <w:rsid w:val="5D284EF1"/>
    <w:rsid w:val="5D301FF8"/>
    <w:rsid w:val="5D303DA6"/>
    <w:rsid w:val="5D46181B"/>
    <w:rsid w:val="5D5A7075"/>
    <w:rsid w:val="5D5F6439"/>
    <w:rsid w:val="5D814602"/>
    <w:rsid w:val="5D861C18"/>
    <w:rsid w:val="5DA54794"/>
    <w:rsid w:val="5DA62CF5"/>
    <w:rsid w:val="5DB45B12"/>
    <w:rsid w:val="5DB46785"/>
    <w:rsid w:val="5DCC7F73"/>
    <w:rsid w:val="5DD67F59"/>
    <w:rsid w:val="5DDE1A54"/>
    <w:rsid w:val="5DE27796"/>
    <w:rsid w:val="5DE30E18"/>
    <w:rsid w:val="5DF440DB"/>
    <w:rsid w:val="5E053485"/>
    <w:rsid w:val="5E0A45F7"/>
    <w:rsid w:val="5E125059"/>
    <w:rsid w:val="5E1E00A2"/>
    <w:rsid w:val="5E2002BE"/>
    <w:rsid w:val="5E2467F1"/>
    <w:rsid w:val="5E431318"/>
    <w:rsid w:val="5E444A25"/>
    <w:rsid w:val="5E483371"/>
    <w:rsid w:val="5E4915C3"/>
    <w:rsid w:val="5E4C10B3"/>
    <w:rsid w:val="5E4D2736"/>
    <w:rsid w:val="5E914D18"/>
    <w:rsid w:val="5ED30E8D"/>
    <w:rsid w:val="5ED370DF"/>
    <w:rsid w:val="5F0B6879"/>
    <w:rsid w:val="5F13397F"/>
    <w:rsid w:val="5F13652D"/>
    <w:rsid w:val="5F1A2B43"/>
    <w:rsid w:val="5F3202A9"/>
    <w:rsid w:val="5F3A24E5"/>
    <w:rsid w:val="5F5E174C"/>
    <w:rsid w:val="5F6661A5"/>
    <w:rsid w:val="5F6B7317"/>
    <w:rsid w:val="5F6D7533"/>
    <w:rsid w:val="5F8108E9"/>
    <w:rsid w:val="5F8403D9"/>
    <w:rsid w:val="5F8D3732"/>
    <w:rsid w:val="5F904FD0"/>
    <w:rsid w:val="5FAB005C"/>
    <w:rsid w:val="5FAB3BB8"/>
    <w:rsid w:val="5FB23198"/>
    <w:rsid w:val="5FB837BB"/>
    <w:rsid w:val="5FC66C44"/>
    <w:rsid w:val="5FCD3B2E"/>
    <w:rsid w:val="5FDA449D"/>
    <w:rsid w:val="5FDE21DF"/>
    <w:rsid w:val="5FE80968"/>
    <w:rsid w:val="5FEA46E0"/>
    <w:rsid w:val="5FF27A39"/>
    <w:rsid w:val="60334CD1"/>
    <w:rsid w:val="6051650D"/>
    <w:rsid w:val="60522285"/>
    <w:rsid w:val="60564992"/>
    <w:rsid w:val="60575AEE"/>
    <w:rsid w:val="60765F74"/>
    <w:rsid w:val="60787F3E"/>
    <w:rsid w:val="607C7302"/>
    <w:rsid w:val="608A1A1F"/>
    <w:rsid w:val="60917251"/>
    <w:rsid w:val="60AE7E03"/>
    <w:rsid w:val="60B60A66"/>
    <w:rsid w:val="60C56EFB"/>
    <w:rsid w:val="60CC405A"/>
    <w:rsid w:val="60D40EEC"/>
    <w:rsid w:val="60D84E80"/>
    <w:rsid w:val="60E2185B"/>
    <w:rsid w:val="60EC092C"/>
    <w:rsid w:val="60F03CB7"/>
    <w:rsid w:val="60FF065F"/>
    <w:rsid w:val="61045C75"/>
    <w:rsid w:val="610C4B2A"/>
    <w:rsid w:val="611539DF"/>
    <w:rsid w:val="611A2DA3"/>
    <w:rsid w:val="61204131"/>
    <w:rsid w:val="612E684E"/>
    <w:rsid w:val="613A1697"/>
    <w:rsid w:val="613A51F3"/>
    <w:rsid w:val="61473D00"/>
    <w:rsid w:val="6155027F"/>
    <w:rsid w:val="61563BD5"/>
    <w:rsid w:val="615F2EAC"/>
    <w:rsid w:val="616C7377"/>
    <w:rsid w:val="617E0760"/>
    <w:rsid w:val="618A7DBD"/>
    <w:rsid w:val="618E553F"/>
    <w:rsid w:val="61B054B5"/>
    <w:rsid w:val="61C97908"/>
    <w:rsid w:val="61D75138"/>
    <w:rsid w:val="61DC274E"/>
    <w:rsid w:val="61E215D8"/>
    <w:rsid w:val="61EE5FDE"/>
    <w:rsid w:val="61F25ACE"/>
    <w:rsid w:val="61FC06FB"/>
    <w:rsid w:val="61FE4473"/>
    <w:rsid w:val="621B3775"/>
    <w:rsid w:val="62210161"/>
    <w:rsid w:val="622639C9"/>
    <w:rsid w:val="622A5662"/>
    <w:rsid w:val="622F6D22"/>
    <w:rsid w:val="623460E6"/>
    <w:rsid w:val="62364782"/>
    <w:rsid w:val="62373E29"/>
    <w:rsid w:val="62465E1A"/>
    <w:rsid w:val="62685D90"/>
    <w:rsid w:val="62782477"/>
    <w:rsid w:val="62830E1C"/>
    <w:rsid w:val="62834ECC"/>
    <w:rsid w:val="628801E0"/>
    <w:rsid w:val="628A21AA"/>
    <w:rsid w:val="629848C7"/>
    <w:rsid w:val="62A6471A"/>
    <w:rsid w:val="62BD60DC"/>
    <w:rsid w:val="62BE3C02"/>
    <w:rsid w:val="62D408D6"/>
    <w:rsid w:val="62D84CC4"/>
    <w:rsid w:val="62DB03A1"/>
    <w:rsid w:val="62DD22DA"/>
    <w:rsid w:val="62E0626E"/>
    <w:rsid w:val="62F12229"/>
    <w:rsid w:val="62F6339C"/>
    <w:rsid w:val="62FB30A8"/>
    <w:rsid w:val="62FD472A"/>
    <w:rsid w:val="630B32EB"/>
    <w:rsid w:val="63147CC6"/>
    <w:rsid w:val="6315416A"/>
    <w:rsid w:val="632B74E9"/>
    <w:rsid w:val="632C14B3"/>
    <w:rsid w:val="633676AF"/>
    <w:rsid w:val="63472E3E"/>
    <w:rsid w:val="634E4F86"/>
    <w:rsid w:val="635A392B"/>
    <w:rsid w:val="63604CB9"/>
    <w:rsid w:val="63770981"/>
    <w:rsid w:val="6394356A"/>
    <w:rsid w:val="63957059"/>
    <w:rsid w:val="639D5F0D"/>
    <w:rsid w:val="63A1155A"/>
    <w:rsid w:val="63A23524"/>
    <w:rsid w:val="63AC7EFE"/>
    <w:rsid w:val="63B84AF5"/>
    <w:rsid w:val="63B868A3"/>
    <w:rsid w:val="63C61B2C"/>
    <w:rsid w:val="63C926FE"/>
    <w:rsid w:val="63CD1339"/>
    <w:rsid w:val="63D40BE9"/>
    <w:rsid w:val="63D538F9"/>
    <w:rsid w:val="63F024E1"/>
    <w:rsid w:val="63FB669D"/>
    <w:rsid w:val="640F0BB9"/>
    <w:rsid w:val="64102431"/>
    <w:rsid w:val="64144421"/>
    <w:rsid w:val="641E704E"/>
    <w:rsid w:val="64227FE9"/>
    <w:rsid w:val="64283A29"/>
    <w:rsid w:val="64370110"/>
    <w:rsid w:val="6438086D"/>
    <w:rsid w:val="64462101"/>
    <w:rsid w:val="64483C54"/>
    <w:rsid w:val="644B5EB8"/>
    <w:rsid w:val="644F5459"/>
    <w:rsid w:val="64542A70"/>
    <w:rsid w:val="645760BC"/>
    <w:rsid w:val="645C36D2"/>
    <w:rsid w:val="647E5D3F"/>
    <w:rsid w:val="649B41FB"/>
    <w:rsid w:val="649B4C1C"/>
    <w:rsid w:val="64A5243A"/>
    <w:rsid w:val="64AC6408"/>
    <w:rsid w:val="64B259E8"/>
    <w:rsid w:val="64B41760"/>
    <w:rsid w:val="64B74DAD"/>
    <w:rsid w:val="64B90B25"/>
    <w:rsid w:val="64CC6AAA"/>
    <w:rsid w:val="64D746DE"/>
    <w:rsid w:val="64DC7B77"/>
    <w:rsid w:val="64E02555"/>
    <w:rsid w:val="64E060B2"/>
    <w:rsid w:val="64F531DE"/>
    <w:rsid w:val="65110961"/>
    <w:rsid w:val="65130235"/>
    <w:rsid w:val="651B54C6"/>
    <w:rsid w:val="65351612"/>
    <w:rsid w:val="65373578"/>
    <w:rsid w:val="65402FF4"/>
    <w:rsid w:val="654B3E73"/>
    <w:rsid w:val="65510D5D"/>
    <w:rsid w:val="655A5E64"/>
    <w:rsid w:val="6562740E"/>
    <w:rsid w:val="657D5FF6"/>
    <w:rsid w:val="65827169"/>
    <w:rsid w:val="65870C23"/>
    <w:rsid w:val="65896749"/>
    <w:rsid w:val="65AC2438"/>
    <w:rsid w:val="65BB267B"/>
    <w:rsid w:val="65CC6636"/>
    <w:rsid w:val="65D57BE0"/>
    <w:rsid w:val="65DA51F7"/>
    <w:rsid w:val="65DB0EFD"/>
    <w:rsid w:val="65E16585"/>
    <w:rsid w:val="65E971E8"/>
    <w:rsid w:val="65FF07B9"/>
    <w:rsid w:val="66012783"/>
    <w:rsid w:val="66293A88"/>
    <w:rsid w:val="662E109F"/>
    <w:rsid w:val="66303069"/>
    <w:rsid w:val="66372649"/>
    <w:rsid w:val="663A7A43"/>
    <w:rsid w:val="664B1C51"/>
    <w:rsid w:val="66522FDF"/>
    <w:rsid w:val="666A0329"/>
    <w:rsid w:val="666F3B91"/>
    <w:rsid w:val="66713E8A"/>
    <w:rsid w:val="66723681"/>
    <w:rsid w:val="667C62AE"/>
    <w:rsid w:val="667C6A4B"/>
    <w:rsid w:val="667E5B82"/>
    <w:rsid w:val="6680077E"/>
    <w:rsid w:val="66834673"/>
    <w:rsid w:val="668D4017"/>
    <w:rsid w:val="6691080B"/>
    <w:rsid w:val="66A870A3"/>
    <w:rsid w:val="66AA2E1B"/>
    <w:rsid w:val="66C549FB"/>
    <w:rsid w:val="670C5884"/>
    <w:rsid w:val="67136C12"/>
    <w:rsid w:val="671F124A"/>
    <w:rsid w:val="67424E02"/>
    <w:rsid w:val="6744501E"/>
    <w:rsid w:val="67534662"/>
    <w:rsid w:val="6753700F"/>
    <w:rsid w:val="675C41EF"/>
    <w:rsid w:val="675F3C06"/>
    <w:rsid w:val="6760797E"/>
    <w:rsid w:val="676C6322"/>
    <w:rsid w:val="677A33C6"/>
    <w:rsid w:val="6782639F"/>
    <w:rsid w:val="67871780"/>
    <w:rsid w:val="67A1421E"/>
    <w:rsid w:val="67A4786A"/>
    <w:rsid w:val="67AC671F"/>
    <w:rsid w:val="67AE693B"/>
    <w:rsid w:val="67B101D9"/>
    <w:rsid w:val="67BD26DA"/>
    <w:rsid w:val="67C12792"/>
    <w:rsid w:val="67C9107F"/>
    <w:rsid w:val="67D0240D"/>
    <w:rsid w:val="67D619EE"/>
    <w:rsid w:val="67E67E83"/>
    <w:rsid w:val="67F00D02"/>
    <w:rsid w:val="67F0485E"/>
    <w:rsid w:val="67F51E74"/>
    <w:rsid w:val="67F56318"/>
    <w:rsid w:val="67FF7197"/>
    <w:rsid w:val="680B1697"/>
    <w:rsid w:val="680D25C6"/>
    <w:rsid w:val="68150768"/>
    <w:rsid w:val="681A5D7E"/>
    <w:rsid w:val="681F6961"/>
    <w:rsid w:val="68212C69"/>
    <w:rsid w:val="6826136B"/>
    <w:rsid w:val="682664D1"/>
    <w:rsid w:val="68610A2F"/>
    <w:rsid w:val="68661CD2"/>
    <w:rsid w:val="68662D72"/>
    <w:rsid w:val="68700AFB"/>
    <w:rsid w:val="687A05CB"/>
    <w:rsid w:val="687A681D"/>
    <w:rsid w:val="68805514"/>
    <w:rsid w:val="689F0032"/>
    <w:rsid w:val="689F6284"/>
    <w:rsid w:val="68B41D2F"/>
    <w:rsid w:val="68C06926"/>
    <w:rsid w:val="68CD1043"/>
    <w:rsid w:val="68DB72BC"/>
    <w:rsid w:val="68EB3277"/>
    <w:rsid w:val="68F8293F"/>
    <w:rsid w:val="69036813"/>
    <w:rsid w:val="690D143F"/>
    <w:rsid w:val="691B5842"/>
    <w:rsid w:val="69205616"/>
    <w:rsid w:val="69252C2D"/>
    <w:rsid w:val="69316E2F"/>
    <w:rsid w:val="694330B3"/>
    <w:rsid w:val="694C01BA"/>
    <w:rsid w:val="694E2071"/>
    <w:rsid w:val="694F0B7A"/>
    <w:rsid w:val="695928D6"/>
    <w:rsid w:val="69594684"/>
    <w:rsid w:val="695E1C9B"/>
    <w:rsid w:val="69623539"/>
    <w:rsid w:val="696848C8"/>
    <w:rsid w:val="696B1D57"/>
    <w:rsid w:val="69766163"/>
    <w:rsid w:val="697A3B33"/>
    <w:rsid w:val="69872FA0"/>
    <w:rsid w:val="698E432E"/>
    <w:rsid w:val="69C73CE4"/>
    <w:rsid w:val="69D00DEB"/>
    <w:rsid w:val="69D1246D"/>
    <w:rsid w:val="69D44760"/>
    <w:rsid w:val="69DB32EB"/>
    <w:rsid w:val="69F66377"/>
    <w:rsid w:val="69FF347E"/>
    <w:rsid w:val="6A024D1C"/>
    <w:rsid w:val="6A0A597F"/>
    <w:rsid w:val="6A102F95"/>
    <w:rsid w:val="6A2151A2"/>
    <w:rsid w:val="6A2B6021"/>
    <w:rsid w:val="6A3446C5"/>
    <w:rsid w:val="6A425119"/>
    <w:rsid w:val="6A4964A7"/>
    <w:rsid w:val="6A520EC7"/>
    <w:rsid w:val="6A554E4C"/>
    <w:rsid w:val="6A58493C"/>
    <w:rsid w:val="6A5C442C"/>
    <w:rsid w:val="6A674B7F"/>
    <w:rsid w:val="6A6E5F0E"/>
    <w:rsid w:val="6A8B6AC0"/>
    <w:rsid w:val="6A8F4802"/>
    <w:rsid w:val="6A952B66"/>
    <w:rsid w:val="6AA0728A"/>
    <w:rsid w:val="6AA47B81"/>
    <w:rsid w:val="6AAC32B4"/>
    <w:rsid w:val="6ABA55F7"/>
    <w:rsid w:val="6ACD460B"/>
    <w:rsid w:val="6AD71D05"/>
    <w:rsid w:val="6AD761A9"/>
    <w:rsid w:val="6AED32D6"/>
    <w:rsid w:val="6AF01018"/>
    <w:rsid w:val="6AF87E20"/>
    <w:rsid w:val="6AFF6568"/>
    <w:rsid w:val="6B086362"/>
    <w:rsid w:val="6B1765A5"/>
    <w:rsid w:val="6B23319C"/>
    <w:rsid w:val="6B2C2051"/>
    <w:rsid w:val="6B322639"/>
    <w:rsid w:val="6B4D289A"/>
    <w:rsid w:val="6B621F16"/>
    <w:rsid w:val="6B6712DB"/>
    <w:rsid w:val="6B7E03D2"/>
    <w:rsid w:val="6B8F438D"/>
    <w:rsid w:val="6B961BC0"/>
    <w:rsid w:val="6BA918F3"/>
    <w:rsid w:val="6BAA4971"/>
    <w:rsid w:val="6BBD730F"/>
    <w:rsid w:val="6BC90AF3"/>
    <w:rsid w:val="6BD453C2"/>
    <w:rsid w:val="6BD61FBC"/>
    <w:rsid w:val="6BE0108D"/>
    <w:rsid w:val="6BF453B7"/>
    <w:rsid w:val="6BF863D7"/>
    <w:rsid w:val="6C07661A"/>
    <w:rsid w:val="6C134FBF"/>
    <w:rsid w:val="6C172D01"/>
    <w:rsid w:val="6C272818"/>
    <w:rsid w:val="6C33740F"/>
    <w:rsid w:val="6C4F2FBF"/>
    <w:rsid w:val="6C57134F"/>
    <w:rsid w:val="6C636C38"/>
    <w:rsid w:val="6C871509"/>
    <w:rsid w:val="6C8859AD"/>
    <w:rsid w:val="6C9003BD"/>
    <w:rsid w:val="6CA709F7"/>
    <w:rsid w:val="6CC30793"/>
    <w:rsid w:val="6CC938CF"/>
    <w:rsid w:val="6CCD7863"/>
    <w:rsid w:val="6CDE55CC"/>
    <w:rsid w:val="6CE60925"/>
    <w:rsid w:val="6CF92413"/>
    <w:rsid w:val="6D0B038C"/>
    <w:rsid w:val="6D142D9C"/>
    <w:rsid w:val="6D1C60F5"/>
    <w:rsid w:val="6D3A657B"/>
    <w:rsid w:val="6D3C22F3"/>
    <w:rsid w:val="6D4B2536"/>
    <w:rsid w:val="6D5835D1"/>
    <w:rsid w:val="6D5E2269"/>
    <w:rsid w:val="6D667370"/>
    <w:rsid w:val="6D6D06FE"/>
    <w:rsid w:val="6D6D6950"/>
    <w:rsid w:val="6D6F3987"/>
    <w:rsid w:val="6D852E0F"/>
    <w:rsid w:val="6D9A0512"/>
    <w:rsid w:val="6DA46816"/>
    <w:rsid w:val="6DB34098"/>
    <w:rsid w:val="6DB545B6"/>
    <w:rsid w:val="6DCC7B1B"/>
    <w:rsid w:val="6DE02FB4"/>
    <w:rsid w:val="6DE2733E"/>
    <w:rsid w:val="6DEC487C"/>
    <w:rsid w:val="6DF606F4"/>
    <w:rsid w:val="6E0472B5"/>
    <w:rsid w:val="6E146DCC"/>
    <w:rsid w:val="6E217E67"/>
    <w:rsid w:val="6E361438"/>
    <w:rsid w:val="6E4E6782"/>
    <w:rsid w:val="6E514CED"/>
    <w:rsid w:val="6E55366C"/>
    <w:rsid w:val="6E645FA5"/>
    <w:rsid w:val="6E6B2E90"/>
    <w:rsid w:val="6E781A51"/>
    <w:rsid w:val="6E7A61D5"/>
    <w:rsid w:val="6E7A7577"/>
    <w:rsid w:val="6E8B3532"/>
    <w:rsid w:val="6E9A3775"/>
    <w:rsid w:val="6E9E14B7"/>
    <w:rsid w:val="6EB563D5"/>
    <w:rsid w:val="6EC86534"/>
    <w:rsid w:val="6ED92677"/>
    <w:rsid w:val="6F15104E"/>
    <w:rsid w:val="6F225983"/>
    <w:rsid w:val="6F375468"/>
    <w:rsid w:val="6F667AFB"/>
    <w:rsid w:val="6F96218E"/>
    <w:rsid w:val="6F997ED1"/>
    <w:rsid w:val="6FA04DBB"/>
    <w:rsid w:val="6FAA79E8"/>
    <w:rsid w:val="6FAD572A"/>
    <w:rsid w:val="6FB839EA"/>
    <w:rsid w:val="6FC0720B"/>
    <w:rsid w:val="6FC30AAA"/>
    <w:rsid w:val="6FCA0B15"/>
    <w:rsid w:val="6FE50A20"/>
    <w:rsid w:val="6FE52415"/>
    <w:rsid w:val="6FEA072C"/>
    <w:rsid w:val="6FFC5590"/>
    <w:rsid w:val="70003AAC"/>
    <w:rsid w:val="70061026"/>
    <w:rsid w:val="70293003"/>
    <w:rsid w:val="702E23C7"/>
    <w:rsid w:val="702F4391"/>
    <w:rsid w:val="70335C2F"/>
    <w:rsid w:val="70357BF9"/>
    <w:rsid w:val="7047792D"/>
    <w:rsid w:val="704C0A9F"/>
    <w:rsid w:val="705A7660"/>
    <w:rsid w:val="706D1DD0"/>
    <w:rsid w:val="70796658"/>
    <w:rsid w:val="707A385E"/>
    <w:rsid w:val="7084648B"/>
    <w:rsid w:val="70856B87"/>
    <w:rsid w:val="709541F4"/>
    <w:rsid w:val="70A1703D"/>
    <w:rsid w:val="70AB7EBB"/>
    <w:rsid w:val="70B34FC2"/>
    <w:rsid w:val="70BB362F"/>
    <w:rsid w:val="70BD199D"/>
    <w:rsid w:val="70D527EE"/>
    <w:rsid w:val="70E138DD"/>
    <w:rsid w:val="70EE1B56"/>
    <w:rsid w:val="70F33611"/>
    <w:rsid w:val="70F51137"/>
    <w:rsid w:val="71186BD3"/>
    <w:rsid w:val="71282ED2"/>
    <w:rsid w:val="713559D7"/>
    <w:rsid w:val="713F23B2"/>
    <w:rsid w:val="714179AC"/>
    <w:rsid w:val="715220E5"/>
    <w:rsid w:val="715B5300"/>
    <w:rsid w:val="715F2A54"/>
    <w:rsid w:val="716342F2"/>
    <w:rsid w:val="716A38D3"/>
    <w:rsid w:val="71837C88"/>
    <w:rsid w:val="71A566B9"/>
    <w:rsid w:val="71A843FB"/>
    <w:rsid w:val="71C11019"/>
    <w:rsid w:val="71C805F9"/>
    <w:rsid w:val="71CF2FFE"/>
    <w:rsid w:val="71CF7BDA"/>
    <w:rsid w:val="71D27F8A"/>
    <w:rsid w:val="71D376CA"/>
    <w:rsid w:val="71E01DE7"/>
    <w:rsid w:val="71E60A7F"/>
    <w:rsid w:val="71EC253A"/>
    <w:rsid w:val="71F118FE"/>
    <w:rsid w:val="71F655B9"/>
    <w:rsid w:val="72071122"/>
    <w:rsid w:val="720E0702"/>
    <w:rsid w:val="72121874"/>
    <w:rsid w:val="72133F6A"/>
    <w:rsid w:val="721970A7"/>
    <w:rsid w:val="721F290F"/>
    <w:rsid w:val="722F0678"/>
    <w:rsid w:val="72312642"/>
    <w:rsid w:val="72347A3D"/>
    <w:rsid w:val="724636AF"/>
    <w:rsid w:val="72553024"/>
    <w:rsid w:val="726C71D7"/>
    <w:rsid w:val="729D55E2"/>
    <w:rsid w:val="72A050D2"/>
    <w:rsid w:val="72A2709C"/>
    <w:rsid w:val="72A42E14"/>
    <w:rsid w:val="72A46970"/>
    <w:rsid w:val="72B666A4"/>
    <w:rsid w:val="72D40F5F"/>
    <w:rsid w:val="72DA4A88"/>
    <w:rsid w:val="72DE56EC"/>
    <w:rsid w:val="72DF63C1"/>
    <w:rsid w:val="72E72D01"/>
    <w:rsid w:val="72EB0A43"/>
    <w:rsid w:val="72F35B4A"/>
    <w:rsid w:val="73012015"/>
    <w:rsid w:val="73102258"/>
    <w:rsid w:val="73122968"/>
    <w:rsid w:val="731C6E4F"/>
    <w:rsid w:val="731F5D5E"/>
    <w:rsid w:val="73221F8B"/>
    <w:rsid w:val="73263829"/>
    <w:rsid w:val="735465E8"/>
    <w:rsid w:val="736427C3"/>
    <w:rsid w:val="73761B42"/>
    <w:rsid w:val="73927111"/>
    <w:rsid w:val="739915E2"/>
    <w:rsid w:val="73AB1F81"/>
    <w:rsid w:val="73B9644B"/>
    <w:rsid w:val="73C51AD5"/>
    <w:rsid w:val="73C62C4D"/>
    <w:rsid w:val="73D56FFD"/>
    <w:rsid w:val="73F531FC"/>
    <w:rsid w:val="73F76F74"/>
    <w:rsid w:val="73F86DAB"/>
    <w:rsid w:val="740578E3"/>
    <w:rsid w:val="74065E5C"/>
    <w:rsid w:val="741B7106"/>
    <w:rsid w:val="741E793C"/>
    <w:rsid w:val="743E4BA3"/>
    <w:rsid w:val="744F4C3F"/>
    <w:rsid w:val="745E3944"/>
    <w:rsid w:val="745E6304"/>
    <w:rsid w:val="7467234B"/>
    <w:rsid w:val="746960C4"/>
    <w:rsid w:val="746C1710"/>
    <w:rsid w:val="7479207F"/>
    <w:rsid w:val="748051BB"/>
    <w:rsid w:val="748A603A"/>
    <w:rsid w:val="748E78D8"/>
    <w:rsid w:val="7499002B"/>
    <w:rsid w:val="7499627D"/>
    <w:rsid w:val="749F1AE5"/>
    <w:rsid w:val="74A215D5"/>
    <w:rsid w:val="74B44E65"/>
    <w:rsid w:val="74B80DF9"/>
    <w:rsid w:val="74B968D5"/>
    <w:rsid w:val="74BB2697"/>
    <w:rsid w:val="74CC21AE"/>
    <w:rsid w:val="74D21961"/>
    <w:rsid w:val="74D379E1"/>
    <w:rsid w:val="74F11CBE"/>
    <w:rsid w:val="74FA6D1C"/>
    <w:rsid w:val="74FB2A94"/>
    <w:rsid w:val="75011D55"/>
    <w:rsid w:val="75061B64"/>
    <w:rsid w:val="750B356A"/>
    <w:rsid w:val="75137DDD"/>
    <w:rsid w:val="75175B20"/>
    <w:rsid w:val="751B41ED"/>
    <w:rsid w:val="751D2A0A"/>
    <w:rsid w:val="752124FA"/>
    <w:rsid w:val="752477A4"/>
    <w:rsid w:val="754B7577"/>
    <w:rsid w:val="756B19C7"/>
    <w:rsid w:val="757765BE"/>
    <w:rsid w:val="759C4277"/>
    <w:rsid w:val="75AD3D60"/>
    <w:rsid w:val="75BC0475"/>
    <w:rsid w:val="75BE6302"/>
    <w:rsid w:val="75C15A8B"/>
    <w:rsid w:val="75C567D4"/>
    <w:rsid w:val="75CA7E1A"/>
    <w:rsid w:val="75CB690A"/>
    <w:rsid w:val="75DE6589"/>
    <w:rsid w:val="75EF084A"/>
    <w:rsid w:val="75F419BD"/>
    <w:rsid w:val="76045867"/>
    <w:rsid w:val="761476FD"/>
    <w:rsid w:val="761758B0"/>
    <w:rsid w:val="7635099D"/>
    <w:rsid w:val="76374841"/>
    <w:rsid w:val="764B5B4E"/>
    <w:rsid w:val="765406AD"/>
    <w:rsid w:val="76592268"/>
    <w:rsid w:val="76674885"/>
    <w:rsid w:val="766A1C7F"/>
    <w:rsid w:val="7671300D"/>
    <w:rsid w:val="767174B1"/>
    <w:rsid w:val="767D696B"/>
    <w:rsid w:val="76832D41"/>
    <w:rsid w:val="76870EAD"/>
    <w:rsid w:val="768C7E47"/>
    <w:rsid w:val="76AF3B36"/>
    <w:rsid w:val="76BA0E58"/>
    <w:rsid w:val="76C04100"/>
    <w:rsid w:val="76CC0B8C"/>
    <w:rsid w:val="76CC293A"/>
    <w:rsid w:val="76DF7FB0"/>
    <w:rsid w:val="76E557A9"/>
    <w:rsid w:val="76F01A11"/>
    <w:rsid w:val="77091498"/>
    <w:rsid w:val="770E2F52"/>
    <w:rsid w:val="77106CCA"/>
    <w:rsid w:val="77112A42"/>
    <w:rsid w:val="77117455"/>
    <w:rsid w:val="772539E4"/>
    <w:rsid w:val="77390819"/>
    <w:rsid w:val="774B0D16"/>
    <w:rsid w:val="775156D1"/>
    <w:rsid w:val="775B5A6C"/>
    <w:rsid w:val="776963DA"/>
    <w:rsid w:val="776D2915"/>
    <w:rsid w:val="777110D9"/>
    <w:rsid w:val="77762421"/>
    <w:rsid w:val="77813724"/>
    <w:rsid w:val="77903967"/>
    <w:rsid w:val="7791148D"/>
    <w:rsid w:val="779C1BB9"/>
    <w:rsid w:val="77A44B9E"/>
    <w:rsid w:val="77AA5513"/>
    <w:rsid w:val="77AD276B"/>
    <w:rsid w:val="77B56B1F"/>
    <w:rsid w:val="77D5373A"/>
    <w:rsid w:val="77D575CC"/>
    <w:rsid w:val="77DA4BE2"/>
    <w:rsid w:val="77DC6BAC"/>
    <w:rsid w:val="77E617D9"/>
    <w:rsid w:val="77EE068E"/>
    <w:rsid w:val="77F02658"/>
    <w:rsid w:val="78054355"/>
    <w:rsid w:val="780F09F4"/>
    <w:rsid w:val="78174088"/>
    <w:rsid w:val="78212811"/>
    <w:rsid w:val="78397B5B"/>
    <w:rsid w:val="78511348"/>
    <w:rsid w:val="787943FB"/>
    <w:rsid w:val="787E7C64"/>
    <w:rsid w:val="78846947"/>
    <w:rsid w:val="788B412F"/>
    <w:rsid w:val="7890052D"/>
    <w:rsid w:val="789E0306"/>
    <w:rsid w:val="78A70F68"/>
    <w:rsid w:val="78A84CE1"/>
    <w:rsid w:val="78A90480"/>
    <w:rsid w:val="78CA4C57"/>
    <w:rsid w:val="78D15FE5"/>
    <w:rsid w:val="78E26444"/>
    <w:rsid w:val="78E33F6B"/>
    <w:rsid w:val="78F32400"/>
    <w:rsid w:val="791505C8"/>
    <w:rsid w:val="79164340"/>
    <w:rsid w:val="791660EE"/>
    <w:rsid w:val="791D56CF"/>
    <w:rsid w:val="79243D01"/>
    <w:rsid w:val="79297861"/>
    <w:rsid w:val="792F71B0"/>
    <w:rsid w:val="79346574"/>
    <w:rsid w:val="79556C16"/>
    <w:rsid w:val="795D1F6F"/>
    <w:rsid w:val="796B468C"/>
    <w:rsid w:val="7973709D"/>
    <w:rsid w:val="79817A0B"/>
    <w:rsid w:val="79856DD0"/>
    <w:rsid w:val="79863274"/>
    <w:rsid w:val="79A90D10"/>
    <w:rsid w:val="79C142AC"/>
    <w:rsid w:val="79D35D8D"/>
    <w:rsid w:val="79D53106"/>
    <w:rsid w:val="79EF706B"/>
    <w:rsid w:val="79FE210D"/>
    <w:rsid w:val="79FF4DD4"/>
    <w:rsid w:val="7A1B0F29"/>
    <w:rsid w:val="7A364017"/>
    <w:rsid w:val="7A37456E"/>
    <w:rsid w:val="7A3E58FC"/>
    <w:rsid w:val="7A3E76AA"/>
    <w:rsid w:val="7A4822D7"/>
    <w:rsid w:val="7A4A24F3"/>
    <w:rsid w:val="7A5925AE"/>
    <w:rsid w:val="7A613399"/>
    <w:rsid w:val="7A6A4943"/>
    <w:rsid w:val="7A8265E1"/>
    <w:rsid w:val="7A8F37D9"/>
    <w:rsid w:val="7A911ED0"/>
    <w:rsid w:val="7A9667B8"/>
    <w:rsid w:val="7AA8546C"/>
    <w:rsid w:val="7AAB2866"/>
    <w:rsid w:val="7AB931D5"/>
    <w:rsid w:val="7AC1208A"/>
    <w:rsid w:val="7AC3474B"/>
    <w:rsid w:val="7ACC115A"/>
    <w:rsid w:val="7ACE4ED2"/>
    <w:rsid w:val="7B0326A2"/>
    <w:rsid w:val="7B0C1557"/>
    <w:rsid w:val="7B1F572E"/>
    <w:rsid w:val="7B226FCC"/>
    <w:rsid w:val="7B334D35"/>
    <w:rsid w:val="7B3A2568"/>
    <w:rsid w:val="7B424F78"/>
    <w:rsid w:val="7B452CBB"/>
    <w:rsid w:val="7B4E6013"/>
    <w:rsid w:val="7B65510B"/>
    <w:rsid w:val="7B686D42"/>
    <w:rsid w:val="7B7470FC"/>
    <w:rsid w:val="7B75534E"/>
    <w:rsid w:val="7B7A6E08"/>
    <w:rsid w:val="7B7D2454"/>
    <w:rsid w:val="7B841746"/>
    <w:rsid w:val="7B8437E3"/>
    <w:rsid w:val="7B8E4662"/>
    <w:rsid w:val="7B971768"/>
    <w:rsid w:val="7B9F061D"/>
    <w:rsid w:val="7BA93F00"/>
    <w:rsid w:val="7BAB0D70"/>
    <w:rsid w:val="7BC57958"/>
    <w:rsid w:val="7BCC6F38"/>
    <w:rsid w:val="7BD32074"/>
    <w:rsid w:val="7BDA1655"/>
    <w:rsid w:val="7BDA78A7"/>
    <w:rsid w:val="7BDD1CD9"/>
    <w:rsid w:val="7BDF0A19"/>
    <w:rsid w:val="7BDF6C6B"/>
    <w:rsid w:val="7BF1074D"/>
    <w:rsid w:val="7C1A7CA3"/>
    <w:rsid w:val="7C1E0D97"/>
    <w:rsid w:val="7C26489A"/>
    <w:rsid w:val="7C4816F8"/>
    <w:rsid w:val="7C532F51"/>
    <w:rsid w:val="7C6B49A3"/>
    <w:rsid w:val="7C6C5AC7"/>
    <w:rsid w:val="7C745605"/>
    <w:rsid w:val="7C7E0232"/>
    <w:rsid w:val="7C837F0E"/>
    <w:rsid w:val="7CB43C54"/>
    <w:rsid w:val="7CBA4FE2"/>
    <w:rsid w:val="7CBE4AD3"/>
    <w:rsid w:val="7CC6544B"/>
    <w:rsid w:val="7CD0588F"/>
    <w:rsid w:val="7CD662C0"/>
    <w:rsid w:val="7CE65DD7"/>
    <w:rsid w:val="7CE8176C"/>
    <w:rsid w:val="7CEB152B"/>
    <w:rsid w:val="7CED7166"/>
    <w:rsid w:val="7CF90201"/>
    <w:rsid w:val="7CF91FAF"/>
    <w:rsid w:val="7D0239FF"/>
    <w:rsid w:val="7D060228"/>
    <w:rsid w:val="7D1043E3"/>
    <w:rsid w:val="7D1312C2"/>
    <w:rsid w:val="7D142945"/>
    <w:rsid w:val="7D32101D"/>
    <w:rsid w:val="7D344D95"/>
    <w:rsid w:val="7D382AD7"/>
    <w:rsid w:val="7D5E40CD"/>
    <w:rsid w:val="7D6A07B6"/>
    <w:rsid w:val="7D761851"/>
    <w:rsid w:val="7D7B6E68"/>
    <w:rsid w:val="7D7E4262"/>
    <w:rsid w:val="7D845D1C"/>
    <w:rsid w:val="7DC63612"/>
    <w:rsid w:val="7DC772F6"/>
    <w:rsid w:val="7DCA74A7"/>
    <w:rsid w:val="7DCD56F2"/>
    <w:rsid w:val="7DEB4B90"/>
    <w:rsid w:val="7DF52776"/>
    <w:rsid w:val="7DFD787D"/>
    <w:rsid w:val="7E094315"/>
    <w:rsid w:val="7E175AD1"/>
    <w:rsid w:val="7E260B81"/>
    <w:rsid w:val="7E282B4B"/>
    <w:rsid w:val="7E462FD2"/>
    <w:rsid w:val="7E5020A2"/>
    <w:rsid w:val="7E5576B9"/>
    <w:rsid w:val="7E5F5E41"/>
    <w:rsid w:val="7E6913DD"/>
    <w:rsid w:val="7E7318ED"/>
    <w:rsid w:val="7E8577B2"/>
    <w:rsid w:val="7E980920"/>
    <w:rsid w:val="7EA1645A"/>
    <w:rsid w:val="7EA877E8"/>
    <w:rsid w:val="7EB50157"/>
    <w:rsid w:val="7EBE525E"/>
    <w:rsid w:val="7EBF4B32"/>
    <w:rsid w:val="7EDC56E4"/>
    <w:rsid w:val="7EE14F1F"/>
    <w:rsid w:val="7EEA6053"/>
    <w:rsid w:val="7EEB2111"/>
    <w:rsid w:val="7EFC18E2"/>
    <w:rsid w:val="7EFC37F0"/>
    <w:rsid w:val="7EFE565A"/>
    <w:rsid w:val="7F001CE7"/>
    <w:rsid w:val="7F005876"/>
    <w:rsid w:val="7F0522CB"/>
    <w:rsid w:val="7F0C421B"/>
    <w:rsid w:val="7F143C8D"/>
    <w:rsid w:val="7F1B7FBA"/>
    <w:rsid w:val="7F2A644F"/>
    <w:rsid w:val="7F370B6C"/>
    <w:rsid w:val="7F517E80"/>
    <w:rsid w:val="7F5636E8"/>
    <w:rsid w:val="7F5931D8"/>
    <w:rsid w:val="7F5B0CFF"/>
    <w:rsid w:val="7F735751"/>
    <w:rsid w:val="7F761695"/>
    <w:rsid w:val="7F7678E7"/>
    <w:rsid w:val="7FAB3A34"/>
    <w:rsid w:val="7FB631DC"/>
    <w:rsid w:val="7FB81CAD"/>
    <w:rsid w:val="7FC22B2C"/>
    <w:rsid w:val="7FD0349B"/>
    <w:rsid w:val="7FD5370C"/>
    <w:rsid w:val="7FDD5BB8"/>
    <w:rsid w:val="7FE24F7C"/>
    <w:rsid w:val="7FE47E50"/>
    <w:rsid w:val="7FFA05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outlineLvl w:val="1"/>
    </w:pPr>
    <w:rPr>
      <w:rFonts w:ascii="Arial" w:hAnsi="Arial"/>
      <w:b/>
      <w:bCs/>
      <w:sz w:val="28"/>
      <w:szCs w:val="32"/>
    </w:rPr>
  </w:style>
  <w:style w:type="paragraph" w:styleId="5">
    <w:name w:val="heading 3"/>
    <w:basedOn w:val="1"/>
    <w:next w:val="1"/>
    <w:qFormat/>
    <w:locked/>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locked/>
    <w:uiPriority w:val="0"/>
    <w:pPr>
      <w:ind w:leftChars="200" w:hanging="200" w:hangingChars="200"/>
    </w:pPr>
  </w:style>
  <w:style w:type="paragraph" w:styleId="6">
    <w:name w:val="Normal Indent"/>
    <w:basedOn w:val="1"/>
    <w:qFormat/>
    <w:locked/>
    <w:uiPriority w:val="99"/>
    <w:pPr>
      <w:ind w:firstLine="420" w:firstLineChars="200"/>
    </w:pPr>
    <w:rPr>
      <w:szCs w:val="24"/>
    </w:rPr>
  </w:style>
  <w:style w:type="paragraph" w:styleId="7">
    <w:name w:val="annotation text"/>
    <w:basedOn w:val="1"/>
    <w:link w:val="31"/>
    <w:semiHidden/>
    <w:qFormat/>
    <w:uiPriority w:val="0"/>
    <w:pPr>
      <w:jc w:val="left"/>
    </w:pPr>
    <w:rPr>
      <w:kern w:val="0"/>
      <w:sz w:val="24"/>
      <w:szCs w:val="20"/>
    </w:rPr>
  </w:style>
  <w:style w:type="paragraph" w:styleId="8">
    <w:name w:val="Body Text"/>
    <w:basedOn w:val="1"/>
    <w:next w:val="1"/>
    <w:link w:val="30"/>
    <w:qFormat/>
    <w:uiPriority w:val="0"/>
    <w:pPr>
      <w:widowControl/>
      <w:snapToGrid w:val="0"/>
      <w:spacing w:before="60" w:after="160" w:line="259" w:lineRule="auto"/>
      <w:ind w:right="113"/>
    </w:pPr>
    <w:rPr>
      <w:kern w:val="0"/>
      <w:sz w:val="18"/>
      <w:szCs w:val="20"/>
    </w:rPr>
  </w:style>
  <w:style w:type="paragraph" w:styleId="9">
    <w:name w:val="Body Text Indent"/>
    <w:basedOn w:val="1"/>
    <w:link w:val="39"/>
    <w:qFormat/>
    <w:uiPriority w:val="0"/>
    <w:pPr>
      <w:spacing w:after="120"/>
      <w:ind w:left="420" w:leftChars="200"/>
    </w:pPr>
    <w:rPr>
      <w:kern w:val="0"/>
      <w:sz w:val="24"/>
      <w:szCs w:val="20"/>
    </w:rPr>
  </w:style>
  <w:style w:type="paragraph" w:styleId="10">
    <w:name w:val="Plain Text"/>
    <w:basedOn w:val="1"/>
    <w:qFormat/>
    <w:locked/>
    <w:uiPriority w:val="0"/>
    <w:rPr>
      <w:rFonts w:ascii="宋体" w:hAnsi="Courier New"/>
      <w:kern w:val="0"/>
      <w:sz w:val="20"/>
      <w:szCs w:val="20"/>
    </w:rPr>
  </w:style>
  <w:style w:type="paragraph" w:styleId="11">
    <w:name w:val="Date"/>
    <w:basedOn w:val="1"/>
    <w:next w:val="1"/>
    <w:link w:val="26"/>
    <w:qFormat/>
    <w:uiPriority w:val="0"/>
    <w:pPr>
      <w:ind w:left="100" w:leftChars="2500"/>
    </w:pPr>
    <w:rPr>
      <w:kern w:val="0"/>
      <w:sz w:val="24"/>
      <w:szCs w:val="20"/>
    </w:rPr>
  </w:style>
  <w:style w:type="paragraph" w:styleId="12">
    <w:name w:val="Balloon Text"/>
    <w:basedOn w:val="1"/>
    <w:link w:val="35"/>
    <w:semiHidden/>
    <w:qFormat/>
    <w:uiPriority w:val="0"/>
    <w:rPr>
      <w:kern w:val="0"/>
      <w:sz w:val="18"/>
      <w:szCs w:val="20"/>
    </w:rPr>
  </w:style>
  <w:style w:type="paragraph" w:styleId="13">
    <w:name w:val="footer"/>
    <w:basedOn w:val="1"/>
    <w:link w:val="25"/>
    <w:qFormat/>
    <w:uiPriority w:val="99"/>
    <w:pPr>
      <w:tabs>
        <w:tab w:val="center" w:pos="4153"/>
        <w:tab w:val="right" w:pos="8306"/>
      </w:tabs>
      <w:snapToGrid w:val="0"/>
      <w:jc w:val="left"/>
    </w:pPr>
    <w:rPr>
      <w:kern w:val="0"/>
      <w:sz w:val="18"/>
      <w:szCs w:val="20"/>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Normal (Web)"/>
    <w:basedOn w:val="1"/>
    <w:link w:val="28"/>
    <w:qFormat/>
    <w:uiPriority w:val="0"/>
    <w:pPr>
      <w:widowControl/>
      <w:spacing w:before="100" w:beforeAutospacing="1" w:after="100" w:afterAutospacing="1"/>
      <w:jc w:val="left"/>
    </w:pPr>
    <w:rPr>
      <w:rFonts w:ascii="宋体" w:hAnsi="宋体"/>
      <w:kern w:val="0"/>
      <w:sz w:val="24"/>
      <w:szCs w:val="20"/>
    </w:rPr>
  </w:style>
  <w:style w:type="paragraph" w:styleId="16">
    <w:name w:val="annotation subject"/>
    <w:basedOn w:val="7"/>
    <w:next w:val="7"/>
    <w:link w:val="36"/>
    <w:semiHidden/>
    <w:qFormat/>
    <w:uiPriority w:val="0"/>
    <w:rPr>
      <w:b/>
      <w:sz w:val="24"/>
      <w:szCs w:val="20"/>
    </w:rPr>
  </w:style>
  <w:style w:type="paragraph" w:styleId="17">
    <w:name w:val="Body Text First Indent"/>
    <w:basedOn w:val="8"/>
    <w:qFormat/>
    <w:locked/>
    <w:uiPriority w:val="99"/>
    <w:pPr>
      <w:ind w:firstLine="420" w:firstLineChars="100"/>
    </w:pPr>
    <w:rPr>
      <w:rFonts w:ascii="Calibri" w:hAnsi="Calibri"/>
      <w:szCs w:val="22"/>
    </w:rPr>
  </w:style>
  <w:style w:type="paragraph" w:styleId="18">
    <w:name w:val="Body Text First Indent 2"/>
    <w:basedOn w:val="1"/>
    <w:next w:val="1"/>
    <w:qFormat/>
    <w:locked/>
    <w:uiPriority w:val="0"/>
    <w:pPr>
      <w:ind w:firstLine="200" w:firstLineChars="200"/>
    </w:p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locked/>
    <w:uiPriority w:val="0"/>
  </w:style>
  <w:style w:type="character" w:styleId="23">
    <w:name w:val="Hyperlink"/>
    <w:unhideWhenUsed/>
    <w:qFormat/>
    <w:locked/>
    <w:uiPriority w:val="99"/>
    <w:rPr>
      <w:color w:val="333333"/>
      <w:sz w:val="18"/>
      <w:szCs w:val="18"/>
      <w:u w:val="none"/>
    </w:rPr>
  </w:style>
  <w:style w:type="character" w:styleId="24">
    <w:name w:val="annotation reference"/>
    <w:semiHidden/>
    <w:qFormat/>
    <w:uiPriority w:val="0"/>
    <w:rPr>
      <w:sz w:val="21"/>
    </w:rPr>
  </w:style>
  <w:style w:type="character" w:customStyle="1" w:styleId="25">
    <w:name w:val="页脚 Char"/>
    <w:link w:val="13"/>
    <w:qFormat/>
    <w:locked/>
    <w:uiPriority w:val="99"/>
    <w:rPr>
      <w:sz w:val="18"/>
    </w:rPr>
  </w:style>
  <w:style w:type="character" w:customStyle="1" w:styleId="26">
    <w:name w:val="日期 Char"/>
    <w:link w:val="11"/>
    <w:qFormat/>
    <w:locked/>
    <w:uiPriority w:val="0"/>
    <w:rPr>
      <w:rFonts w:ascii="Times New Roman" w:hAnsi="Times New Roman" w:eastAsia="宋体"/>
      <w:sz w:val="24"/>
    </w:rPr>
  </w:style>
  <w:style w:type="character" w:customStyle="1" w:styleId="27">
    <w:name w:val="页脚 字符"/>
    <w:basedOn w:val="21"/>
    <w:qFormat/>
    <w:uiPriority w:val="99"/>
  </w:style>
  <w:style w:type="character" w:customStyle="1" w:styleId="28">
    <w:name w:val="普通(网站) Char"/>
    <w:link w:val="15"/>
    <w:qFormat/>
    <w:locked/>
    <w:uiPriority w:val="0"/>
    <w:rPr>
      <w:rFonts w:ascii="宋体" w:hAnsi="宋体" w:eastAsia="宋体"/>
      <w:sz w:val="24"/>
    </w:rPr>
  </w:style>
  <w:style w:type="character" w:customStyle="1" w:styleId="29">
    <w:name w:val="正文文本 字符1"/>
    <w:semiHidden/>
    <w:qFormat/>
    <w:uiPriority w:val="0"/>
    <w:rPr>
      <w:rFonts w:ascii="Times New Roman" w:hAnsi="Times New Roman" w:eastAsia="宋体"/>
      <w:sz w:val="24"/>
    </w:rPr>
  </w:style>
  <w:style w:type="character" w:customStyle="1" w:styleId="30">
    <w:name w:val="正文文本 Char"/>
    <w:link w:val="8"/>
    <w:qFormat/>
    <w:locked/>
    <w:uiPriority w:val="0"/>
    <w:rPr>
      <w:sz w:val="18"/>
    </w:rPr>
  </w:style>
  <w:style w:type="character" w:customStyle="1" w:styleId="31">
    <w:name w:val="批注文字 Char"/>
    <w:link w:val="7"/>
    <w:qFormat/>
    <w:locked/>
    <w:uiPriority w:val="0"/>
    <w:rPr>
      <w:rFonts w:ascii="Times New Roman" w:hAnsi="Times New Roman" w:eastAsia="宋体"/>
      <w:sz w:val="24"/>
    </w:rPr>
  </w:style>
  <w:style w:type="character" w:customStyle="1" w:styleId="32">
    <w:name w:val="表格 Char"/>
    <w:link w:val="33"/>
    <w:qFormat/>
    <w:locked/>
    <w:uiPriority w:val="0"/>
    <w:rPr>
      <w:rFonts w:ascii="宋体"/>
      <w:sz w:val="21"/>
    </w:rPr>
  </w:style>
  <w:style w:type="paragraph" w:customStyle="1" w:styleId="33">
    <w:name w:val="表格"/>
    <w:basedOn w:val="1"/>
    <w:next w:val="1"/>
    <w:link w:val="32"/>
    <w:qFormat/>
    <w:uiPriority w:val="0"/>
    <w:pPr>
      <w:adjustRightInd w:val="0"/>
      <w:snapToGrid w:val="0"/>
      <w:spacing w:beforeLines="10" w:afterLines="10" w:line="259" w:lineRule="auto"/>
      <w:jc w:val="center"/>
    </w:pPr>
    <w:rPr>
      <w:rFonts w:ascii="宋体"/>
      <w:kern w:val="0"/>
      <w:szCs w:val="20"/>
    </w:rPr>
  </w:style>
  <w:style w:type="character" w:customStyle="1" w:styleId="34">
    <w:name w:val="日期 字符"/>
    <w:semiHidden/>
    <w:qFormat/>
    <w:uiPriority w:val="0"/>
    <w:rPr>
      <w:rFonts w:ascii="Times New Roman" w:hAnsi="Times New Roman" w:eastAsia="宋体"/>
      <w:sz w:val="24"/>
    </w:rPr>
  </w:style>
  <w:style w:type="character" w:customStyle="1" w:styleId="35">
    <w:name w:val="批注框文本 Char"/>
    <w:link w:val="12"/>
    <w:semiHidden/>
    <w:qFormat/>
    <w:locked/>
    <w:uiPriority w:val="0"/>
    <w:rPr>
      <w:rFonts w:ascii="Times New Roman" w:hAnsi="Times New Roman" w:eastAsia="宋体"/>
      <w:sz w:val="18"/>
    </w:rPr>
  </w:style>
  <w:style w:type="character" w:customStyle="1" w:styleId="36">
    <w:name w:val="批注主题 Char"/>
    <w:link w:val="16"/>
    <w:semiHidden/>
    <w:qFormat/>
    <w:locked/>
    <w:uiPriority w:val="0"/>
    <w:rPr>
      <w:rFonts w:ascii="Times New Roman" w:hAnsi="Times New Roman" w:eastAsia="宋体"/>
      <w:b/>
      <w:kern w:val="2"/>
      <w:sz w:val="24"/>
    </w:rPr>
  </w:style>
  <w:style w:type="character" w:customStyle="1" w:styleId="37">
    <w:name w:val="页眉 Char"/>
    <w:link w:val="14"/>
    <w:qFormat/>
    <w:locked/>
    <w:uiPriority w:val="0"/>
    <w:rPr>
      <w:sz w:val="18"/>
    </w:rPr>
  </w:style>
  <w:style w:type="character" w:customStyle="1" w:styleId="38">
    <w:name w:val="批注文字 字符1"/>
    <w:semiHidden/>
    <w:qFormat/>
    <w:uiPriority w:val="0"/>
    <w:rPr>
      <w:rFonts w:ascii="Times New Roman" w:hAnsi="Times New Roman" w:eastAsia="宋体"/>
      <w:sz w:val="24"/>
    </w:rPr>
  </w:style>
  <w:style w:type="character" w:customStyle="1" w:styleId="39">
    <w:name w:val="正文文本缩进 Char"/>
    <w:link w:val="9"/>
    <w:semiHidden/>
    <w:qFormat/>
    <w:locked/>
    <w:uiPriority w:val="0"/>
    <w:rPr>
      <w:rFonts w:ascii="Times New Roman" w:hAnsi="Times New Roman" w:eastAsia="宋体"/>
      <w:sz w:val="24"/>
    </w:rPr>
  </w:style>
  <w:style w:type="paragraph" w:customStyle="1" w:styleId="4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reader-word-layer reader-word-s39-21"/>
    <w:basedOn w:val="1"/>
    <w:qFormat/>
    <w:uiPriority w:val="0"/>
    <w:pPr>
      <w:widowControl/>
      <w:spacing w:before="100" w:beforeAutospacing="1" w:after="100" w:afterAutospacing="1"/>
      <w:jc w:val="left"/>
    </w:pPr>
    <w:rPr>
      <w:rFonts w:ascii="宋体" w:hAnsi="宋体" w:cs="宋体"/>
      <w:kern w:val="0"/>
      <w:sz w:val="24"/>
      <w:szCs w:val="24"/>
    </w:rPr>
  </w:style>
  <w:style w:type="paragraph" w:styleId="44">
    <w:name w:val="List Paragraph"/>
    <w:basedOn w:val="1"/>
    <w:qFormat/>
    <w:uiPriority w:val="1"/>
    <w:pPr>
      <w:ind w:left="2133" w:hanging="601"/>
    </w:pPr>
    <w:rPr>
      <w:rFonts w:ascii="宋体" w:hAnsi="宋体" w:eastAsia="宋体" w:cs="宋体"/>
      <w:lang w:val="zh-CN" w:eastAsia="zh-CN" w:bidi="zh-CN"/>
    </w:rPr>
  </w:style>
  <w:style w:type="paragraph" w:customStyle="1" w:styleId="45">
    <w:name w:val="正文文本1"/>
    <w:basedOn w:val="1"/>
    <w:qFormat/>
    <w:uiPriority w:val="99"/>
    <w:rPr>
      <w:kern w:val="0"/>
      <w:sz w:val="20"/>
    </w:rPr>
  </w:style>
  <w:style w:type="paragraph" w:customStyle="1" w:styleId="46">
    <w:name w:val="列出段落11"/>
    <w:basedOn w:val="1"/>
    <w:qFormat/>
    <w:uiPriority w:val="0"/>
    <w:pPr>
      <w:ind w:firstLine="420" w:firstLineChars="200"/>
    </w:pPr>
    <w:rPr>
      <w:rFonts w:ascii="Calibri" w:hAnsi="Calibri"/>
    </w:rPr>
  </w:style>
  <w:style w:type="paragraph" w:customStyle="1" w:styleId="47">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48">
    <w:name w:val="说明书正文"/>
    <w:basedOn w:val="1"/>
    <w:qFormat/>
    <w:uiPriority w:val="0"/>
    <w:pPr>
      <w:spacing w:line="480" w:lineRule="exact"/>
      <w:ind w:firstLine="200" w:firstLineChars="200"/>
    </w:pPr>
    <w:rPr>
      <w:rFonts w:eastAsia="仿宋_GB2312"/>
      <w:color w:val="000000"/>
      <w:sz w:val="30"/>
      <w:szCs w:val="24"/>
    </w:rPr>
  </w:style>
  <w:style w:type="paragraph" w:customStyle="1" w:styleId="49">
    <w:name w:val="正文(首行缩进)"/>
    <w:basedOn w:val="1"/>
    <w:qFormat/>
    <w:uiPriority w:val="0"/>
    <w:pPr>
      <w:adjustRightInd w:val="0"/>
      <w:snapToGrid w:val="0"/>
      <w:spacing w:line="360" w:lineRule="auto"/>
      <w:ind w:firstLine="200" w:firstLineChars="200"/>
    </w:pPr>
    <w:rPr>
      <w:snapToGrid w:val="0"/>
      <w:kern w:val="0"/>
      <w:sz w:val="24"/>
      <w:szCs w:val="24"/>
    </w:rPr>
  </w:style>
  <w:style w:type="paragraph" w:customStyle="1" w:styleId="50">
    <w:name w:val="样式 规划正文 + 仿宋_GB2312 三号 首行缩进:  2 字符 行距: 单倍行距"/>
    <w:basedOn w:val="1"/>
    <w:qFormat/>
    <w:uiPriority w:val="0"/>
    <w:pPr>
      <w:ind w:firstLine="200" w:firstLineChars="200"/>
    </w:pPr>
    <w:rPr>
      <w:rFonts w:ascii="仿宋_GB2312" w:eastAsia="仿宋_GB2312" w:cs="宋体"/>
      <w:sz w:val="28"/>
      <w:szCs w:val="28"/>
    </w:rPr>
  </w:style>
  <w:style w:type="paragraph" w:customStyle="1" w:styleId="51">
    <w:name w:val="应填表格"/>
    <w:basedOn w:val="1"/>
    <w:qFormat/>
    <w:uiPriority w:val="0"/>
    <w:pPr>
      <w:adjustRightInd w:val="0"/>
      <w:spacing w:before="40" w:after="40"/>
      <w:jc w:val="left"/>
      <w:textAlignment w:val="baseline"/>
    </w:pPr>
    <w:rPr>
      <w:b/>
      <w:kern w:val="0"/>
      <w:sz w:val="24"/>
      <w:szCs w:val="20"/>
    </w:rPr>
  </w:style>
  <w:style w:type="paragraph" w:customStyle="1" w:styleId="52">
    <w:name w:val="无间隔1"/>
    <w:qFormat/>
    <w:uiPriority w:val="1"/>
    <w:pPr>
      <w:widowControl w:val="0"/>
      <w:adjustRightInd w:val="0"/>
      <w:spacing w:line="360" w:lineRule="atLeast"/>
      <w:jc w:val="both"/>
      <w:textAlignment w:val="baseline"/>
    </w:pPr>
    <w:rPr>
      <w:rFonts w:ascii="Times New Roman" w:hAnsi="Times New Roman" w:eastAsia="宋体" w:cs="Times New Roman"/>
      <w:kern w:val="2"/>
      <w:sz w:val="24"/>
      <w:szCs w:val="24"/>
      <w:lang w:val="en-US" w:eastAsia="zh-CN" w:bidi="ar-SA"/>
    </w:rPr>
  </w:style>
  <w:style w:type="paragraph" w:customStyle="1" w:styleId="53">
    <w:name w:val="C2"/>
    <w:basedOn w:val="1"/>
    <w:qFormat/>
    <w:uiPriority w:val="0"/>
    <w:rPr>
      <w:kern w:val="0"/>
      <w:sz w:val="28"/>
      <w:szCs w:val="20"/>
    </w:rPr>
  </w:style>
  <w:style w:type="paragraph" w:customStyle="1" w:styleId="54">
    <w:name w:val="MFS单位"/>
    <w:basedOn w:val="1"/>
    <w:qFormat/>
    <w:uiPriority w:val="99"/>
    <w:pPr>
      <w:jc w:val="righ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jpeg"/><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76</Pages>
  <Words>39588</Words>
  <Characters>44124</Characters>
  <Lines>13</Lines>
  <Paragraphs>3</Paragraphs>
  <TotalTime>86</TotalTime>
  <ScaleCrop>false</ScaleCrop>
  <LinksUpToDate>false</LinksUpToDate>
  <CharactersWithSpaces>44387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WPS_1572874478</cp:lastModifiedBy>
  <cp:lastPrinted>2020-12-29T02:43:00Z</cp:lastPrinted>
  <dcterms:modified xsi:type="dcterms:W3CDTF">2022-12-17T08:55:03Z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B657EED6B4BB48BA8A0910A894334FC5</vt:lpwstr>
  </property>
</Properties>
</file>